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816" w:lineRule="exact"/>
        <w:ind w:left="4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1128395" cy="518159"/>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128395" cy="518159"/>
                    </a:xfrm>
                    <a:prstGeom prst="rect">
                      <a:avLst/>
                    </a:prstGeom>
                  </pic:spPr>
                </pic:pic>
              </a:graphicData>
            </a:graphic>
          </wp:inline>
        </w:drawing>
      </w:r>
      <w:r>
        <w:rPr>
          <w:rFonts w:ascii="Times New Roman" w:hAnsi="Times New Roman" w:cs="Times New Roman" w:eastAsia="Times New Roman" w:hint="default"/>
          <w:position w:val="-15"/>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134" w:right="1111" w:firstLine="0"/>
        <w:jc w:val="center"/>
        <w:rPr>
          <w:rFonts w:ascii="宋体" w:hAnsi="宋体" w:cs="宋体" w:eastAsia="宋体" w:hint="default"/>
          <w:sz w:val="36"/>
          <w:szCs w:val="36"/>
        </w:rPr>
      </w:pPr>
      <w:r>
        <w:rPr>
          <w:rFonts w:ascii="宋体" w:hAnsi="宋体" w:cs="宋体" w:eastAsia="宋体" w:hint="default"/>
          <w:b/>
          <w:bCs/>
          <w:sz w:val="36"/>
          <w:szCs w:val="36"/>
        </w:rPr>
        <w:t>河南辉煌科技股份有限公司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4" w:right="11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134" w:right="111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right="1114"/>
        <w:jc w:val="center"/>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4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26"/>
          <w:szCs w:val="26"/>
        </w:rPr>
      </w:pPr>
    </w:p>
    <w:p>
      <w:pPr>
        <w:spacing w:before="0"/>
        <w:ind w:left="134" w:right="1110" w:firstLine="0"/>
        <w:jc w:val="center"/>
        <w:rPr>
          <w:rFonts w:ascii="宋体" w:hAnsi="宋体" w:cs="宋体" w:eastAsia="宋体" w:hint="default"/>
          <w:sz w:val="30"/>
          <w:szCs w:val="30"/>
        </w:rPr>
      </w:pPr>
      <w:r>
        <w:rPr>
          <w:rFonts w:ascii="宋体" w:hAnsi="宋体" w:cs="宋体" w:eastAsia="宋体" w:hint="default"/>
          <w:sz w:val="30"/>
          <w:szCs w:val="30"/>
        </w:rPr>
        <w:t>重要提示</w:t>
      </w:r>
    </w:p>
    <w:p>
      <w:pPr>
        <w:spacing w:line="240" w:lineRule="auto" w:before="6"/>
        <w:rPr>
          <w:rFonts w:ascii="宋体" w:hAnsi="宋体" w:cs="宋体" w:eastAsia="宋体" w:hint="default"/>
          <w:sz w:val="37"/>
          <w:szCs w:val="37"/>
        </w:rPr>
      </w:pPr>
    </w:p>
    <w:p>
      <w:pPr>
        <w:pStyle w:val="BodyText"/>
        <w:spacing w:line="352" w:lineRule="auto" w:before="0"/>
        <w:ind w:right="0" w:firstLine="480"/>
        <w:jc w:val="left"/>
      </w:pPr>
      <w:r>
        <w:rPr/>
        <w:t>公司董事会、监事会及董事、监事、高级管理人员保证年度报告内容的真实、准确、完 整，不存在虚假记载、误导性陈述或重大遗漏，并承担个别和连带的法律责任。</w:t>
      </w:r>
    </w:p>
    <w:p>
      <w:pPr>
        <w:pStyle w:val="BodyText"/>
        <w:spacing w:line="331" w:lineRule="auto" w:before="32"/>
        <w:ind w:right="0" w:firstLine="480"/>
        <w:jc w:val="left"/>
      </w:pPr>
      <w:r>
        <w:rPr>
          <w:spacing w:val="2"/>
        </w:rPr>
        <w:t>公司负责人李海鹰、主管会计工作负责人侯菊艳及会计机构负责人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窦永</w:t>
      </w:r>
      <w:r>
        <w:rPr>
          <w:spacing w:val="3"/>
        </w:rPr>
        <w:t> </w:t>
      </w:r>
      <w:r>
        <w:rPr/>
        <w:t>贺声明：保证年度报告中财务报告的真实、准确、完整。</w:t>
      </w:r>
    </w:p>
    <w:p>
      <w:pPr>
        <w:pStyle w:val="BodyText"/>
        <w:spacing w:line="350" w:lineRule="auto" w:before="55"/>
        <w:ind w:left="634" w:right="0"/>
        <w:jc w:val="left"/>
      </w:pPr>
      <w:r>
        <w:rPr/>
        <w:t>所有董事均已出席了审议本报告的董事会会议。 本年度报告内容中如有涉及未来的计划、业绩预测等方面的前瞻性陈述，均不构成本公</w:t>
      </w:r>
    </w:p>
    <w:p>
      <w:pPr>
        <w:pStyle w:val="BodyText"/>
        <w:spacing w:line="352" w:lineRule="auto" w:before="35"/>
        <w:ind w:right="0"/>
        <w:jc w:val="left"/>
      </w:pPr>
      <w:r>
        <w:rPr/>
        <w:t>司对任何投资者的实质承诺，能否实现取决于市场状况变化、经营团队的努力程度等多种因 素，存在很大的不确定性，请投资者注意投资风险。</w:t>
      </w:r>
    </w:p>
    <w:p>
      <w:pPr>
        <w:spacing w:after="0" w:line="352" w:lineRule="auto"/>
        <w:jc w:val="left"/>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4"/>
          <w:szCs w:val="24"/>
        </w:rPr>
      </w:pPr>
    </w:p>
    <w:p>
      <w:pPr>
        <w:spacing w:before="7"/>
        <w:ind w:left="134" w:right="508" w:firstLine="0"/>
        <w:jc w:val="center"/>
        <w:rPr>
          <w:rFonts w:ascii="宋体" w:hAnsi="宋体" w:cs="宋体" w:eastAsia="宋体" w:hint="default"/>
          <w:sz w:val="30"/>
          <w:szCs w:val="30"/>
        </w:rPr>
      </w:pPr>
      <w:r>
        <w:rPr>
          <w:rFonts w:ascii="宋体" w:hAnsi="宋体" w:cs="宋体" w:eastAsia="宋体" w:hint="default"/>
          <w:b/>
          <w:bCs/>
          <w:sz w:val="30"/>
          <w:szCs w:val="30"/>
        </w:rPr>
        <w:t>风险提示</w:t>
      </w:r>
      <w:r>
        <w:rPr>
          <w:rFonts w:ascii="宋体" w:hAnsi="宋体" w:cs="宋体" w:eastAsia="宋体" w:hint="default"/>
          <w:sz w:val="30"/>
          <w:szCs w:val="30"/>
        </w:rPr>
      </w:r>
    </w:p>
    <w:p>
      <w:pPr>
        <w:spacing w:line="240" w:lineRule="auto" w:before="5"/>
        <w:rPr>
          <w:rFonts w:ascii="宋体" w:hAnsi="宋体" w:cs="宋体" w:eastAsia="宋体" w:hint="default"/>
          <w:b/>
          <w:bCs/>
          <w:sz w:val="20"/>
          <w:szCs w:val="20"/>
        </w:rPr>
      </w:pPr>
    </w:p>
    <w:p>
      <w:pPr>
        <w:spacing w:line="446" w:lineRule="auto" w:before="26"/>
        <w:ind w:left="634"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、行业政策变化风险。</w:t>
      </w:r>
      <w:r>
        <w:rPr>
          <w:rFonts w:ascii="宋体" w:hAnsi="宋体" w:cs="宋体" w:eastAsia="宋体" w:hint="default"/>
          <w:b/>
          <w:bCs/>
          <w:w w:val="99"/>
          <w:sz w:val="24"/>
          <w:szCs w:val="24"/>
        </w:rPr>
        <w:t> </w:t>
      </w:r>
      <w:r>
        <w:rPr>
          <w:rFonts w:ascii="宋体" w:hAnsi="宋体" w:cs="宋体" w:eastAsia="宋体" w:hint="default"/>
          <w:sz w:val="24"/>
          <w:szCs w:val="24"/>
        </w:rPr>
        <w:t>伴随着世界轨道交通行业的繁荣和中国城镇化进程的推进，我国轨道交通网络的建设与</w:t>
      </w:r>
    </w:p>
    <w:p>
      <w:pPr>
        <w:pStyle w:val="BodyText"/>
        <w:spacing w:line="253" w:lineRule="exact" w:before="0"/>
        <w:ind w:right="0"/>
        <w:jc w:val="both"/>
      </w:pPr>
      <w:r>
        <w:rPr/>
        <w:t>运营得到了进一步发展，近年来，在国家宏观经济背景下，国家针对基建投资的力度持续加</w:t>
      </w:r>
    </w:p>
    <w:p>
      <w:pPr>
        <w:pStyle w:val="BodyText"/>
        <w:spacing w:line="350" w:lineRule="auto" w:before="145"/>
        <w:ind w:right="0"/>
        <w:jc w:val="left"/>
      </w:pPr>
      <w:r>
        <w:rPr/>
        <w:t>大，从行业政策方向看，国家铁路尤其是高速铁路建设，及城市轨道交通体系的总体发展目 标相对明确，有较好的发展前景。但是，随着国家宏观经济发展进入新常态，各项改革措施 </w:t>
      </w:r>
      <w:r>
        <w:rPr>
          <w:spacing w:val="-3"/>
        </w:rPr>
        <w:t>的逐步深入推进，也会给各个地方的城市轨道交通项目的建设规划、运营管理、监督及创新，</w:t>
      </w:r>
      <w:r>
        <w:rPr>
          <w:spacing w:val="-81"/>
        </w:rPr>
        <w:t> </w:t>
      </w:r>
      <w:r>
        <w:rPr>
          <w:spacing w:val="-81"/>
        </w:rPr>
      </w:r>
      <w:r>
        <w:rPr/>
        <w:t>推出新的政策机制和管理办法。由于公司产品目前主要集中于轨道交通行业，铁路和城市轨 道交通市场，因此公司业务经营也会受国家宏观经济政策及轨道交通产业政策、投资强度的 影响较大；如果相关政策发生较大变化，可能给公司生产经营带来一定风险。应对措施：公</w:t>
      </w:r>
      <w:r>
        <w:rPr>
          <w:spacing w:val="-113"/>
        </w:rPr>
        <w:t> </w:t>
      </w:r>
      <w:r>
        <w:rPr>
          <w:spacing w:val="-113"/>
        </w:rPr>
      </w:r>
      <w:r>
        <w:rPr/>
        <w:t>司及时收集行业相关信息，掌握和了解轨道交通行业的政策变化，分析研究政策变化对公司 </w:t>
      </w:r>
      <w:r>
        <w:rPr>
          <w:spacing w:val="-3"/>
        </w:rPr>
        <w:t>产生的影响，积极应对，提早防范；结合行业发展趋势，及时调整公司战略规划和产业布局，</w:t>
      </w:r>
      <w:r>
        <w:rPr>
          <w:spacing w:val="-81"/>
        </w:rPr>
        <w:t> </w:t>
      </w:r>
      <w:r>
        <w:rPr>
          <w:spacing w:val="-81"/>
        </w:rPr>
      </w:r>
      <w:r>
        <w:rPr/>
        <w:t>优化业务线条，创新商业模式，针对存量市场推动产品智能化升级，创造多极利润增长。</w:t>
      </w:r>
    </w:p>
    <w:p>
      <w:pPr>
        <w:spacing w:line="446" w:lineRule="auto" w:before="191"/>
        <w:ind w:left="634"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、行业竞争加剧可能导致利润空间变小风险。</w:t>
      </w:r>
      <w:r>
        <w:rPr>
          <w:rFonts w:ascii="宋体" w:hAnsi="宋体" w:cs="宋体" w:eastAsia="宋体" w:hint="default"/>
          <w:b/>
          <w:bCs/>
          <w:w w:val="99"/>
          <w:sz w:val="24"/>
          <w:szCs w:val="24"/>
        </w:rPr>
        <w:t> </w:t>
      </w:r>
      <w:r>
        <w:rPr>
          <w:rFonts w:ascii="宋体" w:hAnsi="宋体" w:cs="宋体" w:eastAsia="宋体" w:hint="default"/>
          <w:sz w:val="24"/>
          <w:szCs w:val="24"/>
        </w:rPr>
        <w:t>为贯彻落实简政放权改革精神，国家铁路局发布了《国家铁路局关于废止部分规范性文</w:t>
      </w:r>
    </w:p>
    <w:p>
      <w:pPr>
        <w:pStyle w:val="BodyText"/>
        <w:spacing w:line="253" w:lineRule="exact" w:before="0"/>
        <w:ind w:right="0"/>
        <w:jc w:val="both"/>
      </w:pPr>
      <w:r>
        <w:rPr/>
        <w:t>件的通知</w:t>
      </w:r>
      <w:r>
        <w:rPr>
          <w:spacing w:val="-120"/>
        </w:rPr>
        <w:t>》</w:t>
      </w:r>
      <w:r>
        <w:rPr>
          <w:spacing w:val="-101"/>
        </w:rPr>
        <w:t>，</w:t>
      </w:r>
      <w:r>
        <w:rPr/>
        <w:t>取消了铁路专用设备产品准入等行政化审批事项</w:t>
      </w:r>
      <w:r>
        <w:rPr>
          <w:spacing w:val="-101"/>
        </w:rPr>
        <w:t>。</w:t>
      </w:r>
      <w:r>
        <w:rPr/>
        <w:t>公司所在行业的门槛随之降低，</w:t>
      </w:r>
    </w:p>
    <w:p>
      <w:pPr>
        <w:pStyle w:val="BodyText"/>
        <w:spacing w:line="348" w:lineRule="auto" w:before="145"/>
        <w:ind w:right="1131"/>
        <w:jc w:val="both"/>
      </w:pPr>
      <w:r>
        <w:rPr/>
        <w:t>未来的市场竞争程度将进一步加剧，存在其他合格供应商进入该行业领域可能性。随着城市</w:t>
      </w:r>
      <w:r>
        <w:rPr>
          <w:spacing w:val="-115"/>
        </w:rPr>
        <w:t> </w:t>
      </w:r>
      <w:r>
        <w:rPr>
          <w:spacing w:val="-115"/>
        </w:rPr>
      </w:r>
      <w:r>
        <w:rPr/>
        <w:t>轨道交通工程建设模式的成熟，及相应技术标准体系的逐步成熟，城轨产品市场不断增加新 </w:t>
      </w:r>
      <w:r>
        <w:rPr>
          <w:spacing w:val="-1"/>
        </w:rPr>
        <w:t>的竞争对手</w:t>
      </w:r>
      <w:r>
        <w:rPr>
          <w:rFonts w:ascii="Times New Roman" w:hAnsi="Times New Roman" w:cs="Times New Roman" w:eastAsia="Times New Roman" w:hint="default"/>
          <w:spacing w:val="-1"/>
        </w:rPr>
        <w:t>,</w:t>
      </w:r>
      <w:r>
        <w:rPr>
          <w:spacing w:val="-1"/>
        </w:rPr>
        <w:t>同时伴随原材料及人工价格的走高，必将面临毛利率降低的风险。应对措施：加</w:t>
      </w:r>
      <w:r>
        <w:rPr>
          <w:spacing w:val="-103"/>
        </w:rPr>
        <w:t> </w:t>
      </w:r>
      <w:r>
        <w:rPr>
          <w:spacing w:val="-103"/>
        </w:rPr>
      </w:r>
      <w:r>
        <w:rPr/>
        <w:t>大研发投入，争取在新产品、新技术上的突破，打造以技术和质量为核心的产品竞争力，避 免恶性价格竞争；积极推进新领域新产品的布局，对公司总体毛利水平产生正向积极作用。</w:t>
      </w:r>
    </w:p>
    <w:p>
      <w:pPr>
        <w:spacing w:line="444" w:lineRule="auto" w:before="193"/>
        <w:ind w:left="634"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、新领域拓展、业务整合带来的管理风险。</w:t>
      </w:r>
      <w:r>
        <w:rPr>
          <w:rFonts w:ascii="宋体" w:hAnsi="宋体" w:cs="宋体" w:eastAsia="宋体" w:hint="default"/>
          <w:b/>
          <w:bCs/>
          <w:w w:val="99"/>
          <w:sz w:val="24"/>
          <w:szCs w:val="24"/>
        </w:rPr>
        <w:t> </w:t>
      </w:r>
      <w:r>
        <w:rPr>
          <w:rFonts w:ascii="宋体" w:hAnsi="宋体" w:cs="宋体" w:eastAsia="宋体" w:hint="default"/>
          <w:sz w:val="24"/>
          <w:szCs w:val="24"/>
        </w:rPr>
        <w:t>公司根据自身业务和未来战略需要，在业务方向上突破轨道交通行业通信信号领域，稳</w:t>
      </w:r>
    </w:p>
    <w:p>
      <w:pPr>
        <w:pStyle w:val="BodyText"/>
        <w:spacing w:line="257" w:lineRule="exact" w:before="0"/>
        <w:ind w:right="0"/>
        <w:jc w:val="both"/>
      </w:pPr>
      <w:r>
        <w:rPr/>
        <w:t>步推进在高铁和城市轨道交通后市场方面的投入布局；随着这些新领域的拓展，业务及产品</w:t>
      </w:r>
    </w:p>
    <w:p>
      <w:pPr>
        <w:pStyle w:val="BodyText"/>
        <w:spacing w:line="352" w:lineRule="auto" w:before="145"/>
        <w:ind w:right="1139"/>
        <w:jc w:val="both"/>
      </w:pPr>
      <w:r>
        <w:rPr/>
        <w:t>线的延展，公司已经发展为拥有多家控参股子公司的构架体系，公司在执行战略规划、人力 资源管理、项目管理、财务管理及内部控制等方面将面临更大的挑战。如何提高整体运营效 能，发挥协同优势并保持可持续发展和增长是面临的新挑战。应对措施：持续优化多业务板 块的内部运营机制和监督机制，保证公司整体运营健康、安全；加大对各业务板块的经营目</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0"/>
        <w:jc w:val="left"/>
      </w:pPr>
      <w:r>
        <w:rPr/>
        <w:t>标考核管理，不断从战略发展、市场协同、人才激励等各个方面完善相关内控制度与流程， 构建各业务板块稳定的人才队伍，使得新拓展的市场尽早尽快形成规模效应。</w:t>
      </w:r>
    </w:p>
    <w:p>
      <w:pPr>
        <w:pStyle w:val="BodyText"/>
        <w:spacing w:line="331" w:lineRule="auto"/>
        <w:ind w:right="1092" w:firstLine="480"/>
        <w:jc w:val="left"/>
      </w:pPr>
      <w:r>
        <w:rPr/>
        <w:t>公司经本次董事会审议通过的利润分配预案为：</w:t>
      </w:r>
      <w:r>
        <w:rPr>
          <w:rFonts w:ascii="Times New Roman" w:hAnsi="Times New Roman" w:cs="Times New Roman" w:eastAsia="Times New Roman" w:hint="default"/>
        </w:rPr>
        <w:t>2018 </w:t>
      </w:r>
      <w:r>
        <w:rPr/>
        <w:t>年度不派发现金红利，不送红股， 不以公积金转增股本。</w:t>
      </w:r>
    </w:p>
    <w:p>
      <w:pPr>
        <w:spacing w:after="0" w:line="33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1"/>
        <w:ind w:left="134" w:right="1110"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7"/>
        <w:rPr>
          <w:rFonts w:ascii="宋体" w:hAnsi="宋体" w:cs="宋体" w:eastAsia="宋体" w:hint="default"/>
          <w:b/>
          <w:bCs/>
          <w:sz w:val="30"/>
          <w:szCs w:val="30"/>
        </w:rPr>
      </w:pPr>
    </w:p>
    <w:sdt>
      <w:sdtPr>
        <w:docPartObj>
          <w:docPartGallery w:val="Table of Contents"/>
          <w:docPartUnique/>
        </w:docPartObj>
      </w:sdtPr>
      <w:sdtEndPr/>
      <w:sdtContent>
        <w:p>
          <w:pPr>
            <w:pStyle w:val="TOC1"/>
            <w:tabs>
              <w:tab w:pos="9780"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0" w:val="right" w:leader="dot"/>
            </w:tabs>
            <w:spacing w:line="240" w:lineRule="auto" w:before="298"/>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7</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11</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20</w:t>
            </w:r>
            <w:r>
              <w:rPr>
                <w:rFonts w:ascii="宋体" w:hAnsi="宋体" w:cs="宋体" w:eastAsia="宋体" w:hint="default"/>
                <w:b w:val="0"/>
                <w:bCs w:val="0"/>
              </w:rPr>
            </w:r>
          </w:hyperlink>
        </w:p>
        <w:p>
          <w:pPr>
            <w:pStyle w:val="TOC1"/>
            <w:tabs>
              <w:tab w:pos="9783" w:val="right" w:leader="dot"/>
            </w:tabs>
            <w:spacing w:line="240" w:lineRule="auto" w:before="298"/>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39</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49</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54</w:t>
            </w:r>
            <w:r>
              <w:rPr>
                <w:rFonts w:ascii="宋体" w:hAnsi="宋体" w:cs="宋体" w:eastAsia="宋体" w:hint="default"/>
                <w:b w:val="0"/>
                <w:bCs w:val="0"/>
              </w:rPr>
            </w:r>
          </w:hyperlink>
        </w:p>
        <w:p>
          <w:pPr>
            <w:pStyle w:val="TOC1"/>
            <w:tabs>
              <w:tab w:pos="9783" w:val="right" w:leader="dot"/>
            </w:tabs>
            <w:spacing w:line="240" w:lineRule="auto" w:before="298"/>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55</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8">
            <w:r>
              <w:rPr/>
              <w:t>第九节</w:t>
            </w:r>
            <w:r>
              <w:rPr>
                <w:spacing w:val="1"/>
              </w:rPr>
              <w:t> </w:t>
            </w:r>
            <w:r>
              <w:rPr/>
              <w:t>公司治理</w:t>
            </w:r>
            <w:r>
              <w:rPr>
                <w:rFonts w:ascii="宋体" w:hAnsi="宋体" w:cs="宋体" w:eastAsia="宋体" w:hint="default"/>
              </w:rPr>
              <w:tab/>
              <w:t>61</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公司债券相关情况</w:t>
            </w:r>
            <w:r>
              <w:rPr>
                <w:rFonts w:ascii="宋体" w:hAnsi="宋体" w:cs="宋体" w:eastAsia="宋体" w:hint="default"/>
              </w:rPr>
              <w:tab/>
              <w:t>67</w:t>
            </w:r>
            <w:r>
              <w:rPr>
                <w:rFonts w:ascii="宋体" w:hAnsi="宋体" w:cs="宋体" w:eastAsia="宋体" w:hint="default"/>
                <w:b w:val="0"/>
                <w:bCs w:val="0"/>
              </w:rPr>
            </w:r>
          </w:hyperlink>
        </w:p>
        <w:p>
          <w:pPr>
            <w:pStyle w:val="TOC1"/>
            <w:tabs>
              <w:tab w:pos="9783" w:val="right" w:leader="dot"/>
            </w:tabs>
            <w:spacing w:line="240" w:lineRule="auto" w:before="298"/>
            <w:ind w:right="0"/>
            <w:jc w:val="left"/>
            <w:rPr>
              <w:rFonts w:ascii="宋体" w:hAnsi="宋体" w:cs="宋体" w:eastAsia="宋体" w:hint="default"/>
              <w:b w:val="0"/>
              <w:bCs w:val="0"/>
            </w:rPr>
          </w:pPr>
          <w:hyperlink w:history="true" w:anchor="_bookmark10">
            <w:r>
              <w:rPr/>
              <w:t>第十一节</w:t>
            </w:r>
            <w:r>
              <w:rPr>
                <w:spacing w:val="2"/>
              </w:rPr>
              <w:t> </w:t>
            </w:r>
            <w:r>
              <w:rPr/>
              <w:t>财务报告</w:t>
            </w:r>
            <w:r>
              <w:rPr>
                <w:rFonts w:ascii="宋体" w:hAnsi="宋体" w:cs="宋体" w:eastAsia="宋体" w:hint="default"/>
              </w:rPr>
              <w:tab/>
              <w:t>73</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1">
            <w:r>
              <w:rPr/>
              <w:t>第十二节</w:t>
            </w:r>
            <w:r>
              <w:rPr>
                <w:spacing w:val="2"/>
              </w:rPr>
              <w:t> </w:t>
            </w:r>
            <w:r>
              <w:rPr/>
              <w:t>备查文件目录</w:t>
            </w:r>
            <w:r>
              <w:rPr>
                <w:rFonts w:ascii="宋体" w:hAnsi="宋体" w:cs="宋体" w:eastAsia="宋体" w:hint="default"/>
              </w:rPr>
              <w:tab/>
              <w:t>182</w:t>
            </w:r>
            <w:r>
              <w:rPr>
                <w:rFonts w:ascii="宋体" w:hAnsi="宋体" w:cs="宋体" w:eastAsia="宋体" w:hint="default"/>
                <w:b w:val="0"/>
                <w:bCs w:val="0"/>
              </w:rPr>
            </w:r>
          </w:hyperlink>
        </w:p>
        <w:p>
          <w:pPr/>
          <w:r>
            <w:fldChar w:fldCharType="end"/>
          </w:r>
        </w:p>
      </w:sdtContent>
    </w:sdt>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before="248"/>
        <w:ind w:left="134" w:right="111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年度报告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公司、辉煌科技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辉煌软件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河南辉煌软件有限公司，公司全资子公司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北京全路信通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北京全路信通软件科技有限公司，公司全资子公司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国铁路阳</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北京国铁路阳技术有限公司，公司全资子公司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辉煌城轨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河南辉煌城轨科技有限公司，公司全资子公司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辉煌信通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河南辉煌信通软件有限公司，公司全资子公司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飞天联合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飞天联合（北京）系统技术有限公司，公司参股子公司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赛弗科技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北京赛弗网络科技有限责任公司，公司参股子公司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七彩通达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北京七彩通达传媒股份有限公司，公司参股子公司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北京智慧图科技有限责任公司，公司参股子公司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丰图辉煌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深圳丰图辉煌基金管理中心（有限合伙</w:t>
            </w:r>
            <w:r>
              <w:rPr>
                <w:rFonts w:ascii="宋体" w:hAnsi="宋体" w:cs="宋体" w:eastAsia="宋体" w:hint="default"/>
                <w:spacing w:val="-90"/>
                <w:sz w:val="18"/>
                <w:szCs w:val="18"/>
              </w:rPr>
              <w:t>）</w:t>
            </w:r>
            <w:r>
              <w:rPr>
                <w:rFonts w:ascii="宋体" w:hAnsi="宋体" w:cs="宋体" w:eastAsia="宋体" w:hint="default"/>
                <w:sz w:val="18"/>
                <w:szCs w:val="18"/>
              </w:rPr>
              <w:t>，公司合伙企业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西南交大驱动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成都西南交大驱动技术有限责任公司，公司控股子公司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股东大会</w:t>
            </w:r>
            <w:r>
              <w:rPr>
                <w:rFonts w:ascii="Times New Roman" w:hAnsi="Times New Roman" w:cs="Times New Roman" w:eastAsia="Times New Roman" w:hint="default"/>
                <w:sz w:val="18"/>
                <w:szCs w:val="18"/>
              </w:rPr>
              <w:t>/</w:t>
            </w:r>
            <w:r>
              <w:rPr>
                <w:rFonts w:ascii="宋体" w:hAnsi="宋体" w:cs="宋体" w:eastAsia="宋体" w:hint="default"/>
                <w:sz w:val="18"/>
                <w:szCs w:val="18"/>
              </w:rPr>
              <w:t>股东会、董事会、监事会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河南辉煌科技股份有限公司股东大会、董事会、监事会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《河南辉煌科技股份有限公司公司章程》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铁路总公司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中国铁路总公司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中小板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深圳证券交易所中小企业板</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CRCC</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铁路产品认证管理委员会暨中铁铁路产品认证中心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城市轨道交通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92.800003pt;margin-top:272.779968pt;width:341.05pt;height:19.6pt;mso-position-horizontal-relative:page;mso-position-vertical-relative:page;z-index:-892000" coordorigin="3856,5456" coordsize="6821,392">
            <v:shape style="position:absolute;left:3856;top:5456;width:6821;height:392" coordorigin="3856,5456" coordsize="6821,392" path="m3856,5847l10676,5847,10676,5456,3856,5456,3856,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72"/>
        <w:gridCol w:w="2566"/>
        <w:gridCol w:w="2133"/>
        <w:gridCol w:w="2188"/>
      </w:tblGrid>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566"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辉煌科技</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left="27" w:right="0"/>
              <w:jc w:val="left"/>
              <w:rPr>
                <w:rFonts w:ascii="Times New Roman" w:hAnsi="Times New Roman" w:cs="Times New Roman" w:eastAsia="Times New Roman" w:hint="default"/>
                <w:sz w:val="21"/>
                <w:szCs w:val="21"/>
              </w:rPr>
            </w:pPr>
            <w:r>
              <w:rPr>
                <w:rFonts w:ascii="Times New Roman"/>
                <w:sz w:val="21"/>
              </w:rPr>
              <w:t>002296</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68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88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88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辉煌科技</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688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HeNan Splendor Science &amp; Technology Co.,</w:t>
            </w:r>
            <w:r>
              <w:rPr>
                <w:rFonts w:ascii="Times New Roman"/>
                <w:spacing w:val="-25"/>
                <w:sz w:val="21"/>
              </w:rPr>
              <w:t> </w:t>
            </w:r>
            <w:r>
              <w:rPr>
                <w:rFonts w:ascii="Times New Roman"/>
                <w:sz w:val="21"/>
              </w:rPr>
              <w:t>Ltd.</w:t>
            </w:r>
          </w:p>
        </w:tc>
      </w:tr>
      <w:tr>
        <w:trPr>
          <w:trHeight w:val="402" w:hRule="exact"/>
        </w:trPr>
        <w:tc>
          <w:tcPr>
            <w:tcW w:w="2672"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27"/>
              <w:ind w:left="11" w:right="-51"/>
              <w:jc w:val="left"/>
              <w:rPr>
                <w:rFonts w:ascii="宋体" w:hAnsi="宋体" w:cs="宋体" w:eastAsia="宋体" w:hint="default"/>
                <w:sz w:val="21"/>
                <w:szCs w:val="21"/>
              </w:rPr>
            </w:pPr>
            <w:r>
              <w:rPr>
                <w:rFonts w:ascii="宋体" w:hAnsi="宋体" w:cs="宋体" w:eastAsia="宋体" w:hint="default"/>
                <w:spacing w:val="-3"/>
                <w:sz w:val="21"/>
                <w:szCs w:val="21"/>
              </w:rPr>
              <w:t>公司的外文名称缩写（如有）</w:t>
            </w:r>
            <w:r>
              <w:rPr>
                <w:rFonts w:ascii="宋体" w:hAnsi="宋体" w:cs="宋体" w:eastAsia="宋体" w:hint="default"/>
                <w:sz w:val="21"/>
                <w:szCs w:val="21"/>
              </w:rPr>
            </w:r>
          </w:p>
        </w:tc>
        <w:tc>
          <w:tcPr>
            <w:tcW w:w="6887" w:type="dxa"/>
            <w:gridSpan w:val="3"/>
            <w:tcBorders>
              <w:top w:val="single" w:sz="4" w:space="0" w:color="000000"/>
              <w:left w:val="single" w:sz="22" w:space="0" w:color="FFFFFF"/>
              <w:bottom w:val="single" w:sz="4" w:space="0" w:color="000000"/>
              <w:right w:val="single" w:sz="4" w:space="0" w:color="000000"/>
            </w:tcBorders>
          </w:tcPr>
          <w:p>
            <w:pPr>
              <w:pStyle w:val="TableParagraph"/>
              <w:spacing w:line="240" w:lineRule="auto" w:before="76"/>
              <w:ind w:left="11" w:right="0"/>
              <w:jc w:val="left"/>
              <w:rPr>
                <w:rFonts w:ascii="Times New Roman" w:hAnsi="Times New Roman" w:cs="Times New Roman" w:eastAsia="Times New Roman" w:hint="default"/>
                <w:sz w:val="21"/>
                <w:szCs w:val="21"/>
              </w:rPr>
            </w:pPr>
            <w:r>
              <w:rPr>
                <w:rFonts w:ascii="Times New Roman"/>
                <w:sz w:val="21"/>
              </w:rPr>
              <w:t>HHKJ</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88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李海鹰</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88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88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450001</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88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88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450001</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688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hyperlink r:id="rId9">
              <w:r>
                <w:rPr>
                  <w:rFonts w:ascii="Times New Roman"/>
                  <w:sz w:val="21"/>
                </w:rPr>
                <w:t>http://www.hhkj.cn</w:t>
              </w:r>
            </w:hyperlink>
          </w:p>
        </w:tc>
      </w:tr>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88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hyperlink r:id="rId10">
              <w:r>
                <w:rPr>
                  <w:rFonts w:ascii="Times New Roman"/>
                  <w:sz w:val="21"/>
                </w:rPr>
                <w:t>zqb@hhkj.cn</w:t>
              </w:r>
            </w:hyperlink>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253"/>
        <w:gridCol w:w="3981"/>
        <w:gridCol w:w="4324"/>
      </w:tblGrid>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4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9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杜旭升</w:t>
            </w: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郭志敏</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9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9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0371-67371035</w:t>
            </w: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0371-67371035</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9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0371-67388201</w:t>
            </w: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0371-67388201</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9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11">
              <w:r>
                <w:rPr>
                  <w:rFonts w:ascii="Times New Roman"/>
                  <w:sz w:val="21"/>
                </w:rPr>
                <w:t>duxusheng@hhkj.cn</w:t>
              </w:r>
            </w:hyperlink>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hyperlink r:id="rId12">
              <w:r>
                <w:rPr>
                  <w:rFonts w:ascii="Times New Roman"/>
                  <w:sz w:val="21"/>
                </w:rPr>
                <w:t>guozhimin@hhkj.cn</w:t>
              </w:r>
            </w:hyperlink>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246"/>
        <w:gridCol w:w="4323"/>
      </w:tblGrid>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hyperlink r:id="rId13">
              <w:r>
                <w:rPr>
                  <w:rFonts w:ascii="Times New Roman"/>
                  <w:sz w:val="21"/>
                </w:rPr>
                <w:t>http://www.cninfo.com.cn</w:t>
              </w:r>
            </w:hyperlink>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证券事务办公室</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246"/>
        <w:gridCol w:w="4323"/>
      </w:tblGrid>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914101007324826746</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公司上市以来主营业务的变化情况（如有）</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无变更</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历次控股股东的变更情况（如有）</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无变更</w:t>
            </w:r>
          </w:p>
        </w:tc>
      </w:tr>
    </w:tbl>
    <w:p>
      <w:pPr>
        <w:spacing w:line="240" w:lineRule="auto" w:before="2"/>
        <w:rPr>
          <w:rFonts w:ascii="宋体" w:hAnsi="宋体" w:cs="宋体" w:eastAsia="宋体" w:hint="default"/>
          <w:b/>
          <w:bCs/>
          <w:sz w:val="18"/>
          <w:szCs w:val="18"/>
        </w:rPr>
      </w:pPr>
    </w:p>
    <w:p>
      <w:pPr>
        <w:spacing w:line="468" w:lineRule="auto" w:before="26"/>
        <w:ind w:left="154" w:right="8112" w:firstLine="0"/>
        <w:jc w:val="left"/>
        <w:rPr>
          <w:rFonts w:ascii="宋体" w:hAnsi="宋体" w:cs="宋体" w:eastAsia="宋体" w:hint="default"/>
          <w:sz w:val="24"/>
          <w:szCs w:val="24"/>
        </w:rPr>
      </w:pPr>
      <w:r>
        <w:rPr/>
        <w:pict>
          <v:shape style="position:absolute;margin-left:56.459999pt;margin-top:51.435654pt;width:479.2pt;height:60.8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2"/>
                    <w:gridCol w:w="6166"/>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北京海淀区西四环中路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层</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吕勇军</w:t>
                        </w:r>
                        <w:r>
                          <w:rPr>
                            <w:rFonts w:ascii="宋体" w:hAnsi="宋体" w:cs="宋体" w:eastAsia="宋体" w:hint="default"/>
                            <w:spacing w:val="-1"/>
                            <w:sz w:val="21"/>
                            <w:szCs w:val="21"/>
                          </w:rPr>
                          <w:t> </w:t>
                        </w:r>
                        <w:r>
                          <w:rPr>
                            <w:rFonts w:ascii="宋体" w:hAnsi="宋体" w:cs="宋体" w:eastAsia="宋体" w:hint="default"/>
                            <w:sz w:val="21"/>
                            <w:szCs w:val="21"/>
                          </w:rPr>
                          <w:t>胡丽娟</w:t>
                        </w:r>
                      </w:p>
                    </w:tc>
                  </w:tr>
                </w:tbl>
                <w:p>
                  <w:pPr/>
                </w:p>
              </w:txbxContent>
            </v:textbox>
            <w10:wrap type="none"/>
          </v:shape>
        </w:pict>
      </w:r>
      <w:bookmarkStart w:name="五、其他有关资料" w:id="9"/>
      <w:bookmarkEnd w:id="9"/>
      <w:r>
        <w:rPr/>
      </w:r>
      <w:r>
        <w:rPr>
          <w:rFonts w:ascii="宋体" w:hAnsi="宋体" w:cs="宋体" w:eastAsia="宋体" w:hint="default"/>
          <w:b/>
          <w:bCs/>
          <w:sz w:val="24"/>
          <w:szCs w:val="24"/>
        </w:rPr>
        <w:t>五、其他有关资料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26"/>
        <w:ind w:right="0"/>
        <w:jc w:val="left"/>
      </w:pPr>
      <w:r>
        <w:rPr/>
        <w:t>公司聘请的报告期内履行持续督导职责的保荐机构</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571"/>
        <w:gridCol w:w="1559"/>
        <w:gridCol w:w="3047"/>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60" w:right="0"/>
              <w:jc w:val="left"/>
              <w:rPr>
                <w:rFonts w:ascii="宋体" w:hAnsi="宋体" w:cs="宋体" w:eastAsia="宋体" w:hint="default"/>
                <w:sz w:val="21"/>
                <w:szCs w:val="21"/>
              </w:rPr>
            </w:pPr>
            <w:r>
              <w:rPr>
                <w:rFonts w:ascii="宋体" w:hAnsi="宋体" w:cs="宋体" w:eastAsia="宋体" w:hint="default"/>
                <w:sz w:val="21"/>
                <w:szCs w:val="21"/>
              </w:rPr>
              <w:t>保荐机构名称</w:t>
            </w:r>
          </w:p>
        </w:tc>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保荐机构办公地址</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8" w:right="0"/>
              <w:jc w:val="left"/>
              <w:rPr>
                <w:rFonts w:ascii="宋体" w:hAnsi="宋体" w:cs="宋体" w:eastAsia="宋体" w:hint="default"/>
                <w:sz w:val="21"/>
                <w:szCs w:val="21"/>
              </w:rPr>
            </w:pPr>
            <w:r>
              <w:rPr>
                <w:rFonts w:ascii="宋体" w:hAnsi="宋体" w:cs="宋体" w:eastAsia="宋体" w:hint="default"/>
                <w:sz w:val="21"/>
                <w:szCs w:val="21"/>
              </w:rPr>
              <w:t>保荐代表人姓名</w:t>
            </w:r>
          </w:p>
        </w:tc>
        <w:tc>
          <w:tcPr>
            <w:tcW w:w="3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88"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47"/>
              <w:jc w:val="left"/>
              <w:rPr>
                <w:rFonts w:ascii="宋体" w:hAnsi="宋体" w:cs="宋体" w:eastAsia="宋体" w:hint="default"/>
                <w:sz w:val="21"/>
                <w:szCs w:val="21"/>
              </w:rPr>
            </w:pPr>
            <w:r>
              <w:rPr>
                <w:rFonts w:ascii="宋体" w:hAnsi="宋体" w:cs="宋体" w:eastAsia="宋体" w:hint="default"/>
                <w:sz w:val="21"/>
                <w:szCs w:val="21"/>
              </w:rPr>
              <w:t>申万宏源证券承销保荐有 限责任公司</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1" w:right="0"/>
              <w:jc w:val="center"/>
              <w:rPr>
                <w:rFonts w:ascii="宋体" w:hAnsi="宋体" w:cs="宋体" w:eastAsia="宋体" w:hint="default"/>
                <w:sz w:val="21"/>
                <w:szCs w:val="21"/>
              </w:rPr>
            </w:pPr>
            <w:r>
              <w:rPr>
                <w:rFonts w:ascii="宋体" w:hAnsi="宋体" w:cs="宋体" w:eastAsia="宋体" w:hint="default"/>
                <w:sz w:val="21"/>
                <w:szCs w:val="21"/>
              </w:rPr>
              <w:t>上海市徐汇区常熟路</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纪平、叶强</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2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年度非 公开发行募集资金使用完毕。</w:t>
            </w:r>
          </w:p>
        </w:tc>
      </w:tr>
    </w:tbl>
    <w:p>
      <w:pPr>
        <w:spacing w:line="240" w:lineRule="auto" w:before="6"/>
        <w:rPr>
          <w:rFonts w:ascii="宋体" w:hAnsi="宋体" w:cs="宋体" w:eastAsia="宋体" w:hint="default"/>
          <w:sz w:val="13"/>
          <w:szCs w:val="13"/>
        </w:rPr>
      </w:pPr>
    </w:p>
    <w:p>
      <w:pPr>
        <w:pStyle w:val="BodyText"/>
        <w:spacing w:line="240" w:lineRule="auto" w:before="26"/>
        <w:ind w:right="0"/>
        <w:jc w:val="left"/>
      </w:pPr>
      <w:r>
        <w:rPr/>
        <w:t>公司聘请的报告期内履行持续督导职责的财务顾问</w:t>
      </w:r>
    </w:p>
    <w:p>
      <w:pPr>
        <w:spacing w:line="463" w:lineRule="auto" w:before="164"/>
        <w:ind w:left="154" w:right="595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六、主要会计数据和财务指标" w:id="10"/>
      <w:bookmarkEnd w:id="10"/>
      <w:r>
        <w:rPr>
          <w:rFonts w:ascii="宋体" w:hAnsi="宋体" w:cs="宋体" w:eastAsia="宋体" w:hint="default"/>
          <w:sz w:val="24"/>
          <w:szCs w:val="24"/>
        </w:rPr>
      </w:r>
      <w:r>
        <w:rPr>
          <w:rFonts w:ascii="宋体" w:hAnsi="宋体" w:cs="宋体" w:eastAsia="宋体" w:hint="default"/>
          <w:b/>
          <w:bCs/>
          <w:sz w:val="24"/>
          <w:szCs w:val="24"/>
        </w:rPr>
        <w:t>六、主要会计数据和财务指标</w:t>
      </w:r>
      <w:r>
        <w:rPr>
          <w:rFonts w:ascii="宋体" w:hAnsi="宋体" w:cs="宋体" w:eastAsia="宋体" w:hint="default"/>
          <w:b/>
          <w:bCs/>
          <w:w w:val="99"/>
          <w:sz w:val="24"/>
          <w:szCs w:val="24"/>
        </w:rPr>
        <w:t> </w:t>
      </w:r>
      <w:r>
        <w:rPr>
          <w:rFonts w:ascii="宋体" w:hAnsi="宋体" w:cs="宋体" w:eastAsia="宋体" w:hint="default"/>
          <w:sz w:val="24"/>
          <w:szCs w:val="24"/>
        </w:rPr>
        <w:t>公司是否需追溯调整或重述以前年度会计数据</w:t>
      </w:r>
    </w:p>
    <w:p>
      <w:pPr>
        <w:pStyle w:val="BodyText"/>
        <w:spacing w:line="273" w:lineRule="exact" w:before="0"/>
        <w:ind w:right="0"/>
        <w:jc w:val="left"/>
      </w:pPr>
      <w:r>
        <w:rPr/>
        <w:pict>
          <v:group style="position:absolute;margin-left:191.660004pt;margin-top:99.262512pt;width:82.8pt;height:27.95pt;mso-position-horizontal-relative:page;mso-position-vertical-relative:paragraph;z-index:-891976" coordorigin="3833,1985" coordsize="1656,559">
            <v:group style="position:absolute;left:3845;top:1997;width:2;height:392" coordorigin="3845,1997" coordsize="2,392">
              <v:shape style="position:absolute;left:3845;top:1997;width:2;height:392" coordorigin="3845,1997" coordsize="0,392" path="m3845,1997l3845,2388e" filled="false" stroked="true" strokeweight="1.140pt" strokecolor="#ffffff">
                <v:path arrowok="t"/>
              </v:shape>
            </v:group>
            <v:group style="position:absolute;left:3833;top:2388;width:1656;height:156" coordorigin="3833,2388" coordsize="1656,156">
              <v:shape style="position:absolute;left:3833;top:2388;width:1656;height:156" coordorigin="3833,2388" coordsize="1656,156" path="m3833,2544l5488,2544,5488,2388,3833,2388,3833,2544xe" filled="true" fillcolor="#ffffff" stroked="false">
                <v:path arrowok="t"/>
                <v:fill type="solid"/>
              </v:shape>
            </v:group>
            <v:group style="position:absolute;left:3856;top:1997;width:1610;height:392" coordorigin="3856,1997" coordsize="1610,392">
              <v:shape style="position:absolute;left:3856;top:1997;width:1610;height:392" coordorigin="3856,1997" coordsize="1610,392" path="m3856,2388l5466,2388,5466,1997,3856,1997,3856,2388xe" filled="true" fillcolor="#ffffff" stroked="false">
                <v:path arrowok="t"/>
                <v:fill type="solid"/>
              </v:shape>
            </v:group>
            <w10:wrap type="none"/>
          </v:group>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672"/>
        <w:gridCol w:w="258"/>
        <w:gridCol w:w="1420"/>
        <w:gridCol w:w="1595"/>
        <w:gridCol w:w="1984"/>
        <w:gridCol w:w="1631"/>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52"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67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320" w:right="0"/>
              <w:jc w:val="left"/>
              <w:rPr>
                <w:rFonts w:ascii="Times New Roman" w:hAnsi="Times New Roman" w:cs="Times New Roman" w:eastAsia="Times New Roman" w:hint="default"/>
                <w:sz w:val="21"/>
                <w:szCs w:val="21"/>
              </w:rPr>
            </w:pPr>
            <w:r>
              <w:rPr>
                <w:rFonts w:ascii="Times New Roman"/>
                <w:sz w:val="21"/>
              </w:rPr>
              <w:t>528,708,205.03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546,892,512.85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-3.33%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514,609,100.85</w:t>
            </w:r>
          </w:p>
        </w:tc>
      </w:tr>
      <w:tr>
        <w:trPr>
          <w:trHeight w:val="71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28"/>
              <w:jc w:val="left"/>
              <w:rPr>
                <w:rFonts w:ascii="宋体" w:hAnsi="宋体" w:cs="宋体" w:eastAsia="宋体" w:hint="default"/>
                <w:sz w:val="21"/>
                <w:szCs w:val="21"/>
              </w:rPr>
            </w:pPr>
            <w:r>
              <w:rPr>
                <w:rFonts w:ascii="宋体" w:hAnsi="宋体" w:cs="宋体" w:eastAsia="宋体" w:hint="default"/>
                <w:sz w:val="21"/>
                <w:szCs w:val="21"/>
              </w:rPr>
              <w:t>归属于上市公司股东的净利 润（元）</w:t>
            </w:r>
          </w:p>
        </w:tc>
        <w:tc>
          <w:tcPr>
            <w:tcW w:w="167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24" w:right="0"/>
              <w:jc w:val="left"/>
              <w:rPr>
                <w:rFonts w:ascii="Times New Roman" w:hAnsi="Times New Roman" w:cs="Times New Roman" w:eastAsia="Times New Roman" w:hint="default"/>
                <w:sz w:val="21"/>
                <w:szCs w:val="21"/>
              </w:rPr>
            </w:pPr>
            <w:r>
              <w:rPr>
                <w:rFonts w:ascii="Times New Roman"/>
                <w:sz w:val="21"/>
              </w:rPr>
              <w:t>27,732,998.08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-151,742,824.19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w w:val="95"/>
                <w:sz w:val="21"/>
              </w:rPr>
              <w:t>118.28%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85,070,143.95</w:t>
            </w:r>
          </w:p>
        </w:tc>
      </w:tr>
      <w:tr>
        <w:trPr>
          <w:trHeight w:val="71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28"/>
              <w:jc w:val="left"/>
              <w:rPr>
                <w:rFonts w:ascii="宋体" w:hAnsi="宋体" w:cs="宋体" w:eastAsia="宋体" w:hint="default"/>
                <w:sz w:val="21"/>
                <w:szCs w:val="21"/>
              </w:rPr>
            </w:pPr>
            <w:r>
              <w:rPr>
                <w:rFonts w:ascii="宋体" w:hAnsi="宋体" w:cs="宋体" w:eastAsia="宋体" w:hint="default"/>
                <w:sz w:val="21"/>
                <w:szCs w:val="21"/>
              </w:rPr>
              <w:t>归属于上市公司股东的扣除 非经常性损益的净利润（元</w:t>
            </w:r>
          </w:p>
        </w:tc>
        <w:tc>
          <w:tcPr>
            <w:tcW w:w="25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14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3" w:right="0"/>
              <w:jc w:val="left"/>
              <w:rPr>
                <w:rFonts w:ascii="Times New Roman" w:hAnsi="Times New Roman" w:cs="Times New Roman" w:eastAsia="Times New Roman" w:hint="default"/>
                <w:sz w:val="21"/>
                <w:szCs w:val="21"/>
              </w:rPr>
            </w:pPr>
            <w:r>
              <w:rPr>
                <w:rFonts w:ascii="Times New Roman"/>
                <w:sz w:val="21"/>
              </w:rPr>
              <w:t>12,973,032.98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-150,273,799.41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108.63%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81,784,769.61</w:t>
            </w:r>
          </w:p>
        </w:tc>
      </w:tr>
      <w:tr>
        <w:trPr>
          <w:trHeight w:val="71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28"/>
              <w:jc w:val="left"/>
              <w:rPr>
                <w:rFonts w:ascii="宋体" w:hAnsi="宋体" w:cs="宋体" w:eastAsia="宋体" w:hint="default"/>
                <w:sz w:val="21"/>
                <w:szCs w:val="21"/>
              </w:rPr>
            </w:pPr>
            <w:r>
              <w:rPr>
                <w:rFonts w:ascii="宋体" w:hAnsi="宋体" w:cs="宋体" w:eastAsia="宋体" w:hint="default"/>
                <w:sz w:val="21"/>
                <w:szCs w:val="21"/>
              </w:rPr>
              <w:t>经营活动产生的现金流量净 额（元）</w:t>
            </w:r>
          </w:p>
        </w:tc>
        <w:tc>
          <w:tcPr>
            <w:tcW w:w="167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24" w:right="0"/>
              <w:jc w:val="left"/>
              <w:rPr>
                <w:rFonts w:ascii="Times New Roman" w:hAnsi="Times New Roman" w:cs="Times New Roman" w:eastAsia="Times New Roman" w:hint="default"/>
                <w:sz w:val="21"/>
                <w:szCs w:val="21"/>
              </w:rPr>
            </w:pPr>
            <w:r>
              <w:rPr>
                <w:rFonts w:ascii="Times New Roman"/>
                <w:sz w:val="21"/>
              </w:rPr>
              <w:t>16,501,550.31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59,718,910.31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-72.37%</w:t>
            </w:r>
            <w:r>
              <w:rPr>
                <w:rFonts w:ascii="Times New Roman"/>
                <w:sz w:val="21"/>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136,569,208.18</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7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1055" w:right="0"/>
              <w:jc w:val="left"/>
              <w:rPr>
                <w:rFonts w:ascii="Times New Roman" w:hAnsi="Times New Roman" w:cs="Times New Roman" w:eastAsia="Times New Roman" w:hint="default"/>
                <w:sz w:val="21"/>
                <w:szCs w:val="21"/>
              </w:rPr>
            </w:pPr>
            <w:r>
              <w:rPr>
                <w:rFonts w:ascii="Times New Roman"/>
                <w:sz w:val="21"/>
              </w:rPr>
              <w:t>0.0736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-0.4029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2"/>
                <w:sz w:val="21"/>
              </w:rPr>
              <w:t>118.27%</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0.2259</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7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1055" w:right="0"/>
              <w:jc w:val="left"/>
              <w:rPr>
                <w:rFonts w:ascii="Times New Roman" w:hAnsi="Times New Roman" w:cs="Times New Roman" w:eastAsia="Times New Roman" w:hint="default"/>
                <w:sz w:val="21"/>
                <w:szCs w:val="21"/>
              </w:rPr>
            </w:pPr>
            <w:r>
              <w:rPr>
                <w:rFonts w:ascii="Times New Roman"/>
                <w:sz w:val="21"/>
              </w:rPr>
              <w:t>0.0736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-0.4029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2"/>
                <w:sz w:val="21"/>
              </w:rPr>
              <w:t>118.27%</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0.2259</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67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1089" w:right="0"/>
              <w:jc w:val="left"/>
              <w:rPr>
                <w:rFonts w:ascii="Times New Roman" w:hAnsi="Times New Roman" w:cs="Times New Roman" w:eastAsia="Times New Roman" w:hint="default"/>
                <w:sz w:val="21"/>
                <w:szCs w:val="21"/>
              </w:rPr>
            </w:pPr>
            <w:r>
              <w:rPr>
                <w:rFonts w:ascii="Times New Roman"/>
                <w:sz w:val="21"/>
              </w:rPr>
              <w:t>1.98%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-10.36%</w:t>
            </w:r>
            <w:r>
              <w:rPr>
                <w:rFonts w:ascii="Times New Roman"/>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12.34%</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5.72%</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40"/>
              <w:jc w:val="righ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67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161" w:right="0"/>
              <w:jc w:val="left"/>
              <w:rPr>
                <w:rFonts w:ascii="Times New Roman" w:hAnsi="Times New Roman" w:cs="Times New Roman" w:eastAsia="Times New Roman" w:hint="default"/>
                <w:sz w:val="21"/>
                <w:szCs w:val="21"/>
              </w:rPr>
            </w:pPr>
            <w:r>
              <w:rPr>
                <w:rFonts w:ascii="Times New Roman"/>
                <w:sz w:val="21"/>
              </w:rPr>
              <w:t>2,049,000,147.58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pacing w:val="-1"/>
                <w:sz w:val="21"/>
              </w:rPr>
              <w:t>2,248,890,482.18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-8.89%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2,234,977,805.50</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2694"/>
        <w:gridCol w:w="1666"/>
        <w:gridCol w:w="1595"/>
        <w:gridCol w:w="1984"/>
        <w:gridCol w:w="1631"/>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41"/>
              <w:jc w:val="left"/>
              <w:rPr>
                <w:rFonts w:ascii="宋体" w:hAnsi="宋体" w:cs="宋体" w:eastAsia="宋体" w:hint="default"/>
                <w:sz w:val="21"/>
                <w:szCs w:val="21"/>
              </w:rPr>
            </w:pPr>
            <w:r>
              <w:rPr>
                <w:rFonts w:ascii="宋体" w:hAnsi="宋体" w:cs="宋体" w:eastAsia="宋体" w:hint="default"/>
                <w:sz w:val="21"/>
                <w:szCs w:val="21"/>
              </w:rPr>
              <w:t>归属于上市公司股东的净资 产（元）</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1" w:right="0"/>
              <w:jc w:val="left"/>
              <w:rPr>
                <w:rFonts w:ascii="Times New Roman" w:hAnsi="Times New Roman" w:cs="Times New Roman" w:eastAsia="Times New Roman" w:hint="default"/>
                <w:sz w:val="21"/>
                <w:szCs w:val="21"/>
              </w:rPr>
            </w:pPr>
            <w:r>
              <w:rPr>
                <w:rFonts w:ascii="Times New Roman"/>
                <w:sz w:val="21"/>
              </w:rPr>
              <w:t>1,428,232,545.92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1" w:right="0"/>
              <w:jc w:val="left"/>
              <w:rPr>
                <w:rFonts w:ascii="Times New Roman" w:hAnsi="Times New Roman" w:cs="Times New Roman" w:eastAsia="Times New Roman" w:hint="default"/>
                <w:sz w:val="21"/>
                <w:szCs w:val="21"/>
              </w:rPr>
            </w:pPr>
            <w:r>
              <w:rPr>
                <w:rFonts w:ascii="Times New Roman"/>
                <w:sz w:val="21"/>
              </w:rPr>
              <w:t>1,387,768,462.35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2.92%</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8" w:right="0"/>
              <w:jc w:val="left"/>
              <w:rPr>
                <w:rFonts w:ascii="Times New Roman" w:hAnsi="Times New Roman" w:cs="Times New Roman" w:eastAsia="Times New Roman" w:hint="default"/>
                <w:sz w:val="21"/>
                <w:szCs w:val="21"/>
              </w:rPr>
            </w:pPr>
            <w:r>
              <w:rPr>
                <w:rFonts w:ascii="Times New Roman"/>
                <w:sz w:val="21"/>
              </w:rPr>
              <w:t>1,542,269,197.82</w:t>
            </w:r>
          </w:p>
        </w:tc>
      </w:tr>
    </w:tbl>
    <w:p>
      <w:pPr>
        <w:spacing w:line="240" w:lineRule="auto" w:before="2"/>
        <w:rPr>
          <w:rFonts w:ascii="宋体" w:hAnsi="宋体" w:cs="宋体" w:eastAsia="宋体" w:hint="default"/>
          <w:sz w:val="18"/>
          <w:szCs w:val="18"/>
        </w:rPr>
      </w:pPr>
    </w:p>
    <w:p>
      <w:pPr>
        <w:pStyle w:val="Heading2"/>
        <w:spacing w:line="240" w:lineRule="auto"/>
        <w:ind w:left="174" w:right="1152"/>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2"/>
          <w:szCs w:val="22"/>
        </w:rPr>
      </w:pPr>
    </w:p>
    <w:p>
      <w:pPr>
        <w:pStyle w:val="Heading2"/>
        <w:spacing w:line="240" w:lineRule="auto" w:before="0"/>
        <w:ind w:left="174" w:right="1152"/>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17"/>
          <w:szCs w:val="17"/>
        </w:rPr>
      </w:pPr>
    </w:p>
    <w:p>
      <w:pPr>
        <w:pStyle w:val="BodyText"/>
        <w:spacing w:line="333" w:lineRule="auto" w:before="0"/>
        <w:ind w:left="654"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公司报告期不存在按照国际会计准则与按照中国会计准则披露的财务报告中净利润和净</w:t>
      </w:r>
    </w:p>
    <w:p>
      <w:pPr>
        <w:pStyle w:val="BodyText"/>
        <w:spacing w:line="240" w:lineRule="auto" w:before="52"/>
        <w:ind w:left="174" w:right="1152"/>
        <w:jc w:val="left"/>
      </w:pPr>
      <w:r>
        <w:rPr/>
        <w:t>资产差异情况。</w:t>
      </w:r>
    </w:p>
    <w:p>
      <w:pPr>
        <w:pStyle w:val="Heading2"/>
        <w:spacing w:line="240" w:lineRule="auto" w:before="138"/>
        <w:ind w:left="174" w:right="1152"/>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17"/>
          <w:szCs w:val="17"/>
        </w:rPr>
      </w:pPr>
    </w:p>
    <w:p>
      <w:pPr>
        <w:pStyle w:val="BodyText"/>
        <w:spacing w:line="333" w:lineRule="auto" w:before="0"/>
        <w:ind w:left="654"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公司报告期不存在按照境外会计准则与按照中国会计准则披露的财务报告中净利润和净</w:t>
      </w:r>
    </w:p>
    <w:p>
      <w:pPr>
        <w:spacing w:line="484" w:lineRule="auto" w:before="52"/>
        <w:ind w:left="174" w:right="7630" w:firstLine="0"/>
        <w:jc w:val="left"/>
        <w:rPr>
          <w:rFonts w:ascii="宋体" w:hAnsi="宋体" w:cs="宋体" w:eastAsia="宋体" w:hint="default"/>
          <w:sz w:val="24"/>
          <w:szCs w:val="24"/>
        </w:rPr>
      </w:pPr>
      <w:r>
        <w:rPr>
          <w:rFonts w:ascii="宋体" w:hAnsi="宋体" w:cs="宋体" w:eastAsia="宋体" w:hint="default"/>
          <w:sz w:val="24"/>
          <w:szCs w:val="24"/>
        </w:rPr>
        <w:t>资产差异情况。 </w:t>
      </w:r>
      <w:bookmarkStart w:name="八、分季度主要财务指标" w:id="14"/>
      <w:bookmarkEnd w:id="14"/>
      <w:r>
        <w:rPr>
          <w:rFonts w:ascii="宋体" w:hAnsi="宋体" w:cs="宋体" w:eastAsia="宋体" w:hint="default"/>
          <w:sz w:val="24"/>
          <w:szCs w:val="24"/>
        </w:rPr>
      </w:r>
      <w:r>
        <w:rPr>
          <w:rFonts w:ascii="宋体" w:hAnsi="宋体" w:cs="宋体" w:eastAsia="宋体" w:hint="default"/>
          <w:b/>
          <w:bCs/>
          <w:w w:val="95"/>
          <w:sz w:val="24"/>
          <w:szCs w:val="24"/>
        </w:rPr>
        <w:t>八、分季度主要财务指标</w:t>
      </w:r>
      <w:r>
        <w:rPr>
          <w:rFonts w:ascii="宋体" w:hAnsi="宋体" w:cs="宋体" w:eastAsia="宋体" w:hint="default"/>
          <w:sz w:val="24"/>
          <w:szCs w:val="24"/>
        </w:rPr>
      </w:r>
    </w:p>
    <w:p>
      <w:pPr>
        <w:spacing w:before="77"/>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233" w:type="dxa"/>
        <w:tblLayout w:type="fixed"/>
        <w:tblCellMar>
          <w:top w:w="0" w:type="dxa"/>
          <w:left w:w="0" w:type="dxa"/>
          <w:bottom w:w="0" w:type="dxa"/>
          <w:right w:w="0" w:type="dxa"/>
        </w:tblCellMar>
        <w:tblLook w:val="01E0"/>
      </w:tblPr>
      <w:tblGrid>
        <w:gridCol w:w="3273"/>
        <w:gridCol w:w="1571"/>
        <w:gridCol w:w="1565"/>
        <w:gridCol w:w="1554"/>
        <w:gridCol w:w="156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65"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6"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1"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5" w:right="0"/>
              <w:jc w:val="left"/>
              <w:rPr>
                <w:rFonts w:ascii="宋体" w:hAnsi="宋体" w:cs="宋体" w:eastAsia="宋体" w:hint="default"/>
                <w:sz w:val="21"/>
                <w:szCs w:val="21"/>
              </w:rPr>
            </w:pPr>
            <w:r>
              <w:rPr>
                <w:rFonts w:ascii="宋体" w:hAnsi="宋体" w:cs="宋体" w:eastAsia="宋体" w:hint="default"/>
                <w:sz w:val="21"/>
                <w:szCs w:val="21"/>
              </w:rPr>
              <w:t>第四季度</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75,814,258.11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107,971,810.80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4" w:right="0"/>
              <w:jc w:val="left"/>
              <w:rPr>
                <w:rFonts w:ascii="Times New Roman" w:hAnsi="Times New Roman" w:cs="Times New Roman" w:eastAsia="Times New Roman" w:hint="default"/>
                <w:sz w:val="21"/>
                <w:szCs w:val="21"/>
              </w:rPr>
            </w:pPr>
            <w:r>
              <w:rPr>
                <w:rFonts w:ascii="Times New Roman"/>
                <w:sz w:val="21"/>
              </w:rPr>
              <w:t>82,971,131.47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261,951,004.65</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3,073,019.67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16,810,119.87</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4" w:right="0"/>
              <w:jc w:val="left"/>
              <w:rPr>
                <w:rFonts w:ascii="Times New Roman" w:hAnsi="Times New Roman" w:cs="Times New Roman" w:eastAsia="Times New Roman" w:hint="default"/>
                <w:sz w:val="21"/>
                <w:szCs w:val="21"/>
              </w:rPr>
            </w:pPr>
            <w:r>
              <w:rPr>
                <w:rFonts w:ascii="Times New Roman"/>
                <w:sz w:val="21"/>
              </w:rPr>
              <w:t>19,812,475.57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0" w:right="0"/>
              <w:jc w:val="left"/>
              <w:rPr>
                <w:rFonts w:ascii="Times New Roman" w:hAnsi="Times New Roman" w:cs="Times New Roman" w:eastAsia="Times New Roman" w:hint="default"/>
                <w:sz w:val="21"/>
                <w:szCs w:val="21"/>
              </w:rPr>
            </w:pPr>
            <w:r>
              <w:rPr>
                <w:rFonts w:ascii="Times New Roman"/>
                <w:sz w:val="21"/>
              </w:rPr>
              <w:t>-11,962,617.03</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9"/>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 性损益的净利润</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1,559,673.44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13,708,599.31</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4" w:right="0"/>
              <w:jc w:val="left"/>
              <w:rPr>
                <w:rFonts w:ascii="Times New Roman" w:hAnsi="Times New Roman" w:cs="Times New Roman" w:eastAsia="Times New Roman" w:hint="default"/>
                <w:sz w:val="21"/>
                <w:szCs w:val="21"/>
              </w:rPr>
            </w:pPr>
            <w:r>
              <w:rPr>
                <w:rFonts w:ascii="Times New Roman"/>
                <w:sz w:val="21"/>
              </w:rPr>
              <w:t>16,380,104.04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sz w:val="21"/>
              </w:rPr>
              <w:t>-18,675,343.81</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-48,522,940.18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-19,385,174.53</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4" w:right="0"/>
              <w:jc w:val="left"/>
              <w:rPr>
                <w:rFonts w:ascii="Times New Roman" w:hAnsi="Times New Roman" w:cs="Times New Roman" w:eastAsia="Times New Roman" w:hint="default"/>
                <w:sz w:val="21"/>
                <w:szCs w:val="21"/>
              </w:rPr>
            </w:pPr>
            <w:r>
              <w:rPr>
                <w:rFonts w:ascii="Times New Roman"/>
                <w:sz w:val="21"/>
              </w:rPr>
              <w:t>12,242,743.77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72,166,921.25</w:t>
            </w:r>
          </w:p>
        </w:tc>
      </w:tr>
    </w:tbl>
    <w:p>
      <w:pPr>
        <w:spacing w:line="240" w:lineRule="auto" w:before="10"/>
        <w:rPr>
          <w:rFonts w:ascii="宋体" w:hAnsi="宋体" w:cs="宋体" w:eastAsia="宋体" w:hint="default"/>
          <w:sz w:val="4"/>
          <w:szCs w:val="4"/>
        </w:rPr>
      </w:pPr>
    </w:p>
    <w:p>
      <w:pPr>
        <w:pStyle w:val="BodyText"/>
        <w:spacing w:line="350" w:lineRule="auto" w:before="26"/>
        <w:ind w:left="174" w:right="1152" w:firstLine="480"/>
        <w:jc w:val="left"/>
      </w:pPr>
      <w:r>
        <w:rPr/>
        <w:t>上述财务指标或其加总数是否与公司已披露季度报告、半年度报告相关财务指标存在重 大差异</w:t>
      </w:r>
    </w:p>
    <w:p>
      <w:pPr>
        <w:spacing w:line="458" w:lineRule="auto" w:before="36"/>
        <w:ind w:left="174" w:right="7630"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 </w:t>
      </w:r>
      <w:r>
        <w:rPr>
          <w:rFonts w:ascii="宋体" w:hAnsi="宋体" w:cs="宋体" w:eastAsia="宋体" w:hint="default"/>
          <w:sz w:val="24"/>
          <w:szCs w:val="24"/>
        </w:rPr>
        <w:t>否 </w:t>
      </w:r>
      <w:bookmarkStart w:name="九、非经常性损益项目及金额" w:id="15"/>
      <w:bookmarkEnd w:id="15"/>
      <w:r>
        <w:rPr>
          <w:rFonts w:ascii="宋体" w:hAnsi="宋体" w:cs="宋体" w:eastAsia="宋体" w:hint="default"/>
          <w:sz w:val="24"/>
          <w:szCs w:val="24"/>
        </w:rPr>
      </w:r>
      <w:r>
        <w:rPr>
          <w:rFonts w:ascii="宋体" w:hAnsi="宋体" w:cs="宋体" w:eastAsia="宋体" w:hint="default"/>
          <w:b/>
          <w:bCs/>
          <w:w w:val="95"/>
          <w:sz w:val="24"/>
          <w:szCs w:val="24"/>
        </w:rPr>
        <w:t>九、非经常性损益项目及金额</w:t>
      </w:r>
      <w:r>
        <w:rPr>
          <w:rFonts w:ascii="宋体" w:hAnsi="宋体" w:cs="宋体" w:eastAsia="宋体" w:hint="default"/>
          <w:sz w:val="24"/>
          <w:szCs w:val="24"/>
        </w:rPr>
      </w:r>
    </w:p>
    <w:p>
      <w:pPr>
        <w:spacing w:before="103"/>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264"/>
        <w:gridCol w:w="1532"/>
        <w:gridCol w:w="1521"/>
        <w:gridCol w:w="1522"/>
        <w:gridCol w:w="931"/>
      </w:tblGrid>
      <w:tr>
        <w:trPr>
          <w:trHeight w:val="402" w:hRule="exact"/>
        </w:trPr>
        <w:tc>
          <w:tcPr>
            <w:tcW w:w="4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9"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714" w:hRule="exact"/>
        </w:trPr>
        <w:tc>
          <w:tcPr>
            <w:tcW w:w="4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41"/>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非流动资产处置损益（包括已计提资产减值准 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-145,761.44</w:t>
            </w:r>
            <w:r>
              <w:rPr>
                <w:rFonts w:ascii="Times New Roman"/>
                <w:sz w:val="21"/>
              </w:rPr>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-12,381.05</w:t>
            </w:r>
            <w:r>
              <w:rPr>
                <w:rFonts w:ascii="Times New Roman"/>
                <w:sz w:val="21"/>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24,856.79</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4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41"/>
              <w:jc w:val="both"/>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 关，按照国家统一标准定额或定量享受的政府 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5,197,456.85</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4,047,876.18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3,766,150.00</w:t>
            </w: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60" w:right="0"/>
        </w:sectPr>
      </w:pPr>
    </w:p>
    <w:p>
      <w:pPr>
        <w:spacing w:line="240" w:lineRule="auto" w:before="6"/>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4287"/>
        <w:gridCol w:w="1520"/>
        <w:gridCol w:w="1521"/>
        <w:gridCol w:w="1522"/>
        <w:gridCol w:w="931"/>
      </w:tblGrid>
      <w:tr>
        <w:trPr>
          <w:trHeight w:val="402" w:hRule="exact"/>
        </w:trPr>
        <w:tc>
          <w:tcPr>
            <w:tcW w:w="4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12,840,775.90</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195,569.93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8,712.28</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236,316.57</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-5,291,844.94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71,920.80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2,733,201.64</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-106,790.73</w:t>
            </w:r>
            <w:r>
              <w:rPr>
                <w:rFonts w:ascii="Times New Roman"/>
                <w:sz w:val="21"/>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586,265.53</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635,621.14</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515,035.63</w:t>
            </w:r>
          </w:p>
        </w:tc>
        <w:tc>
          <w:tcPr>
            <w:tcW w:w="152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14,759,965.10</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-1,469,024.78</w:t>
            </w:r>
          </w:p>
        </w:tc>
        <w:tc>
          <w:tcPr>
            <w:tcW w:w="152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3,285,374.34</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宋体" w:hAnsi="宋体" w:cs="宋体" w:eastAsia="宋体" w:hint="default"/>
          <w:sz w:val="4"/>
          <w:szCs w:val="4"/>
        </w:rPr>
      </w:pPr>
    </w:p>
    <w:p>
      <w:pPr>
        <w:pStyle w:val="BodyText"/>
        <w:spacing w:line="240" w:lineRule="auto" w:before="26"/>
        <w:ind w:left="674" w:right="0"/>
        <w:jc w:val="left"/>
      </w:pPr>
      <w:r>
        <w:rPr/>
        <w:t>对公司根据《公开发行证券的公司信息披露解释性公告第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w:t>
      </w:r>
    </w:p>
    <w:p>
      <w:pPr>
        <w:pStyle w:val="BodyText"/>
        <w:spacing w:line="331" w:lineRule="auto" w:before="128"/>
        <w:ind w:left="194" w:right="1151"/>
        <w:jc w:val="left"/>
      </w:pPr>
      <w:r>
        <w:rPr/>
        <w:t>界定的非经常性损益项目，以及把《公开发行证券的公司信息披露解释性公告第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 经常性损益》中列举的非经常性损益项目界定为经常性损益的项目，应说明原因</w:t>
      </w:r>
    </w:p>
    <w:p>
      <w:pPr>
        <w:pStyle w:val="BodyText"/>
        <w:spacing w:line="333" w:lineRule="auto" w:before="54"/>
        <w:ind w:left="674" w:right="11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公司报告期不存在将根据《公开发行证券的公司信息披露解释性公告第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w:t>
      </w:r>
    </w:p>
    <w:p>
      <w:pPr>
        <w:pStyle w:val="BodyText"/>
        <w:spacing w:line="240" w:lineRule="auto" w:before="23"/>
        <w:ind w:left="194" w:right="0"/>
        <w:jc w:val="left"/>
      </w:pPr>
      <w:r>
        <w:rPr/>
        <w:t>性损益》定义、列举的非经常性损益项目界定为经常性损益的项目的情形。</w:t>
      </w:r>
    </w:p>
    <w:p>
      <w:pPr>
        <w:spacing w:after="0" w:line="240" w:lineRule="auto"/>
        <w:jc w:val="left"/>
        <w:sectPr>
          <w:pgSz w:w="11910" w:h="16840"/>
          <w:pgMar w:header="747" w:footer="979" w:top="1060" w:bottom="1160" w:left="9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32"/>
          <w:szCs w:val="32"/>
        </w:rPr>
      </w:pPr>
    </w:p>
    <w:p>
      <w:pPr>
        <w:pStyle w:val="BodyText"/>
        <w:spacing w:line="350" w:lineRule="auto" w:before="0"/>
        <w:ind w:left="634" w:right="6192"/>
        <w:jc w:val="left"/>
      </w:pPr>
      <w:r>
        <w:rPr/>
        <w:t>公司是否需要遵守特殊行业的披露要求 是</w:t>
      </w:r>
    </w:p>
    <w:p>
      <w:pPr>
        <w:pStyle w:val="BodyText"/>
        <w:spacing w:line="240" w:lineRule="auto" w:before="35"/>
        <w:ind w:left="634" w:right="0"/>
        <w:jc w:val="left"/>
      </w:pPr>
      <w:r>
        <w:rPr/>
        <w:t>软件与信息技术服务业</w:t>
      </w:r>
    </w:p>
    <w:p>
      <w:pPr>
        <w:pStyle w:val="BodyText"/>
        <w:spacing w:line="331" w:lineRule="auto" w:before="146"/>
        <w:ind w:right="1116" w:firstLine="480"/>
        <w:jc w:val="left"/>
      </w:pPr>
      <w:r>
        <w:rPr>
          <w:spacing w:val="-4"/>
        </w:rPr>
        <w:t>公司需遵守《深圳证券交易所行业信息披露指引第</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上市公司从事软件与信息技 术服务业务》的披露要求</w:t>
      </w:r>
    </w:p>
    <w:p>
      <w:pPr>
        <w:pStyle w:val="Heading2"/>
        <w:spacing w:line="240" w:lineRule="auto" w:before="54"/>
        <w:ind w:left="636" w:right="0"/>
        <w:jc w:val="left"/>
        <w:rPr>
          <w:b w:val="0"/>
          <w:bCs w:val="0"/>
        </w:rPr>
      </w:pPr>
      <w:r>
        <w:rPr/>
        <w:t>（一）公司主营业务及经营模式</w:t>
      </w:r>
      <w:r>
        <w:rPr>
          <w:b w:val="0"/>
          <w:bCs w:val="0"/>
        </w:rPr>
      </w:r>
    </w:p>
    <w:p>
      <w:pPr>
        <w:pStyle w:val="BodyText"/>
        <w:spacing w:line="331" w:lineRule="auto" w:before="146"/>
        <w:ind w:left="634" w:right="1152"/>
        <w:jc w:val="left"/>
      </w:pPr>
      <w:r>
        <w:rPr>
          <w:rFonts w:ascii="Times New Roman" w:hAnsi="Times New Roman" w:cs="Times New Roman" w:eastAsia="Times New Roman" w:hint="default"/>
        </w:rPr>
        <w:t>1</w:t>
      </w:r>
      <w:r>
        <w:rPr/>
        <w:t>、公司主营业务 公司聚焦于轨道交通行业，专注于轨道交通测控技术的研发推广，是国内领先的轨道交</w:t>
      </w:r>
    </w:p>
    <w:p>
      <w:pPr>
        <w:pStyle w:val="BodyText"/>
        <w:spacing w:line="352" w:lineRule="auto" w:before="54"/>
        <w:ind w:right="994"/>
        <w:jc w:val="left"/>
      </w:pPr>
      <w:r>
        <w:rPr>
          <w:spacing w:val="-2"/>
        </w:rPr>
        <w:t>通运维设备供应商及运营维护集成化解决方案提供商，主营业务为轨道交通高端装备的研发、</w:t>
      </w:r>
      <w:r>
        <w:rPr/>
        <w:t> 生产、销售、安装和维护等，主要面向国家铁路和城市轨道交通两个市场。</w:t>
      </w:r>
    </w:p>
    <w:p>
      <w:pPr>
        <w:pStyle w:val="BodyText"/>
        <w:spacing w:line="352" w:lineRule="auto" w:before="33"/>
        <w:ind w:right="1170" w:firstLine="480"/>
        <w:jc w:val="both"/>
      </w:pPr>
      <w:r>
        <w:rPr/>
        <w:t>经过二十余年的发展，公司产品已覆盖轨道交通电务、工务、机务、供电、运营等专业 领域，主要分为监控产品线、运营管理产品线、信号基础设备产品线、综合运维信息化及运 维装备产品线四大系列。公司也根据客户需求提供其他配套产品及服务。</w:t>
      </w:r>
    </w:p>
    <w:p>
      <w:pPr>
        <w:pStyle w:val="BodyText"/>
        <w:spacing w:line="340" w:lineRule="auto" w:before="32"/>
        <w:ind w:right="994" w:firstLine="480"/>
        <w:jc w:val="left"/>
      </w:pPr>
      <w:r>
        <w:rPr/>
        <w:t>监控产品线涵盖设备监测、环境监视和综合监控等多个方向，针对铁路运营设备在运用 </w:t>
      </w:r>
      <w:r>
        <w:rPr>
          <w:spacing w:val="-2"/>
        </w:rPr>
        <w:t>过程中的状态进行监测和管理，提高设备的运用质量，降低维护人员的工作强度和维护成本，</w:t>
      </w:r>
      <w:r>
        <w:rPr/>
        <w:t> </w:t>
      </w:r>
      <w:r>
        <w:rPr>
          <w:spacing w:val="-6"/>
          <w:w w:val="99"/>
        </w:rPr>
        <w:t>主要产品包括信号集中监测系统（</w:t>
      </w:r>
      <w:r>
        <w:rPr>
          <w:rFonts w:ascii="Times New Roman" w:hAnsi="Times New Roman" w:cs="Times New Roman" w:eastAsia="Times New Roman" w:hint="default"/>
          <w:spacing w:val="-6"/>
          <w:w w:val="99"/>
        </w:rPr>
        <w:t>CSM</w:t>
      </w:r>
      <w:r>
        <w:rPr>
          <w:spacing w:val="-6"/>
          <w:w w:val="99"/>
        </w:rPr>
        <w:t>）、铁路防灾安全监控系统、综合视频监控系统、电加</w:t>
      </w:r>
      <w:r>
        <w:rPr>
          <w:spacing w:val="-101"/>
          <w:w w:val="99"/>
        </w:rPr>
        <w:t> </w:t>
      </w:r>
      <w:r>
        <w:rPr>
          <w:spacing w:val="-101"/>
          <w:w w:val="99"/>
        </w:rPr>
      </w:r>
      <w:r>
        <w:rPr>
          <w:spacing w:val="-6"/>
          <w:w w:val="99"/>
        </w:rPr>
        <w:t>热道岔融雪设备、动力及机房环境监控系统、城市轨道交通综合监控系统（</w:t>
      </w:r>
      <w:r>
        <w:rPr>
          <w:rFonts w:ascii="Times New Roman" w:hAnsi="Times New Roman" w:cs="Times New Roman" w:eastAsia="Times New Roman" w:hint="default"/>
          <w:spacing w:val="-6"/>
          <w:w w:val="99"/>
        </w:rPr>
        <w:t>ISCS</w:t>
      </w:r>
      <w:r>
        <w:rPr>
          <w:spacing w:val="-6"/>
          <w:w w:val="99"/>
        </w:rPr>
        <w:t>）、环境与设</w:t>
      </w:r>
      <w:r>
        <w:rPr>
          <w:spacing w:val="-93"/>
          <w:w w:val="99"/>
        </w:rPr>
        <w:t> </w:t>
      </w:r>
      <w:r>
        <w:rPr>
          <w:spacing w:val="-93"/>
          <w:w w:val="99"/>
        </w:rPr>
      </w:r>
      <w:r>
        <w:rPr/>
        <w:t>备监控系统（</w:t>
      </w:r>
      <w:r>
        <w:rPr>
          <w:rFonts w:ascii="Times New Roman" w:hAnsi="Times New Roman" w:cs="Times New Roman" w:eastAsia="Times New Roman" w:hint="default"/>
        </w:rPr>
        <w:t>BAS</w:t>
      </w:r>
      <w:r>
        <w:rPr/>
        <w:t>）和城市轨道交通信号维护支持系统（</w:t>
      </w:r>
      <w:r>
        <w:rPr>
          <w:rFonts w:ascii="Times New Roman" w:hAnsi="Times New Roman" w:cs="Times New Roman" w:eastAsia="Times New Roman" w:hint="default"/>
        </w:rPr>
        <w:t>MSS</w:t>
      </w:r>
      <w:r>
        <w:rPr/>
        <w:t>）等；运营管理产品线是为铁 路运营管理提供平台手段，提高运营管理的效率，主要产品包括铁路运输指挥综合系统、无 </w:t>
      </w:r>
      <w:r>
        <w:rPr>
          <w:spacing w:val="-4"/>
          <w:w w:val="99"/>
        </w:rPr>
        <w:t>线调车机车信号和监控系统（</w:t>
      </w:r>
      <w:r>
        <w:rPr>
          <w:rFonts w:ascii="Times New Roman" w:hAnsi="Times New Roman" w:cs="Times New Roman" w:eastAsia="Times New Roman" w:hint="default"/>
          <w:spacing w:val="-4"/>
          <w:w w:val="99"/>
        </w:rPr>
        <w:t>STP</w:t>
      </w:r>
      <w:r>
        <w:rPr>
          <w:spacing w:val="-4"/>
          <w:w w:val="99"/>
        </w:rPr>
        <w:t>）、列车自动监控系统（</w:t>
      </w:r>
      <w:r>
        <w:rPr>
          <w:rFonts w:ascii="Times New Roman" w:hAnsi="Times New Roman" w:cs="Times New Roman" w:eastAsia="Times New Roman" w:hint="default"/>
          <w:spacing w:val="-4"/>
          <w:w w:val="99"/>
        </w:rPr>
        <w:t>ATS</w:t>
      </w:r>
      <w:r>
        <w:rPr>
          <w:spacing w:val="-4"/>
          <w:w w:val="99"/>
        </w:rPr>
        <w:t>）和城市轨道交通自动售检票</w:t>
      </w:r>
      <w:r>
        <w:rPr>
          <w:spacing w:val="-97"/>
          <w:w w:val="99"/>
        </w:rPr>
        <w:t> </w:t>
      </w:r>
      <w:r>
        <w:rPr>
          <w:spacing w:val="-2"/>
        </w:rPr>
        <w:t>系统（</w:t>
      </w:r>
      <w:r>
        <w:rPr>
          <w:rFonts w:ascii="Times New Roman" w:hAnsi="Times New Roman" w:cs="Times New Roman" w:eastAsia="Times New Roman" w:hint="default"/>
          <w:spacing w:val="-2"/>
        </w:rPr>
        <w:t>AFC</w:t>
      </w:r>
      <w:r>
        <w:rPr>
          <w:spacing w:val="-2"/>
        </w:rPr>
        <w:t>）等；信号基础设备产品线是向铁路基层站段提供保障列车运行安全的基础设备，</w:t>
      </w:r>
      <w:r>
        <w:rPr>
          <w:spacing w:val="-107"/>
        </w:rPr>
        <w:t> </w:t>
      </w:r>
      <w:r>
        <w:rPr>
          <w:spacing w:val="-107"/>
        </w:rPr>
      </w:r>
      <w:r>
        <w:rPr>
          <w:spacing w:val="-3"/>
        </w:rPr>
        <w:t>主要产品包括智能电源设备、铁路信号计算机联锁系统（</w:t>
      </w:r>
      <w:r>
        <w:rPr>
          <w:rFonts w:ascii="Times New Roman" w:hAnsi="Times New Roman" w:cs="Times New Roman" w:eastAsia="Times New Roman" w:hint="default"/>
          <w:spacing w:val="-3"/>
        </w:rPr>
        <w:t>CBI</w:t>
      </w:r>
      <w:r>
        <w:rPr>
          <w:spacing w:val="-3"/>
        </w:rPr>
        <w:t>）、计轴设备和道岔转辙机等；</w:t>
      </w:r>
      <w:r>
        <w:rPr>
          <w:spacing w:val="-116"/>
        </w:rPr>
        <w:t> </w:t>
      </w:r>
      <w:r>
        <w:rPr>
          <w:spacing w:val="-116"/>
        </w:rPr>
      </w:r>
      <w:r>
        <w:rPr/>
        <w:t>综合运维信息化及运维装备是为运维单位提供智能化运维装备及运维全流程涉及的人员、材 料、资产管理服务系统，主要产品包括接触网水冲洗车、城轨隧道维护车、电务生产指挥系 </w:t>
      </w:r>
      <w:r>
        <w:rPr>
          <w:spacing w:val="-4"/>
          <w:w w:val="99"/>
        </w:rPr>
        <w:t>统（</w:t>
      </w:r>
      <w:r>
        <w:rPr>
          <w:rFonts w:ascii="Times New Roman" w:hAnsi="Times New Roman" w:cs="Times New Roman" w:eastAsia="Times New Roman" w:hint="default"/>
          <w:spacing w:val="-4"/>
          <w:w w:val="99"/>
        </w:rPr>
        <w:t>CSMIS</w:t>
      </w:r>
      <w:r>
        <w:rPr>
          <w:spacing w:val="-4"/>
          <w:w w:val="99"/>
        </w:rPr>
        <w:t>）、大数据智能运维平台和城市轨道交通资产管理信息系统（</w:t>
      </w:r>
      <w:r>
        <w:rPr>
          <w:rFonts w:ascii="Times New Roman" w:hAnsi="Times New Roman" w:cs="Times New Roman" w:eastAsia="Times New Roman" w:hint="default"/>
          <w:spacing w:val="-4"/>
          <w:w w:val="99"/>
        </w:rPr>
        <w:t>EAM</w:t>
      </w:r>
      <w:r>
        <w:rPr>
          <w:spacing w:val="-4"/>
          <w:w w:val="99"/>
        </w:rPr>
        <w:t>）等。</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31" w:lineRule="auto" w:before="199"/>
        <w:ind w:left="634" w:right="1152"/>
        <w:jc w:val="left"/>
      </w:pPr>
      <w:r>
        <w:rPr>
          <w:rFonts w:ascii="Times New Roman" w:hAnsi="Times New Roman" w:cs="Times New Roman" w:eastAsia="Times New Roman" w:hint="default"/>
        </w:rPr>
        <w:t>2</w:t>
      </w:r>
      <w:r>
        <w:rPr/>
        <w:t>、公司经营模式 本公司产品、系统分为标准型和定制型。对于标准型产品，在销售阶段，有产品直接向</w:t>
      </w:r>
    </w:p>
    <w:p>
      <w:pPr>
        <w:pStyle w:val="BodyText"/>
        <w:spacing w:line="350" w:lineRule="auto" w:before="55"/>
        <w:ind w:right="1170"/>
        <w:jc w:val="both"/>
      </w:pPr>
      <w:r>
        <w:rPr/>
        <w:t>客户销售和系统集成商合作配套销售两种方式，行业的销售模式主要为参与招标或议标，通 过投标或议标方式进行沟通和商议后最终定价并获得订单，产品经过安装、现场调试、用户 验收等环节后投入使用。</w:t>
      </w:r>
    </w:p>
    <w:p>
      <w:pPr>
        <w:pStyle w:val="BodyText"/>
        <w:spacing w:line="340" w:lineRule="auto"/>
        <w:ind w:right="1131" w:firstLine="480"/>
        <w:jc w:val="both"/>
      </w:pPr>
      <w:r>
        <w:rPr>
          <w:spacing w:val="-1"/>
        </w:rPr>
        <w:t>对于根据客户特定需求的定制型产品</w:t>
      </w:r>
      <w:r>
        <w:rPr>
          <w:rFonts w:ascii="Times New Roman" w:hAnsi="Times New Roman" w:cs="Times New Roman" w:eastAsia="Times New Roman" w:hint="default"/>
          <w:spacing w:val="-1"/>
        </w:rPr>
        <w:t>/</w:t>
      </w:r>
      <w:r>
        <w:rPr>
          <w:spacing w:val="-1"/>
        </w:rPr>
        <w:t>系统，在具体营销过程中，首先进行售前支持，协</w:t>
      </w:r>
      <w:r>
        <w:rPr/>
        <w:t> 助用户完成项目设计工作，在已经研发发布的产品框架基础上，进行二次开发，以项目管理 的方式进行订单制造、交付。</w:t>
      </w:r>
    </w:p>
    <w:p>
      <w:pPr>
        <w:pStyle w:val="BodyText"/>
        <w:spacing w:line="345" w:lineRule="auto" w:before="46"/>
        <w:ind w:right="994" w:firstLine="480"/>
        <w:jc w:val="left"/>
      </w:pPr>
      <w:r>
        <w:rPr>
          <w:spacing w:val="-3"/>
        </w:rPr>
        <w:t>在生产阶段，主要采取以销定产的经营模式，根据客户订单及需求计划安排、组织生产。</w:t>
      </w:r>
      <w:r>
        <w:rPr/>
        <w:t> 在质量保障方面，公司已经构建起以 </w:t>
      </w:r>
      <w:r>
        <w:rPr>
          <w:rFonts w:ascii="Times New Roman" w:hAnsi="Times New Roman" w:cs="Times New Roman" w:eastAsia="Times New Roman" w:hint="default"/>
        </w:rPr>
        <w:t>IRIS</w:t>
      </w:r>
      <w:r>
        <w:rPr/>
        <w:t>、</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CMMI </w:t>
      </w:r>
      <w:r>
        <w:rPr/>
        <w:t>为基础，</w:t>
      </w:r>
      <w:r>
        <w:rPr>
          <w:rFonts w:ascii="Times New Roman" w:hAnsi="Times New Roman" w:cs="Times New Roman" w:eastAsia="Times New Roman" w:hint="default"/>
        </w:rPr>
        <w:t>CRCC</w:t>
      </w:r>
      <w:r>
        <w:rPr/>
        <w:t>、</w:t>
      </w:r>
      <w:r>
        <w:rPr>
          <w:rFonts w:ascii="Times New Roman" w:hAnsi="Times New Roman" w:cs="Times New Roman" w:eastAsia="Times New Roman" w:hint="default"/>
        </w:rPr>
        <w:t>SIL4</w:t>
      </w:r>
      <w:r>
        <w:rPr>
          <w:rFonts w:ascii="Times New Roman" w:hAnsi="Times New Roman" w:cs="Times New Roman" w:eastAsia="Times New Roman" w:hint="default"/>
          <w:spacing w:val="-2"/>
        </w:rPr>
        <w:t> </w:t>
      </w:r>
      <w:r>
        <w:rPr/>
        <w:t>产品认 证为标准，精密的检测仪器、严格的检验制度为支撑的质量控制体系，确保产品质量持续稳 定。</w:t>
      </w:r>
    </w:p>
    <w:p>
      <w:pPr>
        <w:spacing w:line="350" w:lineRule="auto" w:before="40"/>
        <w:ind w:left="634" w:right="1179" w:firstLine="2"/>
        <w:jc w:val="left"/>
        <w:rPr>
          <w:rFonts w:ascii="宋体" w:hAnsi="宋体" w:cs="宋体" w:eastAsia="宋体" w:hint="default"/>
          <w:sz w:val="24"/>
          <w:szCs w:val="24"/>
        </w:rPr>
      </w:pPr>
      <w:r>
        <w:rPr>
          <w:rFonts w:ascii="宋体" w:hAnsi="宋体" w:cs="宋体" w:eastAsia="宋体" w:hint="default"/>
          <w:b/>
          <w:bCs/>
          <w:sz w:val="24"/>
          <w:szCs w:val="24"/>
        </w:rPr>
        <w:t>（二）行业发展情况</w:t>
      </w:r>
      <w:r>
        <w:rPr>
          <w:rFonts w:ascii="宋体" w:hAnsi="宋体" w:cs="宋体" w:eastAsia="宋体" w:hint="default"/>
          <w:b/>
          <w:bCs/>
          <w:w w:val="99"/>
          <w:sz w:val="24"/>
          <w:szCs w:val="24"/>
        </w:rPr>
        <w:t> </w:t>
      </w:r>
      <w:r>
        <w:rPr>
          <w:rFonts w:ascii="宋体" w:hAnsi="宋体" w:cs="宋体" w:eastAsia="宋体" w:hint="default"/>
          <w:sz w:val="24"/>
          <w:szCs w:val="24"/>
        </w:rPr>
        <w:t>按照国家</w:t>
      </w:r>
      <w:r>
        <w:rPr>
          <w:rFonts w:ascii="Times New Roman" w:hAnsi="Times New Roman" w:cs="Times New Roman" w:eastAsia="Times New Roman" w:hint="default"/>
          <w:sz w:val="24"/>
          <w:szCs w:val="24"/>
        </w:rPr>
        <w:t>“</w:t>
      </w:r>
      <w:r>
        <w:rPr>
          <w:rFonts w:ascii="宋体" w:hAnsi="宋体" w:cs="宋体" w:eastAsia="宋体" w:hint="default"/>
          <w:sz w:val="24"/>
          <w:szCs w:val="24"/>
        </w:rPr>
        <w:t>十三五</w:t>
      </w:r>
      <w:r>
        <w:rPr>
          <w:rFonts w:ascii="Times New Roman" w:hAnsi="Times New Roman" w:cs="Times New Roman" w:eastAsia="Times New Roman" w:hint="default"/>
          <w:sz w:val="24"/>
          <w:szCs w:val="24"/>
        </w:rPr>
        <w:t>”</w:t>
      </w:r>
      <w:r>
        <w:rPr>
          <w:rFonts w:ascii="宋体" w:hAnsi="宋体" w:cs="宋体" w:eastAsia="宋体" w:hint="default"/>
          <w:sz w:val="24"/>
          <w:szCs w:val="24"/>
        </w:rPr>
        <w:t>规划及相关产业政策，铁路、城市轨道交通、能源等相关领域都是国</w:t>
      </w:r>
    </w:p>
    <w:p>
      <w:pPr>
        <w:pStyle w:val="BodyText"/>
        <w:spacing w:line="350" w:lineRule="auto" w:before="6"/>
        <w:ind w:right="0"/>
        <w:jc w:val="left"/>
      </w:pPr>
      <w:r>
        <w:rPr>
          <w:spacing w:val="-3"/>
        </w:rPr>
        <w:t>家重点高速投入的行业，为公司的持续盈利奠定了坚实基础。根据国家发改委、交通运输部、</w:t>
      </w:r>
      <w:r>
        <w:rPr>
          <w:spacing w:val="-81"/>
        </w:rPr>
        <w:t> </w:t>
      </w:r>
      <w:r>
        <w:rPr>
          <w:spacing w:val="-81"/>
        </w:rPr>
      </w:r>
      <w:r>
        <w:rPr/>
        <w:t>中国铁路总公司于</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spacing w:val="-10"/>
        </w:rPr>
        <w:t>年联合印发的《中长期铁路网规划》，到</w:t>
      </w:r>
      <w:r>
        <w:rPr>
          <w:spacing w:val="-5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spacing w:val="-3"/>
        </w:rPr>
        <w:t>年，一批重大标志性项</w:t>
      </w:r>
    </w:p>
    <w:p>
      <w:pPr>
        <w:pStyle w:val="BodyText"/>
        <w:spacing w:line="240" w:lineRule="auto" w:before="5"/>
        <w:ind w:right="0"/>
        <w:jc w:val="left"/>
      </w:pPr>
      <w:r>
        <w:rPr/>
        <w:t>目建成投产，铁路网规模达到</w:t>
      </w:r>
      <w:r>
        <w:rPr>
          <w:spacing w:val="-60"/>
        </w:rPr>
        <w:t> </w:t>
      </w:r>
      <w:r>
        <w:rPr>
          <w:rFonts w:ascii="Times New Roman" w:hAnsi="Times New Roman" w:cs="Times New Roman" w:eastAsia="Times New Roman" w:hint="default"/>
        </w:rPr>
        <w:t>15 </w:t>
      </w:r>
      <w:r>
        <w:rPr/>
        <w:t>万公里，其中高速铁路</w:t>
      </w:r>
      <w:r>
        <w:rPr>
          <w:spacing w:val="-60"/>
        </w:rPr>
        <w:t> </w:t>
      </w:r>
      <w:r>
        <w:rPr>
          <w:rFonts w:ascii="Times New Roman" w:hAnsi="Times New Roman" w:cs="Times New Roman" w:eastAsia="Times New Roman" w:hint="default"/>
        </w:rPr>
        <w:t>3 </w:t>
      </w:r>
      <w:r>
        <w:rPr/>
        <w:t>万公里，覆盖</w:t>
      </w:r>
      <w:r>
        <w:rPr>
          <w:spacing w:val="-60"/>
        </w:rPr>
        <w:t> </w:t>
      </w:r>
      <w:r>
        <w:rPr>
          <w:rFonts w:ascii="Times New Roman" w:hAnsi="Times New Roman" w:cs="Times New Roman" w:eastAsia="Times New Roman" w:hint="default"/>
        </w:rPr>
        <w:t>80%</w:t>
      </w:r>
      <w:r>
        <w:rPr/>
        <w:t>以上的大城市，</w:t>
      </w:r>
    </w:p>
    <w:p>
      <w:pPr>
        <w:pStyle w:val="BodyText"/>
        <w:spacing w:line="240" w:lineRule="auto" w:before="128"/>
        <w:ind w:right="0"/>
        <w:jc w:val="left"/>
        <w:rPr>
          <w:rFonts w:ascii="Times New Roman" w:hAnsi="Times New Roman" w:cs="Times New Roman" w:eastAsia="Times New Roman" w:hint="default"/>
        </w:rPr>
      </w:pPr>
      <w:r>
        <w:rPr/>
        <w:t>根据规划</w:t>
      </w:r>
      <w:r>
        <w:rPr>
          <w:spacing w:val="-119"/>
        </w:rPr>
        <w:t>，</w:t>
      </w:r>
      <w:r>
        <w:rPr>
          <w:rFonts w:ascii="Times New Roman" w:hAnsi="Times New Roman" w:cs="Times New Roman" w:eastAsia="Times New Roman" w:hint="default"/>
          <w:w w:val="100"/>
        </w:rPr>
        <w:t>“</w:t>
      </w:r>
      <w:r>
        <w:rPr/>
        <w:t>十三五</w:t>
      </w:r>
      <w:r>
        <w:rPr>
          <w:rFonts w:ascii="Times New Roman" w:hAnsi="Times New Roman" w:cs="Times New Roman" w:eastAsia="Times New Roman" w:hint="default"/>
          <w:w w:val="100"/>
        </w:rPr>
        <w:t>”</w:t>
      </w:r>
      <w:r>
        <w:rPr/>
        <w:t>期间全国新建铁路将不低于</w:t>
      </w:r>
      <w:r>
        <w:rPr>
          <w:spacing w:val="-60"/>
        </w:rPr>
        <w:t> </w:t>
      </w:r>
      <w:r>
        <w:rPr>
          <w:rFonts w:ascii="Times New Roman" w:hAnsi="Times New Roman" w:cs="Times New Roman" w:eastAsia="Times New Roman" w:hint="default"/>
        </w:rPr>
        <w:t>2.3 </w:t>
      </w:r>
      <w:r>
        <w:rPr/>
        <w:t>万公里</w:t>
      </w:r>
      <w:r>
        <w:rPr>
          <w:spacing w:val="-119"/>
        </w:rPr>
        <w:t>，</w:t>
      </w:r>
      <w:r>
        <w:rPr/>
        <w:t>总投资不低于</w:t>
      </w:r>
      <w:r>
        <w:rPr>
          <w:spacing w:val="-60"/>
        </w:rPr>
        <w:t> </w:t>
      </w:r>
      <w:r>
        <w:rPr>
          <w:rFonts w:ascii="Times New Roman" w:hAnsi="Times New Roman" w:cs="Times New Roman" w:eastAsia="Times New Roman" w:hint="default"/>
        </w:rPr>
        <w:t>2.8 </w:t>
      </w:r>
      <w:r>
        <w:rPr/>
        <w:t>万亿元</w:t>
      </w:r>
      <w:r>
        <w:rPr>
          <w:spacing w:val="-119"/>
        </w:rPr>
        <w:t>。</w:t>
      </w:r>
      <w:r>
        <w:rPr/>
        <w:t>到</w:t>
      </w:r>
      <w:r>
        <w:rPr>
          <w:spacing w:val="-60"/>
        </w:rPr>
        <w:t> </w:t>
      </w:r>
      <w:r>
        <w:rPr>
          <w:rFonts w:ascii="Times New Roman" w:hAnsi="Times New Roman" w:cs="Times New Roman" w:eastAsia="Times New Roman" w:hint="default"/>
        </w:rPr>
        <w:t>2025</w:t>
      </w:r>
    </w:p>
    <w:p>
      <w:pPr>
        <w:pStyle w:val="BodyText"/>
        <w:spacing w:line="338" w:lineRule="auto" w:before="127"/>
        <w:ind w:right="996"/>
        <w:jc w:val="left"/>
      </w:pPr>
      <w:r>
        <w:rPr>
          <w:spacing w:val="-4"/>
        </w:rPr>
        <w:t>年，铁路网规模达到</w:t>
      </w:r>
      <w:r>
        <w:rPr>
          <w:spacing w:val="-63"/>
        </w:rPr>
        <w:t> </w:t>
      </w:r>
      <w:r>
        <w:rPr>
          <w:rFonts w:ascii="Times New Roman" w:hAnsi="Times New Roman" w:cs="Times New Roman" w:eastAsia="Times New Roman" w:hint="default"/>
        </w:rPr>
        <w:t>17.5</w:t>
      </w:r>
      <w:r>
        <w:rPr>
          <w:rFonts w:ascii="Times New Roman" w:hAnsi="Times New Roman" w:cs="Times New Roman" w:eastAsia="Times New Roman" w:hint="default"/>
          <w:spacing w:val="-3"/>
        </w:rPr>
        <w:t> </w:t>
      </w:r>
      <w:r>
        <w:rPr>
          <w:spacing w:val="-3"/>
        </w:rPr>
        <w:t>万公里左右，其中高速铁路</w:t>
      </w:r>
      <w:r>
        <w:rPr>
          <w:spacing w:val="-63"/>
        </w:rPr>
        <w:t> </w:t>
      </w:r>
      <w:r>
        <w:rPr>
          <w:rFonts w:ascii="Times New Roman" w:hAnsi="Times New Roman" w:cs="Times New Roman" w:eastAsia="Times New Roman" w:hint="default"/>
        </w:rPr>
        <w:t>3.8</w:t>
      </w:r>
      <w:r>
        <w:rPr>
          <w:rFonts w:ascii="Times New Roman" w:hAnsi="Times New Roman" w:cs="Times New Roman" w:eastAsia="Times New Roman" w:hint="default"/>
          <w:spacing w:val="-3"/>
        </w:rPr>
        <w:t> </w:t>
      </w:r>
      <w:r>
        <w:rPr/>
        <w:t>万公里左右，网络覆盖进一步扩大， 路网结构更加优化，骨干作用更加显著，更好发挥铁路对经济社会发展的保障作用。展望到 </w:t>
      </w:r>
      <w:r>
        <w:rPr>
          <w:rFonts w:ascii="Times New Roman" w:hAnsi="Times New Roman" w:cs="Times New Roman" w:eastAsia="Times New Roman" w:hint="default"/>
        </w:rPr>
        <w:t>2030</w:t>
      </w:r>
      <w:r>
        <w:rPr>
          <w:rFonts w:ascii="Times New Roman" w:hAnsi="Times New Roman" w:cs="Times New Roman" w:eastAsia="Times New Roman" w:hint="default"/>
          <w:spacing w:val="-8"/>
        </w:rPr>
        <w:t> </w:t>
      </w:r>
      <w:r>
        <w:rPr/>
        <w:t>年，基本实现内外互联互通、区际多路畅通、省会高铁连通、地市快速通达、县域基本 覆盖。</w:t>
      </w:r>
    </w:p>
    <w:p>
      <w:pPr>
        <w:pStyle w:val="BodyText"/>
        <w:spacing w:line="240" w:lineRule="auto" w:before="47"/>
        <w:ind w:left="634" w:right="0"/>
        <w:jc w:val="left"/>
      </w:pPr>
      <w:r>
        <w:rPr/>
        <w:t>根据中国铁路总公司</w:t>
      </w:r>
      <w:r>
        <w:rPr>
          <w:spacing w:val="-60"/>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 </w:t>
      </w:r>
      <w:r>
        <w:rPr/>
        <w:t>月召开的工作会议，</w:t>
      </w:r>
      <w:r>
        <w:rPr>
          <w:rFonts w:ascii="Times New Roman" w:hAnsi="Times New Roman" w:cs="Times New Roman" w:eastAsia="Times New Roman" w:hint="default"/>
        </w:rPr>
        <w:t>2018 </w:t>
      </w:r>
      <w:r>
        <w:rPr/>
        <w:t>年度全国铁路固定资产投资完</w:t>
      </w:r>
    </w:p>
    <w:p>
      <w:pPr>
        <w:pStyle w:val="BodyText"/>
        <w:spacing w:line="240" w:lineRule="auto" w:before="128"/>
        <w:ind w:right="0"/>
        <w:jc w:val="left"/>
      </w:pPr>
      <w:r>
        <w:rPr/>
        <w:t>成</w:t>
      </w:r>
      <w:r>
        <w:rPr>
          <w:spacing w:val="-60"/>
        </w:rPr>
        <w:t> </w:t>
      </w:r>
      <w:r>
        <w:rPr>
          <w:rFonts w:ascii="Times New Roman" w:hAnsi="Times New Roman" w:cs="Times New Roman" w:eastAsia="Times New Roman" w:hint="default"/>
        </w:rPr>
        <w:t>8,028 </w:t>
      </w:r>
      <w:r>
        <w:rPr/>
        <w:t>亿元，新开工项目</w:t>
      </w:r>
      <w:r>
        <w:rPr>
          <w:spacing w:val="-60"/>
        </w:rPr>
        <w:t> </w:t>
      </w:r>
      <w:r>
        <w:rPr>
          <w:rFonts w:ascii="Times New Roman" w:hAnsi="Times New Roman" w:cs="Times New Roman" w:eastAsia="Times New Roman" w:hint="default"/>
        </w:rPr>
        <w:t>26 </w:t>
      </w:r>
      <w:r>
        <w:rPr/>
        <w:t>个，新增投资规模</w:t>
      </w:r>
      <w:r>
        <w:rPr>
          <w:spacing w:val="-60"/>
        </w:rPr>
        <w:t> </w:t>
      </w:r>
      <w:r>
        <w:rPr>
          <w:rFonts w:ascii="Times New Roman" w:hAnsi="Times New Roman" w:cs="Times New Roman" w:eastAsia="Times New Roman" w:hint="default"/>
        </w:rPr>
        <w:t>3,382 </w:t>
      </w:r>
      <w:r>
        <w:rPr/>
        <w:t>亿元，完成投产新线</w:t>
      </w:r>
      <w:r>
        <w:rPr>
          <w:spacing w:val="-60"/>
        </w:rPr>
        <w:t> </w:t>
      </w:r>
      <w:r>
        <w:rPr>
          <w:rFonts w:ascii="Times New Roman" w:hAnsi="Times New Roman" w:cs="Times New Roman" w:eastAsia="Times New Roman" w:hint="default"/>
        </w:rPr>
        <w:t>4,683 </w:t>
      </w:r>
      <w:r>
        <w:rPr/>
        <w:t>公里，其</w:t>
      </w:r>
    </w:p>
    <w:p>
      <w:pPr>
        <w:pStyle w:val="BodyText"/>
        <w:spacing w:line="240" w:lineRule="auto" w:before="127"/>
        <w:ind w:right="0"/>
        <w:jc w:val="left"/>
      </w:pPr>
      <w:r>
        <w:rPr/>
        <w:t>中高铁</w:t>
      </w:r>
      <w:r>
        <w:rPr>
          <w:spacing w:val="-63"/>
        </w:rPr>
        <w:t> </w:t>
      </w:r>
      <w:r>
        <w:rPr>
          <w:rFonts w:ascii="Times New Roman" w:hAnsi="Times New Roman" w:cs="Times New Roman" w:eastAsia="Times New Roman" w:hint="default"/>
        </w:rPr>
        <w:t>4,100</w:t>
      </w:r>
      <w:r>
        <w:rPr>
          <w:rFonts w:ascii="Times New Roman" w:hAnsi="Times New Roman" w:cs="Times New Roman" w:eastAsia="Times New Roman" w:hint="default"/>
          <w:spacing w:val="-3"/>
        </w:rPr>
        <w:t> </w:t>
      </w:r>
      <w:r>
        <w:rPr/>
        <w:t>公里；至</w:t>
      </w:r>
      <w:r>
        <w:rPr>
          <w:spacing w:val="-6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年底，全国铁路营业里程达到</w:t>
      </w:r>
      <w:r>
        <w:rPr>
          <w:spacing w:val="-63"/>
        </w:rPr>
        <w:t> </w:t>
      </w:r>
      <w:r>
        <w:rPr>
          <w:rFonts w:ascii="Times New Roman" w:hAnsi="Times New Roman" w:cs="Times New Roman" w:eastAsia="Times New Roman" w:hint="default"/>
        </w:rPr>
        <w:t>13.1</w:t>
      </w:r>
      <w:r>
        <w:rPr>
          <w:rFonts w:ascii="Times New Roman" w:hAnsi="Times New Roman" w:cs="Times New Roman" w:eastAsia="Times New Roman" w:hint="default"/>
          <w:spacing w:val="-3"/>
        </w:rPr>
        <w:t> </w:t>
      </w:r>
      <w:r>
        <w:rPr/>
        <w:t>万公里以上，其中高铁</w:t>
      </w:r>
      <w:r>
        <w:rPr>
          <w:spacing w:val="-63"/>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万</w:t>
      </w:r>
    </w:p>
    <w:p>
      <w:pPr>
        <w:pStyle w:val="BodyText"/>
        <w:spacing w:line="240" w:lineRule="auto" w:before="127"/>
        <w:ind w:right="0"/>
        <w:jc w:val="left"/>
      </w:pPr>
      <w:r>
        <w:rPr/>
        <w:t>公里以上，已基本完成铁路总公司提出的</w:t>
      </w:r>
      <w:r>
        <w:rPr>
          <w:spacing w:val="-60"/>
        </w:rPr>
        <w:t> </w:t>
      </w:r>
      <w:r>
        <w:rPr>
          <w:rFonts w:ascii="Times New Roman" w:hAnsi="Times New Roman" w:cs="Times New Roman" w:eastAsia="Times New Roman" w:hint="default"/>
        </w:rPr>
        <w:t>2020 </w:t>
      </w:r>
      <w:r>
        <w:rPr/>
        <w:t>年的奋斗目标。改革开放</w:t>
      </w:r>
      <w:r>
        <w:rPr>
          <w:spacing w:val="-60"/>
        </w:rPr>
        <w:t> </w:t>
      </w:r>
      <w:r>
        <w:rPr>
          <w:rFonts w:ascii="Times New Roman" w:hAnsi="Times New Roman" w:cs="Times New Roman" w:eastAsia="Times New Roman" w:hint="default"/>
        </w:rPr>
        <w:t>40 </w:t>
      </w:r>
      <w:r>
        <w:rPr/>
        <w:t>年以来，铁路营</w:t>
      </w:r>
    </w:p>
    <w:p>
      <w:pPr>
        <w:pStyle w:val="BodyText"/>
        <w:spacing w:line="345" w:lineRule="auto" w:before="128"/>
        <w:ind w:right="994"/>
        <w:jc w:val="left"/>
      </w:pPr>
      <w:r>
        <w:rPr/>
        <w:t>业里程由</w:t>
      </w:r>
      <w:r>
        <w:rPr>
          <w:spacing w:val="-64"/>
        </w:rPr>
        <w:t> </w:t>
      </w:r>
      <w:r>
        <w:rPr>
          <w:rFonts w:ascii="Times New Roman" w:hAnsi="Times New Roman" w:cs="Times New Roman" w:eastAsia="Times New Roman" w:hint="default"/>
        </w:rPr>
        <w:t>5.2</w:t>
      </w:r>
      <w:r>
        <w:rPr>
          <w:rFonts w:ascii="Times New Roman" w:hAnsi="Times New Roman" w:cs="Times New Roman" w:eastAsia="Times New Roman" w:hint="default"/>
          <w:spacing w:val="-4"/>
        </w:rPr>
        <w:t> </w:t>
      </w:r>
      <w:r>
        <w:rPr/>
        <w:t>万公里增长到</w:t>
      </w:r>
      <w:r>
        <w:rPr>
          <w:spacing w:val="-64"/>
        </w:rPr>
        <w:t> </w:t>
      </w:r>
      <w:r>
        <w:rPr>
          <w:rFonts w:ascii="Times New Roman" w:hAnsi="Times New Roman" w:cs="Times New Roman" w:eastAsia="Times New Roman" w:hint="default"/>
        </w:rPr>
        <w:t>13.1</w:t>
      </w:r>
      <w:r>
        <w:rPr>
          <w:rFonts w:ascii="Times New Roman" w:hAnsi="Times New Roman" w:cs="Times New Roman" w:eastAsia="Times New Roman" w:hint="default"/>
          <w:spacing w:val="-4"/>
        </w:rPr>
        <w:t> </w:t>
      </w:r>
      <w:r>
        <w:rPr>
          <w:spacing w:val="-3"/>
        </w:rPr>
        <w:t>万公里以上、增长</w:t>
      </w:r>
      <w:r>
        <w:rPr>
          <w:spacing w:val="-64"/>
        </w:rPr>
        <w:t> </w:t>
      </w:r>
      <w:r>
        <w:rPr>
          <w:rFonts w:ascii="Times New Roman" w:hAnsi="Times New Roman" w:cs="Times New Roman" w:eastAsia="Times New Roman" w:hint="default"/>
        </w:rPr>
        <w:t>154.4%</w:t>
      </w:r>
      <w:r>
        <w:rPr/>
        <w:t>，形成了世界上最现代化的铁路网 </w:t>
      </w:r>
      <w:r>
        <w:rPr>
          <w:spacing w:val="-2"/>
        </w:rPr>
        <w:t>和最发达的高铁网；铁路科技创新取得重大突破，成功构建了具有完全自主知识产权的高速、</w:t>
      </w:r>
      <w:r>
        <w:rPr/>
        <w:t> 普速、重载三大领域铁路技术标准体系，总体技术水平迈入世界先进行列，部分达到世界领 先水平。</w:t>
      </w:r>
      <w:r>
        <w:rPr>
          <w:rFonts w:ascii="Times New Roman" w:hAnsi="Times New Roman" w:cs="Times New Roman" w:eastAsia="Times New Roman" w:hint="default"/>
        </w:rPr>
        <w:t>2019 </w:t>
      </w:r>
      <w:r>
        <w:rPr/>
        <w:t>年全国铁路固定资产投资保持强度规模，优质高效完成国家下达的任务目标，</w:t>
      </w:r>
    </w:p>
    <w:p>
      <w:pPr>
        <w:spacing w:after="0" w:line="345"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43" w:lineRule="auto" w:before="199"/>
        <w:ind w:right="1131"/>
        <w:jc w:val="both"/>
      </w:pPr>
      <w:r>
        <w:rPr/>
        <w:t>确保投产新线</w:t>
      </w:r>
      <w:r>
        <w:rPr>
          <w:spacing w:val="-60"/>
        </w:rPr>
        <w:t> </w:t>
      </w:r>
      <w:r>
        <w:rPr>
          <w:rFonts w:ascii="Times New Roman" w:hAnsi="Times New Roman" w:cs="Times New Roman" w:eastAsia="Times New Roman" w:hint="default"/>
        </w:rPr>
        <w:t>6,800 </w:t>
      </w:r>
      <w:r>
        <w:rPr>
          <w:spacing w:val="-3"/>
        </w:rPr>
        <w:t>公里，其中高铁</w:t>
      </w:r>
      <w:r>
        <w:rPr>
          <w:spacing w:val="-60"/>
        </w:rPr>
        <w:t> </w:t>
      </w:r>
      <w:r>
        <w:rPr>
          <w:rFonts w:ascii="Times New Roman" w:hAnsi="Times New Roman" w:cs="Times New Roman" w:eastAsia="Times New Roman" w:hint="default"/>
        </w:rPr>
        <w:t>3,200 </w:t>
      </w:r>
      <w:r>
        <w:rPr>
          <w:spacing w:val="-3"/>
        </w:rPr>
        <w:t>公里。由此可见，未来较长时间内，铁路投资仍将</w:t>
      </w:r>
      <w:r>
        <w:rPr/>
        <w:t> 保持稳定增长，铁路系统巨大的存量及增量市场和安全需求为铁路行业带来了较为广阔的发 展前景。</w:t>
      </w:r>
    </w:p>
    <w:p>
      <w:pPr>
        <w:pStyle w:val="BodyText"/>
        <w:spacing w:line="340" w:lineRule="auto" w:before="42"/>
        <w:ind w:right="1115" w:firstLine="480"/>
        <w:jc w:val="left"/>
      </w:pPr>
      <w:r>
        <w:rPr/>
        <w:t>近年来，我国城市轨道交通以其快速便捷、低碳环保的特性成为城市中最受欢迎的交通 </w:t>
      </w:r>
      <w:r>
        <w:rPr>
          <w:spacing w:val="-2"/>
        </w:rPr>
        <w:t>工具之一。</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spacing w:val="-5"/>
        </w:rPr>
        <w:t>日，《国务院办公厅关于进一步加强城市轨道交通规划建设管理的</w:t>
      </w:r>
      <w:r>
        <w:rPr/>
        <w:t> </w:t>
      </w:r>
      <w:r>
        <w:rPr>
          <w:spacing w:val="-8"/>
        </w:rPr>
        <w:t>意见》（国办发〔</w:t>
      </w:r>
      <w:r>
        <w:rPr>
          <w:rFonts w:ascii="Times New Roman" w:hAnsi="Times New Roman" w:cs="Times New Roman" w:eastAsia="Times New Roman" w:hint="default"/>
          <w:spacing w:val="-8"/>
        </w:rPr>
        <w:t>2018</w:t>
      </w:r>
      <w:r>
        <w:rPr>
          <w:spacing w:val="-8"/>
        </w:rPr>
        <w:t>〕</w:t>
      </w:r>
      <w:r>
        <w:rPr>
          <w:rFonts w:ascii="Times New Roman" w:hAnsi="Times New Roman" w:cs="Times New Roman" w:eastAsia="Times New Roman" w:hint="default"/>
          <w:spacing w:val="-8"/>
        </w:rPr>
        <w:t>52</w:t>
      </w:r>
      <w:r>
        <w:rPr>
          <w:rFonts w:ascii="Times New Roman" w:hAnsi="Times New Roman" w:cs="Times New Roman" w:eastAsia="Times New Roman" w:hint="default"/>
        </w:rPr>
        <w:t> </w:t>
      </w:r>
      <w:r>
        <w:rPr/>
        <w:t>号）发布，提高了城市轨道交通建设申报条件，细化了城市轨道 交通规划的审批流程，强化了事中和事后的监督与管理工作。</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月起，国家发改委重 启暂停近一年的城市轨道交通项目审批，各地城市轨道交通建设热潮再起，根据发改委已发 布信息，至今已有苏州、重庆、上海、长春、武汉、杭州和济南等</w:t>
      </w:r>
      <w:r>
        <w:rPr>
          <w:spacing w:val="-59"/>
        </w:rPr>
        <w:t> </w:t>
      </w:r>
      <w:r>
        <w:rPr>
          <w:rFonts w:ascii="Times New Roman" w:hAnsi="Times New Roman" w:cs="Times New Roman" w:eastAsia="Times New Roman" w:hint="default"/>
        </w:rPr>
        <w:t>7 </w:t>
      </w:r>
      <w:r>
        <w:rPr/>
        <w:t>个城市的轨道交通建设</w:t>
      </w:r>
    </w:p>
    <w:p>
      <w:pPr>
        <w:pStyle w:val="BodyText"/>
        <w:spacing w:line="240" w:lineRule="auto" w:before="15"/>
        <w:ind w:right="0"/>
        <w:jc w:val="both"/>
      </w:pPr>
      <w:r>
        <w:rPr/>
        <w:t>规划获得批复，其中杭州和济南属于调整建设规划，项目里程达</w:t>
      </w:r>
      <w:r>
        <w:rPr>
          <w:spacing w:val="-59"/>
        </w:rPr>
        <w:t> </w:t>
      </w:r>
      <w:r>
        <w:rPr>
          <w:rFonts w:ascii="Times New Roman" w:hAnsi="Times New Roman" w:cs="Times New Roman" w:eastAsia="Times New Roman" w:hint="default"/>
          <w:spacing w:val="-3"/>
        </w:rPr>
        <w:t>1154</w:t>
      </w:r>
      <w:r>
        <w:rPr>
          <w:rFonts w:ascii="Times New Roman" w:hAnsi="Times New Roman" w:cs="Times New Roman" w:eastAsia="Times New Roman" w:hint="default"/>
          <w:spacing w:val="1"/>
        </w:rPr>
        <w:t> </w:t>
      </w:r>
      <w:r>
        <w:rPr/>
        <w:t>公里左右、投资额达</w:t>
      </w:r>
    </w:p>
    <w:p>
      <w:pPr>
        <w:pStyle w:val="BodyText"/>
        <w:spacing w:line="343" w:lineRule="auto" w:before="127"/>
        <w:ind w:right="1131"/>
        <w:jc w:val="both"/>
      </w:pPr>
      <w:r>
        <w:rPr>
          <w:rFonts w:ascii="Times New Roman" w:hAnsi="Times New Roman" w:cs="Times New Roman" w:eastAsia="Times New Roman" w:hint="default"/>
        </w:rPr>
        <w:t>9000</w:t>
      </w:r>
      <w:r>
        <w:rPr>
          <w:rFonts w:ascii="Times New Roman" w:hAnsi="Times New Roman" w:cs="Times New Roman" w:eastAsia="Times New Roman" w:hint="default"/>
          <w:spacing w:val="-21"/>
        </w:rPr>
        <w:t> </w:t>
      </w:r>
      <w:r>
        <w:rPr/>
        <w:t>亿元左右。城市轨道交通作为支撑城市正常运行的大动脉，近年来发展迅速。随着新型 城镇化、城市群建设进程的不断加快，城市轨道交通将逐步成为国民经济新的增长点。根据 </w:t>
      </w:r>
      <w:r>
        <w:rPr>
          <w:spacing w:val="-5"/>
          <w:w w:val="100"/>
        </w:rPr>
        <w:t>国务院印发的《</w:t>
      </w:r>
      <w:r>
        <w:rPr>
          <w:rFonts w:ascii="Times New Roman" w:hAnsi="Times New Roman" w:cs="Times New Roman" w:eastAsia="Times New Roman" w:hint="default"/>
          <w:spacing w:val="-5"/>
          <w:w w:val="100"/>
        </w:rPr>
        <w:t>“</w:t>
      </w:r>
      <w:r>
        <w:rPr>
          <w:spacing w:val="-5"/>
          <w:w w:val="100"/>
        </w:rPr>
        <w:t>十三五</w:t>
      </w:r>
      <w:r>
        <w:rPr>
          <w:rFonts w:ascii="Times New Roman" w:hAnsi="Times New Roman" w:cs="Times New Roman" w:eastAsia="Times New Roman" w:hint="default"/>
          <w:spacing w:val="-5"/>
          <w:w w:val="100"/>
        </w:rPr>
        <w:t>”</w:t>
      </w:r>
      <w:r>
        <w:rPr>
          <w:spacing w:val="-5"/>
          <w:w w:val="100"/>
        </w:rPr>
        <w:t>现代综合交通运输体系发展规划》，到</w:t>
      </w:r>
      <w:r>
        <w:rPr>
          <w:w w:val="10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6"/>
        </w:rPr>
        <w:t> </w:t>
      </w:r>
      <w:r>
        <w:rPr/>
        <w:t>年，中国城市轨道交通</w:t>
      </w:r>
    </w:p>
    <w:p>
      <w:pPr>
        <w:pStyle w:val="BodyText"/>
        <w:spacing w:line="240" w:lineRule="auto" w:before="13"/>
        <w:ind w:right="0"/>
        <w:jc w:val="both"/>
        <w:rPr>
          <w:rFonts w:ascii="Times New Roman" w:hAnsi="Times New Roman" w:cs="Times New Roman" w:eastAsia="Times New Roman" w:hint="default"/>
        </w:rPr>
      </w:pPr>
      <w:r>
        <w:rPr/>
        <w:t>运营里程将增长到</w:t>
      </w:r>
      <w:r>
        <w:rPr>
          <w:spacing w:val="-75"/>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5"/>
        </w:rPr>
        <w:t> </w:t>
      </w:r>
      <w:r>
        <w:rPr/>
        <w:t>公里，重要城市群核心城市间、核心城市与周边节点城市间实现</w:t>
      </w:r>
      <w:r>
        <w:rPr>
          <w:spacing w:val="-75"/>
        </w:rPr>
        <w:t> </w:t>
      </w:r>
      <w:r>
        <w:rPr>
          <w:rFonts w:ascii="Times New Roman" w:hAnsi="Times New Roman" w:cs="Times New Roman" w:eastAsia="Times New Roman" w:hint="default"/>
        </w:rPr>
        <w:t>1-2</w:t>
      </w:r>
    </w:p>
    <w:p>
      <w:pPr>
        <w:pStyle w:val="BodyText"/>
        <w:spacing w:line="240" w:lineRule="auto" w:before="128"/>
        <w:ind w:right="0"/>
        <w:jc w:val="both"/>
      </w:pPr>
      <w:r>
        <w:rPr/>
        <w:t>小时通达等目标和要求。</w:t>
      </w:r>
    </w:p>
    <w:p>
      <w:pPr>
        <w:pStyle w:val="BodyText"/>
        <w:spacing w:line="240" w:lineRule="auto" w:before="146"/>
        <w:ind w:left="634" w:right="0"/>
        <w:jc w:val="left"/>
      </w:pPr>
      <w:r>
        <w:rPr/>
        <w:t>据中国城市轨道交通协会统计，截至</w:t>
      </w:r>
      <w:r>
        <w:rPr>
          <w:spacing w:val="-60"/>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日，中国内地累计有</w:t>
      </w:r>
      <w:r>
        <w:rPr>
          <w:spacing w:val="-60"/>
        </w:rPr>
        <w:t> </w:t>
      </w:r>
      <w:r>
        <w:rPr>
          <w:rFonts w:ascii="Times New Roman" w:hAnsi="Times New Roman" w:cs="Times New Roman" w:eastAsia="Times New Roman" w:hint="default"/>
        </w:rPr>
        <w:t>35 </w:t>
      </w:r>
      <w:r>
        <w:rPr/>
        <w:t>个城市建</w:t>
      </w:r>
    </w:p>
    <w:p>
      <w:pPr>
        <w:pStyle w:val="BodyText"/>
        <w:spacing w:line="240" w:lineRule="auto" w:before="127"/>
        <w:ind w:right="0"/>
        <w:jc w:val="both"/>
      </w:pPr>
      <w:r>
        <w:rPr/>
        <w:t>成投运城轨交通线路</w:t>
      </w:r>
      <w:r>
        <w:rPr>
          <w:spacing w:val="-60"/>
        </w:rPr>
        <w:t> </w:t>
      </w:r>
      <w:r>
        <w:rPr>
          <w:rFonts w:ascii="Times New Roman" w:hAnsi="Times New Roman" w:cs="Times New Roman" w:eastAsia="Times New Roman" w:hint="default"/>
        </w:rPr>
        <w:t>5766.7 </w:t>
      </w:r>
      <w:r>
        <w:rPr/>
        <w:t>公里，</w:t>
      </w:r>
      <w:r>
        <w:rPr>
          <w:rFonts w:ascii="Times New Roman" w:hAnsi="Times New Roman" w:cs="Times New Roman" w:eastAsia="Times New Roman" w:hint="default"/>
        </w:rPr>
        <w:t>2018 </w:t>
      </w:r>
      <w:r>
        <w:rPr/>
        <w:t>年新增运营线路长度</w:t>
      </w:r>
      <w:r>
        <w:rPr>
          <w:spacing w:val="-60"/>
        </w:rPr>
        <w:t> </w:t>
      </w:r>
      <w:r>
        <w:rPr>
          <w:rFonts w:ascii="Times New Roman" w:hAnsi="Times New Roman" w:cs="Times New Roman" w:eastAsia="Times New Roman" w:hint="default"/>
        </w:rPr>
        <w:t>734.0 </w:t>
      </w:r>
      <w:r>
        <w:rPr/>
        <w:t>公里，新增</w:t>
      </w:r>
      <w:r>
        <w:rPr>
          <w:spacing w:val="-60"/>
        </w:rPr>
        <w:t> </w:t>
      </w:r>
      <w:r>
        <w:rPr>
          <w:rFonts w:ascii="Times New Roman" w:hAnsi="Times New Roman" w:cs="Times New Roman" w:eastAsia="Times New Roman" w:hint="default"/>
        </w:rPr>
        <w:t>22 </w:t>
      </w:r>
      <w:r>
        <w:rPr/>
        <w:t>条运营线</w:t>
      </w:r>
    </w:p>
    <w:p>
      <w:pPr>
        <w:pStyle w:val="BodyText"/>
        <w:spacing w:line="345" w:lineRule="auto" w:before="128"/>
        <w:ind w:right="1131"/>
        <w:jc w:val="both"/>
      </w:pPr>
      <w:r>
        <w:rPr>
          <w:spacing w:val="-3"/>
        </w:rPr>
        <w:t>路，新开延伸段</w:t>
      </w:r>
      <w:r>
        <w:rPr>
          <w:spacing w:val="-90"/>
        </w:rPr>
        <w:t> </w:t>
      </w:r>
      <w:r>
        <w:rPr>
          <w:rFonts w:ascii="Times New Roman" w:hAnsi="Times New Roman" w:cs="Times New Roman" w:eastAsia="Times New Roman" w:hint="default"/>
        </w:rPr>
        <w:t>14</w:t>
      </w:r>
      <w:r>
        <w:rPr>
          <w:rFonts w:ascii="Times New Roman" w:hAnsi="Times New Roman" w:cs="Times New Roman" w:eastAsia="Times New Roman" w:hint="default"/>
          <w:spacing w:val="-30"/>
        </w:rPr>
        <w:t> </w:t>
      </w:r>
      <w:r>
        <w:rPr/>
        <w:t>段。在经济发展新常态下，轨道交通作为国家重要的基础设施，是国家重 要投资方向，将继续发挥拉动经济发展的关键作用。各级地方政府也把轨道交通建设作为稳 增长的重要举措，把城市综合交通体系作为推动新型城镇化建设的重要内容，国内轨道交通 装备需求维持高位，行业发展形势总体向好。</w:t>
      </w:r>
    </w:p>
    <w:p>
      <w:pPr>
        <w:pStyle w:val="Heading2"/>
        <w:spacing w:line="240" w:lineRule="auto" w:before="40"/>
        <w:ind w:left="636" w:right="0"/>
        <w:jc w:val="left"/>
        <w:rPr>
          <w:b w:val="0"/>
          <w:bCs w:val="0"/>
        </w:rPr>
      </w:pPr>
      <w:r>
        <w:rPr/>
        <w:t>（三）公司所处的行业地位</w:t>
      </w:r>
      <w:r>
        <w:rPr>
          <w:b w:val="0"/>
          <w:bCs w:val="0"/>
        </w:rPr>
      </w:r>
    </w:p>
    <w:p>
      <w:pPr>
        <w:pStyle w:val="BodyText"/>
        <w:spacing w:line="343" w:lineRule="auto" w:before="145"/>
        <w:ind w:right="1131" w:firstLine="480"/>
        <w:jc w:val="both"/>
      </w:pPr>
      <w:r>
        <w:rPr>
          <w:rFonts w:ascii="Times New Roman" w:hAnsi="Times New Roman" w:cs="Times New Roman" w:eastAsia="Times New Roman" w:hint="default"/>
          <w:spacing w:val="-3"/>
        </w:rPr>
        <w:t>1</w:t>
      </w:r>
      <w:r>
        <w:rPr>
          <w:spacing w:val="-3"/>
        </w:rPr>
        <w:t>、国家铁路行业：监控产品线、综合运维信息化及运维装备产品线产品，在国家铁路行</w:t>
      </w:r>
      <w:r>
        <w:rPr/>
        <w:t> 业经过多年的积累，在技术上、标准影响度及品牌推广上具有优势地位，主要包括铁路信号 集中监测系统、铁路防灾安全监控系统、电务安全生产指挥系统及接触网水冲洗车等。</w:t>
      </w:r>
    </w:p>
    <w:p>
      <w:pPr>
        <w:pStyle w:val="BodyText"/>
        <w:spacing w:line="345" w:lineRule="auto" w:before="42"/>
        <w:ind w:right="1032" w:firstLine="480"/>
        <w:jc w:val="left"/>
      </w:pPr>
      <w:r>
        <w:rPr>
          <w:rFonts w:ascii="Times New Roman" w:hAnsi="Times New Roman" w:cs="Times New Roman" w:eastAsia="Times New Roman" w:hint="default"/>
        </w:rPr>
        <w:t>2</w:t>
      </w:r>
      <w:r>
        <w:rPr/>
        <w:t>、城市轨道交通行业：随着监控产品线在多个城市轨道交通项目中的逐步交付和开通， 公司已形成针对城市轨道交通行业的核心技术平台、项目交付管理、项目维护管理等核心能 力的积累和沉淀，借助公司区域优势和国铁方面的技术和经验积累，目前在河南区域内有较 强优势，在轨道交通行业有一定的优势。</w:t>
      </w:r>
    </w:p>
    <w:p>
      <w:pPr>
        <w:pStyle w:val="BodyText"/>
        <w:spacing w:line="240" w:lineRule="auto" w:before="41"/>
        <w:ind w:left="634" w:right="0"/>
        <w:jc w:val="left"/>
      </w:pPr>
      <w:r>
        <w:rPr/>
        <w:t>公司在提高现有系统和解决方案竞争力的同时，不断创造新价值和新服务，持续满足并</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484" w:lineRule="auto" w:before="199"/>
        <w:ind w:left="254" w:right="0" w:firstLine="0"/>
        <w:jc w:val="left"/>
        <w:rPr>
          <w:rFonts w:ascii="宋体" w:hAnsi="宋体" w:cs="宋体" w:eastAsia="宋体" w:hint="default"/>
          <w:sz w:val="24"/>
          <w:szCs w:val="24"/>
        </w:rPr>
      </w:pPr>
      <w:r>
        <w:rPr>
          <w:rFonts w:ascii="宋体" w:hAnsi="宋体" w:cs="宋体" w:eastAsia="宋体" w:hint="default"/>
          <w:spacing w:val="-3"/>
          <w:sz w:val="24"/>
          <w:szCs w:val="24"/>
        </w:rPr>
        <w:t>引导客户需求，增强与行业客户的粘性，深化与行业客户的合作，不断扩大公司的领先优势。</w:t>
      </w:r>
      <w:r>
        <w:rPr>
          <w:rFonts w:ascii="宋体" w:hAnsi="宋体" w:cs="宋体" w:eastAsia="宋体" w:hint="default"/>
          <w:spacing w:val="-81"/>
          <w:sz w:val="24"/>
          <w:szCs w:val="24"/>
        </w:rPr>
        <w:t> </w:t>
      </w:r>
      <w:r>
        <w:rPr>
          <w:rFonts w:ascii="宋体" w:hAnsi="宋体" w:cs="宋体" w:eastAsia="宋体" w:hint="default"/>
          <w:spacing w:val="-81"/>
          <w:sz w:val="24"/>
          <w:szCs w:val="24"/>
        </w:rPr>
      </w:r>
      <w:bookmarkStart w:name="二、主要资产重大变化情况" w:id="19"/>
      <w:bookmarkEnd w:id="19"/>
      <w:r>
        <w:rPr>
          <w:rFonts w:ascii="宋体" w:hAnsi="宋体" w:cs="宋体" w:eastAsia="宋体" w:hint="default"/>
          <w:spacing w:val="-81"/>
          <w:sz w:val="24"/>
          <w:szCs w:val="24"/>
        </w:rPr>
      </w:r>
      <w:r>
        <w:rPr>
          <w:rFonts w:ascii="宋体" w:hAnsi="宋体" w:cs="宋体" w:eastAsia="宋体" w:hint="default"/>
          <w:b/>
          <w:bCs/>
          <w:sz w:val="24"/>
          <w:szCs w:val="24"/>
        </w:rPr>
        <w:t>二、主要资产重大变化情况</w:t>
      </w:r>
      <w:r>
        <w:rPr>
          <w:rFonts w:ascii="宋体" w:hAnsi="宋体" w:cs="宋体" w:eastAsia="宋体" w:hint="default"/>
          <w:sz w:val="24"/>
          <w:szCs w:val="24"/>
        </w:rPr>
      </w:r>
    </w:p>
    <w:p>
      <w:pPr>
        <w:pStyle w:val="Heading2"/>
        <w:spacing w:line="240" w:lineRule="auto" w:before="179"/>
        <w:ind w:left="254"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15"/>
          <w:szCs w:val="15"/>
        </w:rPr>
      </w:pPr>
    </w:p>
    <w:tbl>
      <w:tblPr>
        <w:tblW w:w="0" w:type="auto"/>
        <w:jc w:val="left"/>
        <w:tblInd w:w="249" w:type="dxa"/>
        <w:tblLayout w:type="fixed"/>
        <w:tblCellMar>
          <w:top w:w="0" w:type="dxa"/>
          <w:left w:w="0" w:type="dxa"/>
          <w:bottom w:w="0" w:type="dxa"/>
          <w:right w:w="0" w:type="dxa"/>
        </w:tblCellMar>
        <w:tblLook w:val="01E0"/>
      </w:tblPr>
      <w:tblGrid>
        <w:gridCol w:w="1701"/>
        <w:gridCol w:w="7867"/>
      </w:tblGrid>
      <w:tr>
        <w:trPr>
          <w:trHeight w:val="763"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主要资产</w:t>
            </w:r>
          </w:p>
        </w:tc>
        <w:tc>
          <w:tcPr>
            <w:tcW w:w="7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3" w:right="21"/>
              <w:jc w:val="left"/>
              <w:rPr>
                <w:rFonts w:ascii="宋体" w:hAnsi="宋体" w:cs="宋体" w:eastAsia="宋体" w:hint="default"/>
                <w:sz w:val="21"/>
                <w:szCs w:val="21"/>
              </w:rPr>
            </w:pPr>
            <w:r>
              <w:rPr>
                <w:rFonts w:ascii="宋体" w:hAnsi="宋体" w:cs="宋体" w:eastAsia="宋体" w:hint="default"/>
                <w:sz w:val="21"/>
                <w:szCs w:val="21"/>
              </w:rPr>
              <w:t>在建工程本期期末余额比期初余额增长</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38.91%</w:t>
            </w:r>
            <w:r>
              <w:rPr>
                <w:rFonts w:ascii="宋体" w:hAnsi="宋体" w:cs="宋体" w:eastAsia="宋体" w:hint="default"/>
                <w:sz w:val="21"/>
                <w:szCs w:val="21"/>
              </w:rPr>
              <w:t>，主要原因系报告期内工程投入增加所 致。</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3" w:right="21"/>
              <w:jc w:val="left"/>
              <w:rPr>
                <w:rFonts w:ascii="宋体" w:hAnsi="宋体" w:cs="宋体" w:eastAsia="宋体" w:hint="default"/>
                <w:sz w:val="21"/>
                <w:szCs w:val="21"/>
              </w:rPr>
            </w:pPr>
            <w:r>
              <w:rPr>
                <w:rFonts w:ascii="宋体" w:hAnsi="宋体" w:cs="宋体" w:eastAsia="宋体" w:hint="default"/>
                <w:sz w:val="21"/>
                <w:szCs w:val="21"/>
              </w:rPr>
              <w:t>货币资金本期期末余额比期初余额下降</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44.98%</w:t>
            </w:r>
            <w:r>
              <w:rPr>
                <w:rFonts w:ascii="宋体" w:hAnsi="宋体" w:cs="宋体" w:eastAsia="宋体" w:hint="default"/>
                <w:sz w:val="21"/>
                <w:szCs w:val="21"/>
              </w:rPr>
              <w:t>，主要原因系报告期内购买理财产品所 致。</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3" w:right="96"/>
              <w:jc w:val="left"/>
              <w:rPr>
                <w:rFonts w:ascii="宋体" w:hAnsi="宋体" w:cs="宋体" w:eastAsia="宋体" w:hint="default"/>
                <w:sz w:val="21"/>
                <w:szCs w:val="21"/>
              </w:rPr>
            </w:pPr>
            <w:r>
              <w:rPr>
                <w:rFonts w:ascii="宋体" w:hAnsi="宋体" w:cs="宋体" w:eastAsia="宋体" w:hint="default"/>
                <w:sz w:val="21"/>
                <w:szCs w:val="21"/>
              </w:rPr>
              <w:t>预付账款本期期末余额比期初余额增长</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455.71%</w:t>
            </w:r>
            <w:r>
              <w:rPr>
                <w:rFonts w:ascii="宋体" w:hAnsi="宋体" w:cs="宋体" w:eastAsia="宋体" w:hint="default"/>
                <w:sz w:val="21"/>
                <w:szCs w:val="21"/>
              </w:rPr>
              <w:t>，主要原因系报告期内按采购合同规 定预付材料款增加所致。</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3" w:right="21"/>
              <w:jc w:val="left"/>
              <w:rPr>
                <w:rFonts w:ascii="宋体" w:hAnsi="宋体" w:cs="宋体" w:eastAsia="宋体" w:hint="default"/>
                <w:sz w:val="21"/>
                <w:szCs w:val="21"/>
              </w:rPr>
            </w:pPr>
            <w:r>
              <w:rPr>
                <w:rFonts w:ascii="宋体" w:hAnsi="宋体" w:cs="宋体" w:eastAsia="宋体" w:hint="default"/>
                <w:sz w:val="21"/>
                <w:szCs w:val="21"/>
              </w:rPr>
              <w:t>其他流动资产本期期末余额比期初余额增长</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3369.34%</w:t>
            </w:r>
            <w:r>
              <w:rPr>
                <w:rFonts w:ascii="宋体" w:hAnsi="宋体" w:cs="宋体" w:eastAsia="宋体" w:hint="default"/>
                <w:sz w:val="21"/>
                <w:szCs w:val="21"/>
              </w:rPr>
              <w:t>，主要原因系报告期内购买理财 产品所致。</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3" w:right="21"/>
              <w:jc w:val="left"/>
              <w:rPr>
                <w:rFonts w:ascii="宋体" w:hAnsi="宋体" w:cs="宋体" w:eastAsia="宋体" w:hint="default"/>
                <w:sz w:val="21"/>
                <w:szCs w:val="21"/>
              </w:rPr>
            </w:pPr>
            <w:r>
              <w:rPr>
                <w:rFonts w:ascii="宋体" w:hAnsi="宋体" w:cs="宋体" w:eastAsia="宋体" w:hint="default"/>
                <w:sz w:val="21"/>
                <w:szCs w:val="21"/>
              </w:rPr>
              <w:t>商誉账面价值本期期末余额比期初下降</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86.82%</w:t>
            </w:r>
            <w:r>
              <w:rPr>
                <w:rFonts w:ascii="宋体" w:hAnsi="宋体" w:cs="宋体" w:eastAsia="宋体" w:hint="default"/>
                <w:sz w:val="21"/>
                <w:szCs w:val="21"/>
              </w:rPr>
              <w:t>，主要原因系报告期内计提商誉减值所 致。</w:t>
            </w:r>
          </w:p>
        </w:tc>
      </w:tr>
      <w:tr>
        <w:trPr>
          <w:trHeight w:val="716"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3" w:right="21"/>
              <w:jc w:val="left"/>
              <w:rPr>
                <w:rFonts w:ascii="宋体" w:hAnsi="宋体" w:cs="宋体" w:eastAsia="宋体" w:hint="default"/>
                <w:sz w:val="21"/>
                <w:szCs w:val="21"/>
              </w:rPr>
            </w:pPr>
            <w:r>
              <w:rPr>
                <w:rFonts w:ascii="宋体" w:hAnsi="宋体" w:cs="宋体" w:eastAsia="宋体" w:hint="default"/>
                <w:sz w:val="21"/>
                <w:szCs w:val="21"/>
              </w:rPr>
              <w:t>其他非流动资产本期期末余额比期初余额增长</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1162.76%</w:t>
            </w:r>
            <w:r>
              <w:rPr>
                <w:rFonts w:ascii="宋体" w:hAnsi="宋体" w:cs="宋体" w:eastAsia="宋体" w:hint="default"/>
                <w:sz w:val="21"/>
                <w:szCs w:val="21"/>
              </w:rPr>
              <w:t>，主要原因系报告期内预付工 程及设备款增加所致。</w:t>
            </w:r>
          </w:p>
        </w:tc>
      </w:tr>
    </w:tbl>
    <w:p>
      <w:pPr>
        <w:spacing w:line="240" w:lineRule="auto" w:before="10"/>
        <w:rPr>
          <w:rFonts w:ascii="宋体" w:hAnsi="宋体" w:cs="宋体" w:eastAsia="宋体" w:hint="default"/>
          <w:b/>
          <w:bCs/>
          <w:sz w:val="4"/>
          <w:szCs w:val="4"/>
        </w:rPr>
      </w:pPr>
    </w:p>
    <w:p>
      <w:pPr>
        <w:pStyle w:val="Heading2"/>
        <w:spacing w:line="240" w:lineRule="auto"/>
        <w:ind w:left="254"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1"/>
          <w:szCs w:val="21"/>
        </w:rPr>
      </w:pPr>
    </w:p>
    <w:p>
      <w:pPr>
        <w:spacing w:line="458" w:lineRule="auto" w:before="0"/>
        <w:ind w:left="254" w:right="6427"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三、核心竞争力分析" w:id="20"/>
      <w:bookmarkEnd w:id="20"/>
      <w:r>
        <w:rPr>
          <w:rFonts w:ascii="宋体" w:hAnsi="宋体" w:cs="宋体" w:eastAsia="宋体" w:hint="default"/>
          <w:sz w:val="24"/>
          <w:szCs w:val="24"/>
        </w:rPr>
      </w:r>
      <w:r>
        <w:rPr>
          <w:rFonts w:ascii="宋体" w:hAnsi="宋体" w:cs="宋体" w:eastAsia="宋体" w:hint="default"/>
          <w:b/>
          <w:bCs/>
          <w:sz w:val="24"/>
          <w:szCs w:val="24"/>
        </w:rPr>
        <w:t>三、核心竞争力分析</w:t>
      </w:r>
      <w:r>
        <w:rPr>
          <w:rFonts w:ascii="宋体" w:hAnsi="宋体" w:cs="宋体" w:eastAsia="宋体" w:hint="default"/>
          <w:sz w:val="24"/>
          <w:szCs w:val="24"/>
        </w:rPr>
      </w:r>
    </w:p>
    <w:p>
      <w:pPr>
        <w:pStyle w:val="BodyText"/>
        <w:spacing w:line="352" w:lineRule="auto" w:before="205"/>
        <w:ind w:left="734" w:right="6192"/>
        <w:jc w:val="left"/>
      </w:pPr>
      <w:r>
        <w:rPr/>
        <w:t>公司是否需要遵守特殊行业的披露要求 是</w:t>
      </w:r>
    </w:p>
    <w:p>
      <w:pPr>
        <w:pStyle w:val="BodyText"/>
        <w:spacing w:line="240" w:lineRule="auto" w:before="32"/>
        <w:ind w:left="734" w:right="0"/>
        <w:jc w:val="left"/>
      </w:pPr>
      <w:r>
        <w:rPr/>
        <w:t>软件与信息技术服务业</w:t>
      </w:r>
    </w:p>
    <w:p>
      <w:pPr>
        <w:pStyle w:val="BodyText"/>
        <w:spacing w:line="240" w:lineRule="auto" w:before="145"/>
        <w:ind w:left="734" w:right="0"/>
        <w:jc w:val="left"/>
      </w:pPr>
      <w:r>
        <w:rPr>
          <w:rFonts w:ascii="Times New Roman" w:hAnsi="Times New Roman" w:cs="Times New Roman" w:eastAsia="Times New Roman" w:hint="default"/>
        </w:rPr>
        <w:t>1</w:t>
      </w:r>
      <w:r>
        <w:rPr/>
        <w:t>、专利情况</w:t>
      </w:r>
    </w:p>
    <w:p>
      <w:pPr>
        <w:pStyle w:val="BodyText"/>
        <w:spacing w:line="240" w:lineRule="auto" w:before="128"/>
        <w:ind w:left="734" w:right="0"/>
        <w:jc w:val="left"/>
      </w:pPr>
      <w:r>
        <w:rPr/>
        <w:t>报告期内，公司共有</w:t>
      </w:r>
      <w:r>
        <w:rPr>
          <w:spacing w:val="-65"/>
        </w:rPr>
        <w:t> </w:t>
      </w:r>
      <w:r>
        <w:rPr>
          <w:rFonts w:ascii="Times New Roman" w:hAnsi="Times New Roman" w:cs="Times New Roman" w:eastAsia="Times New Roman" w:hint="default"/>
        </w:rPr>
        <w:t>83</w:t>
      </w:r>
      <w:r>
        <w:rPr>
          <w:rFonts w:ascii="Times New Roman" w:hAnsi="Times New Roman" w:cs="Times New Roman" w:eastAsia="Times New Roman" w:hint="default"/>
          <w:spacing w:val="-5"/>
        </w:rPr>
        <w:t> </w:t>
      </w:r>
      <w:r>
        <w:rPr/>
        <w:t>项专利获得授权，其中发明专利</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项；</w:t>
      </w:r>
      <w:r>
        <w:rPr>
          <w:rFonts w:ascii="Times New Roman" w:hAnsi="Times New Roman" w:cs="Times New Roman" w:eastAsia="Times New Roman" w:hint="default"/>
        </w:rPr>
        <w:t>42</w:t>
      </w:r>
      <w:r>
        <w:rPr>
          <w:rFonts w:ascii="Times New Roman" w:hAnsi="Times New Roman" w:cs="Times New Roman" w:eastAsia="Times New Roman" w:hint="default"/>
          <w:spacing w:val="-5"/>
        </w:rPr>
        <w:t> </w:t>
      </w:r>
      <w:r>
        <w:rPr/>
        <w:t>项专利获得受理，其</w:t>
      </w:r>
    </w:p>
    <w:p>
      <w:pPr>
        <w:pStyle w:val="BodyText"/>
        <w:spacing w:line="240" w:lineRule="auto" w:before="127"/>
        <w:ind w:left="254" w:right="0"/>
        <w:jc w:val="left"/>
      </w:pPr>
      <w:r>
        <w:rPr/>
        <w:t>中发明专利</w:t>
      </w:r>
      <w:r>
        <w:rPr>
          <w:spacing w:val="-60"/>
        </w:rPr>
        <w:t> </w:t>
      </w:r>
      <w:r>
        <w:rPr>
          <w:rFonts w:ascii="Times New Roman" w:hAnsi="Times New Roman" w:cs="Times New Roman" w:eastAsia="Times New Roman" w:hint="default"/>
        </w:rPr>
        <w:t>13 </w:t>
      </w:r>
      <w:r>
        <w:rPr/>
        <w:t>项。</w:t>
      </w:r>
    </w:p>
    <w:p>
      <w:pPr>
        <w:spacing w:line="240" w:lineRule="auto" w:before="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557"/>
        <w:gridCol w:w="3403"/>
        <w:gridCol w:w="992"/>
        <w:gridCol w:w="991"/>
        <w:gridCol w:w="1613"/>
        <w:gridCol w:w="1184"/>
        <w:gridCol w:w="1159"/>
      </w:tblGrid>
      <w:tr>
        <w:trPr>
          <w:trHeight w:val="654" w:hRule="exact"/>
        </w:trPr>
        <w:tc>
          <w:tcPr>
            <w:tcW w:w="99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258" w:right="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2018</w:t>
            </w:r>
            <w:r>
              <w:rPr>
                <w:rFonts w:ascii="宋体" w:hAnsi="宋体" w:cs="宋体" w:eastAsia="宋体" w:hint="default"/>
                <w:b/>
                <w:bCs/>
                <w:sz w:val="28"/>
                <w:szCs w:val="28"/>
              </w:rPr>
              <w:t>年专利授权情况一览表</w:t>
            </w:r>
            <w:r>
              <w:rPr>
                <w:rFonts w:ascii="宋体" w:hAnsi="宋体" w:cs="宋体" w:eastAsia="宋体" w:hint="default"/>
                <w:sz w:val="28"/>
                <w:szCs w:val="28"/>
              </w:rPr>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申请日期</w:t>
            </w:r>
            <w:r>
              <w:rPr>
                <w:rFonts w:ascii="宋体" w:hAnsi="宋体" w:cs="宋体" w:eastAsia="宋体" w:hint="default"/>
                <w:sz w:val="21"/>
                <w:szCs w:val="21"/>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公告日期</w:t>
            </w:r>
            <w:r>
              <w:rPr>
                <w:rFonts w:ascii="宋体" w:hAnsi="宋体" w:cs="宋体" w:eastAsia="宋体" w:hint="default"/>
                <w:sz w:val="21"/>
                <w:szCs w:val="21"/>
              </w:rPr>
            </w:r>
          </w:p>
        </w:tc>
      </w:tr>
      <w:tr>
        <w:trPr>
          <w:trHeight w:val="65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1</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184"/>
              <w:jc w:val="left"/>
              <w:rPr>
                <w:rFonts w:ascii="宋体" w:hAnsi="宋体" w:cs="宋体" w:eastAsia="宋体" w:hint="default"/>
                <w:sz w:val="20"/>
                <w:szCs w:val="20"/>
              </w:rPr>
            </w:pPr>
            <w:r>
              <w:rPr>
                <w:rFonts w:ascii="宋体" w:hAnsi="宋体" w:cs="宋体" w:eastAsia="宋体" w:hint="default"/>
                <w:sz w:val="20"/>
                <w:szCs w:val="20"/>
              </w:rPr>
              <w:t>一种城市轨道交通检票机通行功能测</w:t>
            </w:r>
            <w:r>
              <w:rPr>
                <w:rFonts w:ascii="宋体" w:hAnsi="宋体" w:cs="宋体" w:eastAsia="宋体" w:hint="default"/>
                <w:w w:val="100"/>
                <w:sz w:val="20"/>
                <w:szCs w:val="20"/>
              </w:rPr>
              <w:t> </w:t>
            </w:r>
            <w:r>
              <w:rPr>
                <w:rFonts w:ascii="宋体" w:hAnsi="宋体" w:cs="宋体" w:eastAsia="宋体" w:hint="default"/>
                <w:sz w:val="20"/>
                <w:szCs w:val="20"/>
              </w:rPr>
              <w:t>试系统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201720651622X</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2017.6.7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2018.1.16</w:t>
            </w:r>
          </w:p>
        </w:tc>
      </w:tr>
      <w:tr>
        <w:trPr>
          <w:trHeight w:val="343"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2</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一种铁路道岔融雪设备上使用的智能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2017213688339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2017.10.23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2018.5.22</w:t>
            </w:r>
          </w:p>
        </w:tc>
      </w:tr>
    </w:tbl>
    <w:p>
      <w:pPr>
        <w:spacing w:after="0" w:line="240" w:lineRule="auto"/>
        <w:jc w:val="center"/>
        <w:rPr>
          <w:rFonts w:ascii="Times New Roman" w:hAnsi="Times New Roman" w:cs="Times New Roman" w:eastAsia="Times New Roman" w:hint="default"/>
          <w:sz w:val="20"/>
          <w:szCs w:val="20"/>
        </w:rPr>
        <w:sectPr>
          <w:pgSz w:w="11910" w:h="16840"/>
          <w:pgMar w:header="747" w:footer="979"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557"/>
        <w:gridCol w:w="3403"/>
        <w:gridCol w:w="992"/>
        <w:gridCol w:w="991"/>
        <w:gridCol w:w="1613"/>
        <w:gridCol w:w="1184"/>
        <w:gridCol w:w="1159"/>
      </w:tblGrid>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功率控制装置</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3" w:right="0"/>
              <w:jc w:val="left"/>
              <w:rPr>
                <w:rFonts w:ascii="Times New Roman" w:hAnsi="Times New Roman" w:cs="Times New Roman" w:eastAsia="Times New Roman" w:hint="default"/>
                <w:sz w:val="20"/>
                <w:szCs w:val="20"/>
              </w:rPr>
            </w:pPr>
            <w:r>
              <w:rPr>
                <w:rFonts w:ascii="Times New Roman"/>
                <w:w w:val="100"/>
                <w:sz w:val="20"/>
              </w:rPr>
              <w:t>3</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184"/>
              <w:jc w:val="left"/>
              <w:rPr>
                <w:rFonts w:ascii="宋体" w:hAnsi="宋体" w:cs="宋体" w:eastAsia="宋体" w:hint="default"/>
                <w:sz w:val="20"/>
                <w:szCs w:val="20"/>
              </w:rPr>
            </w:pPr>
            <w:r>
              <w:rPr>
                <w:rFonts w:ascii="宋体" w:hAnsi="宋体" w:cs="宋体" w:eastAsia="宋体" w:hint="default"/>
                <w:sz w:val="20"/>
                <w:szCs w:val="20"/>
              </w:rPr>
              <w:t>一种轨道交通设备防冲洗的智能监测</w:t>
            </w:r>
            <w:r>
              <w:rPr>
                <w:rFonts w:ascii="宋体" w:hAnsi="宋体" w:cs="宋体" w:eastAsia="宋体" w:hint="default"/>
                <w:w w:val="100"/>
                <w:sz w:val="20"/>
                <w:szCs w:val="20"/>
              </w:rPr>
              <w:t> </w:t>
            </w:r>
            <w:r>
              <w:rPr>
                <w:rFonts w:ascii="宋体" w:hAnsi="宋体" w:cs="宋体" w:eastAsia="宋体" w:hint="default"/>
                <w:sz w:val="20"/>
                <w:szCs w:val="20"/>
              </w:rPr>
              <w:t>保护装置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2017213560392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2017.10.20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2018.6.12</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3" w:right="0"/>
              <w:jc w:val="left"/>
              <w:rPr>
                <w:rFonts w:ascii="Times New Roman" w:hAnsi="Times New Roman" w:cs="Times New Roman" w:eastAsia="Times New Roman" w:hint="default"/>
                <w:sz w:val="20"/>
                <w:szCs w:val="20"/>
              </w:rPr>
            </w:pPr>
            <w:r>
              <w:rPr>
                <w:rFonts w:ascii="Times New Roman"/>
                <w:w w:val="100"/>
                <w:sz w:val="20"/>
              </w:rPr>
              <w:t>4</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一种双泵合流水冲洗系统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2017213560369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2017.10.20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2018.6.12</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3" w:right="0"/>
              <w:jc w:val="left"/>
              <w:rPr>
                <w:rFonts w:ascii="Times New Roman" w:hAnsi="Times New Roman" w:cs="Times New Roman" w:eastAsia="Times New Roman" w:hint="default"/>
                <w:sz w:val="20"/>
                <w:szCs w:val="20"/>
              </w:rPr>
            </w:pPr>
            <w:r>
              <w:rPr>
                <w:rFonts w:ascii="Times New Roman"/>
                <w:w w:val="100"/>
                <w:sz w:val="20"/>
              </w:rPr>
              <w:t>5</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一种单泵多喷嘴水冲洗系统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2017213562951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2017.10.20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2018.6.12</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3" w:right="0"/>
              <w:jc w:val="left"/>
              <w:rPr>
                <w:rFonts w:ascii="Times New Roman" w:hAnsi="Times New Roman" w:cs="Times New Roman" w:eastAsia="Times New Roman" w:hint="default"/>
                <w:sz w:val="20"/>
                <w:szCs w:val="20"/>
              </w:rPr>
            </w:pPr>
            <w:r>
              <w:rPr>
                <w:rFonts w:ascii="Times New Roman"/>
                <w:w w:val="100"/>
                <w:sz w:val="20"/>
              </w:rPr>
              <w:t>6</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一种铁路线路障碍自动监测系统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2017213591691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2017.10.20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20"/>
                <w:szCs w:val="20"/>
              </w:rPr>
            </w:pPr>
            <w:r>
              <w:rPr>
                <w:rFonts w:ascii="Times New Roman"/>
                <w:sz w:val="20"/>
              </w:rPr>
              <w:t>2018.7.3</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3" w:right="0"/>
              <w:jc w:val="left"/>
              <w:rPr>
                <w:rFonts w:ascii="Times New Roman" w:hAnsi="Times New Roman" w:cs="Times New Roman" w:eastAsia="Times New Roman" w:hint="default"/>
                <w:sz w:val="20"/>
                <w:szCs w:val="20"/>
              </w:rPr>
            </w:pPr>
            <w:r>
              <w:rPr>
                <w:rFonts w:ascii="Times New Roman"/>
                <w:w w:val="100"/>
                <w:sz w:val="20"/>
              </w:rPr>
              <w:t>7</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道岔融雪变压器箱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2017213971402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2017.10.27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20"/>
                <w:szCs w:val="20"/>
              </w:rPr>
            </w:pPr>
            <w:r>
              <w:rPr>
                <w:rFonts w:ascii="Times New Roman"/>
                <w:sz w:val="20"/>
              </w:rPr>
              <w:t>2018.7.3</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3" w:right="0"/>
              <w:jc w:val="left"/>
              <w:rPr>
                <w:rFonts w:ascii="Times New Roman" w:hAnsi="Times New Roman" w:cs="Times New Roman" w:eastAsia="Times New Roman" w:hint="default"/>
                <w:sz w:val="20"/>
                <w:szCs w:val="20"/>
              </w:rPr>
            </w:pPr>
            <w:r>
              <w:rPr>
                <w:rFonts w:ascii="Times New Roman"/>
                <w:w w:val="100"/>
                <w:sz w:val="20"/>
              </w:rPr>
              <w:t>8</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一种地面应答器仿真装置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201721397259X</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2017.10.27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20"/>
                <w:szCs w:val="20"/>
              </w:rPr>
            </w:pPr>
            <w:r>
              <w:rPr>
                <w:rFonts w:ascii="Times New Roman"/>
                <w:sz w:val="20"/>
              </w:rPr>
              <w:t>2018.7.3</w:t>
            </w:r>
          </w:p>
        </w:tc>
      </w:tr>
      <w:tr>
        <w:trPr>
          <w:trHeight w:val="65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3" w:right="0"/>
              <w:jc w:val="left"/>
              <w:rPr>
                <w:rFonts w:ascii="Times New Roman" w:hAnsi="Times New Roman" w:cs="Times New Roman" w:eastAsia="Times New Roman" w:hint="default"/>
                <w:sz w:val="20"/>
                <w:szCs w:val="20"/>
              </w:rPr>
            </w:pPr>
            <w:r>
              <w:rPr>
                <w:rFonts w:ascii="Times New Roman"/>
                <w:w w:val="100"/>
                <w:sz w:val="20"/>
              </w:rPr>
              <w:t>9</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184"/>
              <w:jc w:val="left"/>
              <w:rPr>
                <w:rFonts w:ascii="宋体" w:hAnsi="宋体" w:cs="宋体" w:eastAsia="宋体" w:hint="default"/>
                <w:sz w:val="20"/>
                <w:szCs w:val="20"/>
              </w:rPr>
            </w:pPr>
            <w:r>
              <w:rPr>
                <w:rFonts w:ascii="宋体" w:hAnsi="宋体" w:cs="宋体" w:eastAsia="宋体" w:hint="default"/>
                <w:sz w:val="20"/>
                <w:szCs w:val="20"/>
              </w:rPr>
              <w:t>基于无线传感网络的铁路防灾安全监</w:t>
            </w:r>
            <w:r>
              <w:rPr>
                <w:rFonts w:ascii="宋体" w:hAnsi="宋体" w:cs="宋体" w:eastAsia="宋体" w:hint="default"/>
                <w:w w:val="100"/>
                <w:sz w:val="20"/>
                <w:szCs w:val="20"/>
              </w:rPr>
              <w:t> </w:t>
            </w:r>
            <w:r>
              <w:rPr>
                <w:rFonts w:ascii="宋体" w:hAnsi="宋体" w:cs="宋体" w:eastAsia="宋体" w:hint="default"/>
                <w:sz w:val="20"/>
                <w:szCs w:val="20"/>
              </w:rPr>
              <w:t>控系统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2017218659012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65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10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184"/>
              <w:jc w:val="left"/>
              <w:rPr>
                <w:rFonts w:ascii="宋体" w:hAnsi="宋体" w:cs="宋体" w:eastAsia="宋体" w:hint="default"/>
                <w:sz w:val="20"/>
                <w:szCs w:val="20"/>
              </w:rPr>
            </w:pPr>
            <w:r>
              <w:rPr>
                <w:rFonts w:ascii="宋体" w:hAnsi="宋体" w:cs="宋体" w:eastAsia="宋体" w:hint="default"/>
                <w:sz w:val="20"/>
                <w:szCs w:val="20"/>
              </w:rPr>
              <w:t>用于移频轨道电路的综合信息监测系</w:t>
            </w:r>
            <w:r>
              <w:rPr>
                <w:rFonts w:ascii="宋体" w:hAnsi="宋体" w:cs="宋体" w:eastAsia="宋体" w:hint="default"/>
                <w:w w:val="100"/>
                <w:sz w:val="20"/>
                <w:szCs w:val="20"/>
              </w:rPr>
              <w:t> </w:t>
            </w:r>
            <w:r>
              <w:rPr>
                <w:rFonts w:ascii="宋体" w:hAnsi="宋体" w:cs="宋体" w:eastAsia="宋体" w:hint="default"/>
                <w:sz w:val="20"/>
                <w:szCs w:val="20"/>
              </w:rPr>
              <w:t>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2017217311539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2017.12.13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65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11</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153"/>
              <w:jc w:val="left"/>
              <w:rPr>
                <w:rFonts w:ascii="宋体" w:hAnsi="宋体" w:cs="宋体" w:eastAsia="宋体" w:hint="default"/>
                <w:sz w:val="20"/>
                <w:szCs w:val="20"/>
              </w:rPr>
            </w:pPr>
            <w:r>
              <w:rPr>
                <w:rFonts w:ascii="宋体" w:hAnsi="宋体" w:cs="宋体" w:eastAsia="宋体" w:hint="default"/>
                <w:sz w:val="20"/>
                <w:szCs w:val="20"/>
              </w:rPr>
              <w:t>基于</w:t>
            </w:r>
            <w:r>
              <w:rPr>
                <w:rFonts w:ascii="Times New Roman" w:hAnsi="Times New Roman" w:cs="Times New Roman" w:eastAsia="Times New Roman" w:hint="default"/>
                <w:sz w:val="20"/>
                <w:szCs w:val="20"/>
              </w:rPr>
              <w:t>STM32</w:t>
            </w:r>
            <w:r>
              <w:rPr>
                <w:rFonts w:ascii="宋体" w:hAnsi="宋体" w:cs="宋体" w:eastAsia="宋体" w:hint="default"/>
                <w:sz w:val="20"/>
                <w:szCs w:val="20"/>
              </w:rPr>
              <w:t>处理器实现的</w:t>
            </w:r>
            <w:r>
              <w:rPr>
                <w:rFonts w:ascii="Times New Roman" w:hAnsi="Times New Roman" w:cs="Times New Roman" w:eastAsia="Times New Roman" w:hint="default"/>
                <w:sz w:val="20"/>
                <w:szCs w:val="20"/>
              </w:rPr>
              <w:t>CAN</w:t>
            </w:r>
            <w:r>
              <w:rPr>
                <w:rFonts w:ascii="宋体" w:hAnsi="宋体" w:cs="宋体" w:eastAsia="宋体" w:hint="default"/>
                <w:sz w:val="20"/>
                <w:szCs w:val="20"/>
              </w:rPr>
              <w:t>总线中</w:t>
            </w:r>
            <w:r>
              <w:rPr>
                <w:rFonts w:ascii="宋体" w:hAnsi="宋体" w:cs="宋体" w:eastAsia="宋体" w:hint="default"/>
                <w:w w:val="100"/>
                <w:sz w:val="20"/>
                <w:szCs w:val="20"/>
              </w:rPr>
              <w:t> </w:t>
            </w:r>
            <w:r>
              <w:rPr>
                <w:rFonts w:ascii="宋体" w:hAnsi="宋体" w:cs="宋体" w:eastAsia="宋体" w:hint="default"/>
                <w:sz w:val="20"/>
                <w:szCs w:val="20"/>
              </w:rPr>
              <w:t>继装置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2017217320519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2017.12.13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12</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STP</w:t>
            </w:r>
            <w:r>
              <w:rPr>
                <w:rFonts w:ascii="宋体" w:hAnsi="宋体" w:cs="宋体" w:eastAsia="宋体" w:hint="default"/>
                <w:sz w:val="20"/>
                <w:szCs w:val="20"/>
              </w:rPr>
              <w:t>车载主机板卡检测仪</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2017217327823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2017.12.13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13</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一种火车上的智能照明系统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2017218659027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14</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火车紧急制动装置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2017218618775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15</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转辙机用主油缸轴承支撑结构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2017219147401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2017.12.31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2018.8.28</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16</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验证转辙机动作杆轴向锁紧力试验台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2017219237696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2017.12.31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2018.8.28</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17</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线圈引出线自动化焊接装置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201721920464X</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2017.12.31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2018.8.28</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18</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转辙机挤切断电保护装置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2017219206819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2017.12.31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2018.8.28</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19</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转辙机用液压油路板式连接结构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2017219147929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2017.12.31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2018.8.28</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20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液压转辙机用换油装置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2017219147670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2017.12.31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2018.8.28</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21</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转辙机用研磨试验台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2017219147581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2017.12.31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2018.8.28</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22</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一种地铁站台乘客上车引导系统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2017218590089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2018.10.12</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23</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一种隧道清洗装置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2018205756517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2018.4.20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2018.10.16</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24</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一种地铁站台入侵者识别系统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201721860338X</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2018.11.27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25</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火车轨道异物入侵检测装置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2017218659008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2018.11.27</w:t>
            </w:r>
          </w:p>
        </w:tc>
      </w:tr>
      <w:tr>
        <w:trPr>
          <w:trHeight w:val="65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26</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184"/>
              <w:jc w:val="left"/>
              <w:rPr>
                <w:rFonts w:ascii="宋体" w:hAnsi="宋体" w:cs="宋体" w:eastAsia="宋体" w:hint="default"/>
                <w:sz w:val="20"/>
                <w:szCs w:val="20"/>
              </w:rPr>
            </w:pPr>
            <w:r>
              <w:rPr>
                <w:rFonts w:ascii="宋体" w:hAnsi="宋体" w:cs="宋体" w:eastAsia="宋体" w:hint="default"/>
                <w:sz w:val="20"/>
                <w:szCs w:val="20"/>
              </w:rPr>
              <w:t>一种蓄电池健康状态变化趋势综合监</w:t>
            </w:r>
            <w:r>
              <w:rPr>
                <w:rFonts w:ascii="宋体" w:hAnsi="宋体" w:cs="宋体" w:eastAsia="宋体" w:hint="default"/>
                <w:w w:val="100"/>
                <w:sz w:val="20"/>
                <w:szCs w:val="20"/>
              </w:rPr>
              <w:t> </w:t>
            </w:r>
            <w:r>
              <w:rPr>
                <w:rFonts w:ascii="宋体" w:hAnsi="宋体" w:cs="宋体" w:eastAsia="宋体" w:hint="default"/>
                <w:sz w:val="20"/>
                <w:szCs w:val="20"/>
              </w:rPr>
              <w:t>测装置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2018203937058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2018.03.22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2018.11.20</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27</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一种水冲洗车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2018205719804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2018.4.20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2018.11.27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28</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一种水炮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2018205781434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2018.4.20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2018.11.27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29</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防灾监控机柜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2017306707631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30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机械式雨量计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2017306679449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31</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数据远程传输单元箱体</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2017306672967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32</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13"/>
              <w:jc w:val="left"/>
              <w:rPr>
                <w:rFonts w:ascii="宋体" w:hAnsi="宋体" w:cs="宋体" w:eastAsia="宋体" w:hint="default"/>
                <w:sz w:val="20"/>
                <w:szCs w:val="20"/>
              </w:rPr>
            </w:pPr>
            <w:r>
              <w:rPr>
                <w:rFonts w:ascii="宋体" w:hAnsi="宋体" w:cs="宋体" w:eastAsia="宋体" w:hint="default"/>
                <w:sz w:val="20"/>
                <w:szCs w:val="20"/>
              </w:rPr>
              <w:t>防尘棉机构件（标准机柜服务器专用）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2017306737548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33</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综合诊断测试仪（</w:t>
            </w:r>
            <w:r>
              <w:rPr>
                <w:rFonts w:ascii="Times New Roman" w:hAnsi="Times New Roman" w:cs="Times New Roman" w:eastAsia="Times New Roman" w:hint="default"/>
                <w:sz w:val="20"/>
                <w:szCs w:val="20"/>
              </w:rPr>
              <w:t>STP</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2017306705142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34</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车载主机（</w:t>
            </w:r>
            <w:r>
              <w:rPr>
                <w:rFonts w:ascii="Times New Roman" w:hAnsi="Times New Roman" w:cs="Times New Roman" w:eastAsia="Times New Roman" w:hint="default"/>
                <w:sz w:val="20"/>
                <w:szCs w:val="20"/>
              </w:rPr>
              <w:t>STP-HH</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2017306714762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65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35</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3"/>
              <w:jc w:val="left"/>
              <w:rPr>
                <w:rFonts w:ascii="宋体" w:hAnsi="宋体" w:cs="宋体" w:eastAsia="宋体" w:hint="default"/>
                <w:sz w:val="20"/>
                <w:szCs w:val="20"/>
              </w:rPr>
            </w:pPr>
            <w:r>
              <w:rPr>
                <w:rFonts w:ascii="宋体" w:hAnsi="宋体" w:cs="宋体" w:eastAsia="宋体" w:hint="default"/>
                <w:spacing w:val="-2"/>
                <w:sz w:val="20"/>
                <w:szCs w:val="20"/>
              </w:rPr>
              <w:t>电脑的图形用户界面（地铁票务管理终</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2017306704417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36</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锁加固结构（机房门禁系统专用）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2017306704436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bl>
    <w:p>
      <w:pPr>
        <w:spacing w:after="0" w:line="240" w:lineRule="auto"/>
        <w:jc w:val="right"/>
        <w:rPr>
          <w:rFonts w:ascii="Times New Roman" w:hAnsi="Times New Roman" w:cs="Times New Roman" w:eastAsia="Times New Roman" w:hint="default"/>
          <w:sz w:val="20"/>
          <w:szCs w:val="20"/>
        </w:rPr>
        <w:sectPr>
          <w:pgSz w:w="11910" w:h="16840"/>
          <w:pgMar w:header="747" w:footer="979"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557"/>
        <w:gridCol w:w="3403"/>
        <w:gridCol w:w="992"/>
        <w:gridCol w:w="991"/>
        <w:gridCol w:w="1613"/>
        <w:gridCol w:w="1184"/>
        <w:gridCol w:w="1159"/>
      </w:tblGrid>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37</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实验展柜（</w:t>
            </w:r>
            <w:r>
              <w:rPr>
                <w:rFonts w:ascii="Times New Roman" w:hAnsi="Times New Roman" w:cs="Times New Roman" w:eastAsia="Times New Roman" w:hint="default"/>
                <w:sz w:val="20"/>
                <w:szCs w:val="20"/>
              </w:rPr>
              <w:t>FAS</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2017306707449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38</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电脑的图形用户界面（</w:t>
            </w:r>
            <w:r>
              <w:rPr>
                <w:rFonts w:ascii="Times New Roman" w:hAnsi="Times New Roman" w:cs="Times New Roman" w:eastAsia="Times New Roman" w:hint="default"/>
                <w:sz w:val="20"/>
                <w:szCs w:val="20"/>
              </w:rPr>
              <w:t>ACC</w:t>
            </w:r>
            <w:r>
              <w:rPr>
                <w:rFonts w:ascii="宋体" w:hAnsi="宋体" w:cs="宋体" w:eastAsia="宋体" w:hint="default"/>
                <w:sz w:val="20"/>
                <w:szCs w:val="20"/>
              </w:rPr>
              <w:t>系统</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2017306707059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65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39</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3"/>
              <w:jc w:val="left"/>
              <w:rPr>
                <w:rFonts w:ascii="宋体" w:hAnsi="宋体" w:cs="宋体" w:eastAsia="宋体" w:hint="default"/>
                <w:sz w:val="20"/>
                <w:szCs w:val="20"/>
              </w:rPr>
            </w:pPr>
            <w:r>
              <w:rPr>
                <w:rFonts w:ascii="宋体" w:hAnsi="宋体" w:cs="宋体" w:eastAsia="宋体" w:hint="default"/>
                <w:spacing w:val="-1"/>
                <w:sz w:val="20"/>
                <w:szCs w:val="20"/>
              </w:rPr>
              <w:t>电脑的图形用户界面（地铁</w:t>
            </w:r>
            <w:r>
              <w:rPr>
                <w:rFonts w:ascii="Times New Roman" w:hAnsi="Times New Roman" w:cs="Times New Roman" w:eastAsia="Times New Roman" w:hint="default"/>
                <w:spacing w:val="-1"/>
                <w:sz w:val="20"/>
                <w:szCs w:val="20"/>
              </w:rPr>
              <w:t>BAS</w:t>
            </w:r>
            <w:r>
              <w:rPr>
                <w:rFonts w:ascii="宋体" w:hAnsi="宋体" w:cs="宋体" w:eastAsia="宋体" w:hint="default"/>
                <w:spacing w:val="-1"/>
                <w:sz w:val="20"/>
                <w:szCs w:val="20"/>
              </w:rPr>
              <w:t>火灾模</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2017306679468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40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电脑的图形用户界面（</w:t>
            </w:r>
            <w:r>
              <w:rPr>
                <w:rFonts w:ascii="Times New Roman" w:hAnsi="Times New Roman" w:cs="Times New Roman" w:eastAsia="Times New Roman" w:hint="default"/>
                <w:sz w:val="20"/>
                <w:szCs w:val="20"/>
              </w:rPr>
              <w:t>MAS</w:t>
            </w:r>
            <w:r>
              <w:rPr>
                <w:rFonts w:ascii="宋体" w:hAnsi="宋体" w:cs="宋体" w:eastAsia="宋体" w:hint="default"/>
                <w:sz w:val="20"/>
                <w:szCs w:val="20"/>
              </w:rPr>
              <w:t>系统</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2017306672844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41</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电脑的图形用户界面（</w:t>
            </w:r>
            <w:r>
              <w:rPr>
                <w:rFonts w:ascii="Times New Roman" w:hAnsi="Times New Roman" w:cs="Times New Roman" w:eastAsia="Times New Roman" w:hint="default"/>
                <w:sz w:val="20"/>
                <w:szCs w:val="20"/>
              </w:rPr>
              <w:t>MAS</w:t>
            </w:r>
            <w:r>
              <w:rPr>
                <w:rFonts w:ascii="宋体" w:hAnsi="宋体" w:cs="宋体" w:eastAsia="宋体" w:hint="default"/>
                <w:sz w:val="20"/>
                <w:szCs w:val="20"/>
              </w:rPr>
              <w:t>系统</w:t>
            </w:r>
            <w:r>
              <w:rPr>
                <w:rFonts w:ascii="Times New Roman" w:hAnsi="Times New Roman" w:cs="Times New Roman" w:eastAsia="Times New Roman" w:hint="default"/>
                <w:sz w:val="20"/>
                <w:szCs w:val="20"/>
              </w:rPr>
              <w:t>-3</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2017306679487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42</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电脑的图形用户界面（</w:t>
            </w:r>
            <w:r>
              <w:rPr>
                <w:rFonts w:ascii="Times New Roman" w:hAnsi="Times New Roman" w:cs="Times New Roman" w:eastAsia="Times New Roman" w:hint="default"/>
                <w:sz w:val="20"/>
                <w:szCs w:val="20"/>
              </w:rPr>
              <w:t>MAS</w:t>
            </w:r>
            <w:r>
              <w:rPr>
                <w:rFonts w:ascii="宋体" w:hAnsi="宋体" w:cs="宋体" w:eastAsia="宋体" w:hint="default"/>
                <w:sz w:val="20"/>
                <w:szCs w:val="20"/>
              </w:rPr>
              <w:t>系统</w:t>
            </w:r>
            <w:r>
              <w:rPr>
                <w:rFonts w:ascii="Times New Roman" w:hAnsi="Times New Roman" w:cs="Times New Roman" w:eastAsia="Times New Roman" w:hint="default"/>
                <w:sz w:val="20"/>
                <w:szCs w:val="20"/>
              </w:rPr>
              <w:t>-4</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2017306673033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43</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2"/>
              <w:jc w:val="left"/>
              <w:rPr>
                <w:rFonts w:ascii="宋体" w:hAnsi="宋体" w:cs="宋体" w:eastAsia="宋体" w:hint="default"/>
                <w:sz w:val="20"/>
                <w:szCs w:val="20"/>
              </w:rPr>
            </w:pPr>
            <w:r>
              <w:rPr>
                <w:rFonts w:ascii="宋体" w:hAnsi="宋体" w:cs="宋体" w:eastAsia="宋体" w:hint="default"/>
                <w:sz w:val="20"/>
                <w:szCs w:val="20"/>
              </w:rPr>
              <w:t>电脑的图形用户界面（地铁</w:t>
            </w:r>
            <w:r>
              <w:rPr>
                <w:rFonts w:ascii="Times New Roman" w:hAnsi="Times New Roman" w:cs="Times New Roman" w:eastAsia="Times New Roman" w:hint="default"/>
                <w:sz w:val="20"/>
                <w:szCs w:val="20"/>
              </w:rPr>
              <w:t>BAS</w:t>
            </w:r>
            <w:r>
              <w:rPr>
                <w:rFonts w:ascii="宋体" w:hAnsi="宋体" w:cs="宋体" w:eastAsia="宋体" w:hint="default"/>
                <w:sz w:val="20"/>
                <w:szCs w:val="20"/>
              </w:rPr>
              <w:t>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2017306673014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2018.7.17</w:t>
            </w:r>
          </w:p>
        </w:tc>
      </w:tr>
      <w:tr>
        <w:trPr>
          <w:trHeight w:val="510"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72" w:right="0"/>
              <w:jc w:val="left"/>
              <w:rPr>
                <w:rFonts w:ascii="Times New Roman" w:hAnsi="Times New Roman" w:cs="Times New Roman" w:eastAsia="Times New Roman" w:hint="default"/>
                <w:sz w:val="20"/>
                <w:szCs w:val="20"/>
              </w:rPr>
            </w:pPr>
            <w:r>
              <w:rPr>
                <w:rFonts w:ascii="Times New Roman"/>
                <w:sz w:val="20"/>
              </w:rPr>
              <w:t>44</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1"/>
              <w:ind w:left="4" w:right="3"/>
              <w:jc w:val="left"/>
              <w:rPr>
                <w:rFonts w:ascii="宋体" w:hAnsi="宋体" w:cs="宋体" w:eastAsia="宋体" w:hint="default"/>
                <w:sz w:val="20"/>
                <w:szCs w:val="20"/>
              </w:rPr>
            </w:pPr>
            <w:r>
              <w:rPr>
                <w:rFonts w:ascii="宋体" w:hAnsi="宋体" w:cs="宋体" w:eastAsia="宋体" w:hint="default"/>
                <w:spacing w:val="-2"/>
                <w:sz w:val="20"/>
                <w:szCs w:val="20"/>
              </w:rPr>
              <w:t>电脑的图形用户界面（铁路视频管理终</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center"/>
              <w:rPr>
                <w:rFonts w:ascii="Times New Roman" w:hAnsi="Times New Roman" w:cs="Times New Roman" w:eastAsia="Times New Roman" w:hint="default"/>
                <w:sz w:val="20"/>
                <w:szCs w:val="20"/>
              </w:rPr>
            </w:pPr>
            <w:r>
              <w:rPr>
                <w:rFonts w:ascii="Times New Roman"/>
                <w:sz w:val="20"/>
              </w:rPr>
              <w:t>2017306756483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20"/>
                <w:szCs w:val="20"/>
              </w:rPr>
            </w:pPr>
            <w:r>
              <w:rPr>
                <w:rFonts w:ascii="Times New Roman"/>
                <w:sz w:val="20"/>
              </w:rPr>
              <w:t>2017.12.27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510"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72" w:right="0"/>
              <w:jc w:val="left"/>
              <w:rPr>
                <w:rFonts w:ascii="Times New Roman" w:hAnsi="Times New Roman" w:cs="Times New Roman" w:eastAsia="Times New Roman" w:hint="default"/>
                <w:sz w:val="20"/>
                <w:szCs w:val="20"/>
              </w:rPr>
            </w:pPr>
            <w:r>
              <w:rPr>
                <w:rFonts w:ascii="Times New Roman"/>
                <w:sz w:val="20"/>
              </w:rPr>
              <w:t>45</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1"/>
              <w:ind w:left="4" w:right="3"/>
              <w:jc w:val="left"/>
              <w:rPr>
                <w:rFonts w:ascii="宋体" w:hAnsi="宋体" w:cs="宋体" w:eastAsia="宋体" w:hint="default"/>
                <w:sz w:val="20"/>
                <w:szCs w:val="20"/>
              </w:rPr>
            </w:pPr>
            <w:r>
              <w:rPr>
                <w:rFonts w:ascii="宋体" w:hAnsi="宋体" w:cs="宋体" w:eastAsia="宋体" w:hint="default"/>
                <w:spacing w:val="-2"/>
                <w:sz w:val="20"/>
                <w:szCs w:val="20"/>
              </w:rPr>
              <w:t>电脑的图形用户界面（铁路视频监控终</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center"/>
              <w:rPr>
                <w:rFonts w:ascii="Times New Roman" w:hAnsi="Times New Roman" w:cs="Times New Roman" w:eastAsia="Times New Roman" w:hint="default"/>
                <w:sz w:val="20"/>
                <w:szCs w:val="20"/>
              </w:rPr>
            </w:pPr>
            <w:r>
              <w:rPr>
                <w:rFonts w:ascii="Times New Roman"/>
                <w:sz w:val="20"/>
              </w:rPr>
              <w:t>2017306756479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20"/>
                <w:szCs w:val="20"/>
              </w:rPr>
            </w:pPr>
            <w:r>
              <w:rPr>
                <w:rFonts w:ascii="Times New Roman"/>
                <w:sz w:val="20"/>
              </w:rPr>
              <w:t>2017.12.27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510"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72" w:right="0"/>
              <w:jc w:val="left"/>
              <w:rPr>
                <w:rFonts w:ascii="Times New Roman" w:hAnsi="Times New Roman" w:cs="Times New Roman" w:eastAsia="Times New Roman" w:hint="default"/>
                <w:sz w:val="20"/>
                <w:szCs w:val="20"/>
              </w:rPr>
            </w:pPr>
            <w:r>
              <w:rPr>
                <w:rFonts w:ascii="Times New Roman"/>
                <w:sz w:val="20"/>
              </w:rPr>
              <w:t>46</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1"/>
              <w:ind w:left="4" w:right="3"/>
              <w:jc w:val="left"/>
              <w:rPr>
                <w:rFonts w:ascii="宋体" w:hAnsi="宋体" w:cs="宋体" w:eastAsia="宋体" w:hint="default"/>
                <w:sz w:val="20"/>
                <w:szCs w:val="20"/>
              </w:rPr>
            </w:pPr>
            <w:r>
              <w:rPr>
                <w:rFonts w:ascii="宋体" w:hAnsi="宋体" w:cs="宋体" w:eastAsia="宋体" w:hint="default"/>
                <w:spacing w:val="-2"/>
                <w:sz w:val="20"/>
                <w:szCs w:val="20"/>
              </w:rPr>
              <w:t>电脑的图形用户界面（无线调车地面主</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center"/>
              <w:rPr>
                <w:rFonts w:ascii="Times New Roman" w:hAnsi="Times New Roman" w:cs="Times New Roman" w:eastAsia="Times New Roman" w:hint="default"/>
                <w:sz w:val="20"/>
                <w:szCs w:val="20"/>
              </w:rPr>
            </w:pPr>
            <w:r>
              <w:rPr>
                <w:rFonts w:ascii="Times New Roman"/>
                <w:sz w:val="20"/>
              </w:rPr>
              <w:t>2017306714705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510"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72" w:right="0"/>
              <w:jc w:val="left"/>
              <w:rPr>
                <w:rFonts w:ascii="Times New Roman" w:hAnsi="Times New Roman" w:cs="Times New Roman" w:eastAsia="Times New Roman" w:hint="default"/>
                <w:sz w:val="20"/>
                <w:szCs w:val="20"/>
              </w:rPr>
            </w:pPr>
            <w:r>
              <w:rPr>
                <w:rFonts w:ascii="Times New Roman"/>
                <w:sz w:val="20"/>
              </w:rPr>
              <w:t>47</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1"/>
              <w:ind w:left="4" w:right="3"/>
              <w:jc w:val="left"/>
              <w:rPr>
                <w:rFonts w:ascii="宋体" w:hAnsi="宋体" w:cs="宋体" w:eastAsia="宋体" w:hint="default"/>
                <w:sz w:val="20"/>
                <w:szCs w:val="20"/>
              </w:rPr>
            </w:pPr>
            <w:r>
              <w:rPr>
                <w:rFonts w:ascii="宋体" w:hAnsi="宋体" w:cs="宋体" w:eastAsia="宋体" w:hint="default"/>
                <w:spacing w:val="-2"/>
                <w:sz w:val="20"/>
                <w:szCs w:val="20"/>
              </w:rPr>
              <w:t>电脑的图形用户界面（无线调车车务终</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端</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center"/>
              <w:rPr>
                <w:rFonts w:ascii="Times New Roman" w:hAnsi="Times New Roman" w:cs="Times New Roman" w:eastAsia="Times New Roman" w:hint="default"/>
                <w:sz w:val="20"/>
                <w:szCs w:val="20"/>
              </w:rPr>
            </w:pPr>
            <w:r>
              <w:rPr>
                <w:rFonts w:ascii="Times New Roman"/>
                <w:sz w:val="20"/>
              </w:rPr>
              <w:t>2017306710282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510"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72" w:right="0"/>
              <w:jc w:val="left"/>
              <w:rPr>
                <w:rFonts w:ascii="Times New Roman" w:hAnsi="Times New Roman" w:cs="Times New Roman" w:eastAsia="Times New Roman" w:hint="default"/>
                <w:sz w:val="20"/>
                <w:szCs w:val="20"/>
              </w:rPr>
            </w:pPr>
            <w:r>
              <w:rPr>
                <w:rFonts w:ascii="Times New Roman"/>
                <w:sz w:val="20"/>
              </w:rPr>
              <w:t>48</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1"/>
              <w:ind w:left="4" w:right="3"/>
              <w:jc w:val="left"/>
              <w:rPr>
                <w:rFonts w:ascii="宋体" w:hAnsi="宋体" w:cs="宋体" w:eastAsia="宋体" w:hint="default"/>
                <w:sz w:val="20"/>
                <w:szCs w:val="20"/>
              </w:rPr>
            </w:pPr>
            <w:r>
              <w:rPr>
                <w:rFonts w:ascii="宋体" w:hAnsi="宋体" w:cs="宋体" w:eastAsia="宋体" w:hint="default"/>
                <w:spacing w:val="-2"/>
                <w:sz w:val="20"/>
                <w:szCs w:val="20"/>
              </w:rPr>
              <w:t>电脑的图形用户界面（无线调车车务终</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端</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center"/>
              <w:rPr>
                <w:rFonts w:ascii="Times New Roman" w:hAnsi="Times New Roman" w:cs="Times New Roman" w:eastAsia="Times New Roman" w:hint="default"/>
                <w:sz w:val="20"/>
                <w:szCs w:val="20"/>
              </w:rPr>
            </w:pPr>
            <w:r>
              <w:rPr>
                <w:rFonts w:ascii="Times New Roman"/>
                <w:sz w:val="20"/>
              </w:rPr>
              <w:t>2017306714673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510"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72" w:right="0"/>
              <w:jc w:val="left"/>
              <w:rPr>
                <w:rFonts w:ascii="Times New Roman" w:hAnsi="Times New Roman" w:cs="Times New Roman" w:eastAsia="Times New Roman" w:hint="default"/>
                <w:sz w:val="20"/>
                <w:szCs w:val="20"/>
              </w:rPr>
            </w:pPr>
            <w:r>
              <w:rPr>
                <w:rFonts w:ascii="Times New Roman"/>
                <w:sz w:val="20"/>
              </w:rPr>
              <w:t>49</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
              <w:ind w:left="4" w:right="3"/>
              <w:jc w:val="left"/>
              <w:rPr>
                <w:rFonts w:ascii="宋体" w:hAnsi="宋体" w:cs="宋体" w:eastAsia="宋体" w:hint="default"/>
                <w:sz w:val="20"/>
                <w:szCs w:val="20"/>
              </w:rPr>
            </w:pPr>
            <w:r>
              <w:rPr>
                <w:rFonts w:ascii="宋体" w:hAnsi="宋体" w:cs="宋体" w:eastAsia="宋体" w:hint="default"/>
                <w:spacing w:val="-2"/>
                <w:sz w:val="20"/>
                <w:szCs w:val="20"/>
              </w:rPr>
              <w:t>电脑的图形用户界面（无线调车联锁模</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center"/>
              <w:rPr>
                <w:rFonts w:ascii="Times New Roman" w:hAnsi="Times New Roman" w:cs="Times New Roman" w:eastAsia="Times New Roman" w:hint="default"/>
                <w:sz w:val="20"/>
                <w:szCs w:val="20"/>
              </w:rPr>
            </w:pPr>
            <w:r>
              <w:rPr>
                <w:rFonts w:ascii="Times New Roman"/>
                <w:sz w:val="20"/>
              </w:rPr>
              <w:t>2017306714508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510"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72" w:right="0"/>
              <w:jc w:val="left"/>
              <w:rPr>
                <w:rFonts w:ascii="Times New Roman" w:hAnsi="Times New Roman" w:cs="Times New Roman" w:eastAsia="Times New Roman" w:hint="default"/>
                <w:sz w:val="20"/>
                <w:szCs w:val="20"/>
              </w:rPr>
            </w:pPr>
            <w:r>
              <w:rPr>
                <w:rFonts w:ascii="Times New Roman"/>
                <w:sz w:val="20"/>
              </w:rPr>
              <w:t>50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
              <w:ind w:left="4" w:right="3"/>
              <w:jc w:val="left"/>
              <w:rPr>
                <w:rFonts w:ascii="宋体" w:hAnsi="宋体" w:cs="宋体" w:eastAsia="宋体" w:hint="default"/>
                <w:sz w:val="20"/>
                <w:szCs w:val="20"/>
              </w:rPr>
            </w:pPr>
            <w:r>
              <w:rPr>
                <w:rFonts w:ascii="宋体" w:hAnsi="宋体" w:cs="宋体" w:eastAsia="宋体" w:hint="default"/>
                <w:spacing w:val="-2"/>
                <w:sz w:val="20"/>
                <w:szCs w:val="20"/>
              </w:rPr>
              <w:t>电脑的图形用户界面（云自动售检票系</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center"/>
              <w:rPr>
                <w:rFonts w:ascii="Times New Roman" w:hAnsi="Times New Roman" w:cs="Times New Roman" w:eastAsia="Times New Roman" w:hint="default"/>
                <w:sz w:val="20"/>
                <w:szCs w:val="20"/>
              </w:rPr>
            </w:pPr>
            <w:r>
              <w:rPr>
                <w:rFonts w:ascii="Times New Roman"/>
                <w:sz w:val="20"/>
              </w:rPr>
              <w:t>2017306737529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20"/>
                <w:szCs w:val="20"/>
              </w:rPr>
            </w:pPr>
            <w:r>
              <w:rPr>
                <w:rFonts w:ascii="Times New Roman"/>
                <w:sz w:val="20"/>
              </w:rPr>
              <w:t>2017.12.27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51</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机柜（</w:t>
            </w:r>
            <w:r>
              <w:rPr>
                <w:rFonts w:ascii="Times New Roman" w:hAnsi="Times New Roman" w:cs="Times New Roman" w:eastAsia="Times New Roman" w:hint="default"/>
                <w:sz w:val="20"/>
                <w:szCs w:val="20"/>
              </w:rPr>
              <w:t>AFC</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201730670157X</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52</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电脑的图形用户界面（</w:t>
            </w:r>
            <w:r>
              <w:rPr>
                <w:rFonts w:ascii="Times New Roman" w:hAnsi="Times New Roman" w:cs="Times New Roman" w:eastAsia="Times New Roman" w:hint="default"/>
                <w:sz w:val="20"/>
                <w:szCs w:val="20"/>
              </w:rPr>
              <w:t>ACC</w:t>
            </w:r>
            <w:r>
              <w:rPr>
                <w:rFonts w:ascii="宋体" w:hAnsi="宋体" w:cs="宋体" w:eastAsia="宋体" w:hint="default"/>
                <w:sz w:val="20"/>
                <w:szCs w:val="20"/>
              </w:rPr>
              <w:t>系统</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2017306704050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53</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实验展柜（门禁）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2017306704455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54</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电脑的图形用户界面（</w:t>
            </w:r>
            <w:r>
              <w:rPr>
                <w:rFonts w:ascii="Times New Roman" w:hAnsi="Times New Roman" w:cs="Times New Roman" w:eastAsia="Times New Roman" w:hint="default"/>
                <w:sz w:val="20"/>
                <w:szCs w:val="20"/>
              </w:rPr>
              <w:t>MAS</w:t>
            </w:r>
            <w:r>
              <w:rPr>
                <w:rFonts w:ascii="宋体" w:hAnsi="宋体" w:cs="宋体" w:eastAsia="宋体" w:hint="default"/>
                <w:sz w:val="20"/>
                <w:szCs w:val="20"/>
              </w:rPr>
              <w:t>系统</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2017306672878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55</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机柜（双切箱）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201730668456X</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56</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电网锁紧组件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2017306745224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57</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电网（</w:t>
            </w:r>
            <w:r>
              <w:rPr>
                <w:rFonts w:ascii="Times New Roman" w:hAnsi="Times New Roman" w:cs="Times New Roman" w:eastAsia="Times New Roman" w:hint="default"/>
                <w:sz w:val="20"/>
                <w:szCs w:val="20"/>
              </w:rPr>
              <w:t>II</w:t>
            </w:r>
            <w:r>
              <w:rPr>
                <w:rFonts w:ascii="宋体" w:hAnsi="宋体" w:cs="宋体" w:eastAsia="宋体" w:hint="default"/>
                <w:sz w:val="20"/>
                <w:szCs w:val="20"/>
              </w:rPr>
              <w:t>代）</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2017306745239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58</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电脑的图形用户界面（防灾系统</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2017306707877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59</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电脑的图形用户界面（防灾系统</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2017306707843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60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电脑的图形用户界面（防灾系统</w:t>
            </w:r>
            <w:r>
              <w:rPr>
                <w:rFonts w:ascii="Times New Roman" w:hAnsi="Times New Roman" w:cs="Times New Roman" w:eastAsia="Times New Roman" w:hint="default"/>
                <w:sz w:val="20"/>
                <w:szCs w:val="20"/>
              </w:rPr>
              <w:t>-3</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2017306713878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61</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电脑的图形用户界面（防灾系统</w:t>
            </w:r>
            <w:r>
              <w:rPr>
                <w:rFonts w:ascii="Times New Roman" w:hAnsi="Times New Roman" w:cs="Times New Roman" w:eastAsia="Times New Roman" w:hint="default"/>
                <w:sz w:val="20"/>
                <w:szCs w:val="20"/>
              </w:rPr>
              <w:t>-4</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2017306713882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2018.8.21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62</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风雨安装支架组件（</w:t>
            </w:r>
            <w:r>
              <w:rPr>
                <w:rFonts w:ascii="Times New Roman" w:hAnsi="Times New Roman" w:cs="Times New Roman" w:eastAsia="Times New Roman" w:hint="default"/>
                <w:sz w:val="20"/>
                <w:szCs w:val="20"/>
              </w:rPr>
              <w:t>FY-01</w:t>
            </w:r>
            <w:r>
              <w:rPr>
                <w:rFonts w:ascii="宋体" w:hAnsi="宋体" w:cs="宋体" w:eastAsia="宋体" w:hint="default"/>
                <w:sz w:val="20"/>
                <w:szCs w:val="20"/>
              </w:rPr>
              <w:t>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2017306707627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2018.10.12</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63</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电脑的图形用户界面（</w:t>
            </w:r>
            <w:r>
              <w:rPr>
                <w:rFonts w:ascii="Times New Roman" w:hAnsi="Times New Roman" w:cs="Times New Roman" w:eastAsia="Times New Roman" w:hint="default"/>
                <w:sz w:val="20"/>
                <w:szCs w:val="20"/>
              </w:rPr>
              <w:t>MSS</w:t>
            </w:r>
            <w:r>
              <w:rPr>
                <w:rFonts w:ascii="宋体" w:hAnsi="宋体" w:cs="宋体" w:eastAsia="宋体" w:hint="default"/>
                <w:sz w:val="20"/>
                <w:szCs w:val="20"/>
              </w:rPr>
              <w:t>系统</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201730674024X</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2018.10.12</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64</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电脑的图形用户界面（</w:t>
            </w:r>
            <w:r>
              <w:rPr>
                <w:rFonts w:ascii="Times New Roman" w:hAnsi="Times New Roman" w:cs="Times New Roman" w:eastAsia="Times New Roman" w:hint="default"/>
                <w:sz w:val="20"/>
                <w:szCs w:val="20"/>
              </w:rPr>
              <w:t>MSS</w:t>
            </w:r>
            <w:r>
              <w:rPr>
                <w:rFonts w:ascii="宋体" w:hAnsi="宋体" w:cs="宋体" w:eastAsia="宋体" w:hint="default"/>
                <w:sz w:val="20"/>
                <w:szCs w:val="20"/>
              </w:rPr>
              <w:t>系统</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2017306735491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2018.10.12</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65</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电脑的图形用户界面（</w:t>
            </w:r>
            <w:r>
              <w:rPr>
                <w:rFonts w:ascii="Times New Roman" w:hAnsi="Times New Roman" w:cs="Times New Roman" w:eastAsia="Times New Roman" w:hint="default"/>
                <w:sz w:val="20"/>
                <w:szCs w:val="20"/>
              </w:rPr>
              <w:t>MSS</w:t>
            </w:r>
            <w:r>
              <w:rPr>
                <w:rFonts w:ascii="宋体" w:hAnsi="宋体" w:cs="宋体" w:eastAsia="宋体" w:hint="default"/>
                <w:sz w:val="20"/>
                <w:szCs w:val="20"/>
              </w:rPr>
              <w:t>系统</w:t>
            </w:r>
            <w:r>
              <w:rPr>
                <w:rFonts w:ascii="Times New Roman" w:hAnsi="Times New Roman" w:cs="Times New Roman" w:eastAsia="Times New Roman" w:hint="default"/>
                <w:sz w:val="20"/>
                <w:szCs w:val="20"/>
              </w:rPr>
              <w:t>-3</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2017306740216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2018.10.12</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66</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电脑的图形用户界面（</w:t>
            </w:r>
            <w:r>
              <w:rPr>
                <w:rFonts w:ascii="Times New Roman" w:hAnsi="Times New Roman" w:cs="Times New Roman" w:eastAsia="Times New Roman" w:hint="default"/>
                <w:sz w:val="20"/>
                <w:szCs w:val="20"/>
              </w:rPr>
              <w:t>MSS</w:t>
            </w:r>
            <w:r>
              <w:rPr>
                <w:rFonts w:ascii="宋体" w:hAnsi="宋体" w:cs="宋体" w:eastAsia="宋体" w:hint="default"/>
                <w:sz w:val="20"/>
                <w:szCs w:val="20"/>
              </w:rPr>
              <w:t>系统</w:t>
            </w:r>
            <w:r>
              <w:rPr>
                <w:rFonts w:ascii="Times New Roman" w:hAnsi="Times New Roman" w:cs="Times New Roman" w:eastAsia="Times New Roman" w:hint="default"/>
                <w:sz w:val="20"/>
                <w:szCs w:val="20"/>
              </w:rPr>
              <w:t>-4</w:t>
            </w:r>
            <w:r>
              <w:rPr>
                <w:rFonts w:ascii="宋体" w:hAnsi="宋体" w:cs="宋体" w:eastAsia="宋体" w:hint="default"/>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2017306737317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2018.10.12</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67</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网络柜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2017306707434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2018.10.12</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68</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实验展柜（环境设备）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2017306701599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2018.10.12</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69</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机柜（模块箱）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2017306708013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2018.10.12</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70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视频控制箱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2017306710511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2018.11.27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71</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铁路综合视频监控机柜（</w:t>
            </w:r>
            <w:r>
              <w:rPr>
                <w:rFonts w:ascii="Times New Roman" w:hAnsi="Times New Roman" w:cs="Times New Roman" w:eastAsia="Times New Roman" w:hint="default"/>
                <w:sz w:val="20"/>
                <w:szCs w:val="20"/>
              </w:rPr>
              <w:t>HH-IVSMR)</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2017306705373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2017.12.26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2018.11.27</w:t>
            </w:r>
          </w:p>
        </w:tc>
      </w:tr>
      <w:tr>
        <w:trPr>
          <w:trHeight w:val="270"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72" w:right="0"/>
              <w:jc w:val="left"/>
              <w:rPr>
                <w:rFonts w:ascii="Times New Roman" w:hAnsi="Times New Roman" w:cs="Times New Roman" w:eastAsia="Times New Roman" w:hint="default"/>
                <w:sz w:val="20"/>
                <w:szCs w:val="20"/>
              </w:rPr>
            </w:pPr>
            <w:r>
              <w:rPr>
                <w:rFonts w:ascii="Times New Roman"/>
                <w:sz w:val="20"/>
              </w:rPr>
              <w:t>72</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 w:right="0"/>
              <w:jc w:val="left"/>
              <w:rPr>
                <w:rFonts w:ascii="宋体" w:hAnsi="宋体" w:cs="宋体" w:eastAsia="宋体" w:hint="default"/>
                <w:sz w:val="20"/>
                <w:szCs w:val="20"/>
              </w:rPr>
            </w:pPr>
            <w:r>
              <w:rPr>
                <w:rFonts w:ascii="宋体" w:hAnsi="宋体" w:cs="宋体" w:eastAsia="宋体" w:hint="default"/>
                <w:sz w:val="20"/>
                <w:szCs w:val="20"/>
              </w:rPr>
              <w:t>一种基于</w:t>
            </w:r>
            <w:r>
              <w:rPr>
                <w:rFonts w:ascii="宋体" w:hAnsi="宋体" w:cs="宋体" w:eastAsia="宋体" w:hint="default"/>
                <w:sz w:val="20"/>
                <w:szCs w:val="20"/>
              </w:rPr>
              <w:t>DSP+CPLD</w:t>
            </w:r>
            <w:r>
              <w:rPr>
                <w:rFonts w:ascii="宋体" w:hAnsi="宋体" w:cs="宋体" w:eastAsia="宋体" w:hint="default"/>
                <w:sz w:val="20"/>
                <w:szCs w:val="20"/>
              </w:rPr>
              <w:t>控制的峰值电流限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Times New Roman" w:hAnsi="Times New Roman" w:cs="Times New Roman" w:eastAsia="Times New Roman" w:hint="default"/>
                <w:sz w:val="20"/>
                <w:szCs w:val="20"/>
              </w:rPr>
            </w:pPr>
            <w:r>
              <w:rPr>
                <w:rFonts w:ascii="Times New Roman"/>
                <w:sz w:val="20"/>
              </w:rPr>
              <w:t>2016102205607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20"/>
                <w:szCs w:val="20"/>
              </w:rPr>
            </w:pPr>
            <w:r>
              <w:rPr>
                <w:rFonts w:ascii="Times New Roman"/>
                <w:sz w:val="20"/>
              </w:rPr>
              <w:t>2016.4.11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4" w:right="0"/>
              <w:jc w:val="left"/>
              <w:rPr>
                <w:rFonts w:ascii="Times New Roman" w:hAnsi="Times New Roman" w:cs="Times New Roman" w:eastAsia="Times New Roman" w:hint="default"/>
                <w:sz w:val="20"/>
                <w:szCs w:val="20"/>
              </w:rPr>
            </w:pPr>
            <w:r>
              <w:rPr>
                <w:rFonts w:ascii="Times New Roman"/>
                <w:sz w:val="20"/>
              </w:rPr>
              <w:t>2018.1.5</w:t>
            </w:r>
          </w:p>
        </w:tc>
      </w:tr>
    </w:tbl>
    <w:p>
      <w:pPr>
        <w:spacing w:after="0" w:line="240" w:lineRule="auto"/>
        <w:jc w:val="left"/>
        <w:rPr>
          <w:rFonts w:ascii="Times New Roman" w:hAnsi="Times New Roman" w:cs="Times New Roman" w:eastAsia="Times New Roman" w:hint="default"/>
          <w:sz w:val="20"/>
          <w:szCs w:val="20"/>
        </w:rPr>
        <w:sectPr>
          <w:pgSz w:w="11910" w:h="16840"/>
          <w:pgMar w:header="747" w:footer="979"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557"/>
        <w:gridCol w:w="3403"/>
        <w:gridCol w:w="992"/>
        <w:gridCol w:w="991"/>
        <w:gridCol w:w="1613"/>
        <w:gridCol w:w="1184"/>
        <w:gridCol w:w="1159"/>
      </w:tblGrid>
      <w:tr>
        <w:trPr>
          <w:trHeight w:val="270" w:hRule="exact"/>
        </w:trPr>
        <w:tc>
          <w:tcPr>
            <w:tcW w:w="557" w:type="dxa"/>
            <w:tcBorders>
              <w:top w:val="single" w:sz="4" w:space="0" w:color="000000"/>
              <w:left w:val="single" w:sz="4" w:space="0" w:color="000000"/>
              <w:bottom w:val="single" w:sz="4" w:space="0" w:color="000000"/>
              <w:right w:val="single" w:sz="4" w:space="0" w:color="000000"/>
            </w:tcBorders>
          </w:tcPr>
          <w:p>
            <w:pP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 w:right="0"/>
              <w:jc w:val="left"/>
              <w:rPr>
                <w:rFonts w:ascii="宋体" w:hAnsi="宋体" w:cs="宋体" w:eastAsia="宋体" w:hint="default"/>
                <w:sz w:val="20"/>
                <w:szCs w:val="20"/>
              </w:rPr>
            </w:pPr>
            <w:r>
              <w:rPr>
                <w:rFonts w:ascii="宋体" w:hAnsi="宋体" w:cs="宋体" w:eastAsia="宋体" w:hint="default"/>
                <w:sz w:val="20"/>
                <w:szCs w:val="20"/>
              </w:rPr>
              <w:t>流装置</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73</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一种机械式电缆收放装置的制动装置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2016104980421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2016.6.28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20"/>
                <w:szCs w:val="20"/>
              </w:rPr>
            </w:pPr>
            <w:r>
              <w:rPr>
                <w:rFonts w:ascii="Times New Roman"/>
                <w:sz w:val="20"/>
              </w:rPr>
              <w:t>2018.2.6</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74</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一种电控式电缆收放装置的制动装置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2016104977791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2016.6.28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2018.4.20</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75</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一种列车停靠导致晚点信息提醒系统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201611020801X</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2016.11.21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2018.5.11</w:t>
            </w:r>
          </w:p>
        </w:tc>
      </w:tr>
      <w:tr>
        <w:trPr>
          <w:trHeight w:val="510"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72" w:right="0"/>
              <w:jc w:val="left"/>
              <w:rPr>
                <w:rFonts w:ascii="Times New Roman" w:hAnsi="Times New Roman" w:cs="Times New Roman" w:eastAsia="Times New Roman" w:hint="default"/>
                <w:sz w:val="20"/>
                <w:szCs w:val="20"/>
              </w:rPr>
            </w:pPr>
            <w:r>
              <w:rPr>
                <w:rFonts w:ascii="Times New Roman"/>
                <w:sz w:val="20"/>
              </w:rPr>
              <w:t>76</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1"/>
              <w:ind w:left="4" w:right="184"/>
              <w:jc w:val="left"/>
              <w:rPr>
                <w:rFonts w:ascii="宋体" w:hAnsi="宋体" w:cs="宋体" w:eastAsia="宋体" w:hint="default"/>
                <w:sz w:val="20"/>
                <w:szCs w:val="20"/>
              </w:rPr>
            </w:pPr>
            <w:r>
              <w:rPr>
                <w:rFonts w:ascii="宋体" w:hAnsi="宋体" w:cs="宋体" w:eastAsia="宋体" w:hint="default"/>
                <w:sz w:val="20"/>
                <w:szCs w:val="20"/>
              </w:rPr>
              <w:t>一种检测异物侵限检测电路传感器电</w:t>
            </w:r>
            <w:r>
              <w:rPr>
                <w:rFonts w:ascii="宋体" w:hAnsi="宋体" w:cs="宋体" w:eastAsia="宋体" w:hint="default"/>
                <w:w w:val="100"/>
                <w:sz w:val="20"/>
                <w:szCs w:val="20"/>
              </w:rPr>
              <w:t> </w:t>
            </w:r>
            <w:r>
              <w:rPr>
                <w:rFonts w:ascii="宋体" w:hAnsi="宋体" w:cs="宋体" w:eastAsia="宋体" w:hint="default"/>
                <w:sz w:val="20"/>
                <w:szCs w:val="20"/>
              </w:rPr>
              <w:t>阻的方法</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center"/>
              <w:rPr>
                <w:rFonts w:ascii="Times New Roman" w:hAnsi="Times New Roman" w:cs="Times New Roman" w:eastAsia="Times New Roman" w:hint="default"/>
                <w:sz w:val="20"/>
                <w:szCs w:val="20"/>
              </w:rPr>
            </w:pPr>
            <w:r>
              <w:rPr>
                <w:rFonts w:ascii="Times New Roman"/>
                <w:sz w:val="20"/>
              </w:rPr>
              <w:t>2016100755871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20"/>
                <w:szCs w:val="20"/>
              </w:rPr>
            </w:pPr>
            <w:r>
              <w:rPr>
                <w:rFonts w:ascii="Times New Roman"/>
                <w:sz w:val="20"/>
              </w:rPr>
              <w:t>2016.2.3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2"/>
              <w:jc w:val="right"/>
              <w:rPr>
                <w:rFonts w:ascii="Times New Roman" w:hAnsi="Times New Roman" w:cs="Times New Roman" w:eastAsia="Times New Roman" w:hint="default"/>
                <w:sz w:val="20"/>
                <w:szCs w:val="20"/>
              </w:rPr>
            </w:pPr>
            <w:r>
              <w:rPr>
                <w:rFonts w:ascii="Times New Roman"/>
                <w:spacing w:val="-1"/>
                <w:sz w:val="20"/>
              </w:rPr>
              <w:t>2018.5.11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77</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一种工程机械的电缆拉力缓冲装置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201610498007X</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2016.6.28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20"/>
                <w:szCs w:val="20"/>
              </w:rPr>
            </w:pPr>
            <w:r>
              <w:rPr>
                <w:rFonts w:ascii="Times New Roman"/>
                <w:sz w:val="20"/>
              </w:rPr>
              <w:t>2018.6.8</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78</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一种电缆连接辅助装置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2016104986803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2016.6.28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2018.9.21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79</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一种城市轨道交通单程票防流失方法</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2016110210433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2016.11.21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2018.11.30</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80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一种列车停靠预警控制方法</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2016110210823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2016.11.21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2"/>
              <w:jc w:val="right"/>
              <w:rPr>
                <w:rFonts w:ascii="Times New Roman" w:hAnsi="Times New Roman" w:cs="Times New Roman" w:eastAsia="Times New Roman" w:hint="default"/>
                <w:sz w:val="20"/>
                <w:szCs w:val="20"/>
              </w:rPr>
            </w:pPr>
            <w:r>
              <w:rPr>
                <w:rFonts w:ascii="Times New Roman"/>
                <w:spacing w:val="-1"/>
                <w:sz w:val="20"/>
              </w:rPr>
              <w:t>2018.12.7</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81</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一种火车站停车车道的管理方法</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2016110207746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2016.11.21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2018.12.11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82</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一种火车应急逃生窗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2016110214241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2016.11.21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2018.12.11</w:t>
            </w:r>
          </w:p>
        </w:tc>
      </w:tr>
      <w:tr>
        <w:trPr>
          <w:trHeight w:val="3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83</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一种火车延时晚点的信息反馈系统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20"/>
                <w:szCs w:val="20"/>
              </w:rPr>
            </w:pPr>
            <w:r>
              <w:rPr>
                <w:rFonts w:ascii="宋体" w:hAnsi="宋体" w:cs="宋体" w:eastAsia="宋体" w:hint="default"/>
                <w:sz w:val="20"/>
                <w:szCs w:val="20"/>
              </w:rPr>
              <w:t>自主研发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2016110207784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2016.11.21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Times New Roman" w:hAnsi="Times New Roman" w:cs="Times New Roman" w:eastAsia="Times New Roman" w:hint="default"/>
                <w:sz w:val="20"/>
                <w:szCs w:val="20"/>
              </w:rPr>
            </w:pPr>
            <w:r>
              <w:rPr>
                <w:rFonts w:ascii="Times New Roman"/>
                <w:spacing w:val="-1"/>
                <w:sz w:val="20"/>
              </w:rPr>
              <w:t>2018.12.11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tbl>
      <w:tblPr>
        <w:tblW w:w="0" w:type="auto"/>
        <w:jc w:val="left"/>
        <w:tblInd w:w="177" w:type="dxa"/>
        <w:tblLayout w:type="fixed"/>
        <w:tblCellMar>
          <w:top w:w="0" w:type="dxa"/>
          <w:left w:w="0" w:type="dxa"/>
          <w:bottom w:w="0" w:type="dxa"/>
          <w:right w:w="0" w:type="dxa"/>
        </w:tblCellMar>
        <w:tblLook w:val="01E0"/>
      </w:tblPr>
      <w:tblGrid>
        <w:gridCol w:w="720"/>
        <w:gridCol w:w="5022"/>
        <w:gridCol w:w="1134"/>
        <w:gridCol w:w="1702"/>
        <w:gridCol w:w="1204"/>
      </w:tblGrid>
      <w:tr>
        <w:trPr>
          <w:trHeight w:val="654" w:hRule="exact"/>
        </w:trPr>
        <w:tc>
          <w:tcPr>
            <w:tcW w:w="97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99" w:right="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2018</w:t>
            </w:r>
            <w:r>
              <w:rPr>
                <w:rFonts w:ascii="宋体" w:hAnsi="宋体" w:cs="宋体" w:eastAsia="宋体" w:hint="default"/>
                <w:b/>
                <w:bCs/>
                <w:sz w:val="28"/>
                <w:szCs w:val="28"/>
              </w:rPr>
              <w:t>年专利受理情况一览表</w:t>
            </w:r>
            <w:r>
              <w:rPr>
                <w:rFonts w:ascii="宋体" w:hAnsi="宋体" w:cs="宋体" w:eastAsia="宋体" w:hint="default"/>
                <w:sz w:val="28"/>
                <w:szCs w:val="28"/>
              </w:rPr>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申请号</w:t>
            </w:r>
            <w:r>
              <w:rPr>
                <w:rFonts w:ascii="宋体" w:hAnsi="宋体" w:cs="宋体" w:eastAsia="宋体" w:hint="default"/>
                <w:sz w:val="21"/>
                <w:szCs w:val="21"/>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73"/>
              <w:jc w:val="right"/>
              <w:rPr>
                <w:rFonts w:ascii="宋体" w:hAnsi="宋体" w:cs="宋体" w:eastAsia="宋体" w:hint="default"/>
                <w:sz w:val="21"/>
                <w:szCs w:val="21"/>
              </w:rPr>
            </w:pPr>
            <w:r>
              <w:rPr>
                <w:rFonts w:ascii="宋体" w:hAnsi="宋体" w:cs="宋体" w:eastAsia="宋体" w:hint="default"/>
                <w:b/>
                <w:bCs/>
                <w:sz w:val="21"/>
                <w:szCs w:val="21"/>
              </w:rPr>
              <w:t>申请日期</w:t>
            </w:r>
            <w:r>
              <w:rPr>
                <w:rFonts w:ascii="宋体" w:hAnsi="宋体" w:cs="宋体" w:eastAsia="宋体" w:hint="default"/>
                <w:sz w:val="21"/>
                <w:szCs w:val="21"/>
              </w:rPr>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1</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一种蓄电池健康状态变化趋势综合监测装置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2018203937058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4"/>
              <w:jc w:val="right"/>
              <w:rPr>
                <w:rFonts w:ascii="Times New Roman" w:hAnsi="Times New Roman" w:cs="Times New Roman" w:eastAsia="Times New Roman" w:hint="default"/>
                <w:sz w:val="20"/>
                <w:szCs w:val="20"/>
              </w:rPr>
            </w:pPr>
            <w:r>
              <w:rPr>
                <w:rFonts w:ascii="Times New Roman"/>
                <w:spacing w:val="-1"/>
                <w:sz w:val="20"/>
              </w:rPr>
              <w:t>2018.3.22</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2</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w:t>
            </w:r>
            <w:r>
              <w:rPr>
                <w:rFonts w:ascii="Times New Roman" w:hAnsi="Times New Roman" w:cs="Times New Roman" w:eastAsia="Times New Roman" w:hint="default"/>
                <w:sz w:val="20"/>
                <w:szCs w:val="20"/>
              </w:rPr>
              <w:t>STP</w:t>
            </w:r>
            <w:r>
              <w:rPr>
                <w:rFonts w:ascii="宋体" w:hAnsi="宋体" w:cs="宋体" w:eastAsia="宋体" w:hint="default"/>
                <w:sz w:val="20"/>
                <w:szCs w:val="20"/>
              </w:rPr>
              <w:t>便携式地面测试台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2018207022058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4"/>
              <w:jc w:val="right"/>
              <w:rPr>
                <w:rFonts w:ascii="Times New Roman" w:hAnsi="Times New Roman" w:cs="Times New Roman" w:eastAsia="Times New Roman" w:hint="default"/>
                <w:sz w:val="20"/>
                <w:szCs w:val="20"/>
              </w:rPr>
            </w:pPr>
            <w:r>
              <w:rPr>
                <w:rFonts w:ascii="Times New Roman"/>
                <w:spacing w:val="-1"/>
                <w:sz w:val="20"/>
              </w:rPr>
              <w:t>2018.5.11</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3</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一种二取二主板的</w:t>
            </w:r>
            <w:r>
              <w:rPr>
                <w:rFonts w:ascii="Times New Roman" w:hAnsi="Times New Roman" w:cs="Times New Roman" w:eastAsia="Times New Roman" w:hint="default"/>
                <w:sz w:val="20"/>
                <w:szCs w:val="20"/>
              </w:rPr>
              <w:t>PCB</w:t>
            </w:r>
            <w:r>
              <w:rPr>
                <w:rFonts w:ascii="宋体" w:hAnsi="宋体" w:cs="宋体" w:eastAsia="宋体" w:hint="default"/>
                <w:sz w:val="20"/>
                <w:szCs w:val="20"/>
              </w:rPr>
              <w:t>结构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2018207022043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4"/>
              <w:jc w:val="right"/>
              <w:rPr>
                <w:rFonts w:ascii="Times New Roman" w:hAnsi="Times New Roman" w:cs="Times New Roman" w:eastAsia="Times New Roman" w:hint="default"/>
                <w:sz w:val="20"/>
                <w:szCs w:val="20"/>
              </w:rPr>
            </w:pPr>
            <w:r>
              <w:rPr>
                <w:rFonts w:ascii="Times New Roman"/>
                <w:spacing w:val="-1"/>
                <w:sz w:val="20"/>
              </w:rPr>
              <w:t>2018.5.11</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4</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一种多层电路板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201820702875X</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4"/>
              <w:jc w:val="right"/>
              <w:rPr>
                <w:rFonts w:ascii="Times New Roman" w:hAnsi="Times New Roman" w:cs="Times New Roman" w:eastAsia="Times New Roman" w:hint="default"/>
                <w:sz w:val="20"/>
                <w:szCs w:val="20"/>
              </w:rPr>
            </w:pPr>
            <w:r>
              <w:rPr>
                <w:rFonts w:ascii="Times New Roman"/>
                <w:spacing w:val="-1"/>
                <w:sz w:val="20"/>
              </w:rPr>
              <w:t>2018.5.11</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5</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一种多功能交流电动叉车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2018216811560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2018.10.17</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6</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一种多功能交流电动叉车液压控制系统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2018216813848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2018.10.17</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7</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电动叉车升降系统能量回收装置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2018216811429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2018.10.17</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8</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钢包铜引接线电流传感器卡具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2018217807609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2018.10.31</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9</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一种应用于信号集中监测系统的信号防护装置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2018217802323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2018.10.31</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一种铁路信号测量装置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2018217802319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2018.10.31</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11</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一种基于</w:t>
            </w:r>
            <w:r>
              <w:rPr>
                <w:rFonts w:ascii="Times New Roman" w:hAnsi="Times New Roman" w:cs="Times New Roman" w:eastAsia="Times New Roman" w:hint="default"/>
                <w:sz w:val="20"/>
                <w:szCs w:val="20"/>
              </w:rPr>
              <w:t>DSP</w:t>
            </w:r>
            <w:r>
              <w:rPr>
                <w:rFonts w:ascii="宋体" w:hAnsi="宋体" w:cs="宋体" w:eastAsia="宋体" w:hint="default"/>
                <w:sz w:val="20"/>
                <w:szCs w:val="20"/>
              </w:rPr>
              <w:t>的铁路信号设备移动监测装置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2018217807577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2018.10.31</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12</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电源混电检测装置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2018217807562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2018.10.31</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13</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基于</w:t>
            </w:r>
            <w:r>
              <w:rPr>
                <w:rFonts w:ascii="Times New Roman" w:hAnsi="Times New Roman" w:cs="Times New Roman" w:eastAsia="Times New Roman" w:hint="default"/>
                <w:sz w:val="20"/>
                <w:szCs w:val="20"/>
              </w:rPr>
              <w:t>PowerPC</w:t>
            </w:r>
            <w:r>
              <w:rPr>
                <w:rFonts w:ascii="宋体" w:hAnsi="宋体" w:cs="宋体" w:eastAsia="宋体" w:hint="default"/>
                <w:sz w:val="20"/>
                <w:szCs w:val="20"/>
              </w:rPr>
              <w:t>嵌入式系统的动力环境监控主机装置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2018218082495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4"/>
              <w:jc w:val="right"/>
              <w:rPr>
                <w:rFonts w:ascii="Times New Roman" w:hAnsi="Times New Roman" w:cs="Times New Roman" w:eastAsia="Times New Roman" w:hint="default"/>
                <w:sz w:val="20"/>
                <w:szCs w:val="20"/>
              </w:rPr>
            </w:pPr>
            <w:r>
              <w:rPr>
                <w:rFonts w:ascii="Times New Roman"/>
                <w:spacing w:val="-1"/>
                <w:sz w:val="20"/>
              </w:rPr>
              <w:t>2018.11.5</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14</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一种用于铁路设备的电流监测电路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2018218084363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4"/>
              <w:jc w:val="right"/>
              <w:rPr>
                <w:rFonts w:ascii="Times New Roman" w:hAnsi="Times New Roman" w:cs="Times New Roman" w:eastAsia="Times New Roman" w:hint="default"/>
                <w:sz w:val="20"/>
                <w:szCs w:val="20"/>
              </w:rPr>
            </w:pPr>
            <w:r>
              <w:rPr>
                <w:rFonts w:ascii="Times New Roman"/>
                <w:spacing w:val="-1"/>
                <w:sz w:val="20"/>
              </w:rPr>
              <w:t>2018.11.5</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15</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w:t>
            </w:r>
            <w:r>
              <w:rPr>
                <w:rFonts w:ascii="Times New Roman" w:hAnsi="Times New Roman" w:cs="Times New Roman" w:eastAsia="Times New Roman" w:hint="default"/>
                <w:sz w:val="20"/>
                <w:szCs w:val="20"/>
              </w:rPr>
              <w:t>UPS</w:t>
            </w:r>
            <w:r>
              <w:rPr>
                <w:rFonts w:ascii="宋体" w:hAnsi="宋体" w:cs="宋体" w:eastAsia="宋体" w:hint="default"/>
                <w:sz w:val="20"/>
                <w:szCs w:val="20"/>
              </w:rPr>
              <w:t>电源集中监测系统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2018218082480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4"/>
              <w:jc w:val="right"/>
              <w:rPr>
                <w:rFonts w:ascii="Times New Roman" w:hAnsi="Times New Roman" w:cs="Times New Roman" w:eastAsia="Times New Roman" w:hint="default"/>
                <w:sz w:val="20"/>
                <w:szCs w:val="20"/>
              </w:rPr>
            </w:pPr>
            <w:r>
              <w:rPr>
                <w:rFonts w:ascii="Times New Roman"/>
                <w:spacing w:val="-1"/>
                <w:sz w:val="20"/>
              </w:rPr>
              <w:t>2018.11.5</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16</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一种应用于铁路微机监测采集板的自动检测工装系统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2018218082921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4"/>
              <w:jc w:val="right"/>
              <w:rPr>
                <w:rFonts w:ascii="Times New Roman" w:hAnsi="Times New Roman" w:cs="Times New Roman" w:eastAsia="Times New Roman" w:hint="default"/>
                <w:sz w:val="20"/>
                <w:szCs w:val="20"/>
              </w:rPr>
            </w:pPr>
            <w:r>
              <w:rPr>
                <w:rFonts w:ascii="Times New Roman"/>
                <w:spacing w:val="-1"/>
                <w:sz w:val="20"/>
              </w:rPr>
              <w:t>2018.11.5</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17</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w:t>
            </w:r>
            <w:r>
              <w:rPr>
                <w:rFonts w:ascii="Times New Roman" w:hAnsi="Times New Roman" w:cs="Times New Roman" w:eastAsia="Times New Roman" w:hint="default"/>
                <w:sz w:val="20"/>
                <w:szCs w:val="20"/>
              </w:rPr>
              <w:t>H</w:t>
            </w:r>
            <w:r>
              <w:rPr>
                <w:rFonts w:ascii="宋体" w:hAnsi="宋体" w:cs="宋体" w:eastAsia="宋体" w:hint="default"/>
                <w:sz w:val="20"/>
                <w:szCs w:val="20"/>
              </w:rPr>
              <w:t>型钢柱抗弯型拼装装置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2018219675182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2018.11.27</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18</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w:t>
            </w:r>
            <w:r>
              <w:rPr>
                <w:rFonts w:ascii="Times New Roman" w:hAnsi="Times New Roman" w:cs="Times New Roman" w:eastAsia="Times New Roman" w:hint="default"/>
                <w:sz w:val="20"/>
                <w:szCs w:val="20"/>
              </w:rPr>
              <w:t>H</w:t>
            </w:r>
            <w:r>
              <w:rPr>
                <w:rFonts w:ascii="宋体" w:hAnsi="宋体" w:cs="宋体" w:eastAsia="宋体" w:hint="default"/>
                <w:sz w:val="20"/>
                <w:szCs w:val="20"/>
              </w:rPr>
              <w:t>型钢柱拼接装置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2018219675267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2018.11.27</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19</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基于北斗和</w:t>
            </w:r>
            <w:r>
              <w:rPr>
                <w:rFonts w:ascii="Times New Roman" w:hAnsi="Times New Roman" w:cs="Times New Roman" w:eastAsia="Times New Roman" w:hint="default"/>
                <w:sz w:val="20"/>
                <w:szCs w:val="20"/>
              </w:rPr>
              <w:t>GPS</w:t>
            </w:r>
            <w:r>
              <w:rPr>
                <w:rFonts w:ascii="宋体" w:hAnsi="宋体" w:cs="宋体" w:eastAsia="宋体" w:hint="default"/>
                <w:sz w:val="20"/>
                <w:szCs w:val="20"/>
              </w:rPr>
              <w:t>卫星定位的铁路施工作业安全防护系统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2018220728867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2018.12.11</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一种蓄电池内阻在线测试装置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201822072168X</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2018.12.11</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21</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一种电动挖掘机电缆摆杆装置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2018221545859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2018.12.21</w:t>
            </w:r>
          </w:p>
        </w:tc>
      </w:tr>
      <w:tr>
        <w:trPr>
          <w:trHeight w:val="34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22</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一种多自由度电缆收放装置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2018221545736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2018.12.21</w:t>
            </w:r>
          </w:p>
        </w:tc>
      </w:tr>
    </w:tbl>
    <w:p>
      <w:pPr>
        <w:spacing w:after="0" w:line="240" w:lineRule="auto"/>
        <w:jc w:val="right"/>
        <w:rPr>
          <w:rFonts w:ascii="Times New Roman" w:hAnsi="Times New Roman" w:cs="Times New Roman" w:eastAsia="Times New Roman" w:hint="default"/>
          <w:sz w:val="20"/>
          <w:szCs w:val="20"/>
        </w:rPr>
        <w:sectPr>
          <w:pgSz w:w="11910" w:h="16840"/>
          <w:pgMar w:header="747" w:footer="979"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720"/>
        <w:gridCol w:w="5022"/>
        <w:gridCol w:w="1134"/>
        <w:gridCol w:w="1702"/>
        <w:gridCol w:w="1204"/>
      </w:tblGrid>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23</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一种自动调整方位的风刀装置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2018221546141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2018.12.21</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24</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一种上进线箱体防水装置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2018222568400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2018.12.29</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25</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一种空气开关互锁装置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2018222526145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2018.12.29</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26</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一种电磁锁防脱落装置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2018222568627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2018.12.29</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27</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ZPW2000</w:t>
            </w:r>
            <w:r>
              <w:rPr>
                <w:rFonts w:ascii="宋体" w:hAnsi="宋体" w:cs="宋体" w:eastAsia="宋体" w:hint="default"/>
                <w:sz w:val="20"/>
                <w:szCs w:val="20"/>
              </w:rPr>
              <w:t>室外监测采集分机装置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2018222502259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2018.12.29</w:t>
            </w:r>
          </w:p>
        </w:tc>
      </w:tr>
      <w:tr>
        <w:trPr>
          <w:trHeight w:val="51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52"/>
              <w:jc w:val="right"/>
              <w:rPr>
                <w:rFonts w:ascii="Times New Roman" w:hAnsi="Times New Roman" w:cs="Times New Roman" w:eastAsia="Times New Roman" w:hint="default"/>
                <w:sz w:val="20"/>
                <w:szCs w:val="20"/>
              </w:rPr>
            </w:pPr>
            <w:r>
              <w:rPr>
                <w:rFonts w:ascii="Times New Roman"/>
                <w:sz w:val="20"/>
              </w:rPr>
              <w:t>28</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
              <w:ind w:left="4" w:right="5"/>
              <w:jc w:val="left"/>
              <w:rPr>
                <w:rFonts w:ascii="宋体" w:hAnsi="宋体" w:cs="宋体" w:eastAsia="宋体" w:hint="default"/>
                <w:sz w:val="20"/>
                <w:szCs w:val="20"/>
              </w:rPr>
            </w:pPr>
            <w:r>
              <w:rPr>
                <w:rFonts w:ascii="宋体" w:hAnsi="宋体" w:cs="宋体" w:eastAsia="宋体" w:hint="default"/>
                <w:spacing w:val="-1"/>
                <w:sz w:val="20"/>
                <w:szCs w:val="20"/>
              </w:rPr>
              <w:t>一种区间轨道电路室外数据采集分机配置校准的便携式装</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95" w:right="0"/>
              <w:jc w:val="left"/>
              <w:rPr>
                <w:rFonts w:ascii="Times New Roman" w:hAnsi="Times New Roman" w:cs="Times New Roman" w:eastAsia="Times New Roman" w:hint="default"/>
                <w:sz w:val="20"/>
                <w:szCs w:val="20"/>
              </w:rPr>
            </w:pPr>
            <w:r>
              <w:rPr>
                <w:rFonts w:ascii="Times New Roman"/>
                <w:sz w:val="20"/>
              </w:rPr>
              <w:t>2018222538937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44"/>
              <w:jc w:val="right"/>
              <w:rPr>
                <w:rFonts w:ascii="Times New Roman" w:hAnsi="Times New Roman" w:cs="Times New Roman" w:eastAsia="Times New Roman" w:hint="default"/>
                <w:sz w:val="20"/>
                <w:szCs w:val="20"/>
              </w:rPr>
            </w:pPr>
            <w:r>
              <w:rPr>
                <w:rFonts w:ascii="Times New Roman"/>
                <w:spacing w:val="-1"/>
                <w:sz w:val="20"/>
              </w:rPr>
              <w:t>2018.12.29</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29</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钢包铜引接线电流传感器卡具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外观专利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2018306118063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2018.10.31</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30</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基于</w:t>
            </w:r>
            <w:r>
              <w:rPr>
                <w:rFonts w:ascii="Times New Roman" w:hAnsi="Times New Roman" w:cs="Times New Roman" w:eastAsia="Times New Roman" w:hint="default"/>
                <w:sz w:val="20"/>
                <w:szCs w:val="20"/>
              </w:rPr>
              <w:t>CPLD</w:t>
            </w:r>
            <w:r>
              <w:rPr>
                <w:rFonts w:ascii="宋体" w:hAnsi="宋体" w:cs="宋体" w:eastAsia="宋体" w:hint="default"/>
                <w:sz w:val="20"/>
                <w:szCs w:val="20"/>
              </w:rPr>
              <w:t>进行故障注入的测试装置及测试方法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2018104501765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4"/>
              <w:jc w:val="right"/>
              <w:rPr>
                <w:rFonts w:ascii="Times New Roman" w:hAnsi="Times New Roman" w:cs="Times New Roman" w:eastAsia="Times New Roman" w:hint="default"/>
                <w:sz w:val="20"/>
                <w:szCs w:val="20"/>
              </w:rPr>
            </w:pPr>
            <w:r>
              <w:rPr>
                <w:rFonts w:ascii="Times New Roman"/>
                <w:spacing w:val="-1"/>
                <w:sz w:val="20"/>
              </w:rPr>
              <w:t>2018.5.11</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31</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用于</w:t>
            </w:r>
            <w:r>
              <w:rPr>
                <w:rFonts w:ascii="Times New Roman" w:hAnsi="Times New Roman" w:cs="Times New Roman" w:eastAsia="Times New Roman" w:hint="default"/>
                <w:sz w:val="20"/>
                <w:szCs w:val="20"/>
              </w:rPr>
              <w:t>STP</w:t>
            </w:r>
            <w:r>
              <w:rPr>
                <w:rFonts w:ascii="宋体" w:hAnsi="宋体" w:cs="宋体" w:eastAsia="宋体" w:hint="default"/>
                <w:sz w:val="20"/>
                <w:szCs w:val="20"/>
              </w:rPr>
              <w:t>系统的远程升级方法及系统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2018109801516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4"/>
              <w:jc w:val="right"/>
              <w:rPr>
                <w:rFonts w:ascii="Times New Roman" w:hAnsi="Times New Roman" w:cs="Times New Roman" w:eastAsia="Times New Roman" w:hint="default"/>
                <w:sz w:val="20"/>
                <w:szCs w:val="20"/>
              </w:rPr>
            </w:pPr>
            <w:r>
              <w:rPr>
                <w:rFonts w:ascii="Times New Roman"/>
                <w:spacing w:val="-1"/>
                <w:sz w:val="20"/>
              </w:rPr>
              <w:t>2018.8.27</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32</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一种基于卷积神经网络的转辙机缺口自动检测方法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2018112218424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2018.10.19</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33</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一种基于图像处理的接触线抬升量实时测量方法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2018112226469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2018.10.19</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34</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铁路信号电气设备数据的快速存储与查询方法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Times New Roman" w:hAnsi="Times New Roman" w:cs="Times New Roman" w:eastAsia="Times New Roman" w:hint="default"/>
                <w:sz w:val="20"/>
                <w:szCs w:val="20"/>
              </w:rPr>
            </w:pPr>
            <w:r>
              <w:rPr>
                <w:rFonts w:ascii="Times New Roman"/>
                <w:sz w:val="20"/>
              </w:rPr>
              <w:t>201811509714X</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2018.12.11</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35</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支持双维度查询海量监测数据的存储方法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2018115097135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2018.12.11</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36</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一种轨道电路报警限值调整方法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2018115097120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2018.12.11</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37</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一种基于大数据的轨道电路报警限值调整方法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2018115104957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2018.12.11</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38</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基于多源信息的电力开关设备故障状态判断方法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2018116378297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2018.12.29</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39</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一种通用型综合监控前置通信控制器软件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2018116431509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2018.12.29</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40</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一种铁路图纸中信号机识别的方法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2018116354485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2018.12.29</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41</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一种识别铁路图纸中表格内容的方法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2018116390922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2018.12.29</w:t>
            </w:r>
          </w:p>
        </w:tc>
      </w:tr>
      <w:tr>
        <w:trPr>
          <w:trHeight w:val="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Times New Roman" w:hAnsi="Times New Roman" w:cs="Times New Roman" w:eastAsia="Times New Roman" w:hint="default"/>
                <w:sz w:val="20"/>
                <w:szCs w:val="20"/>
              </w:rPr>
            </w:pPr>
            <w:r>
              <w:rPr>
                <w:rFonts w:ascii="Times New Roman"/>
                <w:sz w:val="20"/>
              </w:rPr>
              <w:t>42</w:t>
            </w:r>
          </w:p>
        </w:tc>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一种识别道岔位置的方法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Times New Roman" w:hAnsi="Times New Roman" w:cs="Times New Roman" w:eastAsia="Times New Roman" w:hint="default"/>
                <w:sz w:val="20"/>
                <w:szCs w:val="20"/>
              </w:rPr>
            </w:pPr>
            <w:r>
              <w:rPr>
                <w:rFonts w:ascii="Times New Roman"/>
                <w:sz w:val="20"/>
              </w:rPr>
              <w:t>2018116354042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right"/>
              <w:rPr>
                <w:rFonts w:ascii="Times New Roman" w:hAnsi="Times New Roman" w:cs="Times New Roman" w:eastAsia="Times New Roman" w:hint="default"/>
                <w:sz w:val="20"/>
                <w:szCs w:val="20"/>
              </w:rPr>
            </w:pPr>
            <w:r>
              <w:rPr>
                <w:rFonts w:ascii="Times New Roman"/>
                <w:spacing w:val="-1"/>
                <w:sz w:val="20"/>
              </w:rPr>
              <w:t>2018.12.29</w:t>
            </w:r>
          </w:p>
        </w:tc>
      </w:tr>
    </w:tbl>
    <w:p>
      <w:pPr>
        <w:spacing w:line="240" w:lineRule="auto" w:before="0"/>
        <w:rPr>
          <w:rFonts w:ascii="Times New Roman" w:hAnsi="Times New Roman" w:cs="Times New Roman" w:eastAsia="Times New Roman" w:hint="default"/>
          <w:sz w:val="20"/>
          <w:szCs w:val="20"/>
        </w:rPr>
      </w:pPr>
    </w:p>
    <w:p>
      <w:pPr>
        <w:pStyle w:val="BodyText"/>
        <w:spacing w:line="333" w:lineRule="auto" w:before="170"/>
        <w:ind w:left="676" w:right="1570" w:hanging="3"/>
        <w:jc w:val="left"/>
      </w:pPr>
      <w:r>
        <w:rPr>
          <w:rFonts w:ascii="Times New Roman" w:hAnsi="Times New Roman" w:cs="Times New Roman" w:eastAsia="Times New Roman" w:hint="default"/>
        </w:rPr>
        <w:t>2</w:t>
      </w:r>
      <w:r>
        <w:rPr/>
        <w:t>、软件著作权情况 报告期内，公司共</w:t>
      </w:r>
      <w:r>
        <w:rPr>
          <w:rFonts w:ascii="Times New Roman" w:hAnsi="Times New Roman" w:cs="Times New Roman" w:eastAsia="Times New Roman" w:hint="default"/>
        </w:rPr>
        <w:t>20</w:t>
      </w:r>
      <w:r>
        <w:rPr/>
        <w:t>个软件获得软件著作权登记</w:t>
      </w:r>
      <w:r>
        <w:rPr>
          <w:rFonts w:ascii="Times New Roman" w:hAnsi="Times New Roman" w:cs="Times New Roman" w:eastAsia="Times New Roman" w:hint="default"/>
        </w:rPr>
        <w:t>,19</w:t>
      </w:r>
      <w:r>
        <w:rPr/>
        <w:t>个软件获得软件产品登记证书。</w:t>
      </w:r>
    </w:p>
    <w:p>
      <w:pPr>
        <w:spacing w:line="240" w:lineRule="auto" w:before="12"/>
        <w:rPr>
          <w:rFonts w:ascii="宋体" w:hAnsi="宋体" w:cs="宋体" w:eastAsia="宋体" w:hint="default"/>
          <w:sz w:val="18"/>
          <w:szCs w:val="18"/>
        </w:rPr>
      </w:pPr>
    </w:p>
    <w:tbl>
      <w:tblPr>
        <w:tblW w:w="0" w:type="auto"/>
        <w:jc w:val="left"/>
        <w:tblInd w:w="189" w:type="dxa"/>
        <w:tblLayout w:type="fixed"/>
        <w:tblCellMar>
          <w:top w:w="0" w:type="dxa"/>
          <w:left w:w="0" w:type="dxa"/>
          <w:bottom w:w="0" w:type="dxa"/>
          <w:right w:w="0" w:type="dxa"/>
        </w:tblCellMar>
        <w:tblLook w:val="01E0"/>
      </w:tblPr>
      <w:tblGrid>
        <w:gridCol w:w="700"/>
        <w:gridCol w:w="4121"/>
        <w:gridCol w:w="1276"/>
        <w:gridCol w:w="1559"/>
        <w:gridCol w:w="1277"/>
      </w:tblGrid>
      <w:tr>
        <w:trPr>
          <w:trHeight w:val="654" w:hRule="exact"/>
        </w:trPr>
        <w:tc>
          <w:tcPr>
            <w:tcW w:w="89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634" w:right="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2018</w:t>
            </w:r>
            <w:r>
              <w:rPr>
                <w:rFonts w:ascii="宋体" w:hAnsi="宋体" w:cs="宋体" w:eastAsia="宋体" w:hint="default"/>
                <w:b/>
                <w:bCs/>
                <w:sz w:val="28"/>
                <w:szCs w:val="28"/>
              </w:rPr>
              <w:t>年软件著作权登记一览表</w:t>
            </w:r>
            <w:r>
              <w:rPr>
                <w:rFonts w:ascii="宋体" w:hAnsi="宋体" w:cs="宋体" w:eastAsia="宋体" w:hint="default"/>
                <w:sz w:val="28"/>
                <w:szCs w:val="28"/>
              </w:rPr>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318" w:right="0"/>
              <w:jc w:val="left"/>
              <w:rPr>
                <w:rFonts w:ascii="宋体" w:hAnsi="宋体" w:cs="宋体" w:eastAsia="宋体" w:hint="default"/>
                <w:sz w:val="21"/>
                <w:szCs w:val="21"/>
              </w:rPr>
            </w:pPr>
            <w:r>
              <w:rPr>
                <w:rFonts w:ascii="宋体" w:hAnsi="宋体" w:cs="宋体" w:eastAsia="宋体" w:hint="default"/>
                <w:b/>
                <w:bCs/>
                <w:sz w:val="21"/>
                <w:szCs w:val="21"/>
              </w:rPr>
              <w:t>软件著作权名称</w:t>
            </w:r>
            <w:r>
              <w:rPr>
                <w:rFonts w:ascii="宋体" w:hAnsi="宋体" w:cs="宋体" w:eastAsia="宋体" w:hint="default"/>
                <w:sz w:val="21"/>
                <w:szCs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版本号</w:t>
            </w:r>
            <w:r>
              <w:rPr>
                <w:rFonts w:ascii="宋体" w:hAnsi="宋体" w:cs="宋体" w:eastAsia="宋体" w:hint="default"/>
                <w:sz w:val="21"/>
                <w:szCs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登记号</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1</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辉煌城轨城市轨道交通数字化运维平台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2018SR265640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2018.4.19</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2</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辉煌线路障碍自动监测报警系统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2018SR337139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2018.5.15</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3</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辉煌城轨自动化监控平台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V2.0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2018SR392104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2018.5.29</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4</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路局电务设备综合管理分析与辅助决策系统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2018SR435092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2018.6.11</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5</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高速铁路地震预警监测系统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V3.0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2018SR655741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2018.8.16</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6</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辉煌列车调度指挥系统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V3.0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2018SR716841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2018.9.5</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7</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辉煌调度集中系统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V3.0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2018SR716758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2018.9.5</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8</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25HZ</w:t>
            </w:r>
            <w:r>
              <w:rPr>
                <w:rFonts w:ascii="宋体" w:hAnsi="宋体" w:cs="宋体" w:eastAsia="宋体" w:hint="default"/>
                <w:sz w:val="20"/>
                <w:szCs w:val="20"/>
              </w:rPr>
              <w:t>交流稳压电源稳压模块控制软件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2018SR719085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2018.9.6</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9</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电加热道岔融雪系统远程监控软件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2018SR717262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2018.9.6</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普速铁路信号智能电源屏监测系统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2018SR717258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2018.9.6</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11</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双路电源远程切换现场执行设备控制软件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2018SR725034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2018.9.7</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12</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蓄电池单体参数检测控制模块软件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2018SR725040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2018.9.7</w:t>
            </w:r>
          </w:p>
        </w:tc>
      </w:tr>
    </w:tbl>
    <w:p>
      <w:pPr>
        <w:spacing w:after="0" w:line="240" w:lineRule="auto"/>
        <w:jc w:val="center"/>
        <w:rPr>
          <w:rFonts w:ascii="Times New Roman" w:hAnsi="Times New Roman" w:cs="Times New Roman" w:eastAsia="Times New Roman" w:hint="default"/>
          <w:sz w:val="20"/>
          <w:szCs w:val="20"/>
        </w:rPr>
        <w:sectPr>
          <w:pgSz w:w="11910" w:h="16840"/>
          <w:pgMar w:header="747" w:footer="979" w:top="1060" w:bottom="11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00"/>
        <w:gridCol w:w="4121"/>
        <w:gridCol w:w="1276"/>
        <w:gridCol w:w="1559"/>
        <w:gridCol w:w="1277"/>
      </w:tblGrid>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13</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蓄电池组智能监测单元软件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3"/>
              <w:jc w:val="right"/>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2018SR719071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2018.9.6</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14</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智能交流稳压电源控制软件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3"/>
              <w:jc w:val="right"/>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2018SR719739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2018.9.6</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15</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高速铁路信号智能电源屏监测系统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3"/>
              <w:jc w:val="right"/>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2018SR171257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2018.9.6</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16</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双路电源远程切换及视频监视软件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3"/>
              <w:jc w:val="right"/>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2018SR717260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2018.9.6</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17</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双路输入电路实时监测及相位管理软件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3"/>
              <w:jc w:val="right"/>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2018SR719081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2018.9.6</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18</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蓄电池远程监测系统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3"/>
              <w:jc w:val="right"/>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2018SR719749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2018.9.6</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19</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铁路信号智能电源屏远程监测系统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3"/>
              <w:jc w:val="right"/>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2018SR719077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2018.9.6</w:t>
            </w:r>
          </w:p>
        </w:tc>
      </w:tr>
      <w:tr>
        <w:trPr>
          <w:trHeight w:val="342" w:hRule="exact"/>
        </w:trPr>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宋体" w:hAnsi="宋体" w:cs="宋体" w:eastAsia="宋体" w:hint="default"/>
                <w:sz w:val="20"/>
                <w:szCs w:val="20"/>
              </w:rPr>
              <w:t>路阳智能电源屏系统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3"/>
              <w:jc w:val="right"/>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2018SR932544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2018.11.21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710"/>
        <w:gridCol w:w="4389"/>
        <w:gridCol w:w="994"/>
        <w:gridCol w:w="1559"/>
        <w:gridCol w:w="1296"/>
      </w:tblGrid>
      <w:tr>
        <w:trPr>
          <w:trHeight w:val="664" w:hRule="exact"/>
        </w:trPr>
        <w:tc>
          <w:tcPr>
            <w:tcW w:w="89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512" w:right="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2018</w:t>
            </w:r>
            <w:r>
              <w:rPr>
                <w:rFonts w:ascii="宋体" w:hAnsi="宋体" w:cs="宋体" w:eastAsia="宋体" w:hint="default"/>
                <w:b/>
                <w:bCs/>
                <w:sz w:val="28"/>
                <w:szCs w:val="28"/>
              </w:rPr>
              <w:t>年软件产品登记证书一览表</w:t>
            </w:r>
            <w:r>
              <w:rPr>
                <w:rFonts w:ascii="宋体" w:hAnsi="宋体" w:cs="宋体" w:eastAsia="宋体" w:hint="default"/>
                <w:sz w:val="28"/>
                <w:szCs w:val="28"/>
              </w:rPr>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2"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软件产品名称</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版本号</w:t>
            </w:r>
            <w:r>
              <w:rPr>
                <w:rFonts w:ascii="宋体" w:hAnsi="宋体" w:cs="宋体" w:eastAsia="宋体" w:hint="default"/>
                <w:sz w:val="21"/>
                <w:szCs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5" w:right="0"/>
              <w:jc w:val="left"/>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1</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5" w:right="0"/>
              <w:jc w:val="left"/>
              <w:rPr>
                <w:rFonts w:ascii="宋体" w:hAnsi="宋体" w:cs="宋体" w:eastAsia="宋体" w:hint="default"/>
                <w:sz w:val="21"/>
                <w:szCs w:val="21"/>
              </w:rPr>
            </w:pPr>
            <w:r>
              <w:rPr>
                <w:rFonts w:ascii="宋体" w:hAnsi="宋体" w:cs="宋体" w:eastAsia="宋体" w:hint="default"/>
                <w:sz w:val="21"/>
                <w:szCs w:val="21"/>
              </w:rPr>
              <w:t>辉煌</w:t>
            </w:r>
            <w:r>
              <w:rPr>
                <w:rFonts w:ascii="Times New Roman" w:hAnsi="Times New Roman" w:cs="Times New Roman" w:eastAsia="Times New Roman" w:hint="default"/>
                <w:sz w:val="21"/>
                <w:szCs w:val="21"/>
              </w:rPr>
              <w:t>TJWX</w:t>
            </w:r>
            <w:r>
              <w:rPr>
                <w:rFonts w:ascii="宋体" w:hAnsi="宋体" w:cs="宋体" w:eastAsia="宋体" w:hint="default"/>
                <w:sz w:val="21"/>
                <w:szCs w:val="21"/>
              </w:rPr>
              <w:t>－</w:t>
            </w:r>
            <w:r>
              <w:rPr>
                <w:rFonts w:ascii="Times New Roman" w:hAnsi="Times New Roman" w:cs="Times New Roman" w:eastAsia="Times New Roman" w:hint="default"/>
                <w:sz w:val="21"/>
                <w:szCs w:val="21"/>
              </w:rPr>
              <w:t>2000</w:t>
            </w:r>
            <w:r>
              <w:rPr>
                <w:rFonts w:ascii="宋体" w:hAnsi="宋体" w:cs="宋体" w:eastAsia="宋体" w:hint="default"/>
                <w:sz w:val="21"/>
                <w:szCs w:val="21"/>
              </w:rPr>
              <w:t>型信号微机监测系统（延续）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V2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RC-2018-0354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7" w:right="0"/>
              <w:jc w:val="left"/>
              <w:rPr>
                <w:rFonts w:ascii="Times New Roman" w:hAnsi="Times New Roman" w:cs="Times New Roman" w:eastAsia="Times New Roman" w:hint="default"/>
                <w:sz w:val="21"/>
                <w:szCs w:val="21"/>
              </w:rPr>
            </w:pPr>
            <w:r>
              <w:rPr>
                <w:rFonts w:ascii="Times New Roman"/>
                <w:sz w:val="21"/>
              </w:rPr>
              <w:t>2018.8.14</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2</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5" w:right="0"/>
              <w:jc w:val="left"/>
              <w:rPr>
                <w:rFonts w:ascii="宋体" w:hAnsi="宋体" w:cs="宋体" w:eastAsia="宋体" w:hint="default"/>
                <w:sz w:val="21"/>
                <w:szCs w:val="21"/>
              </w:rPr>
            </w:pPr>
            <w:r>
              <w:rPr>
                <w:rFonts w:ascii="宋体" w:hAnsi="宋体" w:cs="宋体" w:eastAsia="宋体" w:hint="default"/>
                <w:sz w:val="21"/>
                <w:szCs w:val="21"/>
              </w:rPr>
              <w:t>辉煌</w:t>
            </w:r>
            <w:r>
              <w:rPr>
                <w:rFonts w:ascii="Times New Roman" w:hAnsi="Times New Roman" w:cs="Times New Roman" w:eastAsia="Times New Roman" w:hint="default"/>
                <w:sz w:val="21"/>
                <w:szCs w:val="21"/>
              </w:rPr>
              <w:t>TJWX</w:t>
            </w:r>
            <w:r>
              <w:rPr>
                <w:rFonts w:ascii="宋体" w:hAnsi="宋体" w:cs="宋体" w:eastAsia="宋体" w:hint="default"/>
                <w:sz w:val="21"/>
                <w:szCs w:val="21"/>
              </w:rPr>
              <w:t>－</w:t>
            </w:r>
            <w:r>
              <w:rPr>
                <w:rFonts w:ascii="Times New Roman" w:hAnsi="Times New Roman" w:cs="Times New Roman" w:eastAsia="Times New Roman" w:hint="default"/>
                <w:sz w:val="21"/>
                <w:szCs w:val="21"/>
              </w:rPr>
              <w:t>2006</w:t>
            </w:r>
            <w:r>
              <w:rPr>
                <w:rFonts w:ascii="宋体" w:hAnsi="宋体" w:cs="宋体" w:eastAsia="宋体" w:hint="default"/>
                <w:sz w:val="21"/>
                <w:szCs w:val="21"/>
              </w:rPr>
              <w:t>型信号微机监测系统（延续）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V3.0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RC-2018-0356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7" w:right="0"/>
              <w:jc w:val="left"/>
              <w:rPr>
                <w:rFonts w:ascii="Times New Roman" w:hAnsi="Times New Roman" w:cs="Times New Roman" w:eastAsia="Times New Roman" w:hint="default"/>
                <w:sz w:val="21"/>
                <w:szCs w:val="21"/>
              </w:rPr>
            </w:pPr>
            <w:r>
              <w:rPr>
                <w:rFonts w:ascii="Times New Roman"/>
                <w:sz w:val="21"/>
              </w:rPr>
              <w:t>2018.8.14</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3</w:t>
            </w:r>
          </w:p>
        </w:tc>
        <w:tc>
          <w:tcPr>
            <w:tcW w:w="4389" w:type="dxa"/>
            <w:tcBorders>
              <w:top w:val="single" w:sz="4" w:space="0" w:color="000000"/>
              <w:left w:val="single" w:sz="4" w:space="0" w:color="000000"/>
              <w:bottom w:val="single" w:sz="4" w:space="0" w:color="000000"/>
              <w:right w:val="single" w:sz="6" w:space="0" w:color="000000"/>
            </w:tcBorders>
          </w:tcPr>
          <w:p>
            <w:pPr>
              <w:pStyle w:val="TableParagraph"/>
              <w:spacing w:line="287" w:lineRule="exact"/>
              <w:ind w:left="5" w:right="-28"/>
              <w:jc w:val="left"/>
              <w:rPr>
                <w:rFonts w:ascii="宋体" w:hAnsi="宋体" w:cs="宋体" w:eastAsia="宋体" w:hint="default"/>
                <w:sz w:val="21"/>
                <w:szCs w:val="21"/>
              </w:rPr>
            </w:pPr>
            <w:r>
              <w:rPr>
                <w:rFonts w:ascii="宋体" w:hAnsi="宋体" w:cs="宋体" w:eastAsia="宋体" w:hint="default"/>
                <w:sz w:val="21"/>
                <w:szCs w:val="21"/>
              </w:rPr>
              <w:t>辉煌</w:t>
            </w:r>
            <w:r>
              <w:rPr>
                <w:rFonts w:ascii="Times New Roman" w:hAnsi="Times New Roman" w:cs="Times New Roman" w:eastAsia="Times New Roman" w:hint="default"/>
                <w:sz w:val="21"/>
                <w:szCs w:val="21"/>
              </w:rPr>
              <w:t>HH-LS</w:t>
            </w:r>
            <w:r>
              <w:rPr>
                <w:rFonts w:ascii="宋体" w:hAnsi="宋体" w:cs="宋体" w:eastAsia="宋体" w:hint="default"/>
                <w:sz w:val="21"/>
                <w:szCs w:val="21"/>
              </w:rPr>
              <w:t>型铁路信号计算机联锁系统（延续）</w:t>
            </w:r>
          </w:p>
        </w:tc>
        <w:tc>
          <w:tcPr>
            <w:tcW w:w="9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V1.05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RC-2018-0357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7" w:right="0"/>
              <w:jc w:val="left"/>
              <w:rPr>
                <w:rFonts w:ascii="Times New Roman" w:hAnsi="Times New Roman" w:cs="Times New Roman" w:eastAsia="Times New Roman" w:hint="default"/>
                <w:sz w:val="21"/>
                <w:szCs w:val="21"/>
              </w:rPr>
            </w:pPr>
            <w:r>
              <w:rPr>
                <w:rFonts w:ascii="Times New Roman"/>
                <w:sz w:val="21"/>
              </w:rPr>
              <w:t>2018.8.14</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4</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5" w:right="0"/>
              <w:jc w:val="left"/>
              <w:rPr>
                <w:rFonts w:ascii="宋体" w:hAnsi="宋体" w:cs="宋体" w:eastAsia="宋体" w:hint="default"/>
                <w:sz w:val="21"/>
                <w:szCs w:val="21"/>
              </w:rPr>
            </w:pPr>
            <w:r>
              <w:rPr>
                <w:rFonts w:ascii="宋体" w:hAnsi="宋体" w:cs="宋体" w:eastAsia="宋体" w:hint="default"/>
                <w:sz w:val="21"/>
                <w:szCs w:val="21"/>
              </w:rPr>
              <w:t>辉煌</w:t>
            </w:r>
            <w:r>
              <w:rPr>
                <w:rFonts w:ascii="Times New Roman" w:hAnsi="Times New Roman" w:cs="Times New Roman" w:eastAsia="Times New Roman" w:hint="default"/>
                <w:sz w:val="21"/>
                <w:szCs w:val="21"/>
              </w:rPr>
              <w:t>HHJZ-01</w:t>
            </w:r>
            <w:r>
              <w:rPr>
                <w:rFonts w:ascii="宋体" w:hAnsi="宋体" w:cs="宋体" w:eastAsia="宋体" w:hint="default"/>
                <w:sz w:val="21"/>
                <w:szCs w:val="21"/>
              </w:rPr>
              <w:t>型计轴系统（延续）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V2.0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RC-2018-0355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7" w:right="0"/>
              <w:jc w:val="left"/>
              <w:rPr>
                <w:rFonts w:ascii="Times New Roman" w:hAnsi="Times New Roman" w:cs="Times New Roman" w:eastAsia="Times New Roman" w:hint="default"/>
                <w:sz w:val="21"/>
                <w:szCs w:val="21"/>
              </w:rPr>
            </w:pPr>
            <w:r>
              <w:rPr>
                <w:rFonts w:ascii="Times New Roman"/>
                <w:sz w:val="21"/>
              </w:rPr>
              <w:t>2018.8.14</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5</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辉煌列车调度指挥系统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V3.0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RC-2018-0595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75" w:right="0"/>
              <w:jc w:val="left"/>
              <w:rPr>
                <w:rFonts w:ascii="Times New Roman" w:hAnsi="Times New Roman" w:cs="Times New Roman" w:eastAsia="Times New Roman" w:hint="default"/>
                <w:sz w:val="21"/>
                <w:szCs w:val="21"/>
              </w:rPr>
            </w:pPr>
            <w:r>
              <w:rPr>
                <w:rFonts w:ascii="Times New Roman"/>
                <w:sz w:val="21"/>
              </w:rPr>
              <w:t>2018.10.19</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6</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辉煌调度集中系统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V3.0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RC-2018-0596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75" w:right="0"/>
              <w:jc w:val="left"/>
              <w:rPr>
                <w:rFonts w:ascii="Times New Roman" w:hAnsi="Times New Roman" w:cs="Times New Roman" w:eastAsia="Times New Roman" w:hint="default"/>
                <w:sz w:val="21"/>
                <w:szCs w:val="21"/>
              </w:rPr>
            </w:pPr>
            <w:r>
              <w:rPr>
                <w:rFonts w:ascii="Times New Roman"/>
                <w:sz w:val="21"/>
              </w:rPr>
              <w:t>2018.10.19</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7</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普速铁路信号智能电源屏监测系统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JKPC181001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7" w:right="0"/>
              <w:jc w:val="left"/>
              <w:rPr>
                <w:rFonts w:ascii="Times New Roman" w:hAnsi="Times New Roman" w:cs="Times New Roman" w:eastAsia="Times New Roman" w:hint="default"/>
                <w:sz w:val="21"/>
                <w:szCs w:val="21"/>
              </w:rPr>
            </w:pPr>
            <w:r>
              <w:rPr>
                <w:rFonts w:ascii="Times New Roman"/>
                <w:sz w:val="21"/>
              </w:rPr>
              <w:t>2018.9.17</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8</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高速铁路信号智能电源屏监测系统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JKPC181002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7" w:right="0"/>
              <w:jc w:val="left"/>
              <w:rPr>
                <w:rFonts w:ascii="Times New Roman" w:hAnsi="Times New Roman" w:cs="Times New Roman" w:eastAsia="Times New Roman" w:hint="default"/>
                <w:sz w:val="21"/>
                <w:szCs w:val="21"/>
              </w:rPr>
            </w:pPr>
            <w:r>
              <w:rPr>
                <w:rFonts w:ascii="Times New Roman"/>
                <w:sz w:val="21"/>
              </w:rPr>
              <w:t>2018.9.17</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9</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电加热道岔融雪系统远程监控软件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JKPC181003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7" w:right="0"/>
              <w:jc w:val="left"/>
              <w:rPr>
                <w:rFonts w:ascii="Times New Roman" w:hAnsi="Times New Roman" w:cs="Times New Roman" w:eastAsia="Times New Roman" w:hint="default"/>
                <w:sz w:val="21"/>
                <w:szCs w:val="21"/>
              </w:rPr>
            </w:pPr>
            <w:r>
              <w:rPr>
                <w:rFonts w:ascii="Times New Roman"/>
                <w:sz w:val="21"/>
              </w:rPr>
              <w:t>2018.9.17</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10</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双路电源远程切换现场执行设备控制软件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JKPC181004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7" w:right="0"/>
              <w:jc w:val="left"/>
              <w:rPr>
                <w:rFonts w:ascii="Times New Roman" w:hAnsi="Times New Roman" w:cs="Times New Roman" w:eastAsia="Times New Roman" w:hint="default"/>
                <w:sz w:val="21"/>
                <w:szCs w:val="21"/>
              </w:rPr>
            </w:pPr>
            <w:r>
              <w:rPr>
                <w:rFonts w:ascii="Times New Roman"/>
                <w:sz w:val="21"/>
              </w:rPr>
              <w:t>2018.9.17</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11</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双路电源远程切换及视频监视软件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JKPC181005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7" w:right="0"/>
              <w:jc w:val="left"/>
              <w:rPr>
                <w:rFonts w:ascii="Times New Roman" w:hAnsi="Times New Roman" w:cs="Times New Roman" w:eastAsia="Times New Roman" w:hint="default"/>
                <w:sz w:val="21"/>
                <w:szCs w:val="21"/>
              </w:rPr>
            </w:pPr>
            <w:r>
              <w:rPr>
                <w:rFonts w:ascii="Times New Roman"/>
                <w:sz w:val="21"/>
              </w:rPr>
              <w:t>2018.9.17</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12</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双路输入电路实时监测及相位管理软件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JKPC181006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7" w:right="0"/>
              <w:jc w:val="left"/>
              <w:rPr>
                <w:rFonts w:ascii="Times New Roman" w:hAnsi="Times New Roman" w:cs="Times New Roman" w:eastAsia="Times New Roman" w:hint="default"/>
                <w:sz w:val="21"/>
                <w:szCs w:val="21"/>
              </w:rPr>
            </w:pPr>
            <w:r>
              <w:rPr>
                <w:rFonts w:ascii="Times New Roman"/>
                <w:sz w:val="21"/>
              </w:rPr>
              <w:t>2018.9.17</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13</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蓄电池单体参数检测控制模块软件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JKPC181007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7" w:right="0"/>
              <w:jc w:val="left"/>
              <w:rPr>
                <w:rFonts w:ascii="Times New Roman" w:hAnsi="Times New Roman" w:cs="Times New Roman" w:eastAsia="Times New Roman" w:hint="default"/>
                <w:sz w:val="21"/>
                <w:szCs w:val="21"/>
              </w:rPr>
            </w:pPr>
            <w:r>
              <w:rPr>
                <w:rFonts w:ascii="Times New Roman"/>
                <w:sz w:val="21"/>
              </w:rPr>
              <w:t>2018.9.17</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14</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蓄电池组智能监测单元软件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JKPC181008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7" w:right="0"/>
              <w:jc w:val="left"/>
              <w:rPr>
                <w:rFonts w:ascii="Times New Roman" w:hAnsi="Times New Roman" w:cs="Times New Roman" w:eastAsia="Times New Roman" w:hint="default"/>
                <w:sz w:val="21"/>
                <w:szCs w:val="21"/>
              </w:rPr>
            </w:pPr>
            <w:r>
              <w:rPr>
                <w:rFonts w:ascii="Times New Roman"/>
                <w:sz w:val="21"/>
              </w:rPr>
              <w:t>2018.9.17</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15</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蓄电池远程监测系统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JKPC181009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7" w:right="0"/>
              <w:jc w:val="left"/>
              <w:rPr>
                <w:rFonts w:ascii="Times New Roman" w:hAnsi="Times New Roman" w:cs="Times New Roman" w:eastAsia="Times New Roman" w:hint="default"/>
                <w:sz w:val="21"/>
                <w:szCs w:val="21"/>
              </w:rPr>
            </w:pPr>
            <w:r>
              <w:rPr>
                <w:rFonts w:ascii="Times New Roman"/>
                <w:sz w:val="21"/>
              </w:rPr>
              <w:t>2018.9.17</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16</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铁路信号智能电源远程监测系统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JKPC181010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7" w:right="0"/>
              <w:jc w:val="left"/>
              <w:rPr>
                <w:rFonts w:ascii="Times New Roman" w:hAnsi="Times New Roman" w:cs="Times New Roman" w:eastAsia="Times New Roman" w:hint="default"/>
                <w:sz w:val="21"/>
                <w:szCs w:val="21"/>
              </w:rPr>
            </w:pPr>
            <w:r>
              <w:rPr>
                <w:rFonts w:ascii="Times New Roman"/>
                <w:sz w:val="21"/>
              </w:rPr>
              <w:t>2018.9.17</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17</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智能交流稳压电源控制软件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JKPC181011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7" w:right="0"/>
              <w:jc w:val="left"/>
              <w:rPr>
                <w:rFonts w:ascii="Times New Roman" w:hAnsi="Times New Roman" w:cs="Times New Roman" w:eastAsia="Times New Roman" w:hint="default"/>
                <w:sz w:val="21"/>
                <w:szCs w:val="21"/>
              </w:rPr>
            </w:pPr>
            <w:r>
              <w:rPr>
                <w:rFonts w:ascii="Times New Roman"/>
                <w:sz w:val="21"/>
              </w:rPr>
              <w:t>2018.9.17</w:t>
            </w:r>
          </w:p>
        </w:tc>
      </w:tr>
      <w:tr>
        <w:trPr>
          <w:trHeight w:val="34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18</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25Hz</w:t>
            </w:r>
            <w:r>
              <w:rPr>
                <w:rFonts w:ascii="宋体" w:hAnsi="宋体" w:cs="宋体" w:eastAsia="宋体" w:hint="default"/>
                <w:sz w:val="21"/>
                <w:szCs w:val="21"/>
              </w:rPr>
              <w:t>交流稳压电源模块控制软件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JKPC181012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7" w:right="0"/>
              <w:jc w:val="left"/>
              <w:rPr>
                <w:rFonts w:ascii="Times New Roman" w:hAnsi="Times New Roman" w:cs="Times New Roman" w:eastAsia="Times New Roman" w:hint="default"/>
                <w:sz w:val="21"/>
                <w:szCs w:val="21"/>
              </w:rPr>
            </w:pPr>
            <w:r>
              <w:rPr>
                <w:rFonts w:ascii="Times New Roman"/>
                <w:sz w:val="21"/>
              </w:rPr>
              <w:t>2018.9.17</w:t>
            </w:r>
          </w:p>
        </w:tc>
      </w:tr>
      <w:tr>
        <w:trPr>
          <w:trHeight w:val="35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21"/>
                <w:szCs w:val="21"/>
              </w:rPr>
            </w:pPr>
            <w:r>
              <w:rPr>
                <w:rFonts w:ascii="Times New Roman"/>
                <w:sz w:val="21"/>
              </w:rPr>
              <w:t>19</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路阳智能电源屏系统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V1.0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JKPC188451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75" w:right="0"/>
              <w:jc w:val="left"/>
              <w:rPr>
                <w:rFonts w:ascii="Times New Roman" w:hAnsi="Times New Roman" w:cs="Times New Roman" w:eastAsia="Times New Roman" w:hint="default"/>
                <w:sz w:val="21"/>
                <w:szCs w:val="21"/>
              </w:rPr>
            </w:pPr>
            <w:r>
              <w:rPr>
                <w:rFonts w:ascii="Times New Roman"/>
                <w:sz w:val="21"/>
              </w:rPr>
              <w:t>2018.11.29</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2966" w:right="0"/>
        <w:jc w:val="left"/>
        <w:rPr>
          <w:b w:val="0"/>
          <w:bCs w:val="0"/>
        </w:rPr>
      </w:pPr>
      <w:bookmarkStart w:name="第四节 经营情况讨论与分析" w:id="21"/>
      <w:bookmarkEnd w:id="21"/>
      <w:r>
        <w:rPr>
          <w:b w:val="0"/>
          <w:bCs w:val="0"/>
        </w:rPr>
      </w:r>
      <w:bookmarkStart w:name="_bookmark3" w:id="22"/>
      <w:bookmarkEnd w:id="22"/>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概述" w:id="23"/>
      <w:bookmarkEnd w:id="23"/>
      <w:r>
        <w:rPr>
          <w:b w:val="0"/>
          <w:bCs w:val="0"/>
        </w:rPr>
      </w:r>
      <w:r>
        <w:rPr/>
        <w:t>一、概述</w:t>
      </w:r>
      <w:r>
        <w:rPr>
          <w:b w:val="0"/>
          <w:bCs w:val="0"/>
        </w:rPr>
      </w:r>
    </w:p>
    <w:p>
      <w:pPr>
        <w:spacing w:line="240" w:lineRule="auto" w:before="6"/>
        <w:rPr>
          <w:rFonts w:ascii="宋体" w:hAnsi="宋体" w:cs="宋体" w:eastAsia="宋体" w:hint="default"/>
          <w:b/>
          <w:bCs/>
          <w:sz w:val="32"/>
          <w:szCs w:val="32"/>
        </w:rPr>
      </w:pPr>
    </w:p>
    <w:p>
      <w:pPr>
        <w:pStyle w:val="BodyText"/>
        <w:spacing w:line="350" w:lineRule="auto" w:before="0"/>
        <w:ind w:right="998" w:firstLine="482"/>
        <w:jc w:val="left"/>
      </w:pPr>
      <w:r>
        <w:rPr/>
        <w:t>伴随着世界轨道交通行业的繁荣和中国城镇化进程的推进，我国轨道交通网络的建设与 </w:t>
      </w:r>
      <w:r>
        <w:rPr>
          <w:spacing w:val="-2"/>
        </w:rPr>
        <w:t>运营得到了进一步发展。</w:t>
      </w:r>
      <w:r>
        <w:rPr>
          <w:rFonts w:ascii="Times New Roman" w:hAnsi="Times New Roman" w:cs="Times New Roman" w:eastAsia="Times New Roman" w:hint="default"/>
          <w:spacing w:val="-2"/>
        </w:rPr>
        <w:t>2018</w:t>
      </w:r>
      <w:r>
        <w:rPr>
          <w:spacing w:val="-2"/>
        </w:rPr>
        <w:t>年，公司所处的铁路和城市轨道交通行业的投资基本保持稳定。</w:t>
      </w:r>
    </w:p>
    <w:p>
      <w:pPr>
        <w:pStyle w:val="BodyText"/>
        <w:spacing w:line="350" w:lineRule="auto" w:before="5"/>
        <w:ind w:right="1004" w:firstLine="482"/>
        <w:jc w:val="left"/>
      </w:pPr>
      <w:r>
        <w:rPr>
          <w:rFonts w:ascii="宋体" w:hAnsi="宋体" w:cs="宋体" w:eastAsia="宋体" w:hint="default"/>
          <w:spacing w:val="-2"/>
        </w:rPr>
        <w:t>2018</w:t>
      </w:r>
      <w:r>
        <w:rPr>
          <w:spacing w:val="-2"/>
        </w:rPr>
        <w:t>年度全国铁路固定资产投资完成</w:t>
      </w:r>
      <w:r>
        <w:rPr>
          <w:rFonts w:ascii="宋体" w:hAnsi="宋体" w:cs="宋体" w:eastAsia="宋体" w:hint="default"/>
          <w:spacing w:val="-2"/>
        </w:rPr>
        <w:t>8028</w:t>
      </w:r>
      <w:r>
        <w:rPr>
          <w:spacing w:val="-2"/>
        </w:rPr>
        <w:t>亿元，投产新线</w:t>
      </w:r>
      <w:r>
        <w:rPr>
          <w:rFonts w:ascii="宋体" w:hAnsi="宋体" w:cs="宋体" w:eastAsia="宋体" w:hint="default"/>
          <w:spacing w:val="-2"/>
        </w:rPr>
        <w:t>4683</w:t>
      </w:r>
      <w:r>
        <w:rPr>
          <w:spacing w:val="-2"/>
        </w:rPr>
        <w:t>公里，其中高铁</w:t>
      </w:r>
      <w:r>
        <w:rPr>
          <w:rFonts w:ascii="宋体" w:hAnsi="宋体" w:cs="宋体" w:eastAsia="宋体" w:hint="default"/>
          <w:spacing w:val="-2"/>
        </w:rPr>
        <w:t>4100</w:t>
      </w:r>
      <w:r>
        <w:rPr>
          <w:spacing w:val="-2"/>
        </w:rPr>
        <w:t>公里；</w:t>
      </w:r>
      <w:r>
        <w:rPr/>
        <w:t> 至</w:t>
      </w:r>
      <w:r>
        <w:rPr>
          <w:rFonts w:ascii="宋体" w:hAnsi="宋体" w:cs="宋体" w:eastAsia="宋体" w:hint="default"/>
        </w:rPr>
        <w:t>2018</w:t>
      </w:r>
      <w:r>
        <w:rPr/>
        <w:t>年底，全国铁路营业里程达</w:t>
      </w:r>
      <w:r>
        <w:rPr>
          <w:rFonts w:ascii="宋体" w:hAnsi="宋体" w:cs="宋体" w:eastAsia="宋体" w:hint="default"/>
        </w:rPr>
        <w:t>13.1</w:t>
      </w:r>
      <w:r>
        <w:rPr/>
        <w:t>万公里以上，其中高速铁路达到</w:t>
      </w:r>
      <w:r>
        <w:rPr>
          <w:rFonts w:ascii="宋体" w:hAnsi="宋体" w:cs="宋体" w:eastAsia="宋体" w:hint="default"/>
        </w:rPr>
        <w:t>2.9</w:t>
      </w:r>
      <w:r>
        <w:rPr/>
        <w:t>万公里；根据中国 铁路总公司近期出台的年度建设计划，</w:t>
      </w:r>
      <w:r>
        <w:rPr>
          <w:rFonts w:ascii="宋体" w:hAnsi="宋体" w:cs="宋体" w:eastAsia="宋体" w:hint="default"/>
        </w:rPr>
        <w:t>2019</w:t>
      </w:r>
      <w:r>
        <w:rPr/>
        <w:t>年全国铁路固定资产投资保持高位规模，确保投</w:t>
      </w:r>
      <w:r>
        <w:rPr>
          <w:spacing w:val="-112"/>
        </w:rPr>
        <w:t> </w:t>
      </w:r>
      <w:r>
        <w:rPr>
          <w:spacing w:val="-112"/>
        </w:rPr>
      </w:r>
      <w:r>
        <w:rPr/>
        <w:t>产新线</w:t>
      </w:r>
      <w:r>
        <w:rPr>
          <w:rFonts w:ascii="宋体" w:hAnsi="宋体" w:cs="宋体" w:eastAsia="宋体" w:hint="default"/>
        </w:rPr>
        <w:t>6800</w:t>
      </w:r>
      <w:r>
        <w:rPr/>
        <w:t>公里，比</w:t>
      </w:r>
      <w:r>
        <w:rPr>
          <w:rFonts w:ascii="宋体" w:hAnsi="宋体" w:cs="宋体" w:eastAsia="宋体" w:hint="default"/>
        </w:rPr>
        <w:t>2018</w:t>
      </w:r>
      <w:r>
        <w:rPr/>
        <w:t>年增加</w:t>
      </w:r>
      <w:r>
        <w:rPr>
          <w:rFonts w:ascii="宋体" w:hAnsi="宋体" w:cs="宋体" w:eastAsia="宋体" w:hint="default"/>
        </w:rPr>
        <w:t>45%</w:t>
      </w:r>
      <w:r>
        <w:rPr/>
        <w:t>；其中高铁</w:t>
      </w:r>
      <w:r>
        <w:rPr>
          <w:rFonts w:ascii="宋体" w:hAnsi="宋体" w:cs="宋体" w:eastAsia="宋体" w:hint="default"/>
        </w:rPr>
        <w:t>3200</w:t>
      </w:r>
      <w:r>
        <w:rPr/>
        <w:t>公里，较</w:t>
      </w:r>
      <w:r>
        <w:rPr>
          <w:rFonts w:ascii="宋体" w:hAnsi="宋体" w:cs="宋体" w:eastAsia="宋体" w:hint="default"/>
        </w:rPr>
        <w:t>2018</w:t>
      </w:r>
      <w:r>
        <w:rPr/>
        <w:t>年略有减少。</w:t>
      </w:r>
    </w:p>
    <w:p>
      <w:pPr>
        <w:pStyle w:val="BodyText"/>
        <w:spacing w:line="350" w:lineRule="auto"/>
        <w:ind w:right="1130" w:firstLine="482"/>
        <w:jc w:val="both"/>
      </w:pPr>
      <w:r>
        <w:rPr>
          <w:rFonts w:ascii="宋体" w:hAnsi="宋体" w:cs="宋体" w:eastAsia="宋体" w:hint="default"/>
          <w:spacing w:val="-8"/>
        </w:rPr>
        <w:t>2018</w:t>
      </w:r>
      <w:r>
        <w:rPr>
          <w:spacing w:val="-8"/>
        </w:rPr>
        <w:t>年</w:t>
      </w:r>
      <w:r>
        <w:rPr>
          <w:rFonts w:ascii="宋体" w:hAnsi="宋体" w:cs="宋体" w:eastAsia="宋体" w:hint="default"/>
          <w:spacing w:val="-8"/>
        </w:rPr>
        <w:t>7</w:t>
      </w:r>
      <w:r>
        <w:rPr>
          <w:spacing w:val="-8"/>
        </w:rPr>
        <w:t>月</w:t>
      </w:r>
      <w:r>
        <w:rPr>
          <w:rFonts w:ascii="宋体" w:hAnsi="宋体" w:cs="宋体" w:eastAsia="宋体" w:hint="default"/>
          <w:spacing w:val="-8"/>
        </w:rPr>
        <w:t>13</w:t>
      </w:r>
      <w:r>
        <w:rPr>
          <w:spacing w:val="-8"/>
        </w:rPr>
        <w:t>日，《国务院办公厅关于进一步加强城市轨道交通规划建设管理的意见》（国</w:t>
      </w:r>
      <w:r>
        <w:rPr/>
        <w:t> 办发〔</w:t>
      </w:r>
      <w:r>
        <w:rPr>
          <w:rFonts w:ascii="宋体" w:hAnsi="宋体" w:cs="宋体" w:eastAsia="宋体" w:hint="default"/>
        </w:rPr>
        <w:t>2018</w:t>
      </w:r>
      <w:r>
        <w:rPr/>
        <w:t>〕</w:t>
      </w:r>
      <w:r>
        <w:rPr>
          <w:rFonts w:ascii="宋体" w:hAnsi="宋体" w:cs="宋体" w:eastAsia="宋体" w:hint="default"/>
        </w:rPr>
        <w:t>52</w:t>
      </w:r>
      <w:r>
        <w:rPr/>
        <w:t>号）发布，提高了城市轨道交通建设申报条件，细化了城市轨道交通规划的</w:t>
      </w:r>
      <w:r>
        <w:rPr>
          <w:spacing w:val="-114"/>
        </w:rPr>
        <w:t> </w:t>
      </w:r>
      <w:r>
        <w:rPr>
          <w:spacing w:val="-114"/>
        </w:rPr>
      </w:r>
      <w:r>
        <w:rPr>
          <w:spacing w:val="-2"/>
        </w:rPr>
        <w:t>审批流程，强化了事中和事后的监督与管理工作。</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月，国家发改委重启暂停近一年的</w:t>
      </w:r>
      <w:r>
        <w:rPr>
          <w:spacing w:val="-117"/>
        </w:rPr>
        <w:t> </w:t>
      </w:r>
      <w:r>
        <w:rPr>
          <w:spacing w:val="-117"/>
        </w:rPr>
      </w:r>
      <w:r>
        <w:rPr/>
        <w:t>城市轨道交通项目审批，各地城市轨道交通建设热潮再起。城市轨道交通作为支撑城市正常</w:t>
      </w:r>
      <w:r>
        <w:rPr>
          <w:spacing w:val="-112"/>
        </w:rPr>
        <w:t> </w:t>
      </w:r>
      <w:r>
        <w:rPr>
          <w:spacing w:val="-112"/>
        </w:rPr>
      </w:r>
      <w:r>
        <w:rPr/>
        <w:t>运行的大动脉，近年来发展迅速。随着新型城镇化、城市群建设进程的不断加快，城市轨道 交通将逐步成为国民经济新的增长点。</w:t>
      </w:r>
    </w:p>
    <w:p>
      <w:pPr>
        <w:pStyle w:val="BodyText"/>
        <w:spacing w:line="350" w:lineRule="auto"/>
        <w:ind w:right="1131" w:firstLine="482"/>
        <w:jc w:val="both"/>
      </w:pPr>
      <w:r>
        <w:rPr/>
        <w:t>据中国城市轨道交通协会统计，截至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日，中国内地累计有</w:t>
      </w:r>
      <w:r>
        <w:rPr>
          <w:rFonts w:ascii="宋体" w:hAnsi="宋体" w:cs="宋体" w:eastAsia="宋体" w:hint="default"/>
        </w:rPr>
        <w:t>35</w:t>
      </w:r>
      <w:r>
        <w:rPr/>
        <w:t>个城市建成投 运城轨交通线路</w:t>
      </w:r>
      <w:r>
        <w:rPr>
          <w:rFonts w:ascii="宋体" w:hAnsi="宋体" w:cs="宋体" w:eastAsia="宋体" w:hint="default"/>
        </w:rPr>
        <w:t>5,766.7</w:t>
      </w:r>
      <w:r>
        <w:rPr/>
        <w:t>公里，</w:t>
      </w:r>
      <w:r>
        <w:rPr>
          <w:rFonts w:ascii="宋体" w:hAnsi="宋体" w:cs="宋体" w:eastAsia="宋体" w:hint="default"/>
        </w:rPr>
        <w:t>2018</w:t>
      </w:r>
      <w:r>
        <w:rPr/>
        <w:t>年新增运营线路长度</w:t>
      </w:r>
      <w:r>
        <w:rPr>
          <w:rFonts w:ascii="宋体" w:hAnsi="宋体" w:cs="宋体" w:eastAsia="宋体" w:hint="default"/>
        </w:rPr>
        <w:t>734.0</w:t>
      </w:r>
      <w:r>
        <w:rPr/>
        <w:t>公里（已连续三年保持强劲的</w:t>
      </w:r>
      <w:r>
        <w:rPr>
          <w:spacing w:val="-88"/>
        </w:rPr>
        <w:t> </w:t>
      </w:r>
      <w:r>
        <w:rPr>
          <w:spacing w:val="-88"/>
        </w:rPr>
      </w:r>
      <w:r>
        <w:rPr>
          <w:spacing w:val="-2"/>
        </w:rPr>
        <w:t>发展势头），新增</w:t>
      </w:r>
      <w:r>
        <w:rPr>
          <w:rFonts w:ascii="宋体" w:hAnsi="宋体" w:cs="宋体" w:eastAsia="宋体" w:hint="default"/>
          <w:spacing w:val="-2"/>
        </w:rPr>
        <w:t>22</w:t>
      </w:r>
      <w:r>
        <w:rPr>
          <w:spacing w:val="-2"/>
        </w:rPr>
        <w:t>条运营线路，新开延伸段</w:t>
      </w:r>
      <w:r>
        <w:rPr>
          <w:rFonts w:ascii="宋体" w:hAnsi="宋体" w:cs="宋体" w:eastAsia="宋体" w:hint="default"/>
          <w:spacing w:val="-2"/>
        </w:rPr>
        <w:t>14</w:t>
      </w:r>
      <w:r>
        <w:rPr>
          <w:spacing w:val="-2"/>
        </w:rPr>
        <w:t>段。根据发改委发布信息，</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月至今已</w:t>
      </w:r>
      <w:r>
        <w:rPr>
          <w:spacing w:val="-115"/>
        </w:rPr>
        <w:t> </w:t>
      </w:r>
      <w:r>
        <w:rPr>
          <w:spacing w:val="-3"/>
        </w:rPr>
        <w:t>有苏州、重庆、上海、长春、武汉、杭州和济南等</w:t>
      </w:r>
      <w:r>
        <w:rPr>
          <w:rFonts w:ascii="宋体" w:hAnsi="宋体" w:cs="宋体" w:eastAsia="宋体" w:hint="default"/>
          <w:spacing w:val="-3"/>
        </w:rPr>
        <w:t>7</w:t>
      </w:r>
      <w:r>
        <w:rPr>
          <w:spacing w:val="-3"/>
        </w:rPr>
        <w:t>个城市的轨道交通建设规划获得批复，其</w:t>
      </w:r>
      <w:r>
        <w:rPr>
          <w:spacing w:val="-82"/>
        </w:rPr>
        <w:t> </w:t>
      </w:r>
      <w:r>
        <w:rPr>
          <w:spacing w:val="-82"/>
        </w:rPr>
      </w:r>
      <w:r>
        <w:rPr>
          <w:spacing w:val="-2"/>
        </w:rPr>
        <w:t>中杭州和济南属于调整建设规划，</w:t>
      </w:r>
      <w:r>
        <w:rPr>
          <w:rFonts w:ascii="宋体" w:hAnsi="宋体" w:cs="宋体" w:eastAsia="宋体" w:hint="default"/>
          <w:spacing w:val="-2"/>
        </w:rPr>
        <w:t>7</w:t>
      </w:r>
      <w:r>
        <w:rPr>
          <w:spacing w:val="-2"/>
        </w:rPr>
        <w:t>个城市涉及项目里程</w:t>
      </w:r>
      <w:r>
        <w:rPr>
          <w:rFonts w:ascii="宋体" w:hAnsi="宋体" w:cs="宋体" w:eastAsia="宋体" w:hint="default"/>
          <w:spacing w:val="-2"/>
        </w:rPr>
        <w:t>1,154</w:t>
      </w:r>
      <w:r>
        <w:rPr>
          <w:spacing w:val="-2"/>
        </w:rPr>
        <w:t>公里左右、投资额</w:t>
      </w:r>
      <w:r>
        <w:rPr>
          <w:rFonts w:ascii="宋体" w:hAnsi="宋体" w:cs="宋体" w:eastAsia="宋体" w:hint="default"/>
          <w:spacing w:val="-2"/>
        </w:rPr>
        <w:t>9,000</w:t>
      </w:r>
      <w:r>
        <w:rPr>
          <w:spacing w:val="-2"/>
        </w:rPr>
        <w:t>亿元左</w:t>
      </w:r>
      <w:r>
        <w:rPr>
          <w:spacing w:val="-110"/>
        </w:rPr>
        <w:t> </w:t>
      </w:r>
      <w:r>
        <w:rPr/>
        <w:t>右。在国办发（</w:t>
      </w:r>
      <w:r>
        <w:rPr>
          <w:rFonts w:ascii="宋体" w:hAnsi="宋体" w:cs="宋体" w:eastAsia="宋体" w:hint="default"/>
        </w:rPr>
        <w:t>2018</w:t>
      </w:r>
      <w:r>
        <w:rPr/>
        <w:t>）</w:t>
      </w:r>
      <w:r>
        <w:rPr>
          <w:rFonts w:ascii="宋体" w:hAnsi="宋体" w:cs="宋体" w:eastAsia="宋体" w:hint="default"/>
        </w:rPr>
        <w:t>52</w:t>
      </w:r>
      <w:r>
        <w:rPr/>
        <w:t>号文的规范引导下，新一轮审批的启动，预示城市轨道交通建设将</w:t>
      </w:r>
      <w:r>
        <w:rPr>
          <w:spacing w:val="-113"/>
        </w:rPr>
        <w:t> </w:t>
      </w:r>
      <w:r>
        <w:rPr>
          <w:spacing w:val="-113"/>
        </w:rPr>
      </w:r>
      <w:r>
        <w:rPr/>
        <w:t>会在健康有序发展中继续前行。</w:t>
      </w:r>
    </w:p>
    <w:p>
      <w:pPr>
        <w:pStyle w:val="BodyText"/>
        <w:spacing w:line="350" w:lineRule="auto" w:before="35"/>
        <w:ind w:right="1132" w:firstLine="482"/>
        <w:jc w:val="both"/>
      </w:pPr>
      <w:r>
        <w:rPr/>
        <w:t>报告期内，公司围绕“轨道交通运营维护一体化解决方案及高端装备”的主营业务，通 过逐步扩大市场领域，培育新产品市场，优化管理体系，健全各业务板块目标管控，不断提 </w:t>
      </w:r>
      <w:r>
        <w:rPr>
          <w:spacing w:val="-3"/>
        </w:rPr>
        <w:t>升研发创新能力等举措，推进“产业</w:t>
      </w:r>
      <w:r>
        <w:rPr>
          <w:rFonts w:ascii="宋体" w:hAnsi="宋体" w:cs="宋体" w:eastAsia="宋体" w:hint="default"/>
          <w:spacing w:val="-3"/>
        </w:rPr>
        <w:t>+</w:t>
      </w:r>
      <w:r>
        <w:rPr>
          <w:spacing w:val="-3"/>
        </w:rPr>
        <w:t>资本”双轮驱动战略，打造高端制造系统平台，提升轨</w:t>
      </w:r>
      <w:r>
        <w:rPr>
          <w:spacing w:val="-81"/>
        </w:rPr>
        <w:t> </w:t>
      </w:r>
      <w:r>
        <w:rPr>
          <w:spacing w:val="-81"/>
        </w:rPr>
      </w:r>
      <w:r>
        <w:rPr/>
        <w:t>道交通智能运维解决方案及综合服务能力，保持公司持续稳健发展。</w:t>
      </w:r>
    </w:p>
    <w:p>
      <w:pPr>
        <w:pStyle w:val="BodyText"/>
        <w:spacing w:line="352" w:lineRule="auto" w:before="35"/>
        <w:ind w:right="0" w:firstLine="482"/>
        <w:jc w:val="left"/>
      </w:pPr>
      <w:r>
        <w:rPr>
          <w:rFonts w:ascii="宋体" w:hAnsi="宋体" w:cs="宋体" w:eastAsia="宋体" w:hint="default"/>
          <w:spacing w:val="-3"/>
        </w:rPr>
        <w:t>2018</w:t>
      </w:r>
      <w:r>
        <w:rPr>
          <w:spacing w:val="-3"/>
        </w:rPr>
        <w:t>年度是公司实施新战略的关键落实之年，也是在国家宏观经济形势下极富挑战之年，</w:t>
      </w:r>
      <w:r>
        <w:rPr/>
        <w:t> 报告期内，公司围绕公司战略，主要开展了以下工作：</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1131" w:firstLine="482"/>
        <w:jc w:val="right"/>
      </w:pPr>
      <w:r>
        <w:rPr>
          <w:rFonts w:ascii="宋体" w:hAnsi="宋体" w:cs="宋体" w:eastAsia="宋体" w:hint="default"/>
          <w:spacing w:val="-3"/>
        </w:rPr>
        <w:t>1</w:t>
      </w:r>
      <w:r>
        <w:rPr>
          <w:spacing w:val="-3"/>
        </w:rPr>
        <w:t>、持续加大市场推广与宣传，巩固市场地位，提高市场占有率。积极与各业主、设计咨</w:t>
      </w:r>
      <w:r>
        <w:rPr/>
        <w:t> 询单位举办技术交流会议，推介公司产品，大力开拓省外城轨市场，长期深入耕耘；充分利 用外围资源，强化与国内领先企业、四电集成商、海外项目总包商的合作，推动合作共赢。 </w:t>
      </w:r>
      <w:r>
        <w:rPr>
          <w:rFonts w:ascii="宋体" w:hAnsi="宋体" w:cs="宋体" w:eastAsia="宋体" w:hint="default"/>
          <w:spacing w:val="-3"/>
        </w:rPr>
        <w:t>2</w:t>
      </w:r>
      <w:r>
        <w:rPr>
          <w:spacing w:val="-3"/>
        </w:rPr>
        <w:t>、加大研发投入，扩大领先优势，增强产品核心竞争力；加快新领域新专业方向的持续</w:t>
      </w:r>
    </w:p>
    <w:p>
      <w:pPr>
        <w:pStyle w:val="BodyText"/>
        <w:spacing w:line="352" w:lineRule="auto" w:before="32"/>
        <w:ind w:left="636" w:right="0" w:hanging="483"/>
        <w:jc w:val="left"/>
      </w:pPr>
      <w:r>
        <w:rPr/>
        <w:t>研发和试点推广，争取新的业务增长点。 紧紧围绕“电务设备维护大监测生态平台”开展多个项目的研发工作，以</w:t>
      </w:r>
      <w:r>
        <w:rPr>
          <w:rFonts w:ascii="宋体" w:hAnsi="宋体" w:cs="宋体" w:eastAsia="宋体" w:hint="default"/>
        </w:rPr>
        <w:t>2018</w:t>
      </w:r>
      <w:r>
        <w:rPr/>
        <w:t>版集中监</w:t>
      </w:r>
    </w:p>
    <w:p>
      <w:pPr>
        <w:pStyle w:val="BodyText"/>
        <w:spacing w:line="350" w:lineRule="auto" w:before="32"/>
        <w:ind w:right="996"/>
        <w:jc w:val="left"/>
      </w:pPr>
      <w:r>
        <w:rPr>
          <w:spacing w:val="-2"/>
        </w:rPr>
        <w:t>测、电务</w:t>
      </w:r>
      <w:r>
        <w:rPr>
          <w:rFonts w:ascii="宋体" w:hAnsi="宋体" w:cs="宋体" w:eastAsia="宋体" w:hint="default"/>
          <w:spacing w:val="-2"/>
        </w:rPr>
        <w:t>8D</w:t>
      </w:r>
      <w:r>
        <w:rPr>
          <w:spacing w:val="-2"/>
        </w:rPr>
        <w:t>中心为基础分别完成现场信号归一化平台和大数据智能运维平台开发和试点部署；</w:t>
      </w:r>
      <w:r>
        <w:rPr>
          <w:spacing w:val="-118"/>
        </w:rPr>
        <w:t> </w:t>
      </w:r>
      <w:r>
        <w:rPr/>
        <w:t>完成了高铁地震监测预警系统的铁总科技部审查；积极开展与科研院所、高校的前沿技术研 发合作，推动周界入侵报警系统、落石监测系统在多个试点局段的推广验证，并逐步完成局 级鉴定工作，积极培育新业务市场。充分利用既有积累技术优势，研发新版自行式地铁隧道 清洗车项目。</w:t>
      </w:r>
    </w:p>
    <w:p>
      <w:pPr>
        <w:pStyle w:val="BodyText"/>
        <w:spacing w:line="350" w:lineRule="auto"/>
        <w:ind w:right="1013" w:firstLine="482"/>
        <w:jc w:val="both"/>
      </w:pPr>
      <w:r>
        <w:rPr>
          <w:rFonts w:ascii="宋体" w:hAnsi="宋体" w:cs="宋体" w:eastAsia="宋体" w:hint="default"/>
          <w:spacing w:val="-3"/>
        </w:rPr>
        <w:t>3</w:t>
      </w:r>
      <w:r>
        <w:rPr>
          <w:spacing w:val="-3"/>
        </w:rPr>
        <w:t>、深耕城轨市场，升级产品集成方案，高效高质量完成项目交付，稳步扩大城轨业务收</w:t>
      </w:r>
      <w:r>
        <w:rPr/>
        <w:t> 入占比。继续加大研发投入，推进城轨综合监控核心软件平台的研发和现场验证工作，结合</w:t>
      </w:r>
      <w:r>
        <w:rPr>
          <w:spacing w:val="-109"/>
        </w:rPr>
        <w:t> </w:t>
      </w:r>
      <w:r>
        <w:rPr>
          <w:spacing w:val="-109"/>
        </w:rPr>
      </w:r>
      <w:r>
        <w:rPr>
          <w:spacing w:val="-3"/>
        </w:rPr>
        <w:t>国密技术、智慧决策、大数据处理技术，实现在城轨综合监控领域由跟随到引领的升级转变。</w:t>
      </w:r>
    </w:p>
    <w:p>
      <w:pPr>
        <w:pStyle w:val="BodyText"/>
        <w:spacing w:line="350" w:lineRule="auto"/>
        <w:ind w:right="1132" w:firstLine="482"/>
        <w:jc w:val="both"/>
      </w:pPr>
      <w:r>
        <w:rPr>
          <w:rFonts w:ascii="宋体" w:hAnsi="宋体" w:cs="宋体" w:eastAsia="宋体" w:hint="default"/>
          <w:spacing w:val="-3"/>
        </w:rPr>
        <w:t>4</w:t>
      </w:r>
      <w:r>
        <w:rPr>
          <w:spacing w:val="-3"/>
        </w:rPr>
        <w:t>、加强质量管理，优化完善管理体系，提升内部管理效率。完成</w:t>
      </w:r>
      <w:r>
        <w:rPr>
          <w:rFonts w:ascii="宋体" w:hAnsi="宋体" w:cs="宋体" w:eastAsia="宋体" w:hint="default"/>
          <w:spacing w:val="-3"/>
        </w:rPr>
        <w:t>IRIS</w:t>
      </w:r>
      <w:r>
        <w:rPr>
          <w:spacing w:val="-3"/>
        </w:rPr>
        <w:t>体系的改版换证工</w:t>
      </w:r>
      <w:r>
        <w:rPr/>
        <w:t> 作，扩展</w:t>
      </w:r>
      <w:r>
        <w:rPr>
          <w:rFonts w:ascii="宋体" w:hAnsi="宋体" w:cs="宋体" w:eastAsia="宋体" w:hint="default"/>
        </w:rPr>
        <w:t>IRIS</w:t>
      </w:r>
      <w:r>
        <w:rPr/>
        <w:t>质量管理体系在公司的覆盖范围，多维度优化质量管理体系，全面提升质量意</w:t>
      </w:r>
      <w:r>
        <w:rPr>
          <w:spacing w:val="-115"/>
        </w:rPr>
        <w:t> </w:t>
      </w:r>
      <w:r>
        <w:rPr>
          <w:spacing w:val="-115"/>
        </w:rPr>
      </w:r>
      <w:r>
        <w:rPr/>
        <w:t>识；持续优化内部管理流程，推进绩效考核，强化团队建设，提升管理效率。</w:t>
      </w:r>
    </w:p>
    <w:p>
      <w:pPr>
        <w:pStyle w:val="BodyText"/>
        <w:spacing w:line="350" w:lineRule="auto"/>
        <w:ind w:right="1011" w:firstLine="482"/>
        <w:jc w:val="both"/>
      </w:pPr>
      <w:r>
        <w:rPr>
          <w:rFonts w:ascii="宋体" w:hAnsi="宋体" w:cs="宋体" w:eastAsia="宋体" w:hint="default"/>
          <w:spacing w:val="-3"/>
        </w:rPr>
        <w:t>5</w:t>
      </w:r>
      <w:r>
        <w:rPr>
          <w:spacing w:val="-3"/>
        </w:rPr>
        <w:t>、报告期内，公司严格按照中国证监会和深交所的相关规定，经审慎考量当前的市场格</w:t>
      </w:r>
      <w:r>
        <w:rPr/>
        <w:t> 局和形势，本着稳健经营的原则，合理规划公司生产经营，有效防范投资风险，降低公司财 务费用及资金成本，提高募集资金使用效率，更好地满足公司发展的需要和维护公司股东利</w:t>
      </w:r>
      <w:r>
        <w:rPr>
          <w:spacing w:val="-116"/>
        </w:rPr>
        <w:t> </w:t>
      </w:r>
      <w:r>
        <w:rPr>
          <w:spacing w:val="-116"/>
        </w:rPr>
      </w:r>
      <w:r>
        <w:rPr>
          <w:spacing w:val="-2"/>
        </w:rPr>
        <w:t>益，对</w:t>
      </w:r>
      <w:r>
        <w:rPr>
          <w:rFonts w:ascii="宋体" w:hAnsi="宋体" w:cs="宋体" w:eastAsia="宋体" w:hint="default"/>
          <w:spacing w:val="-2"/>
        </w:rPr>
        <w:t>2013</w:t>
      </w:r>
      <w:r>
        <w:rPr>
          <w:spacing w:val="-2"/>
        </w:rPr>
        <w:t>年非公开发行部分募集资金用途变更并永久补充流动资金进行决策、审批和实施。</w:t>
      </w:r>
    </w:p>
    <w:p>
      <w:pPr>
        <w:pStyle w:val="BodyText"/>
        <w:spacing w:line="350" w:lineRule="auto" w:before="35"/>
        <w:ind w:left="636" w:right="0"/>
        <w:jc w:val="left"/>
      </w:pPr>
      <w:r>
        <w:rPr>
          <w:rFonts w:ascii="宋体" w:hAnsi="宋体" w:cs="宋体" w:eastAsia="宋体" w:hint="default"/>
        </w:rPr>
        <w:t>6</w:t>
      </w:r>
      <w:r>
        <w:rPr/>
        <w:t>、完善管控体系，整合优势资源，稳步推进资本驱动战略。 完善母公司与参控股公司的管控机制，合理细化管理，有效提高协同效率和风险把控能</w:t>
      </w:r>
    </w:p>
    <w:p>
      <w:pPr>
        <w:pStyle w:val="BodyText"/>
        <w:spacing w:line="350" w:lineRule="auto"/>
        <w:ind w:right="1139"/>
        <w:jc w:val="both"/>
      </w:pPr>
      <w:r>
        <w:rPr/>
        <w:t>力。合理统筹内部资源，加强母公司与参控股子公司之间的协同发展，依托各自资源优势， 实现各参控股子公司与母公司之间的统筹部署、战略协同和资源共享，优化公司产业布局， 推进资本驱动战略有效落地。</w:t>
      </w:r>
    </w:p>
    <w:p>
      <w:pPr>
        <w:spacing w:after="0" w:line="350"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二、主营业务分析" w:id="24"/>
      <w:bookmarkEnd w:id="24"/>
      <w:r>
        <w:rPr>
          <w:b w:val="0"/>
          <w:bCs w:val="0"/>
        </w:rPr>
      </w:r>
      <w:r>
        <w:rPr/>
        <w:t>二、主营业务分析</w:t>
      </w:r>
      <w:r>
        <w:rPr>
          <w:b w:val="0"/>
          <w:bCs w:val="0"/>
        </w:rPr>
      </w:r>
    </w:p>
    <w:p>
      <w:pPr>
        <w:spacing w:line="240" w:lineRule="auto" w:before="9"/>
        <w:rPr>
          <w:rFonts w:ascii="宋体" w:hAnsi="宋体" w:cs="宋体" w:eastAsia="宋体" w:hint="default"/>
          <w:b/>
          <w:bCs/>
          <w:sz w:val="22"/>
          <w:szCs w:val="22"/>
        </w:rPr>
      </w:pPr>
    </w:p>
    <w:p>
      <w:pPr>
        <w:pStyle w:val="Heading2"/>
        <w:spacing w:line="240" w:lineRule="auto" w:before="0"/>
        <w:ind w:right="0"/>
        <w:jc w:val="left"/>
        <w:rPr>
          <w:b w:val="0"/>
          <w:bCs w:val="0"/>
        </w:rPr>
      </w:pPr>
      <w:bookmarkStart w:name="1、概述" w:id="25"/>
      <w:bookmarkEnd w:id="25"/>
      <w:r>
        <w:rPr>
          <w:b w:val="0"/>
          <w:bCs w:val="0"/>
        </w:rPr>
      </w: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17"/>
          <w:szCs w:val="17"/>
        </w:rPr>
      </w:pPr>
    </w:p>
    <w:p>
      <w:pPr>
        <w:pStyle w:val="BodyText"/>
        <w:spacing w:line="350" w:lineRule="auto" w:before="0"/>
        <w:ind w:right="1114" w:firstLine="482"/>
        <w:jc w:val="left"/>
      </w:pPr>
      <w:r>
        <w:rPr/>
        <w:t>（</w:t>
      </w:r>
      <w:r>
        <w:rPr>
          <w:rFonts w:ascii="宋体" w:hAnsi="宋体" w:cs="宋体" w:eastAsia="宋体" w:hint="default"/>
        </w:rPr>
        <w:t>1</w:t>
      </w:r>
      <w:r>
        <w:rPr/>
        <w:t>）报告期内，公司实现营业收入</w:t>
      </w:r>
      <w:r>
        <w:rPr>
          <w:spacing w:val="-60"/>
        </w:rPr>
        <w:t> </w:t>
      </w:r>
      <w:r>
        <w:rPr>
          <w:rFonts w:ascii="宋体" w:hAnsi="宋体" w:cs="宋体" w:eastAsia="宋体" w:hint="default"/>
        </w:rPr>
        <w:t>52,870.82</w:t>
      </w:r>
      <w:r>
        <w:rPr>
          <w:rFonts w:ascii="宋体" w:hAnsi="宋体" w:cs="宋体" w:eastAsia="宋体" w:hint="default"/>
          <w:spacing w:val="-60"/>
        </w:rPr>
        <w:t> </w:t>
      </w:r>
      <w:r>
        <w:rPr/>
        <w:t>万元</w:t>
      </w:r>
      <w:r>
        <w:rPr>
          <w:rFonts w:ascii="宋体" w:hAnsi="宋体" w:cs="宋体" w:eastAsia="宋体" w:hint="default"/>
        </w:rPr>
        <w:t>,</w:t>
      </w:r>
      <w:r>
        <w:rPr/>
        <w:t>比上年同期减少</w:t>
      </w:r>
      <w:r>
        <w:rPr>
          <w:spacing w:val="-60"/>
        </w:rPr>
        <w:t> </w:t>
      </w:r>
      <w:r>
        <w:rPr>
          <w:rFonts w:ascii="宋体" w:hAnsi="宋体" w:cs="宋体" w:eastAsia="宋体" w:hint="default"/>
        </w:rPr>
        <w:t>3.33%</w:t>
      </w:r>
      <w:r>
        <w:rPr/>
        <w:t>，营业成本 </w:t>
      </w:r>
      <w:r>
        <w:rPr>
          <w:rFonts w:ascii="宋体" w:hAnsi="宋体" w:cs="宋体" w:eastAsia="宋体" w:hint="default"/>
        </w:rPr>
        <w:t>27,844.14</w:t>
      </w:r>
      <w:r>
        <w:rPr>
          <w:rFonts w:ascii="宋体" w:hAnsi="宋体" w:cs="宋体" w:eastAsia="宋体" w:hint="default"/>
          <w:spacing w:val="-80"/>
        </w:rPr>
        <w:t> </w:t>
      </w:r>
      <w:r>
        <w:rPr/>
        <w:t>万元</w:t>
      </w:r>
      <w:r>
        <w:rPr>
          <w:rFonts w:ascii="宋体" w:hAnsi="宋体" w:cs="宋体" w:eastAsia="宋体" w:hint="default"/>
        </w:rPr>
        <w:t>,</w:t>
      </w:r>
      <w:r>
        <w:rPr/>
        <w:t>比上年同期减少</w:t>
      </w:r>
      <w:r>
        <w:rPr>
          <w:spacing w:val="-81"/>
        </w:rPr>
        <w:t> </w:t>
      </w:r>
      <w:r>
        <w:rPr>
          <w:rFonts w:ascii="宋体" w:hAnsi="宋体" w:cs="宋体" w:eastAsia="宋体" w:hint="default"/>
        </w:rPr>
        <w:t>3.41%,</w:t>
      </w:r>
      <w:r>
        <w:rPr/>
        <w:t>实现归属于上市公司股东的净利润为</w:t>
      </w:r>
      <w:r>
        <w:rPr>
          <w:spacing w:val="-80"/>
        </w:rPr>
        <w:t> </w:t>
      </w:r>
      <w:r>
        <w:rPr>
          <w:rFonts w:ascii="宋体" w:hAnsi="宋体" w:cs="宋体" w:eastAsia="宋体" w:hint="default"/>
        </w:rPr>
        <w:t>2,773.30</w:t>
      </w:r>
      <w:r>
        <w:rPr>
          <w:rFonts w:ascii="宋体" w:hAnsi="宋体" w:cs="宋体" w:eastAsia="宋体" w:hint="default"/>
          <w:spacing w:val="-81"/>
        </w:rPr>
        <w:t> </w:t>
      </w:r>
      <w:r>
        <w:rPr/>
        <w:t>万元</w:t>
      </w:r>
      <w:r>
        <w:rPr>
          <w:rFonts w:ascii="宋体" w:hAnsi="宋体" w:cs="宋体" w:eastAsia="宋体" w:hint="default"/>
        </w:rPr>
        <w:t>, </w:t>
      </w:r>
      <w:r>
        <w:rPr/>
        <w:t>比上年同期增加</w:t>
      </w:r>
      <w:r>
        <w:rPr>
          <w:spacing w:val="-60"/>
        </w:rPr>
        <w:t> </w:t>
      </w:r>
      <w:r>
        <w:rPr>
          <w:rFonts w:ascii="宋体" w:hAnsi="宋体" w:cs="宋体" w:eastAsia="宋体" w:hint="default"/>
        </w:rPr>
        <w:t>118.28%</w:t>
      </w:r>
      <w:r>
        <w:rPr/>
        <w:t>，主要原因系①上年同期计提资产减值损失</w:t>
      </w:r>
      <w:r>
        <w:rPr>
          <w:spacing w:val="-60"/>
        </w:rPr>
        <w:t> </w:t>
      </w:r>
      <w:r>
        <w:rPr>
          <w:rFonts w:ascii="宋体" w:hAnsi="宋体" w:cs="宋体" w:eastAsia="宋体" w:hint="default"/>
        </w:rPr>
        <w:t>23,524.37</w:t>
      </w:r>
      <w:r>
        <w:rPr>
          <w:rFonts w:ascii="宋体" w:hAnsi="宋体" w:cs="宋体" w:eastAsia="宋体" w:hint="default"/>
          <w:spacing w:val="-60"/>
        </w:rPr>
        <w:t> </w:t>
      </w:r>
      <w:r>
        <w:rPr/>
        <w:t>万元，致上 年同期归属于上市公司股东的净利润亏损</w:t>
      </w:r>
      <w:r>
        <w:rPr>
          <w:spacing w:val="-60"/>
        </w:rPr>
        <w:t> </w:t>
      </w:r>
      <w:r>
        <w:rPr>
          <w:rFonts w:ascii="宋体" w:hAnsi="宋体" w:cs="宋体" w:eastAsia="宋体" w:hint="default"/>
        </w:rPr>
        <w:t>15,174.28</w:t>
      </w:r>
      <w:r>
        <w:rPr>
          <w:rFonts w:ascii="宋体" w:hAnsi="宋体" w:cs="宋体" w:eastAsia="宋体" w:hint="default"/>
          <w:spacing w:val="-60"/>
        </w:rPr>
        <w:t> </w:t>
      </w:r>
      <w:r>
        <w:rPr/>
        <w:t>万元；本报告期内计提资产减值准备</w:t>
      </w:r>
    </w:p>
    <w:p>
      <w:pPr>
        <w:pStyle w:val="BodyText"/>
        <w:spacing w:line="352" w:lineRule="auto" w:before="35"/>
        <w:ind w:right="1112"/>
        <w:jc w:val="left"/>
      </w:pPr>
      <w:r>
        <w:rPr>
          <w:rFonts w:ascii="宋体" w:hAnsi="宋体" w:cs="宋体" w:eastAsia="宋体" w:hint="default"/>
        </w:rPr>
        <w:t>7,025.68</w:t>
      </w:r>
      <w:r>
        <w:rPr>
          <w:rFonts w:ascii="宋体" w:hAnsi="宋体" w:cs="宋体" w:eastAsia="宋体" w:hint="default"/>
          <w:spacing w:val="-80"/>
        </w:rPr>
        <w:t> </w:t>
      </w:r>
      <w:r>
        <w:rPr/>
        <w:t>万元，与上年同期变化较大。②本报告期内闲置资金理财收益比上年同期有较大幅 度增长。</w:t>
      </w:r>
    </w:p>
    <w:p>
      <w:pPr>
        <w:pStyle w:val="BodyText"/>
        <w:spacing w:line="352" w:lineRule="auto" w:before="32"/>
        <w:ind w:right="1114" w:firstLine="482"/>
        <w:jc w:val="left"/>
      </w:pPr>
      <w:r>
        <w:rPr/>
        <w:t>（</w:t>
      </w:r>
      <w:r>
        <w:rPr>
          <w:rFonts w:ascii="宋体" w:hAnsi="宋体" w:cs="宋体" w:eastAsia="宋体" w:hint="default"/>
        </w:rPr>
        <w:t>2</w:t>
      </w:r>
      <w:r>
        <w:rPr/>
        <w:t>）报告期内，公司研发投入</w:t>
      </w:r>
      <w:r>
        <w:rPr>
          <w:spacing w:val="-68"/>
        </w:rPr>
        <w:t> </w:t>
      </w:r>
      <w:r>
        <w:rPr>
          <w:rFonts w:ascii="宋体" w:hAnsi="宋体" w:cs="宋体" w:eastAsia="宋体" w:hint="default"/>
        </w:rPr>
        <w:t>6,432.63</w:t>
      </w:r>
      <w:r>
        <w:rPr>
          <w:rFonts w:ascii="宋体" w:hAnsi="宋体" w:cs="宋体" w:eastAsia="宋体" w:hint="default"/>
          <w:spacing w:val="-68"/>
        </w:rPr>
        <w:t> </w:t>
      </w:r>
      <w:r>
        <w:rPr/>
        <w:t>万元，占公司营业收入的比例为</w:t>
      </w:r>
      <w:r>
        <w:rPr>
          <w:spacing w:val="-68"/>
        </w:rPr>
        <w:t> </w:t>
      </w:r>
      <w:r>
        <w:rPr>
          <w:rFonts w:ascii="宋体" w:hAnsi="宋体" w:cs="宋体" w:eastAsia="宋体" w:hint="default"/>
        </w:rPr>
        <w:t>12.17%</w:t>
      </w:r>
      <w:r>
        <w:rPr/>
        <w:t>，比上 年同期增加</w:t>
      </w:r>
      <w:r>
        <w:rPr>
          <w:spacing w:val="-60"/>
        </w:rPr>
        <w:t> </w:t>
      </w:r>
      <w:r>
        <w:rPr>
          <w:rFonts w:ascii="宋体" w:hAnsi="宋体" w:cs="宋体" w:eastAsia="宋体" w:hint="default"/>
        </w:rPr>
        <w:t>7.59%</w:t>
      </w:r>
      <w:r>
        <w:rPr/>
        <w:t>，主要原因系公司在报告期内，扩大研发项目范围和规模，增加研发投入 所致。</w:t>
      </w:r>
    </w:p>
    <w:p>
      <w:pPr>
        <w:pStyle w:val="BodyText"/>
        <w:spacing w:line="350" w:lineRule="auto" w:before="32"/>
        <w:ind w:right="1210" w:firstLine="482"/>
        <w:jc w:val="left"/>
      </w:pPr>
      <w:r>
        <w:rPr/>
        <w:t>（</w:t>
      </w:r>
      <w:r>
        <w:rPr>
          <w:rFonts w:ascii="宋体" w:hAnsi="宋体" w:cs="宋体" w:eastAsia="宋体" w:hint="default"/>
        </w:rPr>
        <w:t>3</w:t>
      </w:r>
      <w:r>
        <w:rPr/>
        <w:t>）报告期内，公司经营活动产生的现金流量净额比上年同期减少</w:t>
      </w:r>
      <w:r>
        <w:rPr>
          <w:spacing w:val="-60"/>
        </w:rPr>
        <w:t> </w:t>
      </w:r>
      <w:r>
        <w:rPr>
          <w:rFonts w:ascii="宋体" w:hAnsi="宋体" w:cs="宋体" w:eastAsia="宋体" w:hint="default"/>
        </w:rPr>
        <w:t>72.37%</w:t>
      </w:r>
      <w:r>
        <w:rPr/>
        <w:t>，主要原因 系报告期内材料采购付款增加所致。</w:t>
      </w:r>
    </w:p>
    <w:p>
      <w:pPr>
        <w:pStyle w:val="BodyText"/>
        <w:spacing w:line="350" w:lineRule="auto"/>
        <w:ind w:right="1092" w:firstLine="482"/>
        <w:jc w:val="left"/>
      </w:pPr>
      <w:r>
        <w:rPr>
          <w:spacing w:val="-3"/>
        </w:rPr>
        <w:t>（</w:t>
      </w:r>
      <w:r>
        <w:rPr>
          <w:rFonts w:ascii="宋体" w:hAnsi="宋体" w:cs="宋体" w:eastAsia="宋体" w:hint="default"/>
          <w:spacing w:val="-3"/>
        </w:rPr>
        <w:t>4</w:t>
      </w:r>
      <w:r>
        <w:rPr>
          <w:spacing w:val="-3"/>
        </w:rPr>
        <w:t>）公司根据产品订单进行生产，不存在产品积压情况。报告期内，公司存货占总资产</w:t>
      </w:r>
      <w:r>
        <w:rPr/>
        <w:t> 的比例为</w:t>
      </w:r>
      <w:r>
        <w:rPr>
          <w:spacing w:val="-60"/>
        </w:rPr>
        <w:t> </w:t>
      </w:r>
      <w:r>
        <w:rPr>
          <w:rFonts w:ascii="宋体" w:hAnsi="宋体" w:cs="宋体" w:eastAsia="宋体" w:hint="default"/>
        </w:rPr>
        <w:t>10.66%</w:t>
      </w:r>
      <w:r>
        <w:rPr/>
        <w:t>，主要是为合同备货的产品未到完工验收期，暂未确认收入。</w:t>
      </w:r>
    </w:p>
    <w:p>
      <w:pPr>
        <w:pStyle w:val="BodyText"/>
        <w:spacing w:line="240" w:lineRule="auto" w:before="35"/>
        <w:ind w:left="636" w:right="0"/>
        <w:jc w:val="left"/>
      </w:pPr>
      <w:r>
        <w:rPr/>
        <w:t>（</w:t>
      </w:r>
      <w:r>
        <w:rPr>
          <w:rFonts w:ascii="宋体" w:hAnsi="宋体" w:cs="宋体" w:eastAsia="宋体" w:hint="default"/>
        </w:rPr>
        <w:t>5</w:t>
      </w:r>
      <w:r>
        <w:rPr/>
        <w:t>）报告期内，公司主要设备的盈利能力状况未发生变化。</w:t>
      </w:r>
    </w:p>
    <w:p>
      <w:pPr>
        <w:pStyle w:val="BodyText"/>
        <w:spacing w:line="240" w:lineRule="auto" w:before="146"/>
        <w:ind w:left="636" w:right="0"/>
        <w:jc w:val="left"/>
      </w:pPr>
      <w:r>
        <w:rPr/>
        <w:t>（</w:t>
      </w:r>
      <w:r>
        <w:rPr>
          <w:rFonts w:ascii="宋体" w:hAnsi="宋体" w:cs="宋体" w:eastAsia="宋体" w:hint="default"/>
        </w:rPr>
        <w:t>6</w:t>
      </w:r>
      <w:r>
        <w:rPr/>
        <w:t>）截至报告期末，公司的商誉为</w:t>
      </w:r>
      <w:r>
        <w:rPr>
          <w:spacing w:val="-65"/>
        </w:rPr>
        <w:t> </w:t>
      </w:r>
      <w:r>
        <w:rPr>
          <w:rFonts w:ascii="宋体" w:hAnsi="宋体" w:cs="宋体" w:eastAsia="宋体" w:hint="default"/>
        </w:rPr>
        <w:t>923.78</w:t>
      </w:r>
      <w:r>
        <w:rPr>
          <w:rFonts w:ascii="宋体" w:hAnsi="宋体" w:cs="宋体" w:eastAsia="宋体" w:hint="default"/>
          <w:spacing w:val="-65"/>
        </w:rPr>
        <w:t> </w:t>
      </w:r>
      <w:r>
        <w:rPr/>
        <w:t>万元，占总资产的</w:t>
      </w:r>
      <w:r>
        <w:rPr>
          <w:spacing w:val="-65"/>
        </w:rPr>
        <w:t> </w:t>
      </w:r>
      <w:r>
        <w:rPr>
          <w:rFonts w:ascii="宋体" w:hAnsi="宋体" w:cs="宋体" w:eastAsia="宋体" w:hint="default"/>
        </w:rPr>
        <w:t>0.45%</w:t>
      </w:r>
      <w:r>
        <w:rPr/>
        <w:t>。公司于</w:t>
      </w:r>
      <w:r>
        <w:rPr>
          <w:spacing w:val="-65"/>
        </w:rPr>
        <w:t> </w:t>
      </w:r>
      <w:r>
        <w:rPr>
          <w:rFonts w:ascii="宋体" w:hAnsi="宋体" w:cs="宋体" w:eastAsia="宋体" w:hint="default"/>
        </w:rPr>
        <w:t>2011</w:t>
      </w:r>
      <w:r>
        <w:rPr>
          <w:rFonts w:ascii="宋体" w:hAnsi="宋体" w:cs="宋体" w:eastAsia="宋体" w:hint="default"/>
          <w:spacing w:val="-65"/>
        </w:rPr>
        <w:t> </w:t>
      </w:r>
      <w:r>
        <w:rPr/>
        <w:t>年非</w:t>
      </w:r>
    </w:p>
    <w:p>
      <w:pPr>
        <w:pStyle w:val="BodyText"/>
        <w:spacing w:line="240" w:lineRule="auto" w:before="145"/>
        <w:ind w:right="0"/>
        <w:jc w:val="left"/>
      </w:pPr>
      <w:r>
        <w:rPr/>
        <w:t>同一控制下合并北京国铁路阳技术有限公司形成商誉</w:t>
      </w:r>
      <w:r>
        <w:rPr>
          <w:spacing w:val="-60"/>
        </w:rPr>
        <w:t> </w:t>
      </w:r>
      <w:r>
        <w:rPr>
          <w:rFonts w:ascii="宋体" w:hAnsi="宋体" w:cs="宋体" w:eastAsia="宋体" w:hint="default"/>
        </w:rPr>
        <w:t>10,786.30</w:t>
      </w:r>
      <w:r>
        <w:rPr>
          <w:rFonts w:ascii="宋体" w:hAnsi="宋体" w:cs="宋体" w:eastAsia="宋体" w:hint="default"/>
          <w:spacing w:val="-60"/>
        </w:rPr>
        <w:t> </w:t>
      </w:r>
      <w:r>
        <w:rPr>
          <w:spacing w:val="-17"/>
        </w:rPr>
        <w:t>万元，截至</w:t>
      </w:r>
      <w:r>
        <w:rPr>
          <w:spacing w:val="-60"/>
        </w:rPr>
        <w:t> </w:t>
      </w:r>
      <w:r>
        <w:rPr>
          <w:rFonts w:ascii="宋体" w:hAnsi="宋体" w:cs="宋体" w:eastAsia="宋体" w:hint="default"/>
        </w:rPr>
        <w:t>2018</w:t>
      </w:r>
      <w:r>
        <w:rPr>
          <w:rFonts w:ascii="宋体" w:hAnsi="宋体" w:cs="宋体" w:eastAsia="宋体" w:hint="default"/>
          <w:spacing w:val="-60"/>
        </w:rPr>
        <w:t> </w:t>
      </w:r>
      <w:r>
        <w:rPr/>
        <w:t>年末公司对</w:t>
      </w:r>
    </w:p>
    <w:p>
      <w:pPr>
        <w:pStyle w:val="BodyText"/>
        <w:spacing w:line="240" w:lineRule="auto" w:before="145"/>
        <w:ind w:right="0"/>
        <w:jc w:val="left"/>
      </w:pPr>
      <w:r>
        <w:rPr/>
        <w:t>该商誉计提减值</w:t>
      </w:r>
      <w:r>
        <w:rPr>
          <w:spacing w:val="-60"/>
        </w:rPr>
        <w:t> </w:t>
      </w:r>
      <w:r>
        <w:rPr>
          <w:rFonts w:ascii="宋体" w:hAnsi="宋体" w:cs="宋体" w:eastAsia="宋体" w:hint="default"/>
        </w:rPr>
        <w:t>10,786.30</w:t>
      </w:r>
      <w:r>
        <w:rPr>
          <w:rFonts w:ascii="宋体" w:hAnsi="宋体" w:cs="宋体" w:eastAsia="宋体" w:hint="default"/>
          <w:spacing w:val="-60"/>
        </w:rPr>
        <w:t> </w:t>
      </w:r>
      <w:r>
        <w:rPr>
          <w:spacing w:val="-14"/>
        </w:rPr>
        <w:t>万元；公司于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月非同一控制下合并成都西南交大驱动技</w:t>
      </w:r>
    </w:p>
    <w:p>
      <w:pPr>
        <w:pStyle w:val="BodyText"/>
        <w:spacing w:line="350" w:lineRule="auto" w:before="146"/>
        <w:ind w:right="1152"/>
        <w:jc w:val="left"/>
      </w:pPr>
      <w:r>
        <w:rPr/>
        <w:t>术有限责任公司形成商誉</w:t>
      </w:r>
      <w:r>
        <w:rPr>
          <w:spacing w:val="-60"/>
        </w:rPr>
        <w:t> </w:t>
      </w:r>
      <w:r>
        <w:rPr>
          <w:rFonts w:ascii="宋体" w:hAnsi="宋体" w:cs="宋体" w:eastAsia="宋体" w:hint="default"/>
        </w:rPr>
        <w:t>3,414.13</w:t>
      </w:r>
      <w:r>
        <w:rPr>
          <w:rFonts w:ascii="宋体" w:hAnsi="宋体" w:cs="宋体" w:eastAsia="宋体" w:hint="default"/>
          <w:spacing w:val="-60"/>
        </w:rPr>
        <w:t> </w:t>
      </w:r>
      <w:r>
        <w:rPr/>
        <w:t>万元</w:t>
      </w:r>
      <w:r>
        <w:rPr>
          <w:rFonts w:ascii="宋体" w:hAnsi="宋体" w:cs="宋体" w:eastAsia="宋体" w:hint="default"/>
        </w:rPr>
        <w:t>,</w:t>
      </w:r>
      <w:r>
        <w:rPr/>
        <w:t>截止</w:t>
      </w:r>
      <w:r>
        <w:rPr>
          <w:spacing w:val="-60"/>
        </w:rPr>
        <w:t> </w:t>
      </w:r>
      <w:r>
        <w:rPr>
          <w:rFonts w:ascii="宋体" w:hAnsi="宋体" w:cs="宋体" w:eastAsia="宋体" w:hint="default"/>
        </w:rPr>
        <w:t>2018</w:t>
      </w:r>
      <w:r>
        <w:rPr>
          <w:rFonts w:ascii="宋体" w:hAnsi="宋体" w:cs="宋体" w:eastAsia="宋体" w:hint="default"/>
          <w:spacing w:val="-60"/>
        </w:rPr>
        <w:t> </w:t>
      </w:r>
      <w:r>
        <w:rPr/>
        <w:t>年末公司对该商誉计提减值</w:t>
      </w:r>
      <w:r>
        <w:rPr>
          <w:spacing w:val="-60"/>
        </w:rPr>
        <w:t> </w:t>
      </w:r>
      <w:r>
        <w:rPr>
          <w:rFonts w:ascii="宋体" w:hAnsi="宋体" w:cs="宋体" w:eastAsia="宋体" w:hint="default"/>
        </w:rPr>
        <w:t>2,490.35</w:t>
      </w:r>
      <w:r>
        <w:rPr>
          <w:rFonts w:ascii="宋体" w:hAnsi="宋体" w:cs="宋体" w:eastAsia="宋体" w:hint="default"/>
          <w:spacing w:val="-60"/>
        </w:rPr>
        <w:t> </w:t>
      </w:r>
      <w:r>
        <w:rPr/>
        <w:t>万 元。</w:t>
      </w:r>
    </w:p>
    <w:p>
      <w:pPr>
        <w:pStyle w:val="Heading2"/>
        <w:spacing w:line="240" w:lineRule="auto" w:before="28"/>
        <w:ind w:right="0"/>
        <w:jc w:val="left"/>
        <w:rPr>
          <w:b w:val="0"/>
          <w:bCs w:val="0"/>
        </w:rPr>
      </w:pPr>
      <w:bookmarkStart w:name="2、收入与成本" w:id="26"/>
      <w:bookmarkEnd w:id="26"/>
      <w:r>
        <w:rPr>
          <w:b w:val="0"/>
          <w:bCs w:val="0"/>
        </w:rPr>
      </w:r>
      <w:r>
        <w:rPr>
          <w:rFonts w:ascii="Times New Roman" w:hAnsi="Times New Roman" w:cs="Times New Roman" w:eastAsia="Times New Roman" w:hint="default"/>
        </w:rPr>
        <w:t>2</w:t>
      </w:r>
      <w:r>
        <w:rPr/>
        <w:t>、收入与成本</w:t>
      </w:r>
      <w:r>
        <w:rPr>
          <w:b w:val="0"/>
          <w:bCs w:val="0"/>
        </w:rPr>
      </w:r>
    </w:p>
    <w:p>
      <w:pPr>
        <w:pStyle w:val="Heading2"/>
        <w:spacing w:line="240" w:lineRule="auto" w:before="99"/>
        <w:ind w:right="0"/>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before="161"/>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91"/>
        <w:gridCol w:w="1566"/>
        <w:gridCol w:w="981"/>
        <w:gridCol w:w="1571"/>
        <w:gridCol w:w="981"/>
        <w:gridCol w:w="1067"/>
      </w:tblGrid>
      <w:tr>
        <w:trPr>
          <w:trHeight w:val="250" w:hRule="exact"/>
        </w:trPr>
        <w:tc>
          <w:tcPr>
            <w:tcW w:w="3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5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5"/>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5"/>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0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0" w:hRule="exact"/>
        </w:trPr>
        <w:tc>
          <w:tcPr>
            <w:tcW w:w="3391" w:type="dxa"/>
            <w:vMerge w:val="restart"/>
            <w:tcBorders>
              <w:top w:val="nil" w:sz="6" w:space="0" w:color="auto"/>
              <w:left w:val="single" w:sz="4" w:space="0" w:color="000000"/>
              <w:right w:val="single" w:sz="4" w:space="0" w:color="000000"/>
            </w:tcBorders>
            <w:shd w:val="clear" w:color="auto" w:fill="D2D2D2"/>
          </w:tcPr>
          <w:p>
            <w:pPr/>
          </w:p>
        </w:tc>
        <w:tc>
          <w:tcPr>
            <w:tcW w:w="2547" w:type="dxa"/>
            <w:gridSpan w:val="2"/>
            <w:vMerge/>
            <w:tcBorders>
              <w:left w:val="single" w:sz="4" w:space="0" w:color="000000"/>
              <w:bottom w:val="single" w:sz="4" w:space="0" w:color="000000"/>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10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5"/>
              <w:ind w:left="11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125" w:hRule="exact"/>
        </w:trPr>
        <w:tc>
          <w:tcPr>
            <w:tcW w:w="3391" w:type="dxa"/>
            <w:vMerge/>
            <w:tcBorders>
              <w:left w:val="single" w:sz="4" w:space="0" w:color="000000"/>
              <w:right w:val="single" w:sz="4" w:space="0" w:color="000000"/>
            </w:tcBorders>
            <w:shd w:val="clear" w:color="auto" w:fill="D2D2D2"/>
          </w:tcPr>
          <w:p>
            <w:pPr/>
          </w:p>
        </w:tc>
        <w:tc>
          <w:tcPr>
            <w:tcW w:w="1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9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169" w:right="65" w:hanging="105"/>
              <w:jc w:val="left"/>
              <w:rPr>
                <w:rFonts w:ascii="宋体" w:hAnsi="宋体" w:cs="宋体" w:eastAsia="宋体" w:hint="default"/>
                <w:sz w:val="21"/>
                <w:szCs w:val="21"/>
              </w:rPr>
            </w:pPr>
            <w:r>
              <w:rPr>
                <w:rFonts w:ascii="宋体" w:hAnsi="宋体" w:cs="宋体" w:eastAsia="宋体" w:hint="default"/>
                <w:sz w:val="21"/>
                <w:szCs w:val="21"/>
              </w:rPr>
              <w:t>占营业收 入比重</w:t>
            </w:r>
          </w:p>
        </w:tc>
        <w:tc>
          <w:tcPr>
            <w:tcW w:w="1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9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169" w:right="65" w:hanging="105"/>
              <w:jc w:val="left"/>
              <w:rPr>
                <w:rFonts w:ascii="宋体" w:hAnsi="宋体" w:cs="宋体" w:eastAsia="宋体" w:hint="default"/>
                <w:sz w:val="21"/>
                <w:szCs w:val="21"/>
              </w:rPr>
            </w:pPr>
            <w:r>
              <w:rPr>
                <w:rFonts w:ascii="宋体" w:hAnsi="宋体" w:cs="宋体" w:eastAsia="宋体" w:hint="default"/>
                <w:sz w:val="21"/>
                <w:szCs w:val="21"/>
              </w:rPr>
              <w:t>占营业收 入比重</w:t>
            </w:r>
          </w:p>
        </w:tc>
        <w:tc>
          <w:tcPr>
            <w:tcW w:w="1067" w:type="dxa"/>
            <w:vMerge/>
            <w:tcBorders>
              <w:left w:val="single" w:sz="4" w:space="0" w:color="000000"/>
              <w:right w:val="single" w:sz="4" w:space="0" w:color="000000"/>
            </w:tcBorders>
            <w:shd w:val="clear" w:color="auto" w:fill="D2D2D2"/>
          </w:tcPr>
          <w:p>
            <w:pPr/>
          </w:p>
        </w:tc>
      </w:tr>
      <w:tr>
        <w:trPr>
          <w:trHeight w:val="115" w:hRule="exact"/>
        </w:trPr>
        <w:tc>
          <w:tcPr>
            <w:tcW w:w="3391" w:type="dxa"/>
            <w:vMerge/>
            <w:tcBorders>
              <w:left w:val="single" w:sz="4" w:space="0" w:color="000000"/>
              <w:bottom w:val="nil" w:sz="6" w:space="0" w:color="auto"/>
              <w:right w:val="single" w:sz="4" w:space="0" w:color="000000"/>
            </w:tcBorders>
            <w:shd w:val="clear" w:color="auto" w:fill="D2D2D2"/>
          </w:tcPr>
          <w:p>
            <w:pPr/>
          </w:p>
        </w:tc>
        <w:tc>
          <w:tcPr>
            <w:tcW w:w="1566" w:type="dxa"/>
            <w:vMerge w:val="restart"/>
            <w:tcBorders>
              <w:top w:val="nil" w:sz="6" w:space="0" w:color="auto"/>
              <w:left w:val="single" w:sz="4" w:space="0" w:color="000000"/>
              <w:right w:val="single" w:sz="4" w:space="0" w:color="000000"/>
            </w:tcBorders>
            <w:shd w:val="clear" w:color="auto" w:fill="D2D2D2"/>
          </w:tcPr>
          <w:p>
            <w:pPr>
              <w:pStyle w:val="TableParagraph"/>
              <w:spacing w:line="222"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981" w:type="dxa"/>
            <w:vMerge/>
            <w:tcBorders>
              <w:left w:val="single" w:sz="4" w:space="0" w:color="000000"/>
              <w:right w:val="single" w:sz="4" w:space="0" w:color="000000"/>
            </w:tcBorders>
            <w:shd w:val="clear" w:color="auto" w:fill="D2D2D2"/>
          </w:tcPr>
          <w:p>
            <w:pPr/>
          </w:p>
        </w:tc>
        <w:tc>
          <w:tcPr>
            <w:tcW w:w="1571" w:type="dxa"/>
            <w:vMerge w:val="restart"/>
            <w:tcBorders>
              <w:top w:val="nil" w:sz="6" w:space="0" w:color="auto"/>
              <w:left w:val="single" w:sz="4" w:space="0" w:color="000000"/>
              <w:right w:val="single" w:sz="4" w:space="0" w:color="000000"/>
            </w:tcBorders>
            <w:shd w:val="clear" w:color="auto" w:fill="D2D2D2"/>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81" w:type="dxa"/>
            <w:vMerge/>
            <w:tcBorders>
              <w:left w:val="single" w:sz="4" w:space="0" w:color="000000"/>
              <w:right w:val="single" w:sz="4" w:space="0" w:color="000000"/>
            </w:tcBorders>
            <w:shd w:val="clear" w:color="auto" w:fill="D2D2D2"/>
          </w:tcPr>
          <w:p>
            <w:pPr/>
          </w:p>
        </w:tc>
        <w:tc>
          <w:tcPr>
            <w:tcW w:w="1067" w:type="dxa"/>
            <w:vMerge/>
            <w:tcBorders>
              <w:left w:val="single" w:sz="4" w:space="0" w:color="000000"/>
              <w:bottom w:val="nil" w:sz="6" w:space="0" w:color="auto"/>
              <w:right w:val="single" w:sz="4" w:space="0" w:color="000000"/>
            </w:tcBorders>
            <w:shd w:val="clear" w:color="auto" w:fill="D2D2D2"/>
          </w:tcPr>
          <w:p>
            <w:pPr/>
          </w:p>
        </w:tc>
      </w:tr>
      <w:tr>
        <w:trPr>
          <w:trHeight w:val="250" w:hRule="exact"/>
        </w:trPr>
        <w:tc>
          <w:tcPr>
            <w:tcW w:w="3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6" w:type="dxa"/>
            <w:vMerge/>
            <w:tcBorders>
              <w:left w:val="single" w:sz="4" w:space="0" w:color="000000"/>
              <w:bottom w:val="single" w:sz="4" w:space="0" w:color="000000"/>
              <w:right w:val="single" w:sz="4" w:space="0" w:color="000000"/>
            </w:tcBorders>
            <w:shd w:val="clear" w:color="auto" w:fill="D2D2D2"/>
          </w:tcPr>
          <w:p>
            <w:pPr/>
          </w:p>
        </w:tc>
        <w:tc>
          <w:tcPr>
            <w:tcW w:w="981"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981"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3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1566" w:type="dxa"/>
            <w:tcBorders>
              <w:top w:val="single" w:sz="52" w:space="0" w:color="D2D2D2"/>
              <w:left w:val="single" w:sz="13" w:space="0" w:color="D2D2D2"/>
              <w:bottom w:val="single" w:sz="4" w:space="0" w:color="000000"/>
              <w:right w:val="single" w:sz="13" w:space="0" w:color="D2D2D2"/>
            </w:tcBorders>
          </w:tcPr>
          <w:p>
            <w:pPr>
              <w:pStyle w:val="TableParagraph"/>
              <w:spacing w:line="240" w:lineRule="auto" w:before="15"/>
              <w:ind w:right="15"/>
              <w:jc w:val="right"/>
              <w:rPr>
                <w:rFonts w:ascii="Times New Roman" w:hAnsi="Times New Roman" w:cs="Times New Roman" w:eastAsia="Times New Roman" w:hint="default"/>
                <w:sz w:val="21"/>
                <w:szCs w:val="21"/>
              </w:rPr>
            </w:pPr>
            <w:r>
              <w:rPr>
                <w:rFonts w:ascii="Times New Roman"/>
                <w:spacing w:val="-1"/>
                <w:sz w:val="21"/>
              </w:rPr>
              <w:t>528,708,205.03</w:t>
            </w:r>
          </w:p>
        </w:tc>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z w:val="21"/>
              </w:rPr>
              <w:t>100%</w:t>
            </w:r>
          </w:p>
        </w:tc>
        <w:tc>
          <w:tcPr>
            <w:tcW w:w="1571" w:type="dxa"/>
            <w:tcBorders>
              <w:top w:val="single" w:sz="52" w:space="0" w:color="D2D2D2"/>
              <w:left w:val="single" w:sz="13" w:space="0" w:color="D2D2D2"/>
              <w:bottom w:val="single" w:sz="4" w:space="0" w:color="000000"/>
              <w:right w:val="single" w:sz="9" w:space="0" w:color="D2D2D2"/>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546,892,512.85</w:t>
            </w:r>
          </w:p>
        </w:tc>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z w:val="21"/>
              </w:rPr>
              <w:t>100%</w:t>
            </w:r>
          </w:p>
        </w:tc>
        <w:tc>
          <w:tcPr>
            <w:tcW w:w="10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-3.33%</w:t>
            </w: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国家铁路</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329,981,629.63</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z w:val="21"/>
              </w:rPr>
              <w:t>62.41%</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359,520,434.62</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z w:val="21"/>
              </w:rPr>
              <w:t>65.74%</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-8.22%</w:t>
            </w: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厂矿企业及地方铁路</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z w:val="21"/>
              </w:rPr>
              <w:t>38,405,921.76</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z w:val="21"/>
              </w:rPr>
              <w:t>7.26%</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z w:val="21"/>
              </w:rPr>
              <w:t>31,580,948.54</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z w:val="21"/>
              </w:rPr>
              <w:t>5.77%</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21.61%</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02"/>
        <w:gridCol w:w="1560"/>
        <w:gridCol w:w="992"/>
        <w:gridCol w:w="1559"/>
        <w:gridCol w:w="992"/>
        <w:gridCol w:w="1061"/>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城市轨道交通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84,309,145.45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15.95%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70,318,081.12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12.86%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19.90%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76,011,508.19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85,473,048.57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15.63%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-11.07%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设备监测类产品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225,769,665.54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42.70%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194,512,702.40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35.57%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16.07%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安防类产品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99,466,737.73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108,187,991.32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19.78%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-8.06%</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生产指挥及运输调度信息化类产品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5,373,292.44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14,869,140.99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2.72%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-63.86%</w:t>
            </w:r>
            <w:r>
              <w:rPr>
                <w:rFonts w:ascii="Times New Roman"/>
                <w:sz w:val="21"/>
              </w:rPr>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信号控制类产品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6,862,520.57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8,274,231.62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-17.06%</w:t>
            </w:r>
            <w:r>
              <w:rPr>
                <w:rFonts w:ascii="Times New Roman"/>
                <w:sz w:val="21"/>
              </w:rPr>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电源类设备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60,428,821.49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11.43%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81,421,154.87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14.89%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-25.78%</w:t>
            </w:r>
            <w:r>
              <w:rPr>
                <w:rFonts w:ascii="Times New Roman"/>
                <w:sz w:val="21"/>
              </w:rPr>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信号设备及器材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63,275,520.30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11.97%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63,487,930.46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11.61%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-0.33%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67,531,646.96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76,139,361.19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-11.31%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100,293,707.27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88,925,093.15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16.26%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12.78%</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南方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154,172,472.14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29.16%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192,138,391.15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35.13%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-19.76%</w:t>
            </w:r>
            <w:r>
              <w:rPr>
                <w:rFonts w:ascii="Times New Roman"/>
                <w:sz w:val="21"/>
              </w:rPr>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206,710,378.66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39.10%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189,689,667.36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34.68%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8.97%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67,531,646.96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76,139,361.19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-11.31%</w:t>
            </w:r>
          </w:p>
        </w:tc>
      </w:tr>
    </w:tbl>
    <w:p>
      <w:pPr>
        <w:spacing w:line="240" w:lineRule="auto" w:before="10"/>
        <w:rPr>
          <w:rFonts w:ascii="宋体" w:hAnsi="宋体" w:cs="宋体" w:eastAsia="宋体" w:hint="default"/>
          <w:sz w:val="4"/>
          <w:szCs w:val="4"/>
        </w:rPr>
      </w:pPr>
    </w:p>
    <w:p>
      <w:pPr>
        <w:pStyle w:val="BodyText"/>
        <w:spacing w:line="352" w:lineRule="auto" w:before="26"/>
        <w:ind w:right="1116" w:firstLine="482"/>
        <w:jc w:val="left"/>
      </w:pPr>
      <w:r>
        <w:rPr>
          <w:spacing w:val="-4"/>
        </w:rPr>
        <w:t>公司需遵守《深圳证券交易所行业信息披露指引第</w:t>
      </w:r>
      <w:r>
        <w:rPr>
          <w:spacing w:val="-59"/>
        </w:rPr>
        <w:t> </w:t>
      </w:r>
      <w:r>
        <w:rPr>
          <w:rFonts w:ascii="宋体" w:hAnsi="宋体" w:cs="宋体" w:eastAsia="宋体" w:hint="default"/>
        </w:rPr>
        <w:t>12</w:t>
      </w:r>
      <w:r>
        <w:rPr>
          <w:rFonts w:ascii="宋体" w:hAnsi="宋体" w:cs="宋体" w:eastAsia="宋体" w:hint="default"/>
          <w:spacing w:val="-59"/>
        </w:rPr>
        <w:t> </w:t>
      </w:r>
      <w:r>
        <w:rPr/>
        <w:t>号——上市公司从软件与信息技术 服务业务》的披露要求</w:t>
      </w:r>
    </w:p>
    <w:p>
      <w:pPr>
        <w:spacing w:line="232"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1"/>
        <w:gridCol w:w="1012"/>
        <w:gridCol w:w="1003"/>
        <w:gridCol w:w="1005"/>
        <w:gridCol w:w="1002"/>
        <w:gridCol w:w="1002"/>
      </w:tblGrid>
      <w:tr>
        <w:trPr>
          <w:trHeight w:val="205"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2"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75,814,258.1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107,971,810.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82,971,131.4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261,951,004.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68,877,884.9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147,129,710.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100,210,770.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230,674,146.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r>
      <w:tr>
        <w:trPr>
          <w:trHeight w:val="392" w:hRule="exact"/>
        </w:trPr>
        <w:tc>
          <w:tcPr>
            <w:tcW w:w="15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4"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3,073,019.67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16,810,119.8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19,812,475.5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-11,962,617.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8,105,749.77</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16,862,731.5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13,331,948.6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-190,043,25</w:t>
            </w:r>
          </w:p>
          <w:p>
            <w:pPr>
              <w:pStyle w:val="TableParagraph"/>
              <w:spacing w:line="240" w:lineRule="auto" w:before="105"/>
              <w:ind w:left="653" w:right="0"/>
              <w:jc w:val="left"/>
              <w:rPr>
                <w:rFonts w:ascii="Times New Roman" w:hAnsi="Times New Roman" w:cs="Times New Roman" w:eastAsia="Times New Roman" w:hint="default"/>
                <w:sz w:val="18"/>
                <w:szCs w:val="18"/>
              </w:rPr>
            </w:pPr>
            <w:r>
              <w:rPr>
                <w:rFonts w:ascii="Times New Roman"/>
                <w:sz w:val="18"/>
              </w:rPr>
              <w:t>4.19</w:t>
            </w:r>
          </w:p>
        </w:tc>
      </w:tr>
    </w:tbl>
    <w:p>
      <w:pPr>
        <w:spacing w:line="240" w:lineRule="auto" w:before="10"/>
        <w:rPr>
          <w:rFonts w:ascii="宋体" w:hAnsi="宋体" w:cs="宋体" w:eastAsia="宋体" w:hint="default"/>
          <w:sz w:val="4"/>
          <w:szCs w:val="4"/>
        </w:rPr>
      </w:pPr>
    </w:p>
    <w:p>
      <w:pPr>
        <w:pStyle w:val="BodyText"/>
        <w:spacing w:line="350" w:lineRule="auto" w:before="26"/>
        <w:ind w:left="636" w:right="1150"/>
        <w:jc w:val="left"/>
      </w:pPr>
      <w:r>
        <w:rPr/>
        <w:t>说明经营季节性（或周期性）发生的原因及波动风险 公司国铁业务受铁路行业项目的实施节奏有一定的季节性波动，一般在一、二季度根据</w:t>
      </w:r>
    </w:p>
    <w:p>
      <w:pPr>
        <w:pStyle w:val="BodyText"/>
        <w:spacing w:line="350" w:lineRule="auto"/>
        <w:ind w:right="1170"/>
        <w:jc w:val="both"/>
      </w:pPr>
      <w:r>
        <w:rPr/>
        <w:t>年度投资计划，招投标工作较多，受春运影响，在一季度工程验收工作相对较少；在第四季 度，工程验收交付开通工作较多。在上述工作的波动下，公司国铁业务在营业收入及项目回 款方面均有所体现。</w:t>
      </w:r>
    </w:p>
    <w:p>
      <w:pPr>
        <w:pStyle w:val="Heading2"/>
        <w:spacing w:line="240" w:lineRule="auto" w:before="29"/>
        <w:ind w:right="0"/>
        <w:jc w:val="both"/>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8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5"/>
        <w:rPr>
          <w:rFonts w:ascii="宋体" w:hAnsi="宋体" w:cs="宋体" w:eastAsia="宋体" w:hint="default"/>
          <w:b/>
          <w:bCs/>
          <w:sz w:val="17"/>
          <w:szCs w:val="17"/>
        </w:rPr>
      </w:pPr>
    </w:p>
    <w:p>
      <w:pPr>
        <w:pStyle w:val="BodyText"/>
        <w:spacing w:line="240" w:lineRule="auto" w:before="0"/>
        <w:ind w:left="636" w:right="0"/>
        <w:jc w:val="left"/>
      </w:pPr>
      <w:r>
        <w:rPr/>
        <w:t>√ 适用 □ 不适用</w:t>
      </w:r>
    </w:p>
    <w:p>
      <w:pPr>
        <w:spacing w:after="0" w:line="240" w:lineRule="auto"/>
        <w:jc w:val="left"/>
        <w:sectPr>
          <w:footerReference w:type="default" r:id="rId14"/>
          <w:pgSz w:w="11910" w:h="16840"/>
          <w:pgMar w:footer="2129" w:header="747" w:top="1060" w:bottom="2320" w:left="980" w:right="0"/>
          <w:pgNumType w:start="23"/>
        </w:sectPr>
      </w:pPr>
    </w:p>
    <w:p>
      <w:pPr>
        <w:spacing w:line="240" w:lineRule="auto" w:before="0"/>
        <w:rPr>
          <w:rFonts w:ascii="宋体" w:hAnsi="宋体" w:cs="宋体" w:eastAsia="宋体" w:hint="default"/>
          <w:sz w:val="20"/>
          <w:szCs w:val="20"/>
        </w:rPr>
      </w:pPr>
    </w:p>
    <w:p>
      <w:pPr>
        <w:pStyle w:val="BodyText"/>
        <w:spacing w:line="240" w:lineRule="auto" w:before="199"/>
        <w:ind w:left="636" w:right="0"/>
        <w:jc w:val="left"/>
      </w:pPr>
      <w:r>
        <w:rPr/>
        <w:t>软件与信息技术服务业</w:t>
      </w:r>
    </w:p>
    <w:p>
      <w:pPr>
        <w:pStyle w:val="BodyText"/>
        <w:spacing w:line="352" w:lineRule="auto" w:before="145"/>
        <w:ind w:right="1116" w:firstLine="482"/>
        <w:jc w:val="left"/>
      </w:pPr>
      <w:r>
        <w:rPr>
          <w:spacing w:val="-4"/>
        </w:rPr>
        <w:t>公司需遵守《深圳证券交易所行业信息披露指引第</w:t>
      </w:r>
      <w:r>
        <w:rPr>
          <w:spacing w:val="-59"/>
        </w:rPr>
        <w:t> </w:t>
      </w:r>
      <w:r>
        <w:rPr>
          <w:rFonts w:ascii="宋体" w:hAnsi="宋体" w:cs="宋体" w:eastAsia="宋体" w:hint="default"/>
        </w:rPr>
        <w:t>12</w:t>
      </w:r>
      <w:r>
        <w:rPr>
          <w:rFonts w:ascii="宋体" w:hAnsi="宋体" w:cs="宋体" w:eastAsia="宋体" w:hint="default"/>
          <w:spacing w:val="-59"/>
        </w:rPr>
        <w:t> </w:t>
      </w:r>
      <w:r>
        <w:rPr/>
        <w:t>号——上市公司从事软件与信息技 术服务业务》的披露要求</w:t>
      </w:r>
    </w:p>
    <w:p>
      <w:pPr>
        <w:spacing w:line="232"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国家铁路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329,981,629.63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172,799,559.19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城市轨道交通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84,309,145.45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56,899,986.99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设备监测类产品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225,769,665.54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110,391,980.89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99,466,737.73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64,797,022.30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电源类设备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60,428,821.49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34,359,620.75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信号设备及器材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63,275,520.30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40,995,977.27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100,293,707.27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48,764,064.71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154,172,472.14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96,264,537.48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206,710,378.66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112,277,124.42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w:t>
            </w:r>
          </w:p>
        </w:tc>
      </w:tr>
    </w:tbl>
    <w:p>
      <w:pPr>
        <w:spacing w:line="240" w:lineRule="auto" w:before="10"/>
        <w:rPr>
          <w:rFonts w:ascii="宋体" w:hAnsi="宋体" w:cs="宋体" w:eastAsia="宋体" w:hint="default"/>
          <w:sz w:val="4"/>
          <w:szCs w:val="4"/>
        </w:rPr>
      </w:pPr>
    </w:p>
    <w:p>
      <w:pPr>
        <w:pStyle w:val="BodyText"/>
        <w:spacing w:line="350" w:lineRule="auto" w:before="26"/>
        <w:ind w:right="1149" w:firstLine="482"/>
        <w:jc w:val="left"/>
      </w:pPr>
      <w:r>
        <w:rPr/>
        <w:t>公司主营业务数据统计口径在报告期发生调整的情况下，公司最近</w:t>
      </w:r>
      <w:r>
        <w:rPr>
          <w:spacing w:val="-59"/>
        </w:rPr>
        <w:t> </w:t>
      </w:r>
      <w:r>
        <w:rPr>
          <w:rFonts w:ascii="宋体" w:hAnsi="宋体" w:cs="宋体" w:eastAsia="宋体" w:hint="default"/>
        </w:rPr>
        <w:t>1</w:t>
      </w:r>
      <w:r>
        <w:rPr>
          <w:rFonts w:ascii="宋体" w:hAnsi="宋体" w:cs="宋体" w:eastAsia="宋体" w:hint="default"/>
          <w:spacing w:val="-60"/>
        </w:rPr>
        <w:t> </w:t>
      </w:r>
      <w:r>
        <w:rPr/>
        <w:t>年按报告期末口径 调整后的主营业务数据</w:t>
      </w:r>
    </w:p>
    <w:p>
      <w:pPr>
        <w:pStyle w:val="BodyText"/>
        <w:spacing w:line="240" w:lineRule="auto"/>
        <w:ind w:left="636" w:right="0"/>
        <w:jc w:val="left"/>
      </w:pPr>
      <w:r>
        <w:rPr/>
        <w:t>□ 适用 √ 不适用</w:t>
      </w:r>
    </w:p>
    <w:p>
      <w:pPr>
        <w:pStyle w:val="Heading2"/>
        <w:spacing w:line="240" w:lineRule="auto" w:before="138"/>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before="15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国家铁路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329,981,629.63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359,520,434.62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-8.22%</w:t>
            </w:r>
          </w:p>
        </w:tc>
      </w:tr>
      <w:tr>
        <w:trPr>
          <w:trHeight w:val="162" w:hRule="exact"/>
        </w:trPr>
        <w:tc>
          <w:tcPr>
            <w:tcW w:w="1608" w:type="dxa"/>
            <w:vMerge w:val="restart"/>
            <w:tcBorders>
              <w:top w:val="single" w:sz="4" w:space="0" w:color="000000"/>
              <w:left w:val="single" w:sz="4" w:space="0" w:color="000000"/>
              <w:right w:val="single" w:sz="9" w:space="0" w:color="D2D2D2"/>
            </w:tcBorders>
          </w:tcPr>
          <w:p>
            <w:pPr>
              <w:pStyle w:val="TableParagraph"/>
              <w:spacing w:line="316" w:lineRule="auto" w:before="52"/>
              <w:ind w:left="22" w:right="126"/>
              <w:jc w:val="left"/>
              <w:rPr>
                <w:rFonts w:ascii="宋体" w:hAnsi="宋体" w:cs="宋体" w:eastAsia="宋体" w:hint="default"/>
                <w:sz w:val="18"/>
                <w:szCs w:val="18"/>
              </w:rPr>
            </w:pPr>
            <w:r>
              <w:rPr>
                <w:rFonts w:ascii="宋体" w:hAnsi="宋体" w:cs="宋体" w:eastAsia="宋体" w:hint="default"/>
                <w:sz w:val="18"/>
                <w:szCs w:val="18"/>
              </w:rPr>
              <w:t>厂矿企业及地方铁 路</w:t>
            </w:r>
          </w:p>
        </w:tc>
        <w:tc>
          <w:tcPr>
            <w:tcW w:w="1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38,405,921.76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31,580,948.54</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21.61%</w:t>
            </w:r>
          </w:p>
        </w:tc>
      </w:tr>
      <w:tr>
        <w:trPr>
          <w:trHeight w:val="391" w:hRule="exact"/>
        </w:trPr>
        <w:tc>
          <w:tcPr>
            <w:tcW w:w="1608" w:type="dxa"/>
            <w:vMerge/>
            <w:tcBorders>
              <w:left w:val="single" w:sz="4" w:space="0" w:color="000000"/>
              <w:right w:val="single" w:sz="9" w:space="0" w:color="D2D2D2"/>
            </w:tcBorders>
          </w:tcPr>
          <w:p>
            <w:pPr/>
          </w:p>
        </w:tc>
        <w:tc>
          <w:tcPr>
            <w:tcW w:w="15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608" w:type="dxa"/>
            <w:vMerge/>
            <w:tcBorders>
              <w:left w:val="single" w:sz="4" w:space="0" w:color="000000"/>
              <w:bottom w:val="single" w:sz="4" w:space="0" w:color="000000"/>
              <w:right w:val="single" w:sz="9" w:space="0" w:color="D2D2D2"/>
            </w:tcBorders>
          </w:tcPr>
          <w:p>
            <w:pPr/>
          </w:p>
        </w:tc>
        <w:tc>
          <w:tcPr>
            <w:tcW w:w="1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3"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城市轨道交通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84,309,145.45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70,318,081.12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19.90%</w:t>
            </w:r>
          </w:p>
        </w:tc>
      </w:tr>
    </w:tbl>
    <w:p>
      <w:pPr>
        <w:spacing w:line="240" w:lineRule="auto" w:before="10"/>
        <w:rPr>
          <w:rFonts w:ascii="宋体" w:hAnsi="宋体" w:cs="宋体" w:eastAsia="宋体" w:hint="default"/>
          <w:sz w:val="4"/>
          <w:szCs w:val="4"/>
        </w:rPr>
      </w:pPr>
    </w:p>
    <w:p>
      <w:pPr>
        <w:pStyle w:val="BodyText"/>
        <w:spacing w:line="240" w:lineRule="auto" w:before="26"/>
        <w:ind w:left="636" w:right="0"/>
        <w:jc w:val="left"/>
      </w:pPr>
      <w:r>
        <w:rPr/>
        <w:t>相关数据同比发生变动</w:t>
      </w:r>
      <w:r>
        <w:rPr>
          <w:spacing w:val="-60"/>
        </w:rPr>
        <w:t> </w:t>
      </w:r>
      <w:r>
        <w:rPr>
          <w:rFonts w:ascii="宋体" w:hAnsi="宋体" w:cs="宋体" w:eastAsia="宋体" w:hint="default"/>
        </w:rPr>
        <w:t>30%</w:t>
      </w:r>
      <w:r>
        <w:rPr/>
        <w:t>以上的原因说明</w:t>
      </w:r>
    </w:p>
    <w:p>
      <w:pPr>
        <w:pStyle w:val="BodyText"/>
        <w:spacing w:line="240" w:lineRule="auto" w:before="145"/>
        <w:ind w:left="636" w:right="0"/>
        <w:jc w:val="left"/>
      </w:pPr>
      <w:r>
        <w:rPr/>
        <w:t>□ 适用√ 不适用</w:t>
      </w:r>
    </w:p>
    <w:p>
      <w:pPr>
        <w:pStyle w:val="Heading2"/>
        <w:spacing w:line="240" w:lineRule="auto" w:before="138"/>
        <w:ind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after="0" w:line="240" w:lineRule="auto"/>
        <w:jc w:val="left"/>
        <w:sectPr>
          <w:pgSz w:w="11910" w:h="16840"/>
          <w:pgMar w:header="747" w:footer="2129" w:top="1060" w:bottom="2320" w:left="980" w:right="0"/>
        </w:sectPr>
      </w:pPr>
    </w:p>
    <w:p>
      <w:pPr>
        <w:spacing w:line="240" w:lineRule="auto" w:before="0"/>
        <w:rPr>
          <w:rFonts w:ascii="宋体" w:hAnsi="宋体" w:cs="宋体" w:eastAsia="宋体" w:hint="default"/>
          <w:b/>
          <w:bCs/>
          <w:sz w:val="20"/>
          <w:szCs w:val="20"/>
        </w:rPr>
      </w:pPr>
    </w:p>
    <w:p>
      <w:pPr>
        <w:pStyle w:val="BodyText"/>
        <w:spacing w:line="240" w:lineRule="auto" w:before="199"/>
        <w:ind w:left="636" w:right="0"/>
        <w:jc w:val="left"/>
      </w:pPr>
      <w:r>
        <w:rPr/>
        <w:t>软件与信息技术服务业</w:t>
      </w:r>
    </w:p>
    <w:p>
      <w:pPr>
        <w:pStyle w:val="BodyText"/>
        <w:spacing w:line="240" w:lineRule="auto" w:before="145"/>
        <w:ind w:left="636" w:right="0"/>
        <w:jc w:val="left"/>
      </w:pPr>
      <w:r>
        <w:rPr>
          <w:spacing w:val="-4"/>
        </w:rPr>
        <w:t>公司需遵守《深圳证券交易所行业信息披露指引第</w:t>
      </w:r>
      <w:r>
        <w:rPr>
          <w:spacing w:val="-58"/>
        </w:rPr>
        <w:t> </w:t>
      </w:r>
      <w:r>
        <w:rPr>
          <w:rFonts w:ascii="宋体" w:hAnsi="宋体" w:cs="宋体" w:eastAsia="宋体" w:hint="default"/>
        </w:rPr>
        <w:t>12</w:t>
      </w:r>
      <w:r>
        <w:rPr>
          <w:rFonts w:ascii="宋体" w:hAnsi="宋体" w:cs="宋体" w:eastAsia="宋体" w:hint="default"/>
          <w:spacing w:val="-58"/>
        </w:rPr>
        <w:t> </w:t>
      </w:r>
      <w:r>
        <w:rPr/>
        <w:t>号——上市公司从事软件与信息技</w:t>
      </w:r>
    </w:p>
    <w:p>
      <w:pPr>
        <w:pStyle w:val="BodyText"/>
        <w:spacing w:line="240" w:lineRule="auto" w:before="146"/>
        <w:ind w:right="0"/>
        <w:jc w:val="left"/>
        <w:rPr>
          <w:rFonts w:ascii="宋体" w:hAnsi="宋体" w:cs="宋体" w:eastAsia="宋体" w:hint="default"/>
        </w:rPr>
      </w:pPr>
      <w:r>
        <w:rPr/>
        <w:t>术服务业务》的披露要求：单一销售合同金额占公司最近一个会计年度经审计营业收入</w:t>
      </w:r>
      <w:r>
        <w:rPr>
          <w:spacing w:val="-60"/>
        </w:rPr>
        <w:t> </w:t>
      </w:r>
      <w:r>
        <w:rPr>
          <w:rFonts w:ascii="宋体" w:hAnsi="宋体" w:cs="宋体" w:eastAsia="宋体" w:hint="default"/>
        </w:rPr>
        <w:t>30%</w:t>
      </w:r>
    </w:p>
    <w:p>
      <w:pPr>
        <w:pStyle w:val="BodyText"/>
        <w:spacing w:line="240" w:lineRule="auto" w:before="146"/>
        <w:ind w:right="0"/>
        <w:jc w:val="left"/>
      </w:pPr>
      <w:r>
        <w:rPr/>
        <w:t>以上且金额超过</w:t>
      </w:r>
      <w:r>
        <w:rPr>
          <w:spacing w:val="-60"/>
        </w:rPr>
        <w:t> </w:t>
      </w:r>
      <w:r>
        <w:rPr>
          <w:rFonts w:ascii="宋体" w:hAnsi="宋体" w:cs="宋体" w:eastAsia="宋体" w:hint="default"/>
        </w:rPr>
        <w:t>5000</w:t>
      </w:r>
      <w:r>
        <w:rPr>
          <w:rFonts w:ascii="宋体" w:hAnsi="宋体" w:cs="宋体" w:eastAsia="宋体" w:hint="default"/>
          <w:spacing w:val="-60"/>
        </w:rPr>
        <w:t> </w:t>
      </w:r>
      <w:r>
        <w:rPr/>
        <w:t>万元的正在履行的合同情况</w:t>
      </w:r>
    </w:p>
    <w:p>
      <w:pPr>
        <w:spacing w:before="10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566"/>
        <w:gridCol w:w="856"/>
        <w:gridCol w:w="1057"/>
        <w:gridCol w:w="1069"/>
        <w:gridCol w:w="1064"/>
        <w:gridCol w:w="1063"/>
        <w:gridCol w:w="988"/>
      </w:tblGrid>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合同金额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业务 类型</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2" w:right="63" w:hanging="180"/>
              <w:jc w:val="left"/>
              <w:rPr>
                <w:rFonts w:ascii="宋体" w:hAnsi="宋体" w:cs="宋体" w:eastAsia="宋体" w:hint="default"/>
                <w:sz w:val="18"/>
                <w:szCs w:val="18"/>
              </w:rPr>
            </w:pPr>
            <w:r>
              <w:rPr>
                <w:rFonts w:ascii="宋体" w:hAnsi="宋体" w:cs="宋体" w:eastAsia="宋体" w:hint="default"/>
                <w:sz w:val="18"/>
                <w:szCs w:val="18"/>
              </w:rPr>
              <w:t>项目执行 进度</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3" w:right="72" w:hanging="360"/>
              <w:jc w:val="left"/>
              <w:rPr>
                <w:rFonts w:ascii="宋体" w:hAnsi="宋体" w:cs="宋体" w:eastAsia="宋体" w:hint="default"/>
                <w:sz w:val="18"/>
                <w:szCs w:val="18"/>
              </w:rPr>
            </w:pPr>
            <w:r>
              <w:rPr>
                <w:rFonts w:ascii="宋体" w:hAnsi="宋体" w:cs="宋体" w:eastAsia="宋体" w:hint="default"/>
                <w:sz w:val="18"/>
                <w:szCs w:val="18"/>
              </w:rPr>
              <w:t>本期确认收 入</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9" w:right="78" w:hanging="360"/>
              <w:jc w:val="left"/>
              <w:rPr>
                <w:rFonts w:ascii="宋体" w:hAnsi="宋体" w:cs="宋体" w:eastAsia="宋体" w:hint="default"/>
                <w:sz w:val="18"/>
                <w:szCs w:val="18"/>
              </w:rPr>
            </w:pPr>
            <w:r>
              <w:rPr>
                <w:rFonts w:ascii="宋体" w:hAnsi="宋体" w:cs="宋体" w:eastAsia="宋体" w:hint="default"/>
                <w:sz w:val="18"/>
                <w:szCs w:val="18"/>
              </w:rPr>
              <w:t>累计确认收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回款情况</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both"/>
              <w:rPr>
                <w:rFonts w:ascii="宋体" w:hAnsi="宋体" w:cs="宋体" w:eastAsia="宋体" w:hint="default"/>
                <w:sz w:val="18"/>
                <w:szCs w:val="18"/>
              </w:rPr>
            </w:pPr>
            <w:r>
              <w:rPr>
                <w:rFonts w:ascii="宋体" w:hAnsi="宋体" w:cs="宋体" w:eastAsia="宋体" w:hint="default"/>
                <w:sz w:val="18"/>
                <w:szCs w:val="18"/>
              </w:rPr>
              <w:t>项目进展是 否达到计划 进度或预期</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8" w:right="37"/>
              <w:jc w:val="center"/>
              <w:rPr>
                <w:rFonts w:ascii="宋体" w:hAnsi="宋体" w:cs="宋体" w:eastAsia="宋体" w:hint="default"/>
                <w:sz w:val="18"/>
                <w:szCs w:val="18"/>
              </w:rPr>
            </w:pPr>
            <w:r>
              <w:rPr>
                <w:rFonts w:ascii="宋体" w:hAnsi="宋体" w:cs="宋体" w:eastAsia="宋体" w:hint="default"/>
                <w:sz w:val="18"/>
                <w:szCs w:val="18"/>
              </w:rPr>
              <w:t>未达到计划 进度或预期 的原因</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郑州市轨道交通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号线工程综合监控 系统集成项目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156,660,228.00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联调联试 中</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37,473,681.2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37,473,681.2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63,435,669.7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Heading2"/>
        <w:spacing w:line="240" w:lineRule="auto" w:before="81"/>
        <w:ind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5"/>
        <w:rPr>
          <w:rFonts w:ascii="宋体" w:hAnsi="宋体" w:cs="宋体" w:eastAsia="宋体" w:hint="default"/>
          <w:b/>
          <w:bCs/>
          <w:sz w:val="17"/>
          <w:szCs w:val="17"/>
        </w:rPr>
      </w:pPr>
    </w:p>
    <w:p>
      <w:pPr>
        <w:pStyle w:val="BodyText"/>
        <w:spacing w:line="352" w:lineRule="auto" w:before="0"/>
        <w:ind w:right="1116" w:firstLine="482"/>
        <w:jc w:val="left"/>
      </w:pPr>
      <w:r>
        <w:rPr>
          <w:spacing w:val="-4"/>
        </w:rPr>
        <w:t>公司需遵守《深圳证券交易所行业信息披露指引第</w:t>
      </w:r>
      <w:r>
        <w:rPr>
          <w:spacing w:val="-59"/>
        </w:rPr>
        <w:t> </w:t>
      </w:r>
      <w:r>
        <w:rPr>
          <w:rFonts w:ascii="宋体" w:hAnsi="宋体" w:cs="宋体" w:eastAsia="宋体" w:hint="default"/>
        </w:rPr>
        <w:t>12</w:t>
      </w:r>
      <w:r>
        <w:rPr>
          <w:rFonts w:ascii="宋体" w:hAnsi="宋体" w:cs="宋体" w:eastAsia="宋体" w:hint="default"/>
          <w:spacing w:val="-59"/>
        </w:rPr>
        <w:t> </w:t>
      </w:r>
      <w:r>
        <w:rPr/>
        <w:t>号——上市公司从事软件与信息技 术服务业务》的披露要求</w:t>
      </w:r>
    </w:p>
    <w:p>
      <w:pPr>
        <w:pStyle w:val="BodyText"/>
        <w:spacing w:line="240" w:lineRule="auto" w:before="32"/>
        <w:ind w:left="636" w:right="0"/>
        <w:jc w:val="left"/>
      </w:pPr>
      <w:r>
        <w:rPr/>
        <w:t>主营业务成本构成</w:t>
      </w:r>
    </w:p>
    <w:p>
      <w:pPr>
        <w:spacing w:before="10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233,445,254.97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247,165,260.73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13,587,939.46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12,915,716.32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31,408,187.93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28,193,452.24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制造费用中的设备 折旧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5,875,113.17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9,830,158.04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footerReference w:type="default" r:id="rId15"/>
          <w:pgSz w:w="11910" w:h="16840"/>
          <w:pgMar w:footer="979" w:header="747" w:top="1060" w:bottom="1160" w:left="980" w:right="0"/>
          <w:pgNumType w:start="25"/>
        </w:sectPr>
      </w:pPr>
    </w:p>
    <w:p>
      <w:pPr>
        <w:pStyle w:val="BodyText"/>
        <w:spacing w:line="240" w:lineRule="auto" w:before="26"/>
        <w:ind w:left="636" w:right="-20"/>
        <w:jc w:val="left"/>
      </w:pPr>
      <w:r>
        <w:rPr/>
        <w:t>行业和产品分类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6"/>
          <w:szCs w:val="16"/>
        </w:rPr>
      </w:pPr>
    </w:p>
    <w:p>
      <w:pPr>
        <w:spacing w:before="0"/>
        <w:ind w:left="636"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17" w:space="6120"/>
            <w:col w:w="2493"/>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国家铁路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172,799,559.19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160,682,559.29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厂矿企业及地方 铁路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24,435,828.82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21,736,093.49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12.42%</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城市轨道交通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56,899,986.99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51,823,823.63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9.80%</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设备监测类产品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110,391,980.89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87,725,403.21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安防类产品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64,797,022.30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67,675,484.05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生产指挥及运输 调度信息化类产 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2,827,273.97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7,402,958.84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-61.81%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信号控制类产品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3,933,851.43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5,583,550.34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电源类设备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34,359,620.75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36,207,674.61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信号设备及器材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40,995,977.27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33,841,916.34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21.14%</w:t>
            </w:r>
          </w:p>
        </w:tc>
      </w:tr>
    </w:tbl>
    <w:p>
      <w:pPr>
        <w:spacing w:line="403" w:lineRule="auto" w:before="81"/>
        <w:ind w:left="636" w:right="4270" w:hanging="483"/>
        <w:jc w:val="left"/>
        <w:rPr>
          <w:rFonts w:ascii="宋体" w:hAnsi="宋体" w:cs="宋体" w:eastAsia="宋体" w:hint="default"/>
          <w:sz w:val="24"/>
          <w:szCs w:val="24"/>
        </w:rPr>
      </w:pPr>
      <w:bookmarkStart w:name="（6）报告期内合并范围是否发生变动" w:id="32"/>
      <w:bookmarkEnd w:id="3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）报告期内合并范围是否发生变动</w:t>
      </w:r>
      <w:r>
        <w:rPr>
          <w:rFonts w:ascii="宋体" w:hAnsi="宋体" w:cs="宋体" w:eastAsia="宋体" w:hint="default"/>
          <w:b/>
          <w:bCs/>
          <w:w w:val="99"/>
          <w:sz w:val="24"/>
          <w:szCs w:val="24"/>
        </w:rPr>
        <w:t> </w:t>
      </w:r>
      <w:r>
        <w:rPr>
          <w:rFonts w:ascii="宋体" w:hAnsi="宋体" w:cs="宋体" w:eastAsia="宋体" w:hint="default"/>
          <w:sz w:val="24"/>
          <w:szCs w:val="24"/>
        </w:rPr>
        <w:t>全资子公司天津智信源科技有限公司在报告期内已注销。</w:t>
      </w:r>
    </w:p>
    <w:p>
      <w:pPr>
        <w:pStyle w:val="Heading2"/>
        <w:spacing w:line="309" w:lineRule="exact" w:before="0"/>
        <w:ind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17"/>
          <w:szCs w:val="17"/>
        </w:rPr>
      </w:pPr>
    </w:p>
    <w:p>
      <w:pPr>
        <w:pStyle w:val="BodyText"/>
        <w:spacing w:line="240" w:lineRule="auto" w:before="0"/>
        <w:ind w:left="636" w:right="0"/>
        <w:jc w:val="left"/>
      </w:pPr>
      <w:r>
        <w:rPr/>
        <w:t>□ 适用 √ 不适用</w:t>
      </w:r>
    </w:p>
    <w:p>
      <w:pPr>
        <w:spacing w:line="403" w:lineRule="auto" w:before="138"/>
        <w:ind w:left="636" w:right="5952" w:hanging="483"/>
        <w:jc w:val="left"/>
        <w:rPr>
          <w:rFonts w:ascii="宋体" w:hAnsi="宋体" w:cs="宋体" w:eastAsia="宋体" w:hint="default"/>
          <w:sz w:val="24"/>
          <w:szCs w:val="24"/>
        </w:rPr>
      </w:pPr>
      <w:r>
        <w:rPr/>
        <w:pict>
          <v:shape style="position:absolute;margin-left:56.459999pt;margin-top:53.435642pt;width:479.2pt;height:76.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109,194,760.31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20.65%</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bookmarkStart w:name="（8）主要销售客户和主要供应商情况" w:id="34"/>
      <w:bookmarkEnd w:id="34"/>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8</w:t>
      </w:r>
      <w:r>
        <w:rPr>
          <w:rFonts w:ascii="宋体" w:hAnsi="宋体" w:cs="宋体" w:eastAsia="宋体" w:hint="default"/>
          <w:b/>
          <w:bCs/>
          <w:w w:val="95"/>
          <w:sz w:val="24"/>
          <w:szCs w:val="24"/>
        </w:rPr>
        <w:t>）主要销售客户和主要供应商情况</w:t>
      </w:r>
      <w:r>
        <w:rPr>
          <w:rFonts w:ascii="宋体" w:hAnsi="宋体" w:cs="宋体" w:eastAsia="宋体" w:hint="default"/>
          <w:b/>
          <w:bCs/>
          <w:spacing w:val="69"/>
          <w:w w:val="95"/>
          <w:sz w:val="24"/>
          <w:szCs w:val="24"/>
        </w:rPr>
        <w:t> </w:t>
      </w:r>
      <w:r>
        <w:rPr>
          <w:rFonts w:ascii="宋体" w:hAnsi="宋体" w:cs="宋体" w:eastAsia="宋体" w:hint="default"/>
          <w:sz w:val="24"/>
          <w:szCs w:val="24"/>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3"/>
        <w:ind w:left="636" w:right="0"/>
        <w:jc w:val="left"/>
      </w:pPr>
      <w:r>
        <w:rPr/>
        <w:t>公司前</w:t>
      </w:r>
      <w:r>
        <w:rPr>
          <w:spacing w:val="-60"/>
        </w:rPr>
        <w:t> </w:t>
      </w:r>
      <w:r>
        <w:rPr>
          <w:rFonts w:ascii="宋体" w:hAnsi="宋体" w:cs="宋体" w:eastAsia="宋体" w:hint="default"/>
        </w:rPr>
        <w:t>5</w:t>
      </w:r>
      <w:r>
        <w:rPr>
          <w:rFonts w:ascii="宋体" w:hAnsi="宋体" w:cs="宋体" w:eastAsia="宋体" w:hint="default"/>
          <w:spacing w:val="-60"/>
        </w:rPr>
        <w:t> </w:t>
      </w:r>
      <w:r>
        <w:rPr/>
        <w:t>大客户资料</w:t>
      </w:r>
    </w:p>
    <w:p>
      <w:pPr>
        <w:spacing w:line="240" w:lineRule="auto" w:before="5"/>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39,724,414.91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20,608,882.76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19,994,095.69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16,599,263.52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12,268,103.43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109,194,760.31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20.65%</w:t>
            </w:r>
          </w:p>
        </w:tc>
      </w:tr>
    </w:tbl>
    <w:p>
      <w:pPr>
        <w:spacing w:line="240" w:lineRule="auto" w:before="10"/>
        <w:rPr>
          <w:rFonts w:ascii="宋体" w:hAnsi="宋体" w:cs="宋体" w:eastAsia="宋体" w:hint="default"/>
          <w:sz w:val="4"/>
          <w:szCs w:val="4"/>
        </w:rPr>
      </w:pPr>
    </w:p>
    <w:p>
      <w:pPr>
        <w:pStyle w:val="BodyText"/>
        <w:spacing w:line="240" w:lineRule="auto" w:before="26"/>
        <w:ind w:left="636" w:right="0"/>
        <w:jc w:val="left"/>
      </w:pPr>
      <w:r>
        <w:rPr/>
        <w:t>主要客户其他情况说明</w:t>
      </w:r>
    </w:p>
    <w:p>
      <w:pPr>
        <w:pStyle w:val="BodyText"/>
        <w:spacing w:line="350" w:lineRule="auto" w:before="146"/>
        <w:ind w:left="636" w:right="1150"/>
        <w:jc w:val="left"/>
      </w:pPr>
      <w:r>
        <w:rPr/>
        <w:t>√ 适用 □ 不适用 公司前五名客户与公司不存在关联关系，公司董事、监事、高级管理人员、核心技术人</w:t>
      </w:r>
    </w:p>
    <w:p>
      <w:pPr>
        <w:pStyle w:val="BodyText"/>
        <w:spacing w:line="352" w:lineRule="auto" w:before="35"/>
        <w:ind w:left="636" w:right="1573" w:hanging="483"/>
        <w:jc w:val="left"/>
      </w:pPr>
      <w:r>
        <w:rPr/>
        <w:pict>
          <v:shape style="position:absolute;margin-left:56.459999pt;margin-top:43.365639pt;width:479.2pt;height:20.6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25,284,597.85</w:t>
                        </w:r>
                      </w:p>
                    </w:tc>
                  </w:tr>
                </w:tbl>
                <w:p>
                  <w:pPr/>
                </w:p>
              </w:txbxContent>
            </v:textbox>
            <w10:wrap type="none"/>
          </v:shape>
        </w:pict>
      </w:r>
      <w:r>
        <w:rPr/>
        <w:t>员、持股</w:t>
      </w:r>
      <w:r>
        <w:rPr>
          <w:spacing w:val="-60"/>
        </w:rPr>
        <w:t> </w:t>
      </w:r>
      <w:r>
        <w:rPr>
          <w:rFonts w:ascii="宋体" w:hAnsi="宋体" w:cs="宋体" w:eastAsia="宋体" w:hint="default"/>
        </w:rPr>
        <w:t>5%</w:t>
      </w:r>
      <w:r>
        <w:rPr/>
        <w:t>以上股东、实际控制人和其他关联方在主要客户中不直接或间接拥有权益。 公司主要供应商情况</w:t>
      </w:r>
    </w:p>
    <w:p>
      <w:pPr>
        <w:spacing w:after="0" w:line="352"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0"/>
        <w:rPr>
          <w:rFonts w:ascii="宋体" w:hAnsi="宋体" w:cs="宋体" w:eastAsia="宋体" w:hint="default"/>
          <w:sz w:val="4"/>
          <w:szCs w:val="4"/>
        </w:rPr>
      </w:pPr>
    </w:p>
    <w:p>
      <w:pPr>
        <w:pStyle w:val="BodyText"/>
        <w:spacing w:line="240" w:lineRule="auto" w:before="26"/>
        <w:ind w:left="636" w:right="0"/>
        <w:jc w:val="left"/>
      </w:pPr>
      <w:r>
        <w:rPr/>
        <w:t>公司前</w:t>
      </w:r>
      <w:r>
        <w:rPr>
          <w:spacing w:val="-60"/>
        </w:rPr>
        <w:t> </w:t>
      </w:r>
      <w:r>
        <w:rPr>
          <w:rFonts w:ascii="宋体" w:hAnsi="宋体" w:cs="宋体" w:eastAsia="宋体" w:hint="default"/>
        </w:rPr>
        <w:t>5</w:t>
      </w:r>
      <w:r>
        <w:rPr>
          <w:rFonts w:ascii="宋体" w:hAnsi="宋体" w:cs="宋体" w:eastAsia="宋体" w:hint="default"/>
          <w:spacing w:val="-60"/>
        </w:rPr>
        <w:t> </w:t>
      </w:r>
      <w:r>
        <w:rPr/>
        <w:t>名供应商资料</w:t>
      </w:r>
    </w:p>
    <w:p>
      <w:pPr>
        <w:spacing w:line="240" w:lineRule="auto" w:before="6"/>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8,544,965.52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4,590,415.52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4,589,965.52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4,125,975.43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3,433,275.86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25,284,597.85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w:t>
            </w:r>
          </w:p>
        </w:tc>
      </w:tr>
    </w:tbl>
    <w:p>
      <w:pPr>
        <w:spacing w:line="240" w:lineRule="auto" w:before="10"/>
        <w:rPr>
          <w:rFonts w:ascii="宋体" w:hAnsi="宋体" w:cs="宋体" w:eastAsia="宋体" w:hint="default"/>
          <w:sz w:val="4"/>
          <w:szCs w:val="4"/>
        </w:rPr>
      </w:pPr>
    </w:p>
    <w:p>
      <w:pPr>
        <w:pStyle w:val="BodyText"/>
        <w:spacing w:line="240" w:lineRule="auto" w:before="26"/>
        <w:ind w:left="636" w:right="0"/>
        <w:jc w:val="left"/>
      </w:pPr>
      <w:r>
        <w:rPr/>
        <w:t>主要供应商其他情况说明</w:t>
      </w:r>
    </w:p>
    <w:p>
      <w:pPr>
        <w:pStyle w:val="BodyText"/>
        <w:spacing w:line="240" w:lineRule="auto" w:before="145"/>
        <w:ind w:left="636" w:right="0"/>
        <w:jc w:val="left"/>
      </w:pPr>
      <w:r>
        <w:rPr/>
        <w:t>□ 适用 √ 不适用</w:t>
      </w:r>
    </w:p>
    <w:p>
      <w:pPr>
        <w:pStyle w:val="Heading2"/>
        <w:spacing w:line="240" w:lineRule="auto" w:before="139"/>
        <w:ind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2"/>
        <w:rPr>
          <w:rFonts w:ascii="宋体" w:hAnsi="宋体" w:cs="宋体" w:eastAsia="宋体" w:hint="default"/>
          <w:b/>
          <w:bCs/>
          <w:sz w:val="8"/>
          <w:szCs w:val="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38,353,173.86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31,096,146.69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34,979,788.74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48,402,178.40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13,614,129.37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15,641,036.26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64,326,311.44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59,787,351.00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81"/>
        <w:ind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17"/>
          <w:szCs w:val="17"/>
        </w:rPr>
      </w:pPr>
    </w:p>
    <w:p>
      <w:pPr>
        <w:pStyle w:val="BodyText"/>
        <w:spacing w:line="352" w:lineRule="auto" w:before="0"/>
        <w:ind w:right="1169" w:firstLine="482"/>
        <w:jc w:val="both"/>
      </w:pPr>
      <w:r>
        <w:rPr/>
        <w:t>公司高度重视对产品研发的投入和自身研发实力综合能力的提升。随着全球信息技术创 新进入新一轮加速期，云计算、大数据、物联网、移动互联网、人工智能等新一代信息技术 正加速演进，面对技术的革新，客户需求的变化，公司围绕“轨道交通运营维护一体化解决 方案及高端装备”的主营业务，持续加大研发投入，加大技术创新和新产品孵化力度，培育 公司新的增长点。</w:t>
      </w:r>
    </w:p>
    <w:p>
      <w:pPr>
        <w:pStyle w:val="BodyText"/>
        <w:spacing w:line="350" w:lineRule="auto" w:before="32"/>
        <w:ind w:right="1169" w:firstLine="482"/>
        <w:jc w:val="both"/>
      </w:pPr>
      <w:r>
        <w:rPr/>
        <w:t>一方面以客户为中心，依托公司在云计算、物联网、大数据等前沿领域的技术研发和储 备优势，针对监控产品线的现有产品进行智能化、自动化升级，提高客户满意度，提升市场 影响力和竞争力；另一方面依托公司各产品线在用户现场长期积累的数据，加大智能化分析 研发力度，开发新需求，向“智慧运维、智慧运营、智慧管理”提供全套解决方案和平台系 统，满足未来市场需求。</w:t>
      </w:r>
    </w:p>
    <w:p>
      <w:pPr>
        <w:spacing w:after="0" w:line="35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50" w:firstLine="482"/>
        <w:jc w:val="left"/>
      </w:pPr>
      <w:r>
        <w:rPr/>
        <w:t>同时，不断加强与高校、科研院所合作力度，跟踪当前技术发展方向，使公司在技术创 新、新技术应用等方面不断保持领先优势，持续提升公司整体研发技术水平。</w:t>
      </w:r>
    </w:p>
    <w:p>
      <w:pPr>
        <w:pStyle w:val="BodyText"/>
        <w:spacing w:line="240" w:lineRule="auto"/>
        <w:ind w:left="636" w:right="0"/>
        <w:jc w:val="left"/>
      </w:pPr>
      <w:r>
        <w:rPr/>
        <w:t>公司研发投入情况</w:t>
      </w:r>
    </w:p>
    <w:p>
      <w:pPr>
        <w:spacing w:line="240" w:lineRule="auto" w:before="6"/>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64,326,311.44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59,787,351.00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0"/>
        <w:rPr>
          <w:rFonts w:ascii="宋体" w:hAnsi="宋体" w:cs="宋体" w:eastAsia="宋体" w:hint="default"/>
          <w:sz w:val="4"/>
          <w:szCs w:val="4"/>
        </w:rPr>
      </w:pPr>
    </w:p>
    <w:p>
      <w:pPr>
        <w:pStyle w:val="BodyText"/>
        <w:spacing w:line="240" w:lineRule="auto" w:before="26"/>
        <w:ind w:left="636" w:right="0"/>
        <w:jc w:val="left"/>
      </w:pPr>
      <w:r>
        <w:rPr/>
        <w:t>研发投入总额占营业收入的比重较上年发生显著变化的原因</w:t>
      </w:r>
    </w:p>
    <w:p>
      <w:pPr>
        <w:pStyle w:val="BodyText"/>
        <w:spacing w:line="350" w:lineRule="auto" w:before="146"/>
        <w:ind w:left="636" w:right="4990"/>
        <w:jc w:val="left"/>
      </w:pPr>
      <w:r>
        <w:rPr/>
        <w:t>□ 适用 √ 不适用 研发投入资本化率大幅变动的原因及其合理性说明</w:t>
      </w:r>
    </w:p>
    <w:p>
      <w:pPr>
        <w:pStyle w:val="BodyText"/>
        <w:spacing w:line="240" w:lineRule="auto" w:before="35"/>
        <w:ind w:left="636" w:right="0"/>
        <w:jc w:val="left"/>
      </w:pPr>
      <w:r>
        <w:rPr/>
        <w:t>□ 适用 √ 不适用</w:t>
      </w:r>
    </w:p>
    <w:p>
      <w:pPr>
        <w:pStyle w:val="BodyText"/>
        <w:spacing w:line="350" w:lineRule="auto" w:before="146"/>
        <w:ind w:right="1116" w:firstLine="482"/>
        <w:jc w:val="left"/>
      </w:pPr>
      <w:r>
        <w:rPr>
          <w:spacing w:val="-4"/>
        </w:rPr>
        <w:t>公司需遵守《深圳证券交易所行业信息披露指引第</w:t>
      </w:r>
      <w:r>
        <w:rPr>
          <w:spacing w:val="-59"/>
        </w:rPr>
        <w:t> </w:t>
      </w:r>
      <w:r>
        <w:rPr>
          <w:rFonts w:ascii="宋体" w:hAnsi="宋体" w:cs="宋体" w:eastAsia="宋体" w:hint="default"/>
        </w:rPr>
        <w:t>12</w:t>
      </w:r>
      <w:r>
        <w:rPr>
          <w:rFonts w:ascii="宋体" w:hAnsi="宋体" w:cs="宋体" w:eastAsia="宋体" w:hint="default"/>
          <w:spacing w:val="-59"/>
        </w:rPr>
        <w:t> </w:t>
      </w:r>
      <w:r>
        <w:rPr/>
        <w:t>号——上市公司从事软件与信息技 术服务业务》的披露要求</w:t>
      </w:r>
    </w:p>
    <w:p>
      <w:pPr>
        <w:pStyle w:val="BodyText"/>
        <w:spacing w:line="240" w:lineRule="auto" w:before="35"/>
        <w:ind w:left="636" w:right="0"/>
        <w:jc w:val="left"/>
      </w:pPr>
      <w:r>
        <w:rPr/>
        <w:t>报告期内，不存在研发投入资本化情形。</w:t>
      </w:r>
    </w:p>
    <w:p>
      <w:pPr>
        <w:pStyle w:val="Heading2"/>
        <w:spacing w:line="240" w:lineRule="auto" w:before="139"/>
        <w:ind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before="15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648,907,263.47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578,608,001.09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632,405,713.16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518,889,090.78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16,501,550.31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59,718,910.31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-72.37%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13,614,718.46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5,296,209.93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214,962,623.61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75,521,926.90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184.64%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-201,347,905.15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-70,225,716.97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-186.72%</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274,668,446.73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351,589,018.34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497,708,634.04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286,695,166.76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-223,040,187.31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64,893,851.58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-443.70%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5" w:right="0"/>
              <w:jc w:val="left"/>
              <w:rPr>
                <w:rFonts w:ascii="Times New Roman" w:hAnsi="Times New Roman" w:cs="Times New Roman" w:eastAsia="Times New Roman" w:hint="default"/>
                <w:sz w:val="18"/>
                <w:szCs w:val="18"/>
              </w:rPr>
            </w:pPr>
            <w:r>
              <w:rPr>
                <w:rFonts w:ascii="Times New Roman"/>
                <w:sz w:val="18"/>
              </w:rPr>
              <w:t>-407,886,542.15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54,387,044.92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-849.97%</w:t>
            </w:r>
            <w:r>
              <w:rPr>
                <w:rFonts w:ascii="Times New Roman"/>
                <w:sz w:val="18"/>
              </w:rPr>
            </w:r>
          </w:p>
        </w:tc>
      </w:tr>
    </w:tbl>
    <w:p>
      <w:pPr>
        <w:spacing w:line="240" w:lineRule="auto" w:before="10"/>
        <w:rPr>
          <w:rFonts w:ascii="宋体" w:hAnsi="宋体" w:cs="宋体" w:eastAsia="宋体" w:hint="default"/>
          <w:sz w:val="4"/>
          <w:szCs w:val="4"/>
        </w:rPr>
      </w:pPr>
    </w:p>
    <w:p>
      <w:pPr>
        <w:pStyle w:val="BodyText"/>
        <w:spacing w:line="240" w:lineRule="auto" w:before="26"/>
        <w:ind w:left="636" w:right="0"/>
        <w:jc w:val="left"/>
      </w:pPr>
      <w:r>
        <w:rPr/>
        <w:t>相关数据同比发生重大变动的主要影响因素说明</w:t>
      </w:r>
    </w:p>
    <w:p>
      <w:pPr>
        <w:pStyle w:val="BodyText"/>
        <w:spacing w:line="240" w:lineRule="auto" w:before="146"/>
        <w:ind w:left="636" w:right="0"/>
        <w:jc w:val="left"/>
      </w:pPr>
      <w:r>
        <w:rPr/>
        <w:t>√ 适用 □ 不适用</w:t>
      </w:r>
    </w:p>
    <w:p>
      <w:pPr>
        <w:pStyle w:val="BodyText"/>
        <w:spacing w:line="350" w:lineRule="auto" w:before="146"/>
        <w:ind w:right="1210" w:firstLine="482"/>
        <w:jc w:val="left"/>
      </w:pPr>
      <w:r>
        <w:rPr/>
        <w:t>（</w:t>
      </w:r>
      <w:r>
        <w:rPr>
          <w:rFonts w:ascii="宋体" w:hAnsi="宋体" w:cs="宋体" w:eastAsia="宋体" w:hint="default"/>
        </w:rPr>
        <w:t>1</w:t>
      </w:r>
      <w:r>
        <w:rPr/>
        <w:t>）报告期内，公司经营活动产生的现金流量净额比上年同期减少</w:t>
      </w:r>
      <w:r>
        <w:rPr>
          <w:spacing w:val="-60"/>
        </w:rPr>
        <w:t> </w:t>
      </w:r>
      <w:r>
        <w:rPr>
          <w:rFonts w:ascii="宋体" w:hAnsi="宋体" w:cs="宋体" w:eastAsia="宋体" w:hint="default"/>
        </w:rPr>
        <w:t>72.37%</w:t>
      </w:r>
      <w:r>
        <w:rPr/>
        <w:t>，主要原因 系报告期内材料采购付款增加所致。</w:t>
      </w:r>
    </w:p>
    <w:p>
      <w:pPr>
        <w:pStyle w:val="BodyText"/>
        <w:spacing w:line="350" w:lineRule="auto"/>
        <w:ind w:right="1114" w:firstLine="482"/>
        <w:jc w:val="left"/>
      </w:pPr>
      <w:r>
        <w:rPr/>
        <w:t>（</w:t>
      </w:r>
      <w:r>
        <w:rPr>
          <w:rFonts w:ascii="宋体" w:hAnsi="宋体" w:cs="宋体" w:eastAsia="宋体" w:hint="default"/>
        </w:rPr>
        <w:t>2</w:t>
      </w:r>
      <w:r>
        <w:rPr/>
        <w:t>）报告期内，公司投资活动产生的现金流量净额比上年同期减少</w:t>
      </w:r>
      <w:r>
        <w:rPr>
          <w:spacing w:val="-84"/>
        </w:rPr>
        <w:t> </w:t>
      </w:r>
      <w:r>
        <w:rPr>
          <w:rFonts w:ascii="宋体" w:hAnsi="宋体" w:cs="宋体" w:eastAsia="宋体" w:hint="default"/>
        </w:rPr>
        <w:t>186.72%</w:t>
      </w:r>
      <w:r>
        <w:rPr/>
        <w:t>，主要原因 系报告期内购买理财产品未到期。</w:t>
      </w:r>
    </w:p>
    <w:p>
      <w:pPr>
        <w:pStyle w:val="BodyText"/>
        <w:spacing w:line="352" w:lineRule="auto" w:before="35"/>
        <w:ind w:right="1114" w:firstLine="482"/>
        <w:jc w:val="left"/>
      </w:pPr>
      <w:r>
        <w:rPr/>
        <w:t>（</w:t>
      </w:r>
      <w:r>
        <w:rPr>
          <w:rFonts w:ascii="宋体" w:hAnsi="宋体" w:cs="宋体" w:eastAsia="宋体" w:hint="default"/>
        </w:rPr>
        <w:t>3</w:t>
      </w:r>
      <w:r>
        <w:rPr/>
        <w:t>）报告期内，公司筹资活动产生的现金流量净额比上年同期减少</w:t>
      </w:r>
      <w:r>
        <w:rPr>
          <w:spacing w:val="-84"/>
        </w:rPr>
        <w:t> </w:t>
      </w:r>
      <w:r>
        <w:rPr>
          <w:rFonts w:ascii="宋体" w:hAnsi="宋体" w:cs="宋体" w:eastAsia="宋体" w:hint="default"/>
        </w:rPr>
        <w:t>443.70%</w:t>
      </w:r>
      <w:r>
        <w:rPr/>
        <w:t>，主要原因 系报告期内兑付公司债所致。</w:t>
      </w:r>
    </w:p>
    <w:p>
      <w:pPr>
        <w:pStyle w:val="BodyText"/>
        <w:spacing w:line="240" w:lineRule="auto" w:before="32"/>
        <w:ind w:left="636" w:right="0"/>
        <w:jc w:val="left"/>
      </w:pPr>
      <w:r>
        <w:rPr/>
        <w:t>报告期内公司经营活动产生的现金净流量与本年度净利润存在重大差异的原因说明</w:t>
      </w:r>
    </w:p>
    <w:p>
      <w:pPr>
        <w:spacing w:line="487" w:lineRule="auto" w:before="145"/>
        <w:ind w:left="154" w:right="8230" w:firstLine="482"/>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三、非主营业务分析" w:id="38"/>
      <w:bookmarkEnd w:id="38"/>
      <w:r>
        <w:rPr>
          <w:rFonts w:ascii="宋体" w:hAnsi="宋体" w:cs="宋体" w:eastAsia="宋体" w:hint="default"/>
          <w:sz w:val="24"/>
          <w:szCs w:val="24"/>
        </w:rPr>
      </w:r>
      <w:r>
        <w:rPr>
          <w:rFonts w:ascii="宋体" w:hAnsi="宋体" w:cs="宋体" w:eastAsia="宋体" w:hint="default"/>
          <w:b/>
          <w:bCs/>
          <w:sz w:val="24"/>
          <w:szCs w:val="24"/>
        </w:rPr>
        <w:t>三、非主营业务分析</w:t>
      </w:r>
      <w:r>
        <w:rPr>
          <w:rFonts w:ascii="宋体" w:hAnsi="宋体" w:cs="宋体" w:eastAsia="宋体" w:hint="default"/>
          <w:sz w:val="24"/>
          <w:szCs w:val="24"/>
        </w:rPr>
      </w:r>
    </w:p>
    <w:p>
      <w:pPr>
        <w:spacing w:before="10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254" w:type="dxa"/>
        <w:tblLayout w:type="fixed"/>
        <w:tblCellMar>
          <w:top w:w="0" w:type="dxa"/>
          <w:left w:w="0" w:type="dxa"/>
          <w:bottom w:w="0" w:type="dxa"/>
          <w:right w:w="0" w:type="dxa"/>
        </w:tblCellMar>
        <w:tblLook w:val="01E0"/>
      </w:tblPr>
      <w:tblGrid>
        <w:gridCol w:w="1347"/>
        <w:gridCol w:w="1667"/>
        <w:gridCol w:w="1026"/>
        <w:gridCol w:w="4220"/>
        <w:gridCol w:w="1168"/>
      </w:tblGrid>
      <w:tr>
        <w:trPr>
          <w:trHeight w:val="161" w:hRule="exact"/>
        </w:trPr>
        <w:tc>
          <w:tcPr>
            <w:tcW w:w="13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92" w:right="87" w:hanging="105"/>
              <w:jc w:val="left"/>
              <w:rPr>
                <w:rFonts w:ascii="宋体" w:hAnsi="宋体" w:cs="宋体" w:eastAsia="宋体" w:hint="default"/>
                <w:sz w:val="21"/>
                <w:szCs w:val="21"/>
              </w:rPr>
            </w:pPr>
            <w:r>
              <w:rPr>
                <w:rFonts w:ascii="宋体" w:hAnsi="宋体" w:cs="宋体" w:eastAsia="宋体" w:hint="default"/>
                <w:sz w:val="21"/>
                <w:szCs w:val="21"/>
              </w:rPr>
              <w:t>占利润总 额比例</w:t>
            </w:r>
          </w:p>
        </w:tc>
        <w:tc>
          <w:tcPr>
            <w:tcW w:w="4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64" w:right="53" w:hanging="210"/>
              <w:jc w:val="left"/>
              <w:rPr>
                <w:rFonts w:ascii="宋体" w:hAnsi="宋体" w:cs="宋体" w:eastAsia="宋体" w:hint="default"/>
                <w:sz w:val="21"/>
                <w:szCs w:val="21"/>
              </w:rPr>
            </w:pPr>
            <w:r>
              <w:rPr>
                <w:rFonts w:ascii="宋体" w:hAnsi="宋体" w:cs="宋体" w:eastAsia="宋体" w:hint="default"/>
                <w:sz w:val="21"/>
                <w:szCs w:val="21"/>
              </w:rPr>
              <w:t>是否具有可 持续性</w:t>
            </w:r>
          </w:p>
        </w:tc>
      </w:tr>
      <w:tr>
        <w:trPr>
          <w:trHeight w:val="392" w:hRule="exact"/>
        </w:trPr>
        <w:tc>
          <w:tcPr>
            <w:tcW w:w="1347" w:type="dxa"/>
            <w:tcBorders>
              <w:top w:val="nil" w:sz="6" w:space="0" w:color="auto"/>
              <w:left w:val="single" w:sz="4" w:space="0" w:color="000000"/>
              <w:bottom w:val="nil" w:sz="6" w:space="0" w:color="auto"/>
              <w:right w:val="single" w:sz="4" w:space="0" w:color="000000"/>
            </w:tcBorders>
            <w:shd w:val="clear" w:color="auto" w:fill="D2D2D2"/>
          </w:tcPr>
          <w:p>
            <w:pPr/>
          </w:p>
        </w:tc>
        <w:tc>
          <w:tcPr>
            <w:tcW w:w="16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26" w:type="dxa"/>
            <w:vMerge/>
            <w:tcBorders>
              <w:left w:val="single" w:sz="4" w:space="0" w:color="000000"/>
              <w:right w:val="single" w:sz="4" w:space="0" w:color="000000"/>
            </w:tcBorders>
            <w:shd w:val="clear" w:color="auto" w:fill="D2D2D2"/>
          </w:tcPr>
          <w:p>
            <w:pPr/>
          </w:p>
        </w:tc>
        <w:tc>
          <w:tcPr>
            <w:tcW w:w="4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形成原因说明</w:t>
            </w:r>
          </w:p>
        </w:tc>
        <w:tc>
          <w:tcPr>
            <w:tcW w:w="1168" w:type="dxa"/>
            <w:vMerge/>
            <w:tcBorders>
              <w:left w:val="single" w:sz="4" w:space="0" w:color="000000"/>
              <w:right w:val="single" w:sz="4" w:space="0" w:color="000000"/>
            </w:tcBorders>
            <w:shd w:val="clear" w:color="auto" w:fill="D2D2D2"/>
          </w:tcPr>
          <w:p>
            <w:pPr/>
          </w:p>
        </w:tc>
      </w:tr>
      <w:tr>
        <w:trPr>
          <w:trHeight w:val="161" w:hRule="exact"/>
        </w:trPr>
        <w:tc>
          <w:tcPr>
            <w:tcW w:w="13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6" w:type="dxa"/>
            <w:vMerge/>
            <w:tcBorders>
              <w:left w:val="single" w:sz="4" w:space="0" w:color="000000"/>
              <w:bottom w:val="single" w:sz="4" w:space="0" w:color="000000"/>
              <w:right w:val="single" w:sz="4" w:space="0" w:color="000000"/>
            </w:tcBorders>
            <w:shd w:val="clear" w:color="auto" w:fill="D2D2D2"/>
          </w:tcPr>
          <w:p>
            <w:pPr/>
          </w:p>
        </w:tc>
        <w:tc>
          <w:tcPr>
            <w:tcW w:w="4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25" w:right="0"/>
              <w:jc w:val="left"/>
              <w:rPr>
                <w:rFonts w:ascii="Times New Roman" w:hAnsi="Times New Roman" w:cs="Times New Roman" w:eastAsia="Times New Roman" w:hint="default"/>
                <w:sz w:val="21"/>
                <w:szCs w:val="21"/>
              </w:rPr>
            </w:pPr>
            <w:r>
              <w:rPr>
                <w:rFonts w:ascii="Times New Roman"/>
                <w:sz w:val="21"/>
              </w:rPr>
              <w:t>4,739,939.19</w:t>
            </w:r>
          </w:p>
        </w:tc>
        <w:tc>
          <w:tcPr>
            <w:tcW w:w="10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50" w:right="0"/>
              <w:jc w:val="left"/>
              <w:rPr>
                <w:rFonts w:ascii="Times New Roman" w:hAnsi="Times New Roman" w:cs="Times New Roman" w:eastAsia="Times New Roman" w:hint="default"/>
                <w:sz w:val="21"/>
                <w:szCs w:val="21"/>
              </w:rPr>
            </w:pPr>
            <w:r>
              <w:rPr>
                <w:rFonts w:ascii="Times New Roman"/>
                <w:sz w:val="21"/>
              </w:rPr>
              <w:t>9.38%</w:t>
            </w:r>
          </w:p>
        </w:tc>
        <w:tc>
          <w:tcPr>
            <w:tcW w:w="4220" w:type="dxa"/>
            <w:vMerge w:val="restart"/>
            <w:tcBorders>
              <w:top w:val="single" w:sz="4" w:space="0" w:color="000000"/>
              <w:left w:val="single" w:sz="4" w:space="0" w:color="000000"/>
              <w:right w:val="single" w:sz="4" w:space="0" w:color="000000"/>
            </w:tcBorders>
          </w:tcPr>
          <w:p>
            <w:pPr>
              <w:pStyle w:val="TableParagraph"/>
              <w:spacing w:line="259"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报告期内理财产品收益</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1,284.08</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万元及权益法 核算的长期股权投资收益</w:t>
            </w:r>
            <w:r>
              <w:rPr>
                <w:rFonts w:ascii="Times New Roman" w:hAnsi="Times New Roman" w:cs="Times New Roman" w:eastAsia="Times New Roman" w:hint="default"/>
                <w:sz w:val="21"/>
                <w:szCs w:val="21"/>
              </w:rPr>
              <w:t>-810.08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92" w:hRule="exact"/>
        </w:trPr>
        <w:tc>
          <w:tcPr>
            <w:tcW w:w="13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67" w:type="dxa"/>
            <w:vMerge/>
            <w:tcBorders>
              <w:left w:val="single" w:sz="9" w:space="0" w:color="D2D2D2"/>
              <w:right w:val="single" w:sz="4" w:space="0" w:color="000000"/>
            </w:tcBorders>
          </w:tcPr>
          <w:p>
            <w:pPr/>
          </w:p>
        </w:tc>
        <w:tc>
          <w:tcPr>
            <w:tcW w:w="1026" w:type="dxa"/>
            <w:vMerge/>
            <w:tcBorders>
              <w:left w:val="single" w:sz="4" w:space="0" w:color="000000"/>
              <w:right w:val="single" w:sz="4" w:space="0" w:color="000000"/>
            </w:tcBorders>
          </w:tcPr>
          <w:p>
            <w:pPr/>
          </w:p>
        </w:tc>
        <w:tc>
          <w:tcPr>
            <w:tcW w:w="4220"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r>
      <w:tr>
        <w:trPr>
          <w:trHeight w:val="161" w:hRule="exact"/>
        </w:trPr>
        <w:tc>
          <w:tcPr>
            <w:tcW w:w="13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7" w:type="dxa"/>
            <w:vMerge/>
            <w:tcBorders>
              <w:left w:val="single" w:sz="9" w:space="0" w:color="D2D2D2"/>
              <w:bottom w:val="single" w:sz="4" w:space="0" w:color="000000"/>
              <w:right w:val="single" w:sz="4" w:space="0" w:color="000000"/>
            </w:tcBorders>
          </w:tcPr>
          <w:p>
            <w:pPr/>
          </w:p>
        </w:tc>
        <w:tc>
          <w:tcPr>
            <w:tcW w:w="1026" w:type="dxa"/>
            <w:vMerge/>
            <w:tcBorders>
              <w:left w:val="single" w:sz="4" w:space="0" w:color="000000"/>
              <w:bottom w:val="single" w:sz="4" w:space="0" w:color="000000"/>
              <w:right w:val="single" w:sz="4" w:space="0" w:color="000000"/>
            </w:tcBorders>
          </w:tcPr>
          <w:p>
            <w:pPr/>
          </w:p>
        </w:tc>
        <w:tc>
          <w:tcPr>
            <w:tcW w:w="4220"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r>
      <w:tr>
        <w:trPr>
          <w:trHeight w:val="161" w:hRule="exact"/>
        </w:trPr>
        <w:tc>
          <w:tcPr>
            <w:tcW w:w="13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20" w:right="0"/>
              <w:jc w:val="left"/>
              <w:rPr>
                <w:rFonts w:ascii="Times New Roman" w:hAnsi="Times New Roman" w:cs="Times New Roman" w:eastAsia="Times New Roman" w:hint="default"/>
                <w:sz w:val="21"/>
                <w:szCs w:val="21"/>
              </w:rPr>
            </w:pPr>
            <w:r>
              <w:rPr>
                <w:rFonts w:ascii="Times New Roman"/>
                <w:sz w:val="21"/>
              </w:rPr>
              <w:t>70,256,780.16</w:t>
            </w:r>
          </w:p>
        </w:tc>
        <w:tc>
          <w:tcPr>
            <w:tcW w:w="10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0" w:right="0"/>
              <w:jc w:val="left"/>
              <w:rPr>
                <w:rFonts w:ascii="Times New Roman" w:hAnsi="Times New Roman" w:cs="Times New Roman" w:eastAsia="Times New Roman" w:hint="default"/>
                <w:sz w:val="21"/>
                <w:szCs w:val="21"/>
              </w:rPr>
            </w:pPr>
            <w:r>
              <w:rPr>
                <w:rFonts w:ascii="Times New Roman"/>
                <w:sz w:val="21"/>
              </w:rPr>
              <w:t>139.01%</w:t>
            </w:r>
          </w:p>
        </w:tc>
        <w:tc>
          <w:tcPr>
            <w:tcW w:w="4220" w:type="dxa"/>
            <w:vMerge w:val="restart"/>
            <w:tcBorders>
              <w:top w:val="single" w:sz="4" w:space="0" w:color="000000"/>
              <w:left w:val="single" w:sz="4" w:space="0" w:color="000000"/>
              <w:right w:val="single" w:sz="4" w:space="0" w:color="000000"/>
            </w:tcBorders>
          </w:tcPr>
          <w:p>
            <w:pPr>
              <w:pStyle w:val="TableParagraph"/>
              <w:spacing w:line="273" w:lineRule="auto" w:before="26"/>
              <w:ind w:left="22" w:right="195"/>
              <w:jc w:val="left"/>
              <w:rPr>
                <w:rFonts w:ascii="宋体" w:hAnsi="宋体" w:cs="宋体" w:eastAsia="宋体" w:hint="default"/>
                <w:sz w:val="21"/>
                <w:szCs w:val="21"/>
              </w:rPr>
            </w:pPr>
            <w:r>
              <w:rPr>
                <w:rFonts w:ascii="宋体" w:hAnsi="宋体" w:cs="宋体" w:eastAsia="宋体" w:hint="default"/>
                <w:sz w:val="21"/>
                <w:szCs w:val="21"/>
              </w:rPr>
              <w:t>报告期内对国铁路阳及交大驱动商誉计提减 值准备</w:t>
            </w:r>
            <w:r>
              <w:rPr>
                <w:rFonts w:ascii="宋体" w:hAnsi="宋体" w:cs="宋体" w:eastAsia="宋体" w:hint="default"/>
                <w:spacing w:val="-54"/>
                <w:sz w:val="21"/>
                <w:szCs w:val="21"/>
              </w:rPr>
              <w:t> </w:t>
            </w:r>
            <w:r>
              <w:rPr>
                <w:rFonts w:ascii="宋体" w:hAnsi="宋体" w:cs="宋体" w:eastAsia="宋体" w:hint="default"/>
                <w:sz w:val="21"/>
                <w:szCs w:val="21"/>
              </w:rPr>
              <w:t>6,082.88</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92" w:hRule="exact"/>
        </w:trPr>
        <w:tc>
          <w:tcPr>
            <w:tcW w:w="13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资产减值</w:t>
            </w:r>
          </w:p>
        </w:tc>
        <w:tc>
          <w:tcPr>
            <w:tcW w:w="1667" w:type="dxa"/>
            <w:vMerge/>
            <w:tcBorders>
              <w:left w:val="single" w:sz="9" w:space="0" w:color="D2D2D2"/>
              <w:right w:val="single" w:sz="4" w:space="0" w:color="000000"/>
            </w:tcBorders>
          </w:tcPr>
          <w:p>
            <w:pPr/>
          </w:p>
        </w:tc>
        <w:tc>
          <w:tcPr>
            <w:tcW w:w="1026" w:type="dxa"/>
            <w:vMerge/>
            <w:tcBorders>
              <w:left w:val="single" w:sz="4" w:space="0" w:color="000000"/>
              <w:right w:val="single" w:sz="4" w:space="0" w:color="000000"/>
            </w:tcBorders>
          </w:tcPr>
          <w:p>
            <w:pPr/>
          </w:p>
        </w:tc>
        <w:tc>
          <w:tcPr>
            <w:tcW w:w="4220"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r>
      <w:tr>
        <w:trPr>
          <w:trHeight w:val="161" w:hRule="exact"/>
        </w:trPr>
        <w:tc>
          <w:tcPr>
            <w:tcW w:w="13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7" w:type="dxa"/>
            <w:vMerge/>
            <w:tcBorders>
              <w:left w:val="single" w:sz="9" w:space="0" w:color="D2D2D2"/>
              <w:bottom w:val="single" w:sz="4" w:space="0" w:color="000000"/>
              <w:right w:val="single" w:sz="4" w:space="0" w:color="000000"/>
            </w:tcBorders>
          </w:tcPr>
          <w:p>
            <w:pPr/>
          </w:p>
        </w:tc>
        <w:tc>
          <w:tcPr>
            <w:tcW w:w="1026" w:type="dxa"/>
            <w:vMerge/>
            <w:tcBorders>
              <w:left w:val="single" w:sz="4" w:space="0" w:color="000000"/>
              <w:bottom w:val="single" w:sz="4" w:space="0" w:color="000000"/>
              <w:right w:val="single" w:sz="4" w:space="0" w:color="000000"/>
            </w:tcBorders>
          </w:tcPr>
          <w:p>
            <w:pPr/>
          </w:p>
        </w:tc>
        <w:tc>
          <w:tcPr>
            <w:tcW w:w="4220"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四、资产及负债状况分析" w:id="39"/>
      <w:bookmarkEnd w:id="39"/>
      <w:r>
        <w:rPr>
          <w:b w:val="0"/>
          <w:bCs w:val="0"/>
        </w:rPr>
      </w:r>
      <w:r>
        <w:rPr/>
        <w:t>四、资产及负债状况分析</w:t>
      </w:r>
      <w:r>
        <w:rPr>
          <w:b w:val="0"/>
          <w:bCs w:val="0"/>
        </w:rPr>
      </w:r>
    </w:p>
    <w:p>
      <w:pPr>
        <w:spacing w:line="240" w:lineRule="auto" w:before="9"/>
        <w:rPr>
          <w:rFonts w:ascii="宋体" w:hAnsi="宋体" w:cs="宋体" w:eastAsia="宋体" w:hint="default"/>
          <w:b/>
          <w:bCs/>
          <w:sz w:val="22"/>
          <w:szCs w:val="22"/>
        </w:rPr>
      </w:pPr>
    </w:p>
    <w:p>
      <w:pPr>
        <w:pStyle w:val="Heading2"/>
        <w:spacing w:line="240" w:lineRule="auto" w:before="0"/>
        <w:ind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2"/>
        <w:rPr>
          <w:rFonts w:ascii="宋体" w:hAnsi="宋体" w:cs="宋体" w:eastAsia="宋体" w:hint="default"/>
          <w:b/>
          <w:bCs/>
          <w:sz w:val="8"/>
          <w:szCs w:val="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762"/>
        <w:gridCol w:w="1559"/>
        <w:gridCol w:w="1560"/>
        <w:gridCol w:w="1276"/>
        <w:gridCol w:w="992"/>
        <w:gridCol w:w="1063"/>
      </w:tblGrid>
      <w:tr>
        <w:trPr>
          <w:trHeight w:val="186"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33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8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1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3321" w:type="dxa"/>
            <w:gridSpan w:val="2"/>
            <w:vMerge/>
            <w:tcBorders>
              <w:left w:val="single" w:sz="4" w:space="0" w:color="000000"/>
              <w:bottom w:val="single" w:sz="4" w:space="0" w:color="000000"/>
              <w:right w:val="single" w:sz="4" w:space="0" w:color="000000"/>
            </w:tcBorders>
            <w:shd w:val="clear" w:color="auto" w:fill="D2D2D2"/>
          </w:tcPr>
          <w:p>
            <w:pPr/>
          </w:p>
        </w:tc>
        <w:tc>
          <w:tcPr>
            <w:tcW w:w="2836" w:type="dxa"/>
            <w:gridSpan w:val="2"/>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07" w:lineRule="auto" w:before="26"/>
              <w:ind w:left="211" w:right="210"/>
              <w:jc w:val="left"/>
              <w:rPr>
                <w:rFonts w:ascii="宋体" w:hAnsi="宋体" w:cs="宋体" w:eastAsia="宋体" w:hint="default"/>
                <w:sz w:val="21"/>
                <w:szCs w:val="21"/>
              </w:rPr>
            </w:pPr>
            <w:r>
              <w:rPr>
                <w:rFonts w:ascii="宋体" w:hAnsi="宋体" w:cs="宋体" w:eastAsia="宋体" w:hint="default"/>
                <w:sz w:val="21"/>
                <w:szCs w:val="21"/>
              </w:rPr>
              <w:t>重大变 动说明</w:t>
            </w:r>
          </w:p>
        </w:tc>
      </w:tr>
      <w:tr>
        <w:trPr>
          <w:trHeight w:val="161"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528" w:right="106" w:hanging="420"/>
              <w:jc w:val="left"/>
              <w:rPr>
                <w:rFonts w:ascii="宋体" w:hAnsi="宋体" w:cs="宋体" w:eastAsia="宋体" w:hint="default"/>
                <w:sz w:val="21"/>
                <w:szCs w:val="21"/>
              </w:rPr>
            </w:pPr>
            <w:r>
              <w:rPr>
                <w:rFonts w:ascii="宋体" w:hAnsi="宋体" w:cs="宋体" w:eastAsia="宋体" w:hint="default"/>
                <w:sz w:val="21"/>
                <w:szCs w:val="21"/>
              </w:rPr>
              <w:t>占总资产比 例</w:t>
            </w:r>
          </w:p>
        </w:tc>
        <w:tc>
          <w:tcPr>
            <w:tcW w:w="992" w:type="dxa"/>
            <w:vMerge w:val="restart"/>
            <w:tcBorders>
              <w:top w:val="nil" w:sz="6" w:space="0" w:color="auto"/>
              <w:left w:val="single" w:sz="10" w:space="0" w:color="D2D2D2"/>
              <w:right w:val="single" w:sz="23" w:space="0" w:color="D2D2D2"/>
            </w:tcBorders>
          </w:tcPr>
          <w:p>
            <w:pPr>
              <w:pStyle w:val="TableParagraph"/>
              <w:spacing w:line="261" w:lineRule="exact"/>
              <w:ind w:left="6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比重增减</w:t>
            </w:r>
            <w:r>
              <w:rPr>
                <w:rFonts w:ascii="宋体" w:hAnsi="宋体" w:cs="宋体" w:eastAsia="宋体" w:hint="default"/>
                <w:sz w:val="21"/>
                <w:szCs w:val="21"/>
              </w:rPr>
            </w:r>
          </w:p>
        </w:tc>
        <w:tc>
          <w:tcPr>
            <w:tcW w:w="1063" w:type="dxa"/>
            <w:vMerge/>
            <w:tcBorders>
              <w:left w:val="single" w:sz="4" w:space="0" w:color="000000"/>
              <w:right w:val="single" w:sz="4" w:space="0" w:color="000000"/>
            </w:tcBorders>
            <w:shd w:val="clear" w:color="auto" w:fill="D2D2D2"/>
          </w:tcPr>
          <w:p>
            <w:pP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44" w:right="0"/>
              <w:jc w:val="left"/>
              <w:rPr>
                <w:rFonts w:ascii="宋体" w:hAnsi="宋体" w:cs="宋体" w:eastAsia="宋体" w:hint="default"/>
                <w:sz w:val="21"/>
                <w:szCs w:val="21"/>
              </w:rPr>
            </w:pPr>
            <w:r>
              <w:rPr>
                <w:rFonts w:ascii="宋体" w:hAnsi="宋体" w:cs="宋体" w:eastAsia="宋体" w:hint="default"/>
                <w:sz w:val="21"/>
                <w:szCs w:val="21"/>
              </w:rPr>
              <w:t>占总资产比例</w:t>
            </w: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6" w:type="dxa"/>
            <w:vMerge/>
            <w:tcBorders>
              <w:left w:val="single" w:sz="4" w:space="0" w:color="000000"/>
              <w:right w:val="single" w:sz="4" w:space="0" w:color="000000"/>
            </w:tcBorders>
            <w:shd w:val="clear" w:color="auto" w:fill="D2D2D2"/>
          </w:tcPr>
          <w:p>
            <w:pPr/>
          </w:p>
        </w:tc>
        <w:tc>
          <w:tcPr>
            <w:tcW w:w="992" w:type="dxa"/>
            <w:vMerge/>
            <w:tcBorders>
              <w:left w:val="single" w:sz="10" w:space="0" w:color="D2D2D2"/>
              <w:bottom w:val="nil" w:sz="6" w:space="0" w:color="auto"/>
              <w:right w:val="single" w:sz="23" w:space="0" w:color="D2D2D2"/>
            </w:tcBorders>
          </w:tcPr>
          <w:p>
            <w:pPr/>
          </w:p>
        </w:tc>
        <w:tc>
          <w:tcPr>
            <w:tcW w:w="1063" w:type="dxa"/>
            <w:vMerge/>
            <w:tcBorders>
              <w:left w:val="single" w:sz="4" w:space="0" w:color="000000"/>
              <w:right w:val="single" w:sz="4" w:space="0" w:color="000000"/>
            </w:tcBorders>
            <w:shd w:val="clear" w:color="auto" w:fill="D2D2D2"/>
          </w:tcPr>
          <w:p>
            <w:pPr/>
          </w:p>
        </w:tc>
      </w:tr>
      <w:tr>
        <w:trPr>
          <w:trHeight w:val="18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762" w:type="dxa"/>
            <w:vMerge/>
            <w:tcBorders>
              <w:left w:val="single" w:sz="4" w:space="0" w:color="000000"/>
              <w:bottom w:val="nil" w:sz="6" w:space="0" w:color="auto"/>
              <w:right w:val="single" w:sz="4" w:space="0" w:color="000000"/>
            </w:tcBorders>
            <w:shd w:val="clear" w:color="auto" w:fill="D2D2D2"/>
          </w:tcPr>
          <w:p>
            <w:pPr/>
          </w:p>
        </w:tc>
        <w:tc>
          <w:tcPr>
            <w:tcW w:w="1559"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489,058,726.56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23.87%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888,934,246.92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39.53%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-15.66%</w:t>
            </w:r>
            <w:r>
              <w:rPr>
                <w:rFonts w:ascii="Times New Roman"/>
                <w:sz w:val="21"/>
              </w:rPr>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528,156,486.84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25.78%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567,489,218.42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0.55%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218,431,989.91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193,818,869.11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2.04%</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88,101,676.30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83,471,427.52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0.59%</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99,753,841.47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102,475,593.67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0.31%</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196,734,387.43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141,627,602.21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3.30%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762"/>
        <w:gridCol w:w="1559"/>
        <w:gridCol w:w="1560"/>
        <w:gridCol w:w="1276"/>
        <w:gridCol w:w="992"/>
        <w:gridCol w:w="1063"/>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178,056,443.14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99,563,440.79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4.26%</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77,000,000.00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127,000,000.00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-1.89%</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81"/>
        <w:ind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5"/>
        <w:rPr>
          <w:rFonts w:ascii="宋体" w:hAnsi="宋体" w:cs="宋体" w:eastAsia="宋体" w:hint="default"/>
          <w:b/>
          <w:bCs/>
          <w:sz w:val="17"/>
          <w:szCs w:val="17"/>
        </w:rPr>
      </w:pPr>
    </w:p>
    <w:p>
      <w:pPr>
        <w:pStyle w:val="BodyText"/>
        <w:spacing w:line="240" w:lineRule="auto" w:before="0"/>
        <w:ind w:left="636" w:right="0"/>
        <w:jc w:val="left"/>
      </w:pPr>
      <w:r>
        <w:rPr/>
        <w:t>□ 适用 √ 不适用</w:t>
      </w:r>
    </w:p>
    <w:p>
      <w:pPr>
        <w:spacing w:line="403" w:lineRule="auto" w:before="139"/>
        <w:ind w:left="636" w:right="1150" w:hanging="483"/>
        <w:jc w:val="left"/>
        <w:rPr>
          <w:rFonts w:ascii="宋体" w:hAnsi="宋体" w:cs="宋体" w:eastAsia="宋体" w:hint="default"/>
          <w:sz w:val="24"/>
          <w:szCs w:val="24"/>
        </w:rPr>
      </w:pPr>
      <w:bookmarkStart w:name="3、截至报告期末的资产权利受限情况" w:id="42"/>
      <w:bookmarkEnd w:id="42"/>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、截至报告期末的资产权利受限情况</w:t>
      </w:r>
      <w:r>
        <w:rPr>
          <w:rFonts w:ascii="宋体" w:hAnsi="宋体" w:cs="宋体" w:eastAsia="宋体" w:hint="default"/>
          <w:b/>
          <w:bCs/>
          <w:w w:val="99"/>
          <w:sz w:val="24"/>
          <w:szCs w:val="24"/>
        </w:rPr>
        <w:t> </w:t>
      </w:r>
      <w:r>
        <w:rPr>
          <w:rFonts w:ascii="宋体" w:hAnsi="宋体" w:cs="宋体" w:eastAsia="宋体" w:hint="default"/>
          <w:sz w:val="24"/>
          <w:szCs w:val="24"/>
        </w:rPr>
        <w:t>截止到报告期末，公司不存在主要资产被查封、扣押、冻结或者被抵押、质押，必须具</w:t>
      </w:r>
    </w:p>
    <w:p>
      <w:pPr>
        <w:pStyle w:val="BodyText"/>
        <w:spacing w:line="296" w:lineRule="exact" w:before="0"/>
        <w:ind w:right="0"/>
        <w:jc w:val="left"/>
      </w:pPr>
      <w:r>
        <w:rPr/>
        <w:t>备一定条件才能变现、无法变现、无法用于抵偿债务的情况，以及该等资产占有、使用、受</w:t>
      </w:r>
    </w:p>
    <w:p>
      <w:pPr>
        <w:spacing w:line="487" w:lineRule="auto" w:before="145"/>
        <w:ind w:left="154" w:right="6672" w:firstLine="0"/>
        <w:jc w:val="left"/>
        <w:rPr>
          <w:rFonts w:ascii="宋体" w:hAnsi="宋体" w:cs="宋体" w:eastAsia="宋体" w:hint="default"/>
          <w:sz w:val="24"/>
          <w:szCs w:val="24"/>
        </w:rPr>
      </w:pPr>
      <w:r>
        <w:rPr>
          <w:rFonts w:ascii="宋体" w:hAnsi="宋体" w:cs="宋体" w:eastAsia="宋体" w:hint="default"/>
          <w:sz w:val="24"/>
          <w:szCs w:val="24"/>
        </w:rPr>
        <w:t>益和处分权利受到限制的情况和安排。 </w:t>
      </w:r>
      <w:bookmarkStart w:name="五、投资状况分析" w:id="43"/>
      <w:bookmarkEnd w:id="43"/>
      <w:r>
        <w:rPr>
          <w:rFonts w:ascii="宋体" w:hAnsi="宋体" w:cs="宋体" w:eastAsia="宋体" w:hint="default"/>
          <w:sz w:val="24"/>
          <w:szCs w:val="24"/>
        </w:rPr>
      </w:r>
      <w:r>
        <w:rPr>
          <w:rFonts w:ascii="宋体" w:hAnsi="宋体" w:cs="宋体" w:eastAsia="宋体" w:hint="default"/>
          <w:b/>
          <w:bCs/>
          <w:sz w:val="24"/>
          <w:szCs w:val="24"/>
        </w:rPr>
        <w:t>五、投资状况分析</w:t>
      </w:r>
      <w:r>
        <w:rPr>
          <w:rFonts w:ascii="宋体" w:hAnsi="宋体" w:cs="宋体" w:eastAsia="宋体" w:hint="default"/>
          <w:sz w:val="24"/>
          <w:szCs w:val="24"/>
        </w:rPr>
      </w:r>
    </w:p>
    <w:p>
      <w:pPr>
        <w:pStyle w:val="Heading2"/>
        <w:spacing w:line="240" w:lineRule="auto" w:before="49"/>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5"/>
        <w:rPr>
          <w:rFonts w:ascii="宋体" w:hAnsi="宋体" w:cs="宋体" w:eastAsia="宋体" w:hint="default"/>
          <w:b/>
          <w:bCs/>
          <w:sz w:val="17"/>
          <w:szCs w:val="17"/>
        </w:rPr>
      </w:pPr>
    </w:p>
    <w:p>
      <w:pPr>
        <w:pStyle w:val="BodyText"/>
        <w:spacing w:line="240" w:lineRule="auto" w:before="0"/>
        <w:ind w:left="636" w:right="0"/>
        <w:jc w:val="left"/>
      </w:pPr>
      <w:r>
        <w:rPr/>
        <w:t>□ 适用 √ 不适用</w:t>
      </w:r>
    </w:p>
    <w:p>
      <w:pPr>
        <w:pStyle w:val="Heading2"/>
        <w:spacing w:line="240" w:lineRule="auto" w:before="138"/>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17"/>
          <w:szCs w:val="17"/>
        </w:rPr>
      </w:pPr>
    </w:p>
    <w:p>
      <w:pPr>
        <w:pStyle w:val="BodyText"/>
        <w:spacing w:line="240" w:lineRule="auto" w:before="0"/>
        <w:ind w:left="636" w:right="0"/>
        <w:jc w:val="left"/>
      </w:pPr>
      <w:r>
        <w:rPr/>
        <w:t>□ 适用 √ 不适用</w:t>
      </w:r>
    </w:p>
    <w:p>
      <w:pPr>
        <w:pStyle w:val="Heading2"/>
        <w:spacing w:line="240" w:lineRule="auto" w:before="138"/>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747" w:footer="979" w:top="1060" w:bottom="1160" w:left="980" w:right="0"/>
        </w:sectPr>
      </w:pPr>
    </w:p>
    <w:p>
      <w:pPr>
        <w:pStyle w:val="BodyText"/>
        <w:spacing w:line="240" w:lineRule="auto" w:before="26"/>
        <w:ind w:left="636"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6"/>
          <w:szCs w:val="16"/>
        </w:rPr>
      </w:pPr>
    </w:p>
    <w:p>
      <w:pPr>
        <w:spacing w:before="0"/>
        <w:ind w:left="636"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677" w:space="5760"/>
            <w:col w:w="2493"/>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617"/>
        <w:gridCol w:w="737"/>
        <w:gridCol w:w="736"/>
        <w:gridCol w:w="736"/>
        <w:gridCol w:w="737"/>
        <w:gridCol w:w="736"/>
        <w:gridCol w:w="736"/>
        <w:gridCol w:w="737"/>
        <w:gridCol w:w="736"/>
        <w:gridCol w:w="736"/>
        <w:gridCol w:w="737"/>
        <w:gridCol w:w="736"/>
      </w:tblGrid>
      <w:tr>
        <w:trPr>
          <w:trHeight w:val="1649"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3"/>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工程主体</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新厂区</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2"/>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铁路通 信信号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25,008,7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73.37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89,053,7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41.51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自筹</w:t>
            </w:r>
            <w:r>
              <w:rPr>
                <w:rFonts w:ascii="Times New Roman" w:hAnsi="Times New Roman" w:cs="Times New Roman" w:eastAsia="Times New Roman" w:hint="default"/>
                <w:sz w:val="18"/>
                <w:szCs w:val="18"/>
              </w:rPr>
              <w:t>+</w:t>
            </w:r>
            <w:r>
              <w:rPr>
                <w:rFonts w:ascii="宋体" w:hAnsi="宋体" w:cs="宋体" w:eastAsia="宋体" w:hint="default"/>
                <w:sz w:val="18"/>
                <w:szCs w:val="18"/>
              </w:rPr>
              <w:t>募 集资金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17.81%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25,008,7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73.37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89,053,7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41.51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pStyle w:val="Heading2"/>
        <w:spacing w:line="240" w:lineRule="auto" w:before="81"/>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17"/>
          <w:szCs w:val="17"/>
        </w:rPr>
      </w:pPr>
    </w:p>
    <w:p>
      <w:pPr>
        <w:pStyle w:val="BodyText"/>
        <w:spacing w:line="240" w:lineRule="auto" w:before="0"/>
        <w:ind w:left="636" w:right="0"/>
        <w:jc w:val="left"/>
      </w:pPr>
      <w:r>
        <w:rPr/>
        <w:t>□ 适用 √ 不适用</w:t>
      </w:r>
    </w:p>
    <w:p>
      <w:pPr>
        <w:pStyle w:val="Heading2"/>
        <w:spacing w:line="240" w:lineRule="auto" w:before="138"/>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3"/>
          <w:szCs w:val="23"/>
        </w:rPr>
      </w:pPr>
    </w:p>
    <w:p>
      <w:pPr>
        <w:spacing w:before="0"/>
        <w:ind w:left="154" w:right="0" w:firstLine="0"/>
        <w:jc w:val="left"/>
        <w:rPr>
          <w:rFonts w:ascii="宋体" w:hAnsi="宋体" w:cs="宋体" w:eastAsia="宋体" w:hint="default"/>
          <w:sz w:val="21"/>
          <w:szCs w:val="21"/>
        </w:rPr>
      </w:pPr>
      <w:bookmarkStart w:name="（1）募集资金总体使用情况" w:id="49"/>
      <w:bookmarkEnd w:id="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非公开发 行人民币 普通股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69,292.3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5,361.56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15,927.66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31,701.25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31,701.25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29,581.06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存储于募 集资金专 户及理财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26,457.86</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公开发行 公司债券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24,873.9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94,062.3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5,361.56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40,801.56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31,701.25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31,701.25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29,581.06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26,457.86</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123"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4"/>
                <w:sz w:val="18"/>
                <w:szCs w:val="18"/>
              </w:rPr>
              <w:t>、</w:t>
            </w:r>
            <w:r>
              <w:rPr>
                <w:rFonts w:ascii="宋体" w:hAnsi="宋体" w:cs="宋体" w:eastAsia="宋体" w:hint="default"/>
                <w:sz w:val="18"/>
                <w:szCs w:val="18"/>
              </w:rPr>
              <w:t>经中国证券监督管理委员</w:t>
            </w:r>
            <w:r>
              <w:rPr>
                <w:rFonts w:ascii="宋体" w:hAnsi="宋体" w:cs="宋体" w:eastAsia="宋体" w:hint="default"/>
                <w:spacing w:val="-4"/>
                <w:sz w:val="18"/>
                <w:szCs w:val="18"/>
              </w:rPr>
              <w:t>会</w:t>
            </w:r>
            <w:r>
              <w:rPr>
                <w:rFonts w:ascii="宋体" w:hAnsi="宋体" w:cs="宋体" w:eastAsia="宋体" w:hint="default"/>
                <w:sz w:val="18"/>
                <w:szCs w:val="18"/>
              </w:rPr>
              <w:t>《关于核准河南辉煌科技股份有限公司非公开发行股票的批复</w:t>
            </w:r>
            <w:r>
              <w:rPr>
                <w:rFonts w:ascii="宋体" w:hAnsi="宋体" w:cs="宋体" w:eastAsia="宋体" w:hint="default"/>
                <w:spacing w:val="-94"/>
                <w:sz w:val="18"/>
                <w:szCs w:val="18"/>
              </w:rPr>
              <w:t>》</w:t>
            </w:r>
            <w:r>
              <w:rPr>
                <w:rFonts w:ascii="宋体" w:hAnsi="宋体" w:cs="宋体" w:eastAsia="宋体" w:hint="default"/>
                <w:sz w:val="18"/>
                <w:szCs w:val="18"/>
              </w:rPr>
              <w:t>（证监发行许</w:t>
            </w:r>
            <w:r>
              <w:rPr>
                <w:rFonts w:ascii="宋体" w:hAnsi="宋体" w:cs="宋体" w:eastAsia="宋体" w:hint="default"/>
                <w:spacing w:val="1"/>
                <w:sz w:val="18"/>
                <w:szCs w:val="18"/>
              </w:rPr>
              <w:t>可</w:t>
            </w:r>
            <w:r>
              <w:rPr>
                <w:rFonts w:ascii="Times New Roman" w:hAnsi="Times New Roman" w:cs="Times New Roman" w:eastAsia="Times New Roman" w:hint="default"/>
                <w:sz w:val="18"/>
                <w:szCs w:val="18"/>
              </w:rPr>
              <w:t>[2013 </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179</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号）核准，并经深圳证券交易所同意，辉煌科技由主承销商中原证券股份有限公司于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日以非公开发行股</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票的方式向特定投资者发行普通股（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股）股票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4,382.76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万股，每股面值</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元，每股发行价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日止，公司共募集资金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713,513,328.00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元，扣除发行费用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20,590,289.12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元，募集资金净额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692,923,038.88</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元。</w:t>
            </w:r>
            <w:r>
              <w:rPr>
                <w:rFonts w:ascii="宋体" w:hAnsi="宋体" w:cs="宋体" w:eastAsia="宋体" w:hint="default"/>
                <w:spacing w:val="-14"/>
                <w:sz w:val="18"/>
                <w:szCs w:val="18"/>
              </w:rPr>
              <w:t> </w:t>
            </w:r>
            <w:r>
              <w:rPr>
                <w:rFonts w:ascii="宋体" w:hAnsi="宋体" w:cs="宋体" w:eastAsia="宋体" w:hint="default"/>
                <w:sz w:val="18"/>
                <w:szCs w:val="18"/>
              </w:rPr>
              <w:t>截止</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公司上述发行募集的资金已全部到位</w:t>
            </w:r>
            <w:r>
              <w:rPr>
                <w:rFonts w:ascii="宋体" w:hAnsi="宋体" w:cs="宋体" w:eastAsia="宋体" w:hint="default"/>
                <w:spacing w:val="-90"/>
                <w:sz w:val="18"/>
                <w:szCs w:val="18"/>
              </w:rPr>
              <w:t>，</w:t>
            </w:r>
            <w:r>
              <w:rPr>
                <w:rFonts w:ascii="宋体" w:hAnsi="宋体" w:cs="宋体" w:eastAsia="宋体" w:hint="default"/>
                <w:sz w:val="18"/>
                <w:szCs w:val="18"/>
              </w:rPr>
              <w:t>业经大华会计师事务</w:t>
            </w:r>
            <w:r>
              <w:rPr>
                <w:rFonts w:ascii="宋体" w:hAnsi="宋体" w:cs="宋体" w:eastAsia="宋体" w:hint="default"/>
                <w:spacing w:val="-90"/>
                <w:sz w:val="18"/>
                <w:szCs w:val="18"/>
              </w:rPr>
              <w:t>所</w:t>
            </w:r>
            <w:r>
              <w:rPr>
                <w:rFonts w:ascii="宋体" w:hAnsi="宋体" w:cs="宋体" w:eastAsia="宋体" w:hint="default"/>
                <w:sz w:val="18"/>
                <w:szCs w:val="18"/>
              </w:rPr>
              <w:t>（特殊普通合伙</w:t>
            </w:r>
            <w:r>
              <w:rPr>
                <w:rFonts w:ascii="宋体" w:hAnsi="宋体" w:cs="宋体" w:eastAsia="宋体" w:hint="default"/>
                <w:spacing w:val="-90"/>
                <w:sz w:val="18"/>
                <w:szCs w:val="18"/>
              </w:rPr>
              <w:t>）</w:t>
            </w:r>
            <w:r>
              <w:rPr>
                <w:rFonts w:ascii="宋体" w:hAnsi="宋体" w:cs="宋体" w:eastAsia="宋体" w:hint="default"/>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sz w:val="18"/>
                <w:szCs w:val="18"/>
              </w:rPr>
              <w:t>大</w:t>
            </w:r>
            <w:r>
              <w:rPr>
                <w:rFonts w:ascii="宋体" w:hAnsi="宋体" w:cs="宋体" w:eastAsia="宋体" w:hint="default"/>
                <w:sz w:val="18"/>
                <w:szCs w:val="18"/>
              </w:rPr>
              <w:t>华验字</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0325</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验资报告验证确认。截止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日，公司募集资金本年度投入使用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53,615,640.08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元，以前年度投入使用</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105,660,994.33 </w:t>
            </w:r>
            <w:r>
              <w:rPr>
                <w:rFonts w:ascii="宋体" w:hAnsi="宋体" w:cs="宋体" w:eastAsia="宋体" w:hint="default"/>
                <w:sz w:val="18"/>
                <w:szCs w:val="18"/>
              </w:rPr>
              <w:t>元，累计投入使用 </w:t>
            </w:r>
            <w:r>
              <w:rPr>
                <w:rFonts w:ascii="Times New Roman" w:hAnsi="Times New Roman" w:cs="Times New Roman" w:eastAsia="Times New Roman" w:hint="default"/>
                <w:sz w:val="18"/>
                <w:szCs w:val="18"/>
              </w:rPr>
              <w:t>159,276,634.41 </w:t>
            </w:r>
            <w:r>
              <w:rPr>
                <w:rFonts w:ascii="宋体" w:hAnsi="宋体" w:cs="宋体" w:eastAsia="宋体" w:hint="default"/>
                <w:sz w:val="18"/>
                <w:szCs w:val="18"/>
              </w:rPr>
              <w:t>元；本年度内暂时补充流动资金 </w:t>
            </w:r>
            <w:r>
              <w:rPr>
                <w:rFonts w:ascii="Times New Roman" w:hAnsi="Times New Roman" w:cs="Times New Roman" w:eastAsia="Times New Roman" w:hint="default"/>
                <w:sz w:val="18"/>
                <w:szCs w:val="18"/>
              </w:rPr>
              <w:t>180,000,000.00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元已于到期前全部归还</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至募集资金专项账户；本年度内变更部分募集资金用途并永久补充流动资金 </w:t>
            </w:r>
            <w:r>
              <w:rPr>
                <w:rFonts w:ascii="Times New Roman" w:hAnsi="Times New Roman" w:cs="Times New Roman" w:eastAsia="Times New Roman" w:hint="default"/>
                <w:sz w:val="18"/>
                <w:szCs w:val="18"/>
              </w:rPr>
              <w:t>317,012,502.23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元；募集资金余额为人民币</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295,810,60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.51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元（含未到期理财产品资金余额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20"/>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0"/>
                <w:sz w:val="18"/>
                <w:szCs w:val="18"/>
              </w:rPr>
              <w:t>，</w:t>
            </w:r>
            <w:r>
              <w:rPr>
                <w:rFonts w:ascii="宋体" w:hAnsi="宋体" w:cs="宋体" w:eastAsia="宋体" w:hint="default"/>
                <w:sz w:val="18"/>
                <w:szCs w:val="18"/>
              </w:rPr>
              <w:t>经</w:t>
            </w:r>
            <w:r>
              <w:rPr>
                <w:rFonts w:ascii="宋体" w:hAnsi="宋体" w:cs="宋体" w:eastAsia="宋体" w:hint="default"/>
                <w:spacing w:val="1"/>
                <w:sz w:val="18"/>
                <w:szCs w:val="18"/>
              </w:rPr>
              <w:t>中</w:t>
            </w:r>
            <w:r>
              <w:rPr>
                <w:rFonts w:ascii="宋体" w:hAnsi="宋体" w:cs="宋体" w:eastAsia="宋体" w:hint="default"/>
                <w:sz w:val="18"/>
                <w:szCs w:val="18"/>
              </w:rPr>
              <w:t>国证券监督管理委员</w:t>
            </w:r>
            <w:r>
              <w:rPr>
                <w:rFonts w:ascii="宋体" w:hAnsi="宋体" w:cs="宋体" w:eastAsia="宋体" w:hint="default"/>
                <w:spacing w:val="-20"/>
                <w:sz w:val="18"/>
                <w:szCs w:val="18"/>
              </w:rPr>
              <w:t>会</w:t>
            </w:r>
            <w:r>
              <w:rPr>
                <w:rFonts w:ascii="宋体" w:hAnsi="宋体" w:cs="宋体" w:eastAsia="宋体" w:hint="default"/>
                <w:sz w:val="18"/>
                <w:szCs w:val="18"/>
              </w:rPr>
              <w:t>《关于核准河南辉煌科技股份有限公司公开发行公司债券的批复</w:t>
            </w:r>
            <w:r>
              <w:rPr>
                <w:rFonts w:ascii="宋体" w:hAnsi="宋体" w:cs="宋体" w:eastAsia="宋体" w:hint="default"/>
                <w:spacing w:val="-110"/>
                <w:sz w:val="18"/>
                <w:szCs w:val="18"/>
              </w:rPr>
              <w:t>》</w:t>
            </w:r>
            <w:r>
              <w:rPr>
                <w:rFonts w:ascii="宋体" w:hAnsi="宋体" w:cs="宋体" w:eastAsia="宋体" w:hint="default"/>
                <w:sz w:val="18"/>
                <w:szCs w:val="18"/>
              </w:rPr>
              <w:t>（证监</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pacing w:val="-3"/>
                <w:sz w:val="18"/>
                <w:szCs w:val="18"/>
              </w:rPr>
              <w:t>许可（</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926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号）核准，公司发行面值不超过</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亿元公司债券。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日公司发行了第一期债券，规模人民币</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亿元，发行价格为每张 </w:t>
            </w:r>
            <w:r>
              <w:rPr>
                <w:rFonts w:ascii="Times New Roman" w:hAnsi="Times New Roman" w:cs="Times New Roman" w:eastAsia="Times New Roman" w:hint="default"/>
                <w:sz w:val="18"/>
                <w:szCs w:val="18"/>
              </w:rPr>
              <w:t>100 </w:t>
            </w:r>
            <w:r>
              <w:rPr>
                <w:rFonts w:ascii="宋体" w:hAnsi="宋体" w:cs="宋体" w:eastAsia="宋体" w:hint="default"/>
                <w:sz w:val="18"/>
                <w:szCs w:val="18"/>
              </w:rPr>
              <w:t>元，期限为 </w:t>
            </w:r>
            <w:r>
              <w:rPr>
                <w:rFonts w:ascii="Times New Roman" w:hAnsi="Times New Roman" w:cs="Times New Roman" w:eastAsia="Times New Roman" w:hint="default"/>
                <w:sz w:val="18"/>
                <w:szCs w:val="18"/>
              </w:rPr>
              <w:t>3 </w:t>
            </w:r>
            <w:r>
              <w:rPr>
                <w:rFonts w:ascii="宋体" w:hAnsi="宋体" w:cs="宋体" w:eastAsia="宋体" w:hint="default"/>
                <w:sz w:val="18"/>
                <w:szCs w:val="18"/>
              </w:rPr>
              <w:t>年，起息日为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4 </w:t>
            </w:r>
            <w:r>
              <w:rPr>
                <w:rFonts w:ascii="宋体" w:hAnsi="宋体" w:cs="宋体" w:eastAsia="宋体" w:hint="default"/>
                <w:sz w:val="18"/>
                <w:szCs w:val="18"/>
              </w:rPr>
              <w:t>日，附第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年末发行人上调票面利率选择权</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和投资者回售选择权。截止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日，公司共募集资金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w:t>
            </w:r>
          </w:p>
          <w:p>
            <w:pPr>
              <w:pStyle w:val="TableParagraph"/>
              <w:spacing w:line="300" w:lineRule="auto" w:before="63"/>
              <w:ind w:left="22" w:right="24"/>
              <w:jc w:val="both"/>
              <w:rPr>
                <w:rFonts w:ascii="宋体" w:hAnsi="宋体" w:cs="宋体" w:eastAsia="宋体" w:hint="default"/>
                <w:sz w:val="18"/>
                <w:szCs w:val="18"/>
              </w:rPr>
            </w:pPr>
            <w:r>
              <w:rPr>
                <w:rFonts w:ascii="宋体" w:hAnsi="宋体" w:cs="宋体" w:eastAsia="宋体" w:hint="default"/>
                <w:sz w:val="18"/>
                <w:szCs w:val="18"/>
              </w:rPr>
              <w:t>债募集资金净额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247,700,000.00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日，公司发行公司债募集第一期资金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亿元已全部到位，业经 大华会计师事务所（特殊普通合伙）以</w:t>
            </w:r>
            <w:r>
              <w:rPr>
                <w:rFonts w:ascii="Times New Roman" w:hAnsi="Times New Roman" w:cs="Times New Roman" w:eastAsia="Times New Roman" w:hint="default"/>
                <w:sz w:val="18"/>
                <w:szCs w:val="18"/>
              </w:rPr>
              <w:t>“</w:t>
            </w:r>
            <w:r>
              <w:rPr>
                <w:rFonts w:ascii="宋体" w:hAnsi="宋体" w:cs="宋体" w:eastAsia="宋体" w:hint="default"/>
                <w:sz w:val="18"/>
                <w:szCs w:val="18"/>
              </w:rPr>
              <w:t>大华验字</w:t>
            </w:r>
            <w:r>
              <w:rPr>
                <w:rFonts w:ascii="Times New Roman" w:hAnsi="Times New Roman" w:cs="Times New Roman" w:eastAsia="Times New Roman" w:hint="default"/>
                <w:sz w:val="18"/>
                <w:szCs w:val="18"/>
              </w:rPr>
              <w:t>[2015]000105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验资报告验证确认。截止本报告期初之前，公司债募集 资金中的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248,738,995.46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元（含利息收入）已全部用于补充流动资金，本报告期无发生使用公司债募集资金情况。</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募集资金承诺项目情况" w:id="50"/>
      <w:bookmarkEnd w:id="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924"/>
        <w:gridCol w:w="636"/>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7" w:right="95"/>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 w:right="41"/>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、铁路灾害监测及预 警系统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21,889.5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、铁路综合视频监控 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13,895.5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13,895.5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1,123.44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1,123.44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、智能综合监控系统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16,445.3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44"/>
        <w:ind w:left="0" w:right="1141" w:firstLine="0"/>
        <w:jc w:val="right"/>
        <w:rPr>
          <w:rFonts w:ascii="宋体" w:hAnsi="宋体" w:cs="宋体" w:eastAsia="宋体" w:hint="default"/>
          <w:sz w:val="18"/>
          <w:szCs w:val="18"/>
        </w:rPr>
      </w:pPr>
      <w:r>
        <w:rPr/>
        <w:pict>
          <v:shape style="position:absolute;margin-left:56.459999pt;margin-top:-506.928284pt;width:479.2pt;height:656.2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629"/>
                    <w:gridCol w:w="151"/>
                    <w:gridCol w:w="779"/>
                    <w:gridCol w:w="780"/>
                    <w:gridCol w:w="780"/>
                    <w:gridCol w:w="924"/>
                    <w:gridCol w:w="636"/>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、轨道交通运营安全 服务系统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17,062</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17,062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4,238.13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14,804.23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86.77%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69,292.3</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42,557.5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5,361.56</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15,927.66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69,292.3</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42,557.5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5,361.56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15,927.66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785"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1"/>
                        <w:vMerge w:val="restart"/>
                        <w:tcBorders>
                          <w:top w:val="single" w:sz="4" w:space="0" w:color="000000"/>
                          <w:left w:val="single" w:sz="9" w:space="0" w:color="D2D2D2"/>
                          <w:right w:val="single" w:sz="4" w:space="0" w:color="000000"/>
                        </w:tcBorders>
                      </w:tcPr>
                      <w:p>
                        <w:pPr>
                          <w:pStyle w:val="TableParagraph"/>
                          <w:spacing w:line="307" w:lineRule="auto" w:before="51"/>
                          <w:ind w:left="16" w:right="21"/>
                          <w:jc w:val="both"/>
                          <w:rPr>
                            <w:rFonts w:ascii="宋体" w:hAnsi="宋体" w:cs="宋体" w:eastAsia="宋体" w:hint="default"/>
                            <w:sz w:val="18"/>
                            <w:szCs w:val="18"/>
                          </w:rPr>
                        </w:pPr>
                        <w:r>
                          <w:rPr>
                            <w:rFonts w:ascii="宋体" w:hAnsi="宋体" w:cs="宋体" w:eastAsia="宋体" w:hint="default"/>
                            <w:sz w:val="18"/>
                            <w:szCs w:val="18"/>
                          </w:rPr>
                          <w:t>由于募集资金投资项目的建设地址均在新厂区（地址：郑州市高新技术产业开发区科学大道北、黄 </w:t>
                        </w:r>
                        <w:r>
                          <w:rPr>
                            <w:rFonts w:ascii="宋体" w:hAnsi="宋体" w:cs="宋体" w:eastAsia="宋体" w:hint="default"/>
                            <w:spacing w:val="-5"/>
                            <w:sz w:val="18"/>
                            <w:szCs w:val="18"/>
                          </w:rPr>
                          <w:t>栌路东地块），且新厂区的基建工程前期相关建设手续办理缓慢等原因，致使新厂区的工程建设进度</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滞后于原募投项目计划，</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年底已将上述四个募集资金投资项目达到预定可使用状态的日期调整 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日。本报告期内，经审慎论证铁路灾害监测及预警系统和智能综合监控系统两个</w:t>
                        </w:r>
                        <w:r>
                          <w:rPr>
                            <w:rFonts w:ascii="宋体" w:hAnsi="宋体" w:cs="宋体" w:eastAsia="宋体" w:hint="default"/>
                            <w:sz w:val="18"/>
                            <w:szCs w:val="18"/>
                          </w:rPr>
                          <w:t> 募投项目可行性，决定保留其基础建设投资部分，取消上述两个项目其余募集资金的投资并永久补 充流动资金。上述具体情况详见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日巨潮资讯网《关于调整募 </w:t>
                        </w:r>
                        <w:r>
                          <w:rPr>
                            <w:rFonts w:ascii="宋体" w:hAnsi="宋体" w:cs="宋体" w:eastAsia="宋体" w:hint="default"/>
                            <w:spacing w:val="-7"/>
                            <w:sz w:val="18"/>
                            <w:szCs w:val="18"/>
                          </w:rPr>
                          <w:t>集资金投资项目实施进度的公告》（</w:t>
                        </w:r>
                        <w:r>
                          <w:rPr>
                            <w:rFonts w:ascii="Times New Roman" w:hAnsi="Times New Roman" w:cs="Times New Roman" w:eastAsia="Times New Roman" w:hint="default"/>
                            <w:spacing w:val="-7"/>
                            <w:sz w:val="18"/>
                            <w:szCs w:val="18"/>
                          </w:rPr>
                          <w:t>2017-090</w:t>
                        </w:r>
                        <w:r>
                          <w:rPr>
                            <w:rFonts w:ascii="宋体" w:hAnsi="宋体" w:cs="宋体" w:eastAsia="宋体" w:hint="default"/>
                            <w:spacing w:val="-7"/>
                            <w:sz w:val="18"/>
                            <w:szCs w:val="18"/>
                          </w:rPr>
                          <w:t>）、《关于变更部分募集资金用途并永久补充流动资金的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0"/>
                            <w:sz w:val="18"/>
                            <w:szCs w:val="18"/>
                          </w:rPr>
                          <w:t>公告》（</w:t>
                        </w:r>
                        <w:r>
                          <w:rPr>
                            <w:rFonts w:ascii="Times New Roman" w:hAnsi="Times New Roman" w:cs="Times New Roman" w:eastAsia="Times New Roman" w:hint="default"/>
                            <w:spacing w:val="-20"/>
                            <w:sz w:val="18"/>
                            <w:szCs w:val="18"/>
                          </w:rPr>
                          <w:t>2018-056</w:t>
                        </w:r>
                        <w:r>
                          <w:rPr>
                            <w:rFonts w:ascii="宋体" w:hAnsi="宋体" w:cs="宋体" w:eastAsia="宋体" w:hint="default"/>
                            <w:spacing w:val="-20"/>
                            <w:sz w:val="18"/>
                            <w:szCs w:val="18"/>
                          </w:rPr>
                          <w:t>）。</w:t>
                        </w:r>
                        <w:r>
                          <w:rPr>
                            <w:rFonts w:ascii="宋体" w:hAnsi="宋体" w:cs="宋体" w:eastAsia="宋体" w:hint="default"/>
                            <w:sz w:val="18"/>
                            <w:szCs w:val="18"/>
                          </w:rPr>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1"/>
                        <w:vMerge/>
                        <w:tcBorders>
                          <w:left w:val="single" w:sz="9" w:space="0" w:color="D2D2D2"/>
                          <w:right w:val="single" w:sz="4" w:space="0" w:color="000000"/>
                        </w:tcBorders>
                      </w:tcPr>
                      <w:p>
                        <w:pPr/>
                      </w:p>
                    </w:tc>
                  </w:tr>
                  <w:tr>
                    <w:trPr>
                      <w:trHeight w:val="785"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1"/>
                        <w:vMerge/>
                        <w:tcBorders>
                          <w:left w:val="single" w:sz="9" w:space="0" w:color="D2D2D2"/>
                          <w:bottom w:val="single" w:sz="4" w:space="0" w:color="000000"/>
                          <w:right w:val="single" w:sz="4" w:space="0" w:color="000000"/>
                        </w:tcBorders>
                      </w:tcPr>
                      <w:p>
                        <w:pPr/>
                      </w:p>
                    </w:tc>
                  </w:tr>
                  <w:tr>
                    <w:trPr>
                      <w:trHeight w:val="473"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1"/>
                        <w:vMerge w:val="restart"/>
                        <w:tcBorders>
                          <w:top w:val="single" w:sz="4" w:space="0" w:color="000000"/>
                          <w:left w:val="single" w:sz="9" w:space="0" w:color="D2D2D2"/>
                          <w:right w:val="single" w:sz="4" w:space="0" w:color="000000"/>
                        </w:tcBorders>
                      </w:tcPr>
                      <w:p>
                        <w:pPr>
                          <w:pStyle w:val="TableParagraph"/>
                          <w:spacing w:line="316" w:lineRule="auto" w:before="51"/>
                          <w:ind w:left="16" w:right="23"/>
                          <w:jc w:val="both"/>
                          <w:rPr>
                            <w:rFonts w:ascii="宋体" w:hAnsi="宋体" w:cs="宋体" w:eastAsia="宋体" w:hint="default"/>
                            <w:sz w:val="18"/>
                            <w:szCs w:val="18"/>
                          </w:rPr>
                        </w:pPr>
                        <w:r>
                          <w:rPr>
                            <w:rFonts w:ascii="宋体" w:hAnsi="宋体" w:cs="宋体" w:eastAsia="宋体" w:hint="default"/>
                            <w:sz w:val="18"/>
                            <w:szCs w:val="18"/>
                          </w:rPr>
                          <w:t>铁路灾害监测及预警系统和智能综合监控系统两个募投项目所面临的市场空间及竞争格局与募集资 金到位时相比已发生了较为重大的变化，继续进行大规模软硬件和研发投入将面临较大风险，无法 保障相应投资收益，故已无必要对上述两个募投项目再进行大规模的募集资金投入。具体情况详见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日巨潮资讯网《关于变更部分募集资金用途并永久补充流动资金的公告》，上述事</w:t>
                        </w:r>
                      </w:p>
                      <w:p>
                        <w:pPr>
                          <w:pStyle w:val="TableParagraph"/>
                          <w:spacing w:line="240" w:lineRule="auto"/>
                          <w:ind w:left="16" w:right="0"/>
                          <w:jc w:val="both"/>
                          <w:rPr>
                            <w:rFonts w:ascii="宋体" w:hAnsi="宋体" w:cs="宋体" w:eastAsia="宋体" w:hint="default"/>
                            <w:sz w:val="18"/>
                            <w:szCs w:val="18"/>
                          </w:rPr>
                        </w:pPr>
                        <w:r>
                          <w:rPr>
                            <w:rFonts w:ascii="宋体" w:hAnsi="宋体" w:cs="宋体" w:eastAsia="宋体" w:hint="default"/>
                            <w:sz w:val="18"/>
                            <w:szCs w:val="18"/>
                          </w:rPr>
                          <w:t>项业经公司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年度第一次临时股东大会审议通过。</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1"/>
                        <w:vMerge/>
                        <w:tcBorders>
                          <w:left w:val="single" w:sz="9" w:space="0" w:color="D2D2D2"/>
                          <w:right w:val="single" w:sz="4" w:space="0" w:color="000000"/>
                        </w:tcBorders>
                      </w:tcPr>
                      <w:p>
                        <w:pPr/>
                      </w:p>
                    </w:tc>
                  </w:tr>
                  <w:tr>
                    <w:trPr>
                      <w:trHeight w:val="473"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1"/>
                        <w:vMerge/>
                        <w:tcBorders>
                          <w:left w:val="single" w:sz="9" w:space="0" w:color="D2D2D2"/>
                          <w:bottom w:val="single" w:sz="4" w:space="0" w:color="000000"/>
                          <w:right w:val="single" w:sz="4" w:space="0" w:color="000000"/>
                        </w:tcBorders>
                      </w:tcPr>
                      <w:p>
                        <w:pPr/>
                      </w:p>
                    </w:tc>
                  </w:tr>
                  <w:tr>
                    <w:trPr>
                      <w:trHeight w:val="99"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1"/>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80"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exact"/>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1"/>
                        <w:vMerge/>
                        <w:tcBorders>
                          <w:left w:val="single" w:sz="9" w:space="0" w:color="D2D2D2"/>
                          <w:bottom w:val="single" w:sz="4" w:space="0" w:color="000000"/>
                          <w:right w:val="single" w:sz="4" w:space="0" w:color="000000"/>
                        </w:tcBorders>
                      </w:tcPr>
                      <w:p>
                        <w:pPr/>
                      </w:p>
                    </w:tc>
                  </w:tr>
                  <w:tr>
                    <w:trPr>
                      <w:trHeight w:val="109"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1"/>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90"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exact"/>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1"/>
                        <w:vMerge/>
                        <w:tcBorders>
                          <w:left w:val="single" w:sz="9" w:space="0" w:color="D2D2D2"/>
                          <w:bottom w:val="single" w:sz="4" w:space="0" w:color="000000"/>
                          <w:right w:val="single" w:sz="4" w:space="0" w:color="000000"/>
                        </w:tcBorders>
                      </w:tcPr>
                      <w:p>
                        <w:pPr/>
                      </w:p>
                    </w:tc>
                  </w:tr>
                  <w:tr>
                    <w:trPr>
                      <w:trHeight w:val="116"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1"/>
                        <w:vMerge w:val="restart"/>
                        <w:tcBorders>
                          <w:top w:val="single" w:sz="4" w:space="0" w:color="000000"/>
                          <w:left w:val="single" w:sz="9" w:space="0" w:color="D2D2D2"/>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95"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exact"/>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1"/>
                        <w:vMerge/>
                        <w:tcBorders>
                          <w:left w:val="single" w:sz="9" w:space="0" w:color="D2D2D2"/>
                          <w:bottom w:val="single" w:sz="4" w:space="0" w:color="000000"/>
                          <w:right w:val="single" w:sz="4" w:space="0" w:color="000000"/>
                        </w:tcBorders>
                      </w:tcPr>
                      <w:p>
                        <w:pPr/>
                      </w:p>
                    </w:tc>
                  </w:tr>
                  <w:tr>
                    <w:trPr>
                      <w:trHeight w:val="114"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1"/>
                        <w:vMerge w:val="restart"/>
                        <w:tcBorders>
                          <w:top w:val="single" w:sz="4" w:space="0" w:color="000000"/>
                          <w:left w:val="single" w:sz="9" w:space="0" w:color="D2D2D2"/>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94"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exact"/>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1"/>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28"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1"/>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年非公开发行募集资金投资项目进度，有部分募集资金在一段时间内处于闲置状态</w:t>
                        </w:r>
                      </w:p>
                      <w:p>
                        <w:pPr>
                          <w:pStyle w:val="TableParagraph"/>
                          <w:spacing w:line="240" w:lineRule="auto" w:before="61"/>
                          <w:ind w:left="16" w:right="0"/>
                          <w:jc w:val="left"/>
                          <w:rPr>
                            <w:rFonts w:ascii="宋体" w:hAnsi="宋体" w:cs="宋体" w:eastAsia="宋体" w:hint="default"/>
                            <w:sz w:val="18"/>
                            <w:szCs w:val="18"/>
                          </w:rPr>
                        </w:pPr>
                        <w:r>
                          <w:rPr>
                            <w:rFonts w:ascii="宋体" w:hAnsi="宋体" w:cs="宋体" w:eastAsia="宋体" w:hint="default"/>
                            <w:spacing w:val="-4"/>
                            <w:sz w:val="18"/>
                            <w:szCs w:val="18"/>
                          </w:rPr>
                          <w:t>本着股东利益最大化，节约公司财务成本的考虑，经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日公司董事会第三次会议批准</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年公司使用闲置募集资金 </w:t>
                        </w: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万元暂时补充流动资金，使用期限为批准之日起不超过十二</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个月，使用期限届满之前，公司将及时把资金归还至募集资金专项账户。</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p>
                      <w:p>
                        <w:pPr>
                          <w:pStyle w:val="TableParagraph"/>
                          <w:spacing w:line="302" w:lineRule="auto" w:before="63"/>
                          <w:ind w:left="16"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日、</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日，公司已分别将暂时补充流动资金的募集资金人民币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5,000</w:t>
                        </w:r>
                        <w:r>
                          <w:rPr>
                            <w:rFonts w:ascii="Times New Roman" w:hAnsi="Times New Roman" w:cs="Times New Roman" w:eastAsia="Times New Roman" w:hint="default"/>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万元提前全部归还至募集资金专项账户，使用期限未超过十二个月。</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1"/>
                        <w:vMerge/>
                        <w:tcBorders>
                          <w:left w:val="single" w:sz="9" w:space="0" w:color="D2D2D2"/>
                          <w:right w:val="single" w:sz="4" w:space="0" w:color="000000"/>
                        </w:tcBorders>
                      </w:tcPr>
                      <w:p>
                        <w:pPr/>
                      </w:p>
                    </w:tc>
                  </w:tr>
                  <w:tr>
                    <w:trPr>
                      <w:trHeight w:val="829"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1"/>
                        <w:vMerge/>
                        <w:tcBorders>
                          <w:left w:val="single" w:sz="9" w:space="0" w:color="D2D2D2"/>
                          <w:bottom w:val="single" w:sz="13" w:space="0" w:color="D2D2D2"/>
                          <w:right w:val="single" w:sz="4" w:space="0" w:color="000000"/>
                        </w:tcBorders>
                      </w:tcPr>
                      <w:p>
                        <w:pPr/>
                      </w:p>
                    </w:tc>
                  </w:tr>
                  <w:tr>
                    <w:trPr>
                      <w:trHeight w:val="388" w:hRule="exact"/>
                    </w:trPr>
                    <w:tc>
                      <w:tcPr>
                        <w:tcW w:w="39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561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39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561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存储于募集资金专户及进行保本型理财。</w:t>
                        </w:r>
                      </w:p>
                    </w:tc>
                  </w:tr>
                  <w:tr>
                    <w:trPr>
                      <w:trHeight w:val="323" w:hRule="exact"/>
                    </w:trPr>
                    <w:tc>
                      <w:tcPr>
                        <w:tcW w:w="39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募集资金使用及披露中存在的问题或其他情况</w:t>
                        </w:r>
                      </w:p>
                    </w:tc>
                    <w:tc>
                      <w:tcPr>
                        <w:tcW w:w="561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before="75"/>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3）募集资金变更项目情况"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6"/>
        <w:rPr>
          <w:rFonts w:ascii="宋体" w:hAnsi="宋体" w:cs="宋体" w:eastAsia="宋体" w:hint="default"/>
          <w:b/>
          <w:bCs/>
          <w:sz w:val="32"/>
          <w:szCs w:val="32"/>
        </w:rPr>
      </w:pPr>
    </w:p>
    <w:p>
      <w:pPr>
        <w:pStyle w:val="BodyText"/>
        <w:spacing w:line="350" w:lineRule="auto" w:before="0"/>
        <w:ind w:left="636" w:right="5710"/>
        <w:jc w:val="left"/>
      </w:pPr>
      <w:r>
        <w:rPr/>
        <w:t>□ 适用 √ 不适用 公司报告期不存在募集资金变更项目情况。</w:t>
      </w:r>
    </w:p>
    <w:p>
      <w:pPr>
        <w:pStyle w:val="Heading2"/>
        <w:spacing w:line="240" w:lineRule="auto" w:before="211"/>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2"/>
          <w:szCs w:val="22"/>
        </w:rPr>
      </w:pPr>
    </w:p>
    <w:p>
      <w:pPr>
        <w:pStyle w:val="Heading2"/>
        <w:spacing w:line="240" w:lineRule="auto" w:before="0"/>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17"/>
          <w:szCs w:val="17"/>
        </w:rPr>
      </w:pPr>
    </w:p>
    <w:p>
      <w:pPr>
        <w:pStyle w:val="BodyText"/>
        <w:spacing w:line="350" w:lineRule="auto" w:before="0"/>
        <w:ind w:left="636" w:right="7150"/>
        <w:jc w:val="left"/>
      </w:pPr>
      <w:r>
        <w:rPr/>
        <w:t>□ 适用 √ 不适用 公司报告期未出售重大资产。</w:t>
      </w:r>
    </w:p>
    <w:p>
      <w:pPr>
        <w:pStyle w:val="Heading2"/>
        <w:spacing w:line="240" w:lineRule="auto" w:before="28"/>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17"/>
          <w:szCs w:val="17"/>
        </w:rPr>
      </w:pPr>
    </w:p>
    <w:p>
      <w:pPr>
        <w:spacing w:line="487" w:lineRule="auto" w:before="0"/>
        <w:ind w:left="154" w:right="5952" w:firstLine="482"/>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七、主要控股参股公司分析" w:id="55"/>
      <w:bookmarkEnd w:id="55"/>
      <w:r>
        <w:rPr>
          <w:rFonts w:ascii="宋体" w:hAnsi="宋体" w:cs="宋体" w:eastAsia="宋体" w:hint="default"/>
          <w:sz w:val="24"/>
          <w:szCs w:val="24"/>
        </w:rPr>
      </w:r>
      <w:r>
        <w:rPr>
          <w:rFonts w:ascii="宋体" w:hAnsi="宋体" w:cs="宋体" w:eastAsia="宋体" w:hint="default"/>
          <w:b/>
          <w:bCs/>
          <w:w w:val="95"/>
          <w:sz w:val="24"/>
          <w:szCs w:val="24"/>
        </w:rPr>
        <w:t>七、主要控股参股公司分析</w:t>
      </w:r>
      <w:r>
        <w:rPr>
          <w:rFonts w:ascii="宋体" w:hAnsi="宋体" w:cs="宋体" w:eastAsia="宋体" w:hint="default"/>
          <w:sz w:val="24"/>
          <w:szCs w:val="24"/>
        </w:rPr>
      </w:r>
    </w:p>
    <w:p>
      <w:pPr>
        <w:spacing w:line="240" w:lineRule="auto" w:before="7"/>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747" w:footer="979" w:top="1060" w:bottom="1160" w:left="980" w:right="0"/>
        </w:sectPr>
      </w:pPr>
    </w:p>
    <w:p>
      <w:pPr>
        <w:pStyle w:val="BodyText"/>
        <w:spacing w:line="240" w:lineRule="auto" w:before="26"/>
        <w:ind w:left="636" w:right="-19"/>
        <w:jc w:val="left"/>
      </w:pPr>
      <w:r>
        <w:rPr/>
        <w:t>主要子公司及对公司净利润影响达</w:t>
      </w:r>
      <w:r>
        <w:rPr>
          <w:spacing w:val="-60"/>
        </w:rPr>
        <w:t> </w:t>
      </w:r>
      <w:r>
        <w:rPr>
          <w:rFonts w:ascii="宋体" w:hAnsi="宋体" w:cs="宋体" w:eastAsia="宋体"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6"/>
          <w:szCs w:val="16"/>
        </w:rPr>
      </w:pPr>
    </w:p>
    <w:p>
      <w:pPr>
        <w:spacing w:before="0"/>
        <w:ind w:left="636"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818" w:space="1619"/>
            <w:col w:w="2493"/>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68"/>
        <w:gridCol w:w="566"/>
        <w:gridCol w:w="2836"/>
        <w:gridCol w:w="851"/>
        <w:gridCol w:w="991"/>
        <w:gridCol w:w="992"/>
        <w:gridCol w:w="994"/>
        <w:gridCol w:w="850"/>
        <w:gridCol w:w="920"/>
      </w:tblGrid>
      <w:tr>
        <w:trPr>
          <w:trHeight w:val="714"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9"/>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58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73"/>
              <w:jc w:val="both"/>
              <w:rPr>
                <w:rFonts w:ascii="宋体" w:hAnsi="宋体" w:cs="宋体" w:eastAsia="宋体" w:hint="default"/>
                <w:sz w:val="18"/>
                <w:szCs w:val="18"/>
              </w:rPr>
            </w:pPr>
            <w:r>
              <w:rPr>
                <w:rFonts w:ascii="宋体" w:hAnsi="宋体" w:cs="宋体" w:eastAsia="宋体" w:hint="default"/>
                <w:sz w:val="18"/>
                <w:szCs w:val="18"/>
              </w:rPr>
              <w:t>北京 国铁 路阳 技术 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子公 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铁路专用设备及器材、配件生产制 </w:t>
            </w:r>
            <w:r>
              <w:rPr>
                <w:rFonts w:ascii="宋体" w:hAnsi="宋体" w:cs="宋体" w:eastAsia="宋体" w:hint="default"/>
                <w:spacing w:val="-6"/>
                <w:sz w:val="18"/>
                <w:szCs w:val="18"/>
              </w:rPr>
              <w:t>造（限分支机构经营）；技术开发、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技术转让、技术服务、技术咨询； 产品设计；销售铁路专用设备及器 材、机械设备、计算机软硬件及辅 助设备、金属材料、五金交电；货 物进出口、技术进出口、代理进出 口。</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328,284,106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211,964,906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93,693,041.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-8,140,534</w:t>
            </w:r>
            <w:r>
              <w:rPr>
                <w:rFonts w:ascii="Times New Roman"/>
                <w:sz w:val="18"/>
              </w:rPr>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.98</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-9,558,928.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r>
      <w:tr>
        <w:trPr>
          <w:trHeight w:val="3210"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73"/>
              <w:jc w:val="both"/>
              <w:rPr>
                <w:rFonts w:ascii="宋体" w:hAnsi="宋体" w:cs="宋体" w:eastAsia="宋体" w:hint="default"/>
                <w:sz w:val="18"/>
                <w:szCs w:val="18"/>
              </w:rPr>
            </w:pPr>
            <w:r>
              <w:rPr>
                <w:rFonts w:ascii="宋体" w:hAnsi="宋体" w:cs="宋体" w:eastAsia="宋体" w:hint="default"/>
                <w:sz w:val="18"/>
                <w:szCs w:val="18"/>
              </w:rPr>
              <w:t>成都 西南 交大 驱动 技术 有限 责任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73"/>
              <w:jc w:val="left"/>
              <w:rPr>
                <w:rFonts w:ascii="宋体" w:hAnsi="宋体" w:cs="宋体" w:eastAsia="宋体" w:hint="default"/>
                <w:sz w:val="18"/>
                <w:szCs w:val="18"/>
              </w:rPr>
            </w:pPr>
            <w:r>
              <w:rPr>
                <w:rFonts w:ascii="宋体" w:hAnsi="宋体" w:cs="宋体" w:eastAsia="宋体" w:hint="default"/>
                <w:sz w:val="18"/>
                <w:szCs w:val="18"/>
              </w:rPr>
              <w:t>子公 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机电液一体化技术、计算机软件、 电子控制技术、铁路专用设备、电 气设备的研发、销售并提供技术咨 询、技术开发、技术转让、技术推 广；生产（另设分支机构或另择经 营场地经营）机械设备及器材、电 气设备及器材、铁路专用设备及配 件、建筑工程机械、石油钻采专用 设备；</w:t>
            </w:r>
            <w:r>
              <w:rPr>
                <w:rFonts w:ascii="Times New Roman" w:hAnsi="Times New Roman" w:cs="Times New Roman" w:eastAsia="Times New Roman" w:hint="default"/>
                <w:sz w:val="18"/>
                <w:szCs w:val="18"/>
              </w:rPr>
              <w:t>(</w:t>
            </w:r>
            <w:r>
              <w:rPr>
                <w:rFonts w:ascii="宋体" w:hAnsi="宋体" w:cs="宋体" w:eastAsia="宋体" w:hint="default"/>
                <w:sz w:val="18"/>
                <w:szCs w:val="18"/>
              </w:rPr>
              <w:t>依法须经批准的项目，经相 关部门批准后方可开展经营活动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77,001,260.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63,705,786.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2"/>
              <w:jc w:val="right"/>
              <w:rPr>
                <w:rFonts w:ascii="Times New Roman" w:hAnsi="Times New Roman" w:cs="Times New Roman" w:eastAsia="Times New Roman" w:hint="default"/>
                <w:sz w:val="18"/>
                <w:szCs w:val="18"/>
              </w:rPr>
            </w:pPr>
            <w:r>
              <w:rPr>
                <w:rFonts w:ascii="Times New Roman"/>
                <w:spacing w:val="-1"/>
                <w:sz w:val="18"/>
              </w:rPr>
              <w:t>40,765,194.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97" w:right="0"/>
              <w:jc w:val="left"/>
              <w:rPr>
                <w:rFonts w:ascii="Times New Roman" w:hAnsi="Times New Roman" w:cs="Times New Roman" w:eastAsia="Times New Roman" w:hint="default"/>
                <w:sz w:val="18"/>
                <w:szCs w:val="18"/>
              </w:rPr>
            </w:pPr>
            <w:r>
              <w:rPr>
                <w:rFonts w:ascii="Times New Roman"/>
                <w:sz w:val="18"/>
              </w:rPr>
              <w:t>15,269,10</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3.95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13,717,285.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83</w:t>
            </w:r>
          </w:p>
        </w:tc>
      </w:tr>
      <w:tr>
        <w:trPr>
          <w:trHeight w:val="71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3"/>
              <w:jc w:val="left"/>
              <w:rPr>
                <w:rFonts w:ascii="宋体" w:hAnsi="宋体" w:cs="宋体" w:eastAsia="宋体" w:hint="default"/>
                <w:sz w:val="18"/>
                <w:szCs w:val="18"/>
              </w:rPr>
            </w:pPr>
            <w:r>
              <w:rPr>
                <w:rFonts w:ascii="宋体" w:hAnsi="宋体" w:cs="宋体" w:eastAsia="宋体" w:hint="default"/>
                <w:sz w:val="18"/>
                <w:szCs w:val="18"/>
              </w:rPr>
              <w:t>飞天 联合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1"/>
              <w:jc w:val="left"/>
              <w:rPr>
                <w:rFonts w:ascii="宋体" w:hAnsi="宋体" w:cs="宋体" w:eastAsia="宋体" w:hint="default"/>
                <w:sz w:val="18"/>
                <w:szCs w:val="18"/>
              </w:rPr>
            </w:pPr>
            <w:r>
              <w:rPr>
                <w:rFonts w:ascii="宋体" w:hAnsi="宋体" w:cs="宋体" w:eastAsia="宋体" w:hint="default"/>
                <w:sz w:val="18"/>
                <w:szCs w:val="18"/>
              </w:rPr>
              <w:t>技术开发、技术咨询、技术转让、 技术服务；销售计算机、软件及辅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51,449,27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141,836,739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95,769,894.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20,523,527.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-33,933,38</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1.01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-31,423,26</w:t>
            </w:r>
          </w:p>
          <w:p>
            <w:pPr>
              <w:pStyle w:val="TableParagraph"/>
              <w:spacing w:line="240" w:lineRule="auto" w:before="106"/>
              <w:ind w:left="572" w:right="0"/>
              <w:jc w:val="left"/>
              <w:rPr>
                <w:rFonts w:ascii="Times New Roman" w:hAnsi="Times New Roman" w:cs="Times New Roman" w:eastAsia="Times New Roman" w:hint="default"/>
                <w:sz w:val="18"/>
                <w:szCs w:val="18"/>
              </w:rPr>
            </w:pPr>
            <w:r>
              <w:rPr>
                <w:rFonts w:ascii="Times New Roman"/>
                <w:sz w:val="18"/>
              </w:rPr>
              <w:t>8.26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570"/>
        <w:gridCol w:w="566"/>
        <w:gridCol w:w="2836"/>
        <w:gridCol w:w="851"/>
        <w:gridCol w:w="991"/>
        <w:gridCol w:w="992"/>
        <w:gridCol w:w="994"/>
        <w:gridCol w:w="850"/>
        <w:gridCol w:w="920"/>
      </w:tblGrid>
      <w:tr>
        <w:trPr>
          <w:trHeight w:val="1923"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（北 </w:t>
            </w:r>
            <w:r>
              <w:rPr>
                <w:rFonts w:ascii="宋体" w:hAnsi="宋体" w:cs="宋体" w:eastAsia="宋体" w:hint="default"/>
                <w:spacing w:val="-10"/>
                <w:sz w:val="18"/>
                <w:szCs w:val="18"/>
              </w:rPr>
              <w:t>京）系</w:t>
            </w:r>
            <w:r>
              <w:rPr>
                <w:rFonts w:ascii="宋体" w:hAnsi="宋体" w:cs="宋体" w:eastAsia="宋体" w:hint="default"/>
                <w:sz w:val="18"/>
                <w:szCs w:val="18"/>
              </w:rPr>
              <w:t> 统技 术有 限公 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助设备、通讯设备、电子产品、器 件和元件、仪器仪表；计算机系统 服务；经济贸易咨询； 技术进出口、代理进出口；从事互 联网文化活动。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1913" w:lineRule="exact"/>
              <w:ind w:right="-49"/>
              <w:jc w:val="left"/>
              <w:rPr>
                <w:rFonts w:ascii="宋体" w:hAnsi="宋体" w:cs="宋体" w:eastAsia="宋体" w:hint="default"/>
                <w:sz w:val="20"/>
                <w:szCs w:val="20"/>
              </w:rPr>
            </w:pPr>
            <w:r>
              <w:rPr>
                <w:rFonts w:ascii="宋体" w:hAnsi="宋体" w:cs="宋体" w:eastAsia="宋体" w:hint="default"/>
                <w:position w:val="-37"/>
                <w:sz w:val="20"/>
                <w:szCs w:val="20"/>
              </w:rPr>
              <w:pict>
                <v:group style="width:42pt;height:95.7pt;mso-position-horizontal-relative:char;mso-position-vertical-relative:line" coordorigin="0,0" coordsize="840,1914">
                  <v:group style="position:absolute;left:0;top:0;width:840;height:1914" coordorigin="0,0" coordsize="840,1914">
                    <v:shape style="position:absolute;left:0;top:0;width:840;height:1914" coordorigin="0,0" coordsize="840,1914" path="m0,1913l840,1913,840,0,0,0,0,1913xe" filled="true" fillcolor="#ffffff" stroked="false">
                      <v:path arrowok="t"/>
                      <v:fill type="solid"/>
                    </v:shape>
                  </v:group>
                </v:group>
              </w:pict>
            </w:r>
            <w:r>
              <w:rPr>
                <w:rFonts w:ascii="宋体" w:hAnsi="宋体" w:cs="宋体" w:eastAsia="宋体" w:hint="default"/>
                <w:position w:val="-37"/>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240" w:lineRule="auto" w:before="26"/>
        <w:ind w:left="636" w:right="0"/>
        <w:jc w:val="left"/>
      </w:pPr>
      <w:r>
        <w:rPr/>
        <w:pict>
          <v:shape style="position:absolute;margin-left:204.206009pt;margin-top:-99.24437pt;width:93.3pt;height:95.7pt;mso-position-horizontal-relative:page;mso-position-vertical-relative:paragraph;z-index:-8918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货物进出口、</w:t>
                  </w:r>
                </w:p>
              </w:txbxContent>
            </v:textbox>
            <w10:wrap type="none"/>
          </v:shape>
        </w:pict>
      </w:r>
      <w:r>
        <w:rPr/>
        <w:t>报告期内取得和处置子公司的情况</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0" w:right="0"/>
              <w:jc w:val="left"/>
              <w:rPr>
                <w:rFonts w:ascii="宋体" w:hAnsi="宋体" w:cs="宋体" w:eastAsia="宋体" w:hint="default"/>
                <w:sz w:val="21"/>
                <w:szCs w:val="21"/>
              </w:rPr>
            </w:pPr>
            <w:r>
              <w:rPr>
                <w:rFonts w:ascii="宋体" w:hAnsi="宋体" w:cs="宋体" w:eastAsia="宋体" w:hint="default"/>
                <w:sz w:val="21"/>
                <w:szCs w:val="21"/>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4" w:right="0"/>
              <w:jc w:val="left"/>
              <w:rPr>
                <w:rFonts w:ascii="宋体" w:hAnsi="宋体" w:cs="宋体" w:eastAsia="宋体" w:hint="default"/>
                <w:sz w:val="21"/>
                <w:szCs w:val="21"/>
              </w:rPr>
            </w:pPr>
            <w:r>
              <w:rPr>
                <w:rFonts w:ascii="宋体" w:hAnsi="宋体" w:cs="宋体" w:eastAsia="宋体" w:hint="default"/>
                <w:sz w:val="21"/>
                <w:szCs w:val="21"/>
              </w:rPr>
              <w:t>对整体生产经营和业绩的影响</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天津智信源科技有限公司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注销解散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无影响</w:t>
            </w:r>
          </w:p>
        </w:tc>
      </w:tr>
    </w:tbl>
    <w:p>
      <w:pPr>
        <w:spacing w:line="240" w:lineRule="auto" w:before="10"/>
        <w:rPr>
          <w:rFonts w:ascii="宋体" w:hAnsi="宋体" w:cs="宋体" w:eastAsia="宋体" w:hint="default"/>
          <w:sz w:val="4"/>
          <w:szCs w:val="4"/>
        </w:rPr>
      </w:pPr>
    </w:p>
    <w:p>
      <w:pPr>
        <w:pStyle w:val="BodyText"/>
        <w:spacing w:line="240" w:lineRule="auto" w:before="26"/>
        <w:ind w:left="756" w:right="0"/>
        <w:jc w:val="left"/>
      </w:pPr>
      <w:r>
        <w:rPr/>
        <w:t>主要控股参股公司情况说明</w:t>
      </w:r>
    </w:p>
    <w:p>
      <w:pPr>
        <w:pStyle w:val="BodyText"/>
        <w:spacing w:line="240" w:lineRule="auto" w:before="145"/>
        <w:ind w:left="636" w:right="0"/>
        <w:jc w:val="left"/>
      </w:pPr>
      <w:r>
        <w:rPr>
          <w:rFonts w:ascii="宋体" w:hAnsi="宋体" w:cs="宋体" w:eastAsia="宋体" w:hint="default"/>
        </w:rPr>
        <w:t>1.</w:t>
      </w:r>
      <w:r>
        <w:rPr/>
        <w:t>全资子公司国铁路阳商誉为公司于</w:t>
      </w:r>
      <w:r>
        <w:rPr>
          <w:spacing w:val="-60"/>
        </w:rPr>
        <w:t> </w:t>
      </w:r>
      <w:r>
        <w:rPr>
          <w:rFonts w:ascii="宋体" w:hAnsi="宋体" w:cs="宋体" w:eastAsia="宋体" w:hint="default"/>
        </w:rPr>
        <w:t>2011</w:t>
      </w:r>
      <w:r>
        <w:rPr>
          <w:rFonts w:ascii="宋体" w:hAnsi="宋体" w:cs="宋体" w:eastAsia="宋体" w:hint="default"/>
          <w:spacing w:val="-60"/>
        </w:rPr>
        <w:t> </w:t>
      </w:r>
      <w:r>
        <w:rPr/>
        <w:t>年非同一控制下合并国铁路阳形成的商誉</w:t>
      </w:r>
    </w:p>
    <w:p>
      <w:pPr>
        <w:pStyle w:val="BodyText"/>
        <w:spacing w:line="352" w:lineRule="auto" w:before="145"/>
        <w:ind w:right="1115"/>
        <w:jc w:val="left"/>
      </w:pPr>
      <w:r>
        <w:rPr>
          <w:rFonts w:ascii="宋体" w:hAnsi="宋体" w:cs="宋体" w:eastAsia="宋体" w:hint="default"/>
        </w:rPr>
        <w:t>107,863,014.60</w:t>
      </w:r>
      <w:r>
        <w:rPr>
          <w:rFonts w:ascii="宋体" w:hAnsi="宋体" w:cs="宋体" w:eastAsia="宋体" w:hint="default"/>
          <w:spacing w:val="-65"/>
        </w:rPr>
        <w:t> </w:t>
      </w:r>
      <w:r>
        <w:rPr/>
        <w:t>元，截止</w:t>
      </w:r>
      <w:r>
        <w:rPr>
          <w:spacing w:val="-65"/>
        </w:rPr>
        <w:t> </w:t>
      </w:r>
      <w:r>
        <w:rPr>
          <w:rFonts w:ascii="宋体" w:hAnsi="宋体" w:cs="宋体" w:eastAsia="宋体" w:hint="default"/>
        </w:rPr>
        <w:t>2018</w:t>
      </w:r>
      <w:r>
        <w:rPr>
          <w:rFonts w:ascii="宋体" w:hAnsi="宋体" w:cs="宋体" w:eastAsia="宋体" w:hint="default"/>
          <w:spacing w:val="-65"/>
        </w:rPr>
        <w:t> </w:t>
      </w:r>
      <w:r>
        <w:rPr/>
        <w:t>年末计提商誉减值</w:t>
      </w:r>
      <w:r>
        <w:rPr>
          <w:spacing w:val="-65"/>
        </w:rPr>
        <w:t> </w:t>
      </w:r>
      <w:r>
        <w:rPr>
          <w:rFonts w:ascii="宋体" w:hAnsi="宋体" w:cs="宋体" w:eastAsia="宋体" w:hint="default"/>
        </w:rPr>
        <w:t>107,863,014.60</w:t>
      </w:r>
      <w:r>
        <w:rPr>
          <w:rFonts w:ascii="宋体" w:hAnsi="宋体" w:cs="宋体" w:eastAsia="宋体" w:hint="default"/>
          <w:spacing w:val="-65"/>
        </w:rPr>
        <w:t> </w:t>
      </w:r>
      <w:r>
        <w:rPr/>
        <w:t>元，报告期内，由于主要 产品市场竞争激烈，新研发产品进度未达预期，致使营业收入较上年下降</w:t>
      </w:r>
      <w:r>
        <w:rPr>
          <w:spacing w:val="-83"/>
        </w:rPr>
        <w:t> </w:t>
      </w:r>
      <w:r>
        <w:rPr>
          <w:rFonts w:ascii="宋体" w:hAnsi="宋体" w:cs="宋体" w:eastAsia="宋体" w:hint="default"/>
        </w:rPr>
        <w:t>19.44%</w:t>
      </w:r>
      <w:r>
        <w:rPr/>
        <w:t>，净利润为</w:t>
      </w:r>
    </w:p>
    <w:p>
      <w:pPr>
        <w:pStyle w:val="BodyText"/>
        <w:spacing w:line="352" w:lineRule="auto" w:before="32"/>
        <w:ind w:right="1130"/>
        <w:jc w:val="both"/>
      </w:pPr>
      <w:r>
        <w:rPr>
          <w:rFonts w:ascii="宋体" w:hAnsi="宋体" w:cs="宋体" w:eastAsia="宋体" w:hint="default"/>
        </w:rPr>
        <w:t>-955.89</w:t>
      </w:r>
      <w:r>
        <w:rPr>
          <w:rFonts w:ascii="宋体" w:hAnsi="宋体" w:cs="宋体" w:eastAsia="宋体" w:hint="default"/>
          <w:spacing w:val="-67"/>
        </w:rPr>
        <w:t> </w:t>
      </w:r>
      <w:r>
        <w:rPr/>
        <w:t>万元，针对未来现金流量的预测具有较大的不确定性；公司针对</w:t>
      </w:r>
      <w:r>
        <w:rPr>
          <w:spacing w:val="-67"/>
        </w:rPr>
        <w:t> </w:t>
      </w:r>
      <w:r>
        <w:rPr>
          <w:rFonts w:ascii="宋体" w:hAnsi="宋体" w:cs="宋体" w:eastAsia="宋体" w:hint="default"/>
        </w:rPr>
        <w:t>2018</w:t>
      </w:r>
      <w:r>
        <w:rPr>
          <w:rFonts w:ascii="宋体" w:hAnsi="宋体" w:cs="宋体" w:eastAsia="宋体" w:hint="default"/>
          <w:spacing w:val="-67"/>
        </w:rPr>
        <w:t> </w:t>
      </w:r>
      <w:r>
        <w:rPr/>
        <w:t>年该商誉所在 资产组，聘请第三方评估机构进行了评估，根据评估结果，计算得出包含商誉的资产组可收 回金额为</w:t>
      </w:r>
      <w:r>
        <w:rPr>
          <w:spacing w:val="-60"/>
        </w:rPr>
        <w:t> </w:t>
      </w:r>
      <w:r>
        <w:rPr>
          <w:rFonts w:ascii="宋体" w:hAnsi="宋体" w:cs="宋体" w:eastAsia="宋体" w:hint="default"/>
        </w:rPr>
        <w:t>21,123.14</w:t>
      </w:r>
      <w:r>
        <w:rPr>
          <w:rFonts w:ascii="宋体" w:hAnsi="宋体" w:cs="宋体" w:eastAsia="宋体" w:hint="default"/>
          <w:spacing w:val="-60"/>
        </w:rPr>
        <w:t> </w:t>
      </w:r>
      <w:r>
        <w:rPr/>
        <w:t>万元，低于账面价值</w:t>
      </w:r>
      <w:r>
        <w:rPr>
          <w:spacing w:val="-60"/>
        </w:rPr>
        <w:t> </w:t>
      </w:r>
      <w:r>
        <w:rPr>
          <w:rFonts w:ascii="宋体" w:hAnsi="宋体" w:cs="宋体" w:eastAsia="宋体" w:hint="default"/>
        </w:rPr>
        <w:t>24,789.02</w:t>
      </w:r>
      <w:r>
        <w:rPr>
          <w:rFonts w:ascii="宋体" w:hAnsi="宋体" w:cs="宋体" w:eastAsia="宋体" w:hint="default"/>
          <w:spacing w:val="-60"/>
        </w:rPr>
        <w:t> </w:t>
      </w:r>
      <w:r>
        <w:rPr/>
        <w:t>万元，经计算后对商誉全额计提减值准</w:t>
      </w:r>
    </w:p>
    <w:p>
      <w:pPr>
        <w:pStyle w:val="BodyText"/>
        <w:spacing w:line="240" w:lineRule="auto" w:before="32"/>
        <w:ind w:right="0"/>
        <w:jc w:val="left"/>
      </w:pPr>
      <w:r>
        <w:rPr/>
        <w:t>备，总计</w:t>
      </w:r>
      <w:r>
        <w:rPr>
          <w:spacing w:val="-60"/>
        </w:rPr>
        <w:t> </w:t>
      </w:r>
      <w:r>
        <w:rPr>
          <w:rFonts w:ascii="宋体" w:hAnsi="宋体" w:cs="宋体" w:eastAsia="宋体" w:hint="default"/>
        </w:rPr>
        <w:t>35,925,265.57</w:t>
      </w:r>
      <w:r>
        <w:rPr>
          <w:rFonts w:ascii="宋体" w:hAnsi="宋体" w:cs="宋体" w:eastAsia="宋体" w:hint="default"/>
          <w:spacing w:val="-60"/>
        </w:rPr>
        <w:t> </w:t>
      </w:r>
      <w:r>
        <w:rPr/>
        <w:t>元。</w:t>
      </w:r>
    </w:p>
    <w:p>
      <w:pPr>
        <w:pStyle w:val="BodyText"/>
        <w:spacing w:line="240" w:lineRule="auto" w:before="146"/>
        <w:ind w:left="636" w:right="0"/>
        <w:jc w:val="left"/>
      </w:pPr>
      <w:r>
        <w:rPr>
          <w:rFonts w:ascii="宋体" w:hAnsi="宋体" w:cs="宋体" w:eastAsia="宋体" w:hint="default"/>
        </w:rPr>
        <w:t>2.</w:t>
      </w:r>
      <w:r>
        <w:rPr/>
        <w:t>非全资子公司交大驱动商誉为公司于</w:t>
      </w:r>
      <w:r>
        <w:rPr>
          <w:spacing w:val="-60"/>
        </w:rPr>
        <w:t> </w:t>
      </w:r>
      <w:r>
        <w:rPr>
          <w:rFonts w:ascii="宋体" w:hAnsi="宋体" w:cs="宋体" w:eastAsia="宋体" w:hint="default"/>
        </w:rPr>
        <w:t>2017</w:t>
      </w:r>
      <w:r>
        <w:rPr>
          <w:rFonts w:ascii="宋体" w:hAnsi="宋体" w:cs="宋体" w:eastAsia="宋体" w:hint="default"/>
          <w:spacing w:val="-60"/>
        </w:rPr>
        <w:t> </w:t>
      </w:r>
      <w:r>
        <w:rPr/>
        <w:t>年非同一控制下合并交大驱动形成的商誉</w:t>
      </w:r>
    </w:p>
    <w:p>
      <w:pPr>
        <w:pStyle w:val="BodyText"/>
        <w:spacing w:line="350" w:lineRule="auto" w:before="146"/>
        <w:ind w:right="996"/>
        <w:jc w:val="left"/>
      </w:pPr>
      <w:r>
        <w:rPr>
          <w:rFonts w:ascii="宋体" w:hAnsi="宋体" w:cs="宋体" w:eastAsia="宋体" w:hint="default"/>
        </w:rPr>
        <w:t>34,141,326.36</w:t>
      </w:r>
      <w:r>
        <w:rPr>
          <w:rFonts w:ascii="宋体" w:hAnsi="宋体" w:cs="宋体" w:eastAsia="宋体" w:hint="default"/>
          <w:spacing w:val="-64"/>
        </w:rPr>
        <w:t> </w:t>
      </w:r>
      <w:r>
        <w:rPr/>
        <w:t>元。公司收购交大驱动的业绩承诺期为</w:t>
      </w:r>
      <w:r>
        <w:rPr>
          <w:spacing w:val="-64"/>
        </w:rPr>
        <w:t> </w:t>
      </w:r>
      <w:r>
        <w:rPr>
          <w:rFonts w:ascii="宋体" w:hAnsi="宋体" w:cs="宋体" w:eastAsia="宋体" w:hint="default"/>
        </w:rPr>
        <w:t>2017</w:t>
      </w:r>
      <w:r>
        <w:rPr>
          <w:rFonts w:ascii="宋体" w:hAnsi="宋体" w:cs="宋体" w:eastAsia="宋体" w:hint="default"/>
          <w:spacing w:val="-64"/>
        </w:rPr>
        <w:t> </w:t>
      </w:r>
      <w:r>
        <w:rPr/>
        <w:t>年度—</w:t>
      </w:r>
      <w:r>
        <w:rPr>
          <w:rFonts w:ascii="宋体" w:hAnsi="宋体" w:cs="宋体" w:eastAsia="宋体" w:hint="default"/>
        </w:rPr>
        <w:t>2018</w:t>
      </w:r>
      <w:r>
        <w:rPr>
          <w:rFonts w:ascii="宋体" w:hAnsi="宋体" w:cs="宋体" w:eastAsia="宋体" w:hint="default"/>
          <w:spacing w:val="-64"/>
        </w:rPr>
        <w:t> </w:t>
      </w:r>
      <w:r>
        <w:rPr>
          <w:spacing w:val="-7"/>
        </w:rPr>
        <w:t>年度，承诺期内，主</w:t>
      </w:r>
      <w:r>
        <w:rPr/>
        <w:t> 要产品受业主方资金和项目进度安排的影响，采购进度放缓或推迟，致使交大驱动承诺期内 </w:t>
      </w:r>
      <w:r>
        <w:rPr>
          <w:spacing w:val="-4"/>
        </w:rPr>
        <w:t>供货数量较预期略有下降，未完成相关业绩承诺。针对其未来</w:t>
      </w:r>
      <w:r>
        <w:rPr>
          <w:spacing w:val="-54"/>
        </w:rPr>
        <w:t> </w:t>
      </w:r>
      <w:r>
        <w:rPr>
          <w:rFonts w:ascii="宋体" w:hAnsi="宋体" w:cs="宋体" w:eastAsia="宋体" w:hint="default"/>
        </w:rPr>
        <w:t>3</w:t>
      </w:r>
      <w:r>
        <w:rPr>
          <w:rFonts w:ascii="宋体" w:hAnsi="宋体" w:cs="宋体" w:eastAsia="宋体" w:hint="default"/>
          <w:spacing w:val="-54"/>
        </w:rPr>
        <w:t> </w:t>
      </w:r>
      <w:r>
        <w:rPr/>
        <w:t>到</w:t>
      </w:r>
      <w:r>
        <w:rPr>
          <w:spacing w:val="-54"/>
        </w:rPr>
        <w:t> </w:t>
      </w:r>
      <w:r>
        <w:rPr>
          <w:rFonts w:ascii="宋体" w:hAnsi="宋体" w:cs="宋体" w:eastAsia="宋体" w:hint="default"/>
        </w:rPr>
        <w:t>5</w:t>
      </w:r>
      <w:r>
        <w:rPr>
          <w:rFonts w:ascii="宋体" w:hAnsi="宋体" w:cs="宋体" w:eastAsia="宋体" w:hint="default"/>
          <w:spacing w:val="-54"/>
        </w:rPr>
        <w:t> </w:t>
      </w:r>
      <w:r>
        <w:rPr/>
        <w:t>年的业绩预测进行评估，</w:t>
      </w:r>
    </w:p>
    <w:p>
      <w:pPr>
        <w:spacing w:line="484" w:lineRule="auto" w:before="36"/>
        <w:ind w:left="154" w:right="2592" w:firstLine="0"/>
        <w:jc w:val="left"/>
        <w:rPr>
          <w:rFonts w:ascii="宋体" w:hAnsi="宋体" w:cs="宋体" w:eastAsia="宋体" w:hint="default"/>
          <w:sz w:val="24"/>
          <w:szCs w:val="24"/>
        </w:rPr>
      </w:pPr>
      <w:r>
        <w:rPr>
          <w:rFonts w:ascii="宋体" w:hAnsi="宋体" w:cs="宋体" w:eastAsia="宋体" w:hint="default"/>
          <w:sz w:val="24"/>
          <w:szCs w:val="24"/>
        </w:rPr>
        <w:t>并初步测算该项资产的可回收金额后，本期计提商誉减值</w:t>
      </w:r>
      <w:r>
        <w:rPr>
          <w:rFonts w:ascii="宋体" w:hAnsi="宋体" w:cs="宋体" w:eastAsia="宋体" w:hint="default"/>
          <w:spacing w:val="-60"/>
          <w:sz w:val="24"/>
          <w:szCs w:val="24"/>
        </w:rPr>
        <w:t> </w:t>
      </w:r>
      <w:r>
        <w:rPr>
          <w:rFonts w:ascii="宋体" w:hAnsi="宋体" w:cs="宋体" w:eastAsia="宋体" w:hint="default"/>
          <w:sz w:val="24"/>
          <w:szCs w:val="24"/>
        </w:rPr>
        <w:t>24,903,540.41</w:t>
      </w:r>
      <w:r>
        <w:rPr>
          <w:rFonts w:ascii="宋体" w:hAnsi="宋体" w:cs="宋体" w:eastAsia="宋体" w:hint="default"/>
          <w:spacing w:val="-60"/>
          <w:sz w:val="24"/>
          <w:szCs w:val="24"/>
        </w:rPr>
        <w:t> </w:t>
      </w:r>
      <w:r>
        <w:rPr>
          <w:rFonts w:ascii="宋体" w:hAnsi="宋体" w:cs="宋体" w:eastAsia="宋体" w:hint="default"/>
          <w:sz w:val="24"/>
          <w:szCs w:val="24"/>
        </w:rPr>
        <w:t>元。 </w:t>
      </w:r>
      <w:bookmarkStart w:name="八、公司控制的结构化主体情况" w:id="56"/>
      <w:bookmarkEnd w:id="56"/>
      <w:r>
        <w:rPr>
          <w:rFonts w:ascii="宋体" w:hAnsi="宋体" w:cs="宋体" w:eastAsia="宋体" w:hint="default"/>
          <w:sz w:val="24"/>
          <w:szCs w:val="24"/>
        </w:rPr>
      </w:r>
      <w:r>
        <w:rPr>
          <w:rFonts w:ascii="宋体" w:hAnsi="宋体" w:cs="宋体" w:eastAsia="宋体" w:hint="default"/>
          <w:b/>
          <w:bCs/>
          <w:sz w:val="24"/>
          <w:szCs w:val="24"/>
        </w:rPr>
        <w:t>八、公司控制的结构化主体情况</w:t>
      </w:r>
      <w:r>
        <w:rPr>
          <w:rFonts w:ascii="宋体" w:hAnsi="宋体" w:cs="宋体" w:eastAsia="宋体" w:hint="default"/>
          <w:sz w:val="24"/>
          <w:szCs w:val="24"/>
        </w:rPr>
      </w:r>
    </w:p>
    <w:p>
      <w:pPr>
        <w:spacing w:line="484" w:lineRule="auto" w:before="179"/>
        <w:ind w:left="154" w:right="8112" w:firstLine="482"/>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九、公司未来发展的展望" w:id="57"/>
      <w:bookmarkEnd w:id="57"/>
      <w:r>
        <w:rPr>
          <w:rFonts w:ascii="宋体" w:hAnsi="宋体" w:cs="宋体" w:eastAsia="宋体" w:hint="default"/>
          <w:sz w:val="24"/>
          <w:szCs w:val="24"/>
        </w:rPr>
      </w:r>
      <w:r>
        <w:rPr>
          <w:rFonts w:ascii="宋体" w:hAnsi="宋体" w:cs="宋体" w:eastAsia="宋体" w:hint="default"/>
          <w:b/>
          <w:bCs/>
          <w:w w:val="95"/>
          <w:sz w:val="24"/>
          <w:szCs w:val="24"/>
        </w:rPr>
        <w:t>九、公司未来发展的展望</w:t>
      </w:r>
      <w:r>
        <w:rPr>
          <w:rFonts w:ascii="宋体" w:hAnsi="宋体" w:cs="宋体" w:eastAsia="宋体" w:hint="default"/>
          <w:sz w:val="24"/>
          <w:szCs w:val="24"/>
        </w:rPr>
      </w:r>
    </w:p>
    <w:p>
      <w:pPr>
        <w:spacing w:line="336" w:lineRule="auto" w:before="52"/>
        <w:ind w:left="636" w:right="6790" w:firstLine="0"/>
        <w:jc w:val="left"/>
        <w:rPr>
          <w:rFonts w:ascii="宋体" w:hAnsi="宋体" w:cs="宋体" w:eastAsia="宋体" w:hint="default"/>
          <w:sz w:val="24"/>
          <w:szCs w:val="24"/>
        </w:rPr>
      </w:pPr>
      <w:r>
        <w:rPr>
          <w:rFonts w:ascii="宋体" w:hAnsi="宋体" w:cs="宋体" w:eastAsia="宋体" w:hint="default"/>
          <w:b/>
          <w:bCs/>
          <w:sz w:val="24"/>
          <w:szCs w:val="24"/>
        </w:rPr>
        <w:t>（一）行业格局及趋势</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、国家铁路及城市轨道交通行业</w:t>
      </w:r>
    </w:p>
    <w:p>
      <w:pPr>
        <w:pStyle w:val="BodyText"/>
        <w:spacing w:line="350" w:lineRule="auto" w:before="51"/>
        <w:ind w:left="636" w:right="0"/>
        <w:jc w:val="left"/>
      </w:pPr>
      <w:r>
        <w:rPr/>
        <w:t>（</w:t>
      </w:r>
      <w:r>
        <w:rPr>
          <w:rFonts w:ascii="宋体" w:hAnsi="宋体" w:cs="宋体" w:eastAsia="宋体" w:hint="default"/>
        </w:rPr>
        <w:t>1</w:t>
      </w:r>
      <w:r>
        <w:rPr/>
        <w:t>）基础建设推进： </w:t>
      </w:r>
      <w:r>
        <w:rPr>
          <w:spacing w:val="-3"/>
        </w:rPr>
        <w:t>据《铁路“十三五”发展规划征求意见稿》显示，国家还将进一步加快铁路建设与发展，</w:t>
      </w:r>
    </w:p>
    <w:p>
      <w:pPr>
        <w:pStyle w:val="BodyText"/>
        <w:spacing w:line="240" w:lineRule="auto" w:before="35"/>
        <w:ind w:right="0"/>
        <w:jc w:val="left"/>
      </w:pPr>
      <w:r>
        <w:rPr/>
        <w:t>计划投资</w:t>
      </w:r>
      <w:r>
        <w:rPr>
          <w:spacing w:val="-60"/>
        </w:rPr>
        <w:t> </w:t>
      </w:r>
      <w:r>
        <w:rPr>
          <w:rFonts w:ascii="宋体" w:hAnsi="宋体" w:cs="宋体" w:eastAsia="宋体" w:hint="default"/>
        </w:rPr>
        <w:t>35,000</w:t>
      </w:r>
      <w:r>
        <w:rPr>
          <w:rFonts w:ascii="宋体" w:hAnsi="宋体" w:cs="宋体" w:eastAsia="宋体" w:hint="default"/>
          <w:spacing w:val="-60"/>
        </w:rPr>
        <w:t> </w:t>
      </w:r>
      <w:r>
        <w:rPr/>
        <w:t>亿元，到“十三五”末期，整个铁路运营里程将达</w:t>
      </w:r>
      <w:r>
        <w:rPr>
          <w:spacing w:val="-60"/>
        </w:rPr>
        <w:t> </w:t>
      </w:r>
      <w:r>
        <w:rPr>
          <w:rFonts w:ascii="宋体" w:hAnsi="宋体" w:cs="宋体" w:eastAsia="宋体" w:hint="default"/>
        </w:rPr>
        <w:t>15</w:t>
      </w:r>
      <w:r>
        <w:rPr>
          <w:rFonts w:ascii="宋体" w:hAnsi="宋体" w:cs="宋体" w:eastAsia="宋体" w:hint="default"/>
          <w:spacing w:val="-60"/>
        </w:rPr>
        <w:t> </w:t>
      </w:r>
      <w:r>
        <w:rPr/>
        <w:t>万公里，其中高速铁</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right="0"/>
        <w:jc w:val="left"/>
      </w:pPr>
      <w:r>
        <w:rPr/>
        <w:t>路要达到</w:t>
      </w:r>
      <w:r>
        <w:rPr>
          <w:spacing w:val="-60"/>
        </w:rPr>
        <w:t> </w:t>
      </w:r>
      <w:r>
        <w:rPr>
          <w:rFonts w:ascii="宋体" w:hAnsi="宋体" w:cs="宋体" w:eastAsia="宋体" w:hint="default"/>
        </w:rPr>
        <w:t>3</w:t>
      </w:r>
      <w:r>
        <w:rPr>
          <w:rFonts w:ascii="宋体" w:hAnsi="宋体" w:cs="宋体" w:eastAsia="宋体" w:hint="default"/>
          <w:spacing w:val="-60"/>
        </w:rPr>
        <w:t> </w:t>
      </w:r>
      <w:r>
        <w:rPr/>
        <w:t>万公里的规模；全国铁路网基本覆盖</w:t>
      </w:r>
      <w:r>
        <w:rPr>
          <w:spacing w:val="-60"/>
        </w:rPr>
        <w:t> </w:t>
      </w:r>
      <w:r>
        <w:rPr>
          <w:rFonts w:ascii="宋体" w:hAnsi="宋体" w:cs="宋体" w:eastAsia="宋体" w:hint="default"/>
        </w:rPr>
        <w:t>20</w:t>
      </w:r>
      <w:r>
        <w:rPr>
          <w:rFonts w:ascii="宋体" w:hAnsi="宋体" w:cs="宋体" w:eastAsia="宋体" w:hint="default"/>
          <w:spacing w:val="-60"/>
        </w:rPr>
        <w:t> </w:t>
      </w:r>
      <w:r>
        <w:rPr/>
        <w:t>万人口以上的城市，</w:t>
      </w:r>
      <w:r>
        <w:rPr>
          <w:rFonts w:ascii="宋体" w:hAnsi="宋体" w:cs="宋体" w:eastAsia="宋体" w:hint="default"/>
        </w:rPr>
        <w:t>80%</w:t>
      </w:r>
      <w:r>
        <w:rPr/>
        <w:t>的县级行政区；</w:t>
      </w:r>
    </w:p>
    <w:p>
      <w:pPr>
        <w:pStyle w:val="BodyText"/>
        <w:spacing w:line="240" w:lineRule="auto" w:before="145"/>
        <w:ind w:right="0"/>
        <w:jc w:val="left"/>
      </w:pPr>
      <w:r>
        <w:rPr/>
        <w:t>高速铁路网基本覆盖</w:t>
      </w:r>
      <w:r>
        <w:rPr>
          <w:spacing w:val="-60"/>
        </w:rPr>
        <w:t> </w:t>
      </w:r>
      <w:r>
        <w:rPr>
          <w:rFonts w:ascii="宋体" w:hAnsi="宋体" w:cs="宋体" w:eastAsia="宋体" w:hint="default"/>
        </w:rPr>
        <w:t>50</w:t>
      </w:r>
      <w:r>
        <w:rPr>
          <w:rFonts w:ascii="宋体" w:hAnsi="宋体" w:cs="宋体" w:eastAsia="宋体" w:hint="default"/>
          <w:spacing w:val="-60"/>
        </w:rPr>
        <w:t> </w:t>
      </w:r>
      <w:r>
        <w:rPr/>
        <w:t>万人口以上的城市、</w:t>
      </w:r>
      <w:r>
        <w:rPr>
          <w:rFonts w:ascii="宋体" w:hAnsi="宋体" w:cs="宋体" w:eastAsia="宋体" w:hint="default"/>
        </w:rPr>
        <w:t>90%</w:t>
      </w:r>
      <w:r>
        <w:rPr/>
        <w:t>地级行政中心；基本实现国家、区域中心城</w:t>
      </w:r>
    </w:p>
    <w:p>
      <w:pPr>
        <w:pStyle w:val="BodyText"/>
        <w:spacing w:line="240" w:lineRule="auto" w:before="146"/>
        <w:ind w:right="0"/>
        <w:jc w:val="left"/>
      </w:pPr>
      <w:r>
        <w:rPr/>
        <w:t>市</w:t>
      </w:r>
      <w:r>
        <w:rPr>
          <w:spacing w:val="-60"/>
        </w:rPr>
        <w:t> </w:t>
      </w:r>
      <w:r>
        <w:rPr>
          <w:rFonts w:ascii="宋体" w:hAnsi="宋体" w:cs="宋体" w:eastAsia="宋体" w:hint="default"/>
        </w:rPr>
        <w:t>1</w:t>
      </w:r>
      <w:r>
        <w:rPr>
          <w:rFonts w:ascii="宋体" w:hAnsi="宋体" w:cs="宋体" w:eastAsia="宋体" w:hint="default"/>
          <w:spacing w:val="-60"/>
        </w:rPr>
        <w:t> </w:t>
      </w:r>
      <w:r>
        <w:rPr/>
        <w:t>至</w:t>
      </w:r>
      <w:r>
        <w:rPr>
          <w:spacing w:val="-60"/>
        </w:rPr>
        <w:t> </w:t>
      </w:r>
      <w:r>
        <w:rPr>
          <w:rFonts w:ascii="宋体" w:hAnsi="宋体" w:cs="宋体" w:eastAsia="宋体" w:hint="default"/>
        </w:rPr>
        <w:t>8</w:t>
      </w:r>
      <w:r>
        <w:rPr>
          <w:rFonts w:ascii="宋体" w:hAnsi="宋体" w:cs="宋体" w:eastAsia="宋体" w:hint="default"/>
          <w:spacing w:val="-60"/>
        </w:rPr>
        <w:t> </w:t>
      </w:r>
      <w:r>
        <w:rPr/>
        <w:t>小时高速通达圈；相邻大中城市</w:t>
      </w:r>
      <w:r>
        <w:rPr>
          <w:spacing w:val="-60"/>
        </w:rPr>
        <w:t> </w:t>
      </w:r>
      <w:r>
        <w:rPr>
          <w:rFonts w:ascii="宋体" w:hAnsi="宋体" w:cs="宋体" w:eastAsia="宋体" w:hint="default"/>
        </w:rPr>
        <w:t>1</w:t>
      </w:r>
      <w:r>
        <w:rPr>
          <w:rFonts w:ascii="宋体" w:hAnsi="宋体" w:cs="宋体" w:eastAsia="宋体" w:hint="default"/>
          <w:spacing w:val="-60"/>
        </w:rPr>
        <w:t> </w:t>
      </w:r>
      <w:r>
        <w:rPr/>
        <w:t>至</w:t>
      </w:r>
      <w:r>
        <w:rPr>
          <w:spacing w:val="-60"/>
        </w:rPr>
        <w:t> </w:t>
      </w:r>
      <w:r>
        <w:rPr>
          <w:rFonts w:ascii="宋体" w:hAnsi="宋体" w:cs="宋体" w:eastAsia="宋体" w:hint="default"/>
        </w:rPr>
        <w:t>4</w:t>
      </w:r>
      <w:r>
        <w:rPr>
          <w:rFonts w:ascii="宋体" w:hAnsi="宋体" w:cs="宋体" w:eastAsia="宋体" w:hint="default"/>
          <w:spacing w:val="-60"/>
        </w:rPr>
        <w:t> </w:t>
      </w:r>
      <w:r>
        <w:rPr/>
        <w:t>小时快速交通圈，城市群内</w:t>
      </w:r>
      <w:r>
        <w:rPr>
          <w:spacing w:val="-60"/>
        </w:rPr>
        <w:t> </w:t>
      </w:r>
      <w:r>
        <w:rPr>
          <w:rFonts w:ascii="宋体" w:hAnsi="宋体" w:cs="宋体" w:eastAsia="宋体" w:hint="default"/>
        </w:rPr>
        <w:t>0.5</w:t>
      </w:r>
      <w:r>
        <w:rPr>
          <w:rFonts w:ascii="宋体" w:hAnsi="宋体" w:cs="宋体" w:eastAsia="宋体" w:hint="default"/>
          <w:spacing w:val="-60"/>
        </w:rPr>
        <w:t> </w:t>
      </w:r>
      <w:r>
        <w:rPr/>
        <w:t>小时至</w:t>
      </w:r>
      <w:r>
        <w:rPr>
          <w:spacing w:val="-60"/>
        </w:rPr>
        <w:t> </w:t>
      </w:r>
      <w:r>
        <w:rPr>
          <w:rFonts w:ascii="宋体" w:hAnsi="宋体" w:cs="宋体" w:eastAsia="宋体" w:hint="default"/>
        </w:rPr>
        <w:t>2</w:t>
      </w:r>
      <w:r>
        <w:rPr>
          <w:rFonts w:ascii="宋体" w:hAnsi="宋体" w:cs="宋体" w:eastAsia="宋体" w:hint="default"/>
          <w:spacing w:val="-60"/>
        </w:rPr>
        <w:t> </w:t>
      </w:r>
      <w:r>
        <w:rPr/>
        <w:t>小</w:t>
      </w:r>
    </w:p>
    <w:p>
      <w:pPr>
        <w:pStyle w:val="BodyText"/>
        <w:spacing w:line="240" w:lineRule="auto" w:before="146"/>
        <w:ind w:right="0"/>
        <w:jc w:val="left"/>
      </w:pPr>
      <w:r>
        <w:rPr/>
        <w:t>时通勤圈。</w:t>
      </w:r>
      <w:r>
        <w:rPr>
          <w:rFonts w:ascii="宋体" w:hAnsi="宋体" w:cs="宋体" w:eastAsia="宋体" w:hint="default"/>
        </w:rPr>
        <w:t>2018</w:t>
      </w:r>
      <w:r>
        <w:rPr>
          <w:rFonts w:ascii="宋体" w:hAnsi="宋体" w:cs="宋体" w:eastAsia="宋体" w:hint="default"/>
          <w:spacing w:val="-65"/>
        </w:rPr>
        <w:t> </w:t>
      </w:r>
      <w:r>
        <w:rPr/>
        <w:t>年度全国铁路固定资产投资完成</w:t>
      </w:r>
      <w:r>
        <w:rPr>
          <w:spacing w:val="-65"/>
        </w:rPr>
        <w:t> </w:t>
      </w:r>
      <w:r>
        <w:rPr>
          <w:rFonts w:ascii="宋体" w:hAnsi="宋体" w:cs="宋体" w:eastAsia="宋体" w:hint="default"/>
        </w:rPr>
        <w:t>8028</w:t>
      </w:r>
      <w:r>
        <w:rPr>
          <w:rFonts w:ascii="宋体" w:hAnsi="宋体" w:cs="宋体" w:eastAsia="宋体" w:hint="default"/>
          <w:spacing w:val="-65"/>
        </w:rPr>
        <w:t> </w:t>
      </w:r>
      <w:r>
        <w:rPr/>
        <w:t>亿元，投产新线</w:t>
      </w:r>
      <w:r>
        <w:rPr>
          <w:spacing w:val="-65"/>
        </w:rPr>
        <w:t> </w:t>
      </w:r>
      <w:r>
        <w:rPr>
          <w:rFonts w:ascii="宋体" w:hAnsi="宋体" w:cs="宋体" w:eastAsia="宋体" w:hint="default"/>
        </w:rPr>
        <w:t>4683</w:t>
      </w:r>
      <w:r>
        <w:rPr>
          <w:rFonts w:ascii="宋体" w:hAnsi="宋体" w:cs="宋体" w:eastAsia="宋体" w:hint="default"/>
          <w:spacing w:val="-65"/>
        </w:rPr>
        <w:t> </w:t>
      </w:r>
      <w:r>
        <w:rPr/>
        <w:t>公里，其中高铁</w:t>
      </w:r>
    </w:p>
    <w:p>
      <w:pPr>
        <w:pStyle w:val="BodyText"/>
        <w:spacing w:line="352" w:lineRule="auto" w:before="145"/>
        <w:ind w:right="994"/>
        <w:jc w:val="left"/>
      </w:pPr>
      <w:r>
        <w:rPr>
          <w:rFonts w:ascii="宋体" w:hAnsi="宋体" w:cs="宋体" w:eastAsia="宋体" w:hint="default"/>
        </w:rPr>
        <w:t>4100</w:t>
      </w:r>
      <w:r>
        <w:rPr>
          <w:rFonts w:ascii="宋体" w:hAnsi="宋体" w:cs="宋体" w:eastAsia="宋体" w:hint="default"/>
          <w:spacing w:val="-63"/>
        </w:rPr>
        <w:t> </w:t>
      </w:r>
      <w:r>
        <w:rPr/>
        <w:t>公里；至</w:t>
      </w:r>
      <w:r>
        <w:rPr>
          <w:spacing w:val="-63"/>
        </w:rPr>
        <w:t> </w:t>
      </w:r>
      <w:r>
        <w:rPr>
          <w:rFonts w:ascii="宋体" w:hAnsi="宋体" w:cs="宋体" w:eastAsia="宋体" w:hint="default"/>
        </w:rPr>
        <w:t>2018</w:t>
      </w:r>
      <w:r>
        <w:rPr>
          <w:rFonts w:ascii="宋体" w:hAnsi="宋体" w:cs="宋体" w:eastAsia="宋体" w:hint="default"/>
          <w:spacing w:val="-63"/>
        </w:rPr>
        <w:t> </w:t>
      </w:r>
      <w:r>
        <w:rPr/>
        <w:t>年底，全国铁路营业里程达</w:t>
      </w:r>
      <w:r>
        <w:rPr>
          <w:spacing w:val="-63"/>
        </w:rPr>
        <w:t> </w:t>
      </w:r>
      <w:r>
        <w:rPr>
          <w:rFonts w:ascii="宋体" w:hAnsi="宋体" w:cs="宋体" w:eastAsia="宋体" w:hint="default"/>
        </w:rPr>
        <w:t>13.1</w:t>
      </w:r>
      <w:r>
        <w:rPr>
          <w:rFonts w:ascii="宋体" w:hAnsi="宋体" w:cs="宋体" w:eastAsia="宋体" w:hint="default"/>
          <w:spacing w:val="-63"/>
        </w:rPr>
        <w:t> </w:t>
      </w:r>
      <w:r>
        <w:rPr/>
        <w:t>万公里以上，其中高速铁路达到</w:t>
      </w:r>
      <w:r>
        <w:rPr>
          <w:spacing w:val="-63"/>
        </w:rPr>
        <w:t> </w:t>
      </w:r>
      <w:r>
        <w:rPr>
          <w:rFonts w:ascii="宋体" w:hAnsi="宋体" w:cs="宋体" w:eastAsia="宋体" w:hint="default"/>
        </w:rPr>
        <w:t>2.9</w:t>
      </w:r>
      <w:r>
        <w:rPr>
          <w:rFonts w:ascii="宋体" w:hAnsi="宋体" w:cs="宋体" w:eastAsia="宋体" w:hint="default"/>
          <w:spacing w:val="-63"/>
        </w:rPr>
        <w:t> </w:t>
      </w:r>
      <w:r>
        <w:rPr/>
        <w:t>万 公里；根据中国铁路总公司近期出台的年度建设计划，</w:t>
      </w:r>
      <w:r>
        <w:rPr>
          <w:rFonts w:ascii="宋体" w:hAnsi="宋体" w:cs="宋体" w:eastAsia="宋体" w:hint="default"/>
        </w:rPr>
        <w:t>2019</w:t>
      </w:r>
      <w:r>
        <w:rPr>
          <w:rFonts w:ascii="宋体" w:hAnsi="宋体" w:cs="宋体" w:eastAsia="宋体" w:hint="default"/>
          <w:spacing w:val="-67"/>
        </w:rPr>
        <w:t> </w:t>
      </w:r>
      <w:r>
        <w:rPr/>
        <w:t>年全国铁路固定资产投资保持强 </w:t>
      </w:r>
      <w:r>
        <w:rPr>
          <w:spacing w:val="-3"/>
        </w:rPr>
        <w:t>度规模，优质高效完成国家下达的任务目标，确保投产新线</w:t>
      </w:r>
      <w:r>
        <w:rPr>
          <w:spacing w:val="-55"/>
        </w:rPr>
        <w:t> </w:t>
      </w:r>
      <w:r>
        <w:rPr>
          <w:rFonts w:ascii="宋体" w:hAnsi="宋体" w:cs="宋体" w:eastAsia="宋体" w:hint="default"/>
        </w:rPr>
        <w:t>6800</w:t>
      </w:r>
      <w:r>
        <w:rPr>
          <w:rFonts w:ascii="宋体" w:hAnsi="宋体" w:cs="宋体" w:eastAsia="宋体" w:hint="default"/>
          <w:spacing w:val="-55"/>
        </w:rPr>
        <w:t> </w:t>
      </w:r>
      <w:r>
        <w:rPr>
          <w:spacing w:val="-4"/>
        </w:rPr>
        <w:t>公里，其中高铁</w:t>
      </w:r>
      <w:r>
        <w:rPr>
          <w:spacing w:val="-55"/>
        </w:rPr>
        <w:t> </w:t>
      </w:r>
      <w:r>
        <w:rPr>
          <w:rFonts w:ascii="宋体" w:hAnsi="宋体" w:cs="宋体" w:eastAsia="宋体" w:hint="default"/>
        </w:rPr>
        <w:t>3200</w:t>
      </w:r>
      <w:r>
        <w:rPr>
          <w:rFonts w:ascii="宋体" w:hAnsi="宋体" w:cs="宋体" w:eastAsia="宋体" w:hint="default"/>
          <w:spacing w:val="-55"/>
        </w:rPr>
        <w:t> </w:t>
      </w:r>
      <w:r>
        <w:rPr/>
        <w:t>公里。 </w:t>
      </w:r>
      <w:r>
        <w:rPr>
          <w:spacing w:val="-2"/>
        </w:rPr>
        <w:t>随着铁路投融资改革等系列政策的出台和执行，也为明后年铁路投资建设发展提供资金保证，</w:t>
      </w:r>
      <w:r>
        <w:rPr/>
        <w:t> 铁路市场景气度有望持续保持高位。</w:t>
      </w:r>
    </w:p>
    <w:p>
      <w:pPr>
        <w:pStyle w:val="BodyText"/>
        <w:spacing w:line="350" w:lineRule="auto" w:before="32"/>
        <w:ind w:right="1167" w:firstLine="482"/>
        <w:jc w:val="both"/>
      </w:pPr>
      <w:r>
        <w:rPr/>
        <w:t>近年来，我国城市轨道交通以其快速便捷、低碳环保的特性成为城市中最受欢迎的交通 工具之一，</w:t>
      </w:r>
      <w:r>
        <w:rPr>
          <w:rFonts w:ascii="宋体" w:hAnsi="宋体" w:cs="宋体" w:eastAsia="宋体" w:hint="default"/>
        </w:rPr>
        <w:t>2018</w:t>
      </w:r>
      <w:r>
        <w:rPr>
          <w:rFonts w:ascii="宋体" w:hAnsi="宋体" w:cs="宋体" w:eastAsia="宋体" w:hint="default"/>
          <w:spacing w:val="-60"/>
        </w:rPr>
        <w:t> </w:t>
      </w:r>
      <w:r>
        <w:rPr/>
        <w:t>年，中国有</w:t>
      </w:r>
      <w:r>
        <w:rPr>
          <w:spacing w:val="-60"/>
        </w:rPr>
        <w:t> </w:t>
      </w:r>
      <w:r>
        <w:rPr>
          <w:rFonts w:ascii="宋体" w:hAnsi="宋体" w:cs="宋体" w:eastAsia="宋体" w:hint="default"/>
        </w:rPr>
        <w:t>26</w:t>
      </w:r>
      <w:r>
        <w:rPr>
          <w:rFonts w:ascii="宋体" w:hAnsi="宋体" w:cs="宋体" w:eastAsia="宋体" w:hint="default"/>
          <w:spacing w:val="-60"/>
        </w:rPr>
        <w:t> </w:t>
      </w:r>
      <w:r>
        <w:rPr/>
        <w:t>座城市计划新增开工</w:t>
      </w:r>
      <w:r>
        <w:rPr>
          <w:spacing w:val="-60"/>
        </w:rPr>
        <w:t> </w:t>
      </w:r>
      <w:r>
        <w:rPr>
          <w:rFonts w:ascii="宋体" w:hAnsi="宋体" w:cs="宋体" w:eastAsia="宋体" w:hint="default"/>
        </w:rPr>
        <w:t>55</w:t>
      </w:r>
      <w:r>
        <w:rPr>
          <w:rFonts w:ascii="宋体" w:hAnsi="宋体" w:cs="宋体" w:eastAsia="宋体" w:hint="default"/>
          <w:spacing w:val="-60"/>
        </w:rPr>
        <w:t> </w:t>
      </w:r>
      <w:r>
        <w:rPr/>
        <w:t>条（段）轨道交通线路，合计里程</w:t>
      </w:r>
    </w:p>
    <w:p>
      <w:pPr>
        <w:pStyle w:val="BodyText"/>
        <w:spacing w:line="240" w:lineRule="auto"/>
        <w:ind w:right="0"/>
        <w:jc w:val="left"/>
      </w:pPr>
      <w:r>
        <w:rPr>
          <w:rFonts w:ascii="宋体" w:hAnsi="宋体" w:cs="宋体" w:eastAsia="宋体" w:hint="default"/>
        </w:rPr>
        <w:t>1,339.45</w:t>
      </w:r>
      <w:r>
        <w:rPr>
          <w:rFonts w:ascii="宋体" w:hAnsi="宋体" w:cs="宋体" w:eastAsia="宋体" w:hint="default"/>
          <w:spacing w:val="-60"/>
        </w:rPr>
        <w:t> </w:t>
      </w:r>
      <w:r>
        <w:rPr/>
        <w:t>公里，车站</w:t>
      </w:r>
      <w:r>
        <w:rPr>
          <w:spacing w:val="-60"/>
        </w:rPr>
        <w:t> </w:t>
      </w:r>
      <w:r>
        <w:rPr>
          <w:rFonts w:ascii="宋体" w:hAnsi="宋体" w:cs="宋体" w:eastAsia="宋体" w:hint="default"/>
        </w:rPr>
        <w:t>778</w:t>
      </w:r>
      <w:r>
        <w:rPr>
          <w:rFonts w:ascii="宋体" w:hAnsi="宋体" w:cs="宋体" w:eastAsia="宋体" w:hint="default"/>
          <w:spacing w:val="-60"/>
        </w:rPr>
        <w:t> </w:t>
      </w:r>
      <w:r>
        <w:rPr/>
        <w:t>座，总投资额约</w:t>
      </w:r>
      <w:r>
        <w:rPr>
          <w:spacing w:val="-60"/>
        </w:rPr>
        <w:t> </w:t>
      </w:r>
      <w:r>
        <w:rPr>
          <w:rFonts w:ascii="宋体" w:hAnsi="宋体" w:cs="宋体" w:eastAsia="宋体" w:hint="default"/>
        </w:rPr>
        <w:t>7,700</w:t>
      </w:r>
      <w:r>
        <w:rPr>
          <w:rFonts w:ascii="宋体" w:hAnsi="宋体" w:cs="宋体" w:eastAsia="宋体" w:hint="default"/>
          <w:spacing w:val="-60"/>
        </w:rPr>
        <w:t> </w:t>
      </w:r>
      <w:r>
        <w:rPr/>
        <w:t>亿元。到</w:t>
      </w:r>
      <w:r>
        <w:rPr>
          <w:spacing w:val="-60"/>
        </w:rPr>
        <w:t> </w:t>
      </w:r>
      <w:r>
        <w:rPr>
          <w:rFonts w:ascii="宋体" w:hAnsi="宋体" w:cs="宋体" w:eastAsia="宋体" w:hint="default"/>
        </w:rPr>
        <w:t>2020</w:t>
      </w:r>
      <w:r>
        <w:rPr>
          <w:rFonts w:ascii="宋体" w:hAnsi="宋体" w:cs="宋体" w:eastAsia="宋体" w:hint="default"/>
          <w:spacing w:val="-60"/>
        </w:rPr>
        <w:t> </w:t>
      </w:r>
      <w:r>
        <w:rPr/>
        <w:t>年，我国轨道交通运营里程</w:t>
      </w:r>
    </w:p>
    <w:p>
      <w:pPr>
        <w:pStyle w:val="BodyText"/>
        <w:spacing w:line="240" w:lineRule="auto" w:before="145"/>
        <w:ind w:right="0"/>
        <w:jc w:val="left"/>
      </w:pPr>
      <w:r>
        <w:rPr/>
        <w:t>将达到</w:t>
      </w:r>
      <w:r>
        <w:rPr>
          <w:spacing w:val="-60"/>
        </w:rPr>
        <w:t> </w:t>
      </w:r>
      <w:r>
        <w:rPr>
          <w:rFonts w:ascii="宋体" w:hAnsi="宋体" w:cs="宋体" w:eastAsia="宋体" w:hint="default"/>
        </w:rPr>
        <w:t>7,700</w:t>
      </w:r>
      <w:r>
        <w:rPr>
          <w:rFonts w:ascii="宋体" w:hAnsi="宋体" w:cs="宋体" w:eastAsia="宋体" w:hint="default"/>
          <w:spacing w:val="-60"/>
        </w:rPr>
        <w:t> </w:t>
      </w:r>
      <w:r>
        <w:rPr/>
        <w:t>公里，城市轨道交通将在基础设施建设中占据重要地位，保持高速发展势头。</w:t>
      </w:r>
    </w:p>
    <w:p>
      <w:pPr>
        <w:pStyle w:val="BodyText"/>
        <w:spacing w:line="240" w:lineRule="auto" w:before="145"/>
        <w:ind w:right="0"/>
        <w:jc w:val="left"/>
      </w:pPr>
      <w:r>
        <w:rPr>
          <w:rFonts w:ascii="宋体" w:hAnsi="宋体" w:cs="宋体" w:eastAsia="宋体" w:hint="default"/>
        </w:rPr>
        <w:t>2018</w:t>
      </w:r>
      <w:r>
        <w:rPr>
          <w:rFonts w:ascii="宋体" w:hAnsi="宋体" w:cs="宋体" w:eastAsia="宋体" w:hint="default"/>
          <w:spacing w:val="-60"/>
        </w:rPr>
        <w:t> </w:t>
      </w:r>
      <w:r>
        <w:rPr/>
        <w:t>年，国家发改委开启轨道交通项目审批大热潮，整年官网发布共批复</w:t>
      </w:r>
      <w:r>
        <w:rPr>
          <w:spacing w:val="-60"/>
        </w:rPr>
        <w:t> </w:t>
      </w:r>
      <w:r>
        <w:rPr>
          <w:rFonts w:ascii="宋体" w:hAnsi="宋体" w:cs="宋体" w:eastAsia="宋体" w:hint="default"/>
        </w:rPr>
        <w:t>17</w:t>
      </w:r>
      <w:r>
        <w:rPr>
          <w:rFonts w:ascii="宋体" w:hAnsi="宋体" w:cs="宋体" w:eastAsia="宋体" w:hint="default"/>
          <w:spacing w:val="-60"/>
        </w:rPr>
        <w:t> </w:t>
      </w:r>
      <w:r>
        <w:rPr/>
        <w:t>个重大项目，</w:t>
      </w:r>
    </w:p>
    <w:p>
      <w:pPr>
        <w:pStyle w:val="BodyText"/>
        <w:spacing w:line="240" w:lineRule="auto" w:before="146"/>
        <w:ind w:right="0"/>
        <w:jc w:val="left"/>
      </w:pPr>
      <w:r>
        <w:rPr/>
        <w:t>其中城市轨道建设项目</w:t>
      </w:r>
      <w:r>
        <w:rPr>
          <w:spacing w:val="-60"/>
        </w:rPr>
        <w:t> </w:t>
      </w:r>
      <w:r>
        <w:rPr>
          <w:rFonts w:ascii="宋体" w:hAnsi="宋体" w:cs="宋体" w:eastAsia="宋体" w:hint="default"/>
        </w:rPr>
        <w:t>8</w:t>
      </w:r>
      <w:r>
        <w:rPr>
          <w:rFonts w:ascii="宋体" w:hAnsi="宋体" w:cs="宋体" w:eastAsia="宋体" w:hint="default"/>
          <w:spacing w:val="-60"/>
        </w:rPr>
        <w:t> </w:t>
      </w:r>
      <w:r>
        <w:rPr/>
        <w:t>个，城际铁路项目</w:t>
      </w:r>
      <w:r>
        <w:rPr>
          <w:spacing w:val="-60"/>
        </w:rPr>
        <w:t> </w:t>
      </w:r>
      <w:r>
        <w:rPr>
          <w:rFonts w:ascii="宋体" w:hAnsi="宋体" w:cs="宋体" w:eastAsia="宋体" w:hint="default"/>
        </w:rPr>
        <w:t>4</w:t>
      </w:r>
      <w:r>
        <w:rPr>
          <w:rFonts w:ascii="宋体" w:hAnsi="宋体" w:cs="宋体" w:eastAsia="宋体" w:hint="default"/>
          <w:spacing w:val="-60"/>
        </w:rPr>
        <w:t> </w:t>
      </w:r>
      <w:r>
        <w:rPr/>
        <w:t>个，铁路项目</w:t>
      </w:r>
      <w:r>
        <w:rPr>
          <w:spacing w:val="-60"/>
        </w:rPr>
        <w:t> </w:t>
      </w:r>
      <w:r>
        <w:rPr>
          <w:rFonts w:ascii="宋体" w:hAnsi="宋体" w:cs="宋体" w:eastAsia="宋体" w:hint="default"/>
        </w:rPr>
        <w:t>5</w:t>
      </w:r>
      <w:r>
        <w:rPr>
          <w:rFonts w:ascii="宋体" w:hAnsi="宋体" w:cs="宋体" w:eastAsia="宋体" w:hint="default"/>
          <w:spacing w:val="-60"/>
        </w:rPr>
        <w:t> </w:t>
      </w:r>
      <w:r>
        <w:rPr/>
        <w:t>个，项目里程达</w:t>
      </w:r>
      <w:r>
        <w:rPr>
          <w:spacing w:val="-60"/>
        </w:rPr>
        <w:t> </w:t>
      </w:r>
      <w:r>
        <w:rPr>
          <w:rFonts w:ascii="宋体" w:hAnsi="宋体" w:cs="宋体" w:eastAsia="宋体" w:hint="default"/>
        </w:rPr>
        <w:t>4665.6</w:t>
      </w:r>
      <w:r>
        <w:rPr>
          <w:rFonts w:ascii="宋体" w:hAnsi="宋体" w:cs="宋体" w:eastAsia="宋体" w:hint="default"/>
          <w:spacing w:val="-60"/>
        </w:rPr>
        <w:t> </w:t>
      </w:r>
      <w:r>
        <w:rPr/>
        <w:t>公里，</w:t>
      </w:r>
    </w:p>
    <w:p>
      <w:pPr>
        <w:pStyle w:val="BodyText"/>
        <w:spacing w:line="352" w:lineRule="auto" w:before="146"/>
        <w:ind w:right="1130"/>
        <w:jc w:val="both"/>
      </w:pPr>
      <w:r>
        <w:rPr/>
        <w:t>投资金额共计</w:t>
      </w:r>
      <w:r>
        <w:rPr>
          <w:spacing w:val="-67"/>
        </w:rPr>
        <w:t> </w:t>
      </w:r>
      <w:r>
        <w:rPr>
          <w:rFonts w:ascii="宋体" w:hAnsi="宋体" w:cs="宋体" w:eastAsia="宋体" w:hint="default"/>
        </w:rPr>
        <w:t>14420.67</w:t>
      </w:r>
      <w:r>
        <w:rPr>
          <w:rFonts w:ascii="宋体" w:hAnsi="宋体" w:cs="宋体" w:eastAsia="宋体" w:hint="default"/>
          <w:spacing w:val="-67"/>
        </w:rPr>
        <w:t> </w:t>
      </w:r>
      <w:r>
        <w:rPr/>
        <w:t>亿元，其中城市轨道建设项目批复最多，且投资额最高达到</w:t>
      </w:r>
      <w:r>
        <w:rPr>
          <w:spacing w:val="-67"/>
        </w:rPr>
        <w:t> </w:t>
      </w:r>
      <w:r>
        <w:rPr>
          <w:rFonts w:ascii="宋体" w:hAnsi="宋体" w:cs="宋体" w:eastAsia="宋体" w:hint="default"/>
        </w:rPr>
        <w:t>8437.12 </w:t>
      </w:r>
      <w:r>
        <w:rPr/>
        <w:t>亿元，可预见我国未来轨道交通必将迎来新一轮的建设热潮！伴随着城市轨道交通规模的增 加，发展速度的加快，将释放更大的市场空间，促进公司在该业务领域的持续快速发展。</w:t>
      </w:r>
    </w:p>
    <w:p>
      <w:pPr>
        <w:pStyle w:val="BodyText"/>
        <w:spacing w:line="350" w:lineRule="auto" w:before="32"/>
        <w:ind w:right="1169" w:firstLine="482"/>
        <w:jc w:val="both"/>
      </w:pPr>
      <w:r>
        <w:rPr/>
        <w:t>随着中国高速铁路和城市轨道交通线路的不断延展，中国高铁及城市轨道交通信号主设 备、调度运营指挥系统的技术水平已达国际先进水平，但与之对应的基础设备维护装备尚在 发展初期。确保各轨道交通线路的运营安全稳定，是各级运营方的首要目标，在中铁总有关 工电专业年度工作会议上，已明确提出加强检测监测系统建设。可以预期，中国铁路及城市 轨道交通运营检修维护装备体系都将向智能化、无人化转型，原有基础维护装备将逐步完成 智能升级，新建体系将直接采用智能化的运营检修维护装备，中国轨道交通智能运营检修维 护装备体系将迎来巨大的发展机遇。</w:t>
      </w:r>
    </w:p>
    <w:p>
      <w:pPr>
        <w:pStyle w:val="BodyText"/>
        <w:spacing w:line="352" w:lineRule="auto" w:before="35"/>
        <w:ind w:right="1106" w:firstLine="482"/>
        <w:jc w:val="both"/>
      </w:pPr>
      <w:r>
        <w:rPr>
          <w:rFonts w:ascii="宋体" w:hAnsi="宋体" w:cs="宋体" w:eastAsia="宋体" w:hint="default"/>
        </w:rPr>
        <w:t>2</w:t>
      </w:r>
      <w:r>
        <w:rPr/>
        <w:t>、基于航空</w:t>
      </w:r>
      <w:r>
        <w:rPr>
          <w:spacing w:val="-60"/>
        </w:rPr>
        <w:t> </w:t>
      </w:r>
      <w:r>
        <w:rPr>
          <w:rFonts w:ascii="宋体" w:hAnsi="宋体" w:cs="宋体" w:eastAsia="宋体" w:hint="default"/>
        </w:rPr>
        <w:t>WiFi</w:t>
      </w:r>
      <w:r>
        <w:rPr>
          <w:rFonts w:ascii="宋体" w:hAnsi="宋体" w:cs="宋体" w:eastAsia="宋体" w:hint="default"/>
          <w:spacing w:val="-60"/>
        </w:rPr>
        <w:t> </w:t>
      </w:r>
      <w:r>
        <w:rPr/>
        <w:t>的装备制造、商业开发和大数据管理经过多年的能量积蓄，</w:t>
      </w:r>
      <w:r>
        <w:rPr>
          <w:rFonts w:ascii="宋体" w:hAnsi="宋体" w:cs="宋体" w:eastAsia="宋体" w:hint="default"/>
        </w:rPr>
        <w:t>2018</w:t>
      </w:r>
      <w:r>
        <w:rPr>
          <w:rFonts w:ascii="宋体" w:hAnsi="宋体" w:cs="宋体" w:eastAsia="宋体" w:hint="default"/>
          <w:spacing w:val="-60"/>
        </w:rPr>
        <w:t> </w:t>
      </w:r>
      <w:r>
        <w:rPr/>
        <w:t>年， 空中互联已经开局，民航部门组织了一系列重要调研和会议，对空中互联做出了重要部署， 为空中互联的应用指明了方向，也为相关航司和行业企业注入了信心。</w:t>
      </w:r>
      <w:r>
        <w:rPr>
          <w:rFonts w:ascii="宋体" w:hAnsi="宋体" w:cs="宋体" w:eastAsia="宋体" w:hint="default"/>
        </w:rPr>
        <w:t>1</w:t>
      </w:r>
      <w:r>
        <w:rPr>
          <w:rFonts w:ascii="宋体" w:hAnsi="宋体" w:cs="宋体" w:eastAsia="宋体" w:hint="default"/>
          <w:spacing w:val="-67"/>
        </w:rPr>
        <w:t> </w:t>
      </w:r>
      <w:r>
        <w:rPr/>
        <w:t>月</w:t>
      </w:r>
      <w:r>
        <w:rPr>
          <w:spacing w:val="-67"/>
        </w:rPr>
        <w:t> </w:t>
      </w:r>
      <w:r>
        <w:rPr>
          <w:rFonts w:ascii="宋体" w:hAnsi="宋体" w:cs="宋体" w:eastAsia="宋体" w:hint="default"/>
        </w:rPr>
        <w:t>16</w:t>
      </w:r>
      <w:r>
        <w:rPr>
          <w:rFonts w:ascii="宋体" w:hAnsi="宋体" w:cs="宋体" w:eastAsia="宋体" w:hint="default"/>
          <w:spacing w:val="-67"/>
        </w:rPr>
        <w:t> </w:t>
      </w:r>
      <w:r>
        <w:rPr/>
        <w:t>日，民航局发 </w:t>
      </w:r>
      <w:r>
        <w:rPr>
          <w:spacing w:val="-3"/>
        </w:rPr>
        <w:t>布《机上便携式电子设备（</w:t>
      </w:r>
      <w:r>
        <w:rPr>
          <w:rFonts w:ascii="宋体" w:hAnsi="宋体" w:cs="宋体" w:eastAsia="宋体" w:hint="default"/>
          <w:spacing w:val="-3"/>
        </w:rPr>
        <w:t>PED</w:t>
      </w:r>
      <w:r>
        <w:rPr>
          <w:spacing w:val="-3"/>
        </w:rPr>
        <w:t>）使用评估指南》，各航空公司纷纷响应，竞相宣布放开机上</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30"/>
        <w:jc w:val="both"/>
      </w:pPr>
      <w:r>
        <w:rPr/>
        <w:t>手机使用。</w:t>
      </w:r>
      <w:r>
        <w:rPr>
          <w:rFonts w:ascii="宋体" w:hAnsi="宋体" w:cs="宋体" w:eastAsia="宋体" w:hint="default"/>
        </w:rPr>
        <w:t>4</w:t>
      </w:r>
      <w:r>
        <w:rPr>
          <w:rFonts w:ascii="宋体" w:hAnsi="宋体" w:cs="宋体" w:eastAsia="宋体" w:hint="default"/>
          <w:spacing w:val="-68"/>
        </w:rPr>
        <w:t> </w:t>
      </w:r>
      <w:r>
        <w:rPr/>
        <w:t>月份，国务院会议将推动飞机上互联网接入业务列入工作会议，使</w:t>
      </w:r>
      <w:r>
        <w:rPr>
          <w:spacing w:val="-68"/>
        </w:rPr>
        <w:t> </w:t>
      </w:r>
      <w:r>
        <w:rPr>
          <w:rFonts w:ascii="宋体" w:hAnsi="宋体" w:cs="宋体" w:eastAsia="宋体" w:hint="default"/>
        </w:rPr>
        <w:t>2018</w:t>
      </w:r>
      <w:r>
        <w:rPr>
          <w:rFonts w:ascii="宋体" w:hAnsi="宋体" w:cs="宋体" w:eastAsia="宋体" w:hint="default"/>
          <w:spacing w:val="-68"/>
        </w:rPr>
        <w:t> </w:t>
      </w:r>
      <w:r>
        <w:rPr/>
        <w:t>年成为 </w:t>
      </w:r>
      <w:r>
        <w:rPr>
          <w:spacing w:val="-8"/>
        </w:rPr>
        <w:t>真正意义上的“空中互联网元年”。</w:t>
      </w:r>
    </w:p>
    <w:p>
      <w:pPr>
        <w:pStyle w:val="BodyText"/>
        <w:spacing w:line="350" w:lineRule="auto"/>
        <w:ind w:right="0" w:firstLine="482"/>
        <w:jc w:val="left"/>
      </w:pPr>
      <w:r>
        <w:rPr>
          <w:spacing w:val="-3"/>
        </w:rPr>
        <w:t>在地面相关行业数字化及互联网化数十年的大趋势下，最近几年互联网化开始走向空中，</w:t>
      </w:r>
      <w:r>
        <w:rPr/>
        <w:t> 数字化转型已经成为全球航空公司必由之路。航空公司数字化转型的落脚点在于把握乘客和 飞机数据源头。一方面是设法挖掘出更多新的数据源，另外一方面是对既有数据源获取渠道 发生新的更好替代。互联飞机能够弥补现有数据落地后获取、非全数据实时获取的短板，让 空中大数据实时获取变得速度越来越快、容量越来越大、渠道越来越便捷。</w:t>
      </w:r>
    </w:p>
    <w:p>
      <w:pPr>
        <w:pStyle w:val="BodyText"/>
        <w:spacing w:line="352" w:lineRule="auto" w:before="35"/>
        <w:ind w:right="1131" w:firstLine="482"/>
        <w:jc w:val="both"/>
      </w:pPr>
      <w:r>
        <w:rPr/>
        <w:t>就技术发展趋势而言，</w:t>
      </w:r>
      <w:r>
        <w:rPr>
          <w:rFonts w:ascii="宋体" w:hAnsi="宋体" w:cs="宋体" w:eastAsia="宋体" w:hint="default"/>
        </w:rPr>
        <w:t>Ka</w:t>
      </w:r>
      <w:r>
        <w:rPr>
          <w:rFonts w:ascii="宋体" w:hAnsi="宋体" w:cs="宋体" w:eastAsia="宋体" w:hint="default"/>
          <w:spacing w:val="-82"/>
        </w:rPr>
        <w:t> </w:t>
      </w:r>
      <w:r>
        <w:rPr/>
        <w:t>高通量卫星路线图的逐步落地，可有效解决海外特别是一带一 路沿线所需的卫星覆盖问题，并带来空地互联带宽资源的丰富，迅速降低单位带宽的使用成 本，</w:t>
      </w:r>
      <w:r>
        <w:rPr>
          <w:rFonts w:ascii="宋体" w:hAnsi="宋体" w:cs="宋体" w:eastAsia="宋体" w:hint="default"/>
        </w:rPr>
        <w:t>Ka</w:t>
      </w:r>
      <w:r>
        <w:rPr>
          <w:rFonts w:ascii="宋体" w:hAnsi="宋体" w:cs="宋体" w:eastAsia="宋体" w:hint="default"/>
          <w:spacing w:val="-60"/>
        </w:rPr>
        <w:t> </w:t>
      </w:r>
      <w:r>
        <w:rPr/>
        <w:t>高通量卫星服务于空地互联展现出大有可为的发展前景。</w:t>
      </w:r>
    </w:p>
    <w:p>
      <w:pPr>
        <w:pStyle w:val="BodyText"/>
        <w:spacing w:line="352" w:lineRule="auto" w:before="32"/>
        <w:ind w:left="636" w:right="1150"/>
        <w:jc w:val="left"/>
      </w:pPr>
      <w:r>
        <w:rPr>
          <w:rFonts w:ascii="宋体" w:hAnsi="宋体" w:cs="宋体" w:eastAsia="宋体" w:hint="default"/>
        </w:rPr>
        <w:t>3</w:t>
      </w:r>
      <w:r>
        <w:rPr/>
        <w:t>、国家经济体制改革为高端制造业提供的机会与支持 十九大报告中提出，深化国有企业改革，发展混合所有制经济要全面实施市场准入负面</w:t>
      </w:r>
    </w:p>
    <w:p>
      <w:pPr>
        <w:pStyle w:val="BodyText"/>
        <w:spacing w:line="352" w:lineRule="auto" w:before="32"/>
        <w:ind w:right="1169"/>
        <w:jc w:val="both"/>
      </w:pPr>
      <w:r>
        <w:rPr/>
        <w:t>清单制度，清理废除妨碍统一市场和公平竞争的各种规定和做法，支持民营企业发展，激发 各类市场主体活力。因此，随着国家推进国企混合所有制改革逐步深入和延展，也造就了民 营经济的重要机会，在适宜的领域，民营资本可以借助国企的资本与技术、经验积累，快速 提高高端制造能力，做大做强民营企业，实现国民共进。</w:t>
      </w:r>
    </w:p>
    <w:p>
      <w:pPr>
        <w:pStyle w:val="BodyText"/>
        <w:spacing w:line="352" w:lineRule="auto" w:before="32"/>
        <w:ind w:right="1169" w:firstLine="482"/>
        <w:jc w:val="both"/>
      </w:pPr>
      <w:r>
        <w:rPr/>
        <w:t>近期各部门相继出台配套政策，落实十九大精神，中央办公厅和国务院办公厅印发《关 </w:t>
      </w:r>
      <w:r>
        <w:rPr>
          <w:spacing w:val="-5"/>
        </w:rPr>
        <w:t>于加强金融服务民营企业的若干意见》（中办发〔</w:t>
      </w:r>
      <w:r>
        <w:rPr>
          <w:rFonts w:ascii="宋体" w:hAnsi="宋体" w:cs="宋体" w:eastAsia="宋体" w:hint="default"/>
          <w:spacing w:val="-5"/>
        </w:rPr>
        <w:t>2019</w:t>
      </w:r>
      <w:r>
        <w:rPr>
          <w:spacing w:val="-5"/>
        </w:rPr>
        <w:t>〕</w:t>
      </w:r>
      <w:r>
        <w:rPr>
          <w:rFonts w:ascii="宋体" w:hAnsi="宋体" w:cs="宋体" w:eastAsia="宋体" w:hint="default"/>
          <w:spacing w:val="-5"/>
        </w:rPr>
        <w:t>6</w:t>
      </w:r>
      <w:r>
        <w:rPr>
          <w:rFonts w:ascii="宋体" w:hAnsi="宋体" w:cs="宋体" w:eastAsia="宋体" w:hint="default"/>
          <w:spacing w:val="-51"/>
        </w:rPr>
        <w:t> </w:t>
      </w:r>
      <w:r>
        <w:rPr>
          <w:spacing w:val="-8"/>
        </w:rPr>
        <w:t>号），高规格提出优化和改进民营</w:t>
      </w:r>
      <w:r>
        <w:rPr>
          <w:spacing w:val="-110"/>
        </w:rPr>
        <w:t> </w:t>
      </w:r>
      <w:r>
        <w:rPr>
          <w:spacing w:val="-110"/>
        </w:rPr>
      </w:r>
      <w:r>
        <w:rPr/>
        <w:t>企业金融服务的一揽子重大举措。宏观经济政策将给民营企业带来新的发展机遇。</w:t>
      </w:r>
    </w:p>
    <w:p>
      <w:pPr>
        <w:spacing w:line="352" w:lineRule="auto" w:before="32"/>
        <w:ind w:left="636" w:right="1150" w:firstLine="0"/>
        <w:jc w:val="left"/>
        <w:rPr>
          <w:rFonts w:ascii="宋体" w:hAnsi="宋体" w:cs="宋体" w:eastAsia="宋体" w:hint="default"/>
          <w:sz w:val="24"/>
          <w:szCs w:val="24"/>
        </w:rPr>
      </w:pPr>
      <w:r>
        <w:rPr>
          <w:rFonts w:ascii="宋体" w:hAnsi="宋体" w:cs="宋体" w:eastAsia="宋体" w:hint="default"/>
          <w:b/>
          <w:bCs/>
          <w:sz w:val="24"/>
          <w:szCs w:val="24"/>
        </w:rPr>
        <w:t>（二）公司发展战略</w:t>
      </w:r>
      <w:r>
        <w:rPr>
          <w:rFonts w:ascii="宋体" w:hAnsi="宋体" w:cs="宋体" w:eastAsia="宋体" w:hint="default"/>
          <w:b/>
          <w:bCs/>
          <w:w w:val="99"/>
          <w:sz w:val="24"/>
          <w:szCs w:val="24"/>
        </w:rPr>
        <w:t> </w:t>
      </w:r>
      <w:r>
        <w:rPr>
          <w:rFonts w:ascii="宋体" w:hAnsi="宋体" w:cs="宋体" w:eastAsia="宋体" w:hint="default"/>
          <w:sz w:val="24"/>
          <w:szCs w:val="24"/>
        </w:rPr>
        <w:t>面对轨道交通行业发展的历史机遇，公司将继续聚焦轨道交通，围绕“轨道交通运营维</w:t>
      </w:r>
    </w:p>
    <w:p>
      <w:pPr>
        <w:pStyle w:val="BodyText"/>
        <w:spacing w:line="350" w:lineRule="auto" w:before="32"/>
        <w:ind w:right="0"/>
        <w:jc w:val="left"/>
      </w:pPr>
      <w:r>
        <w:rPr>
          <w:spacing w:val="-3"/>
        </w:rPr>
        <w:t>护一体化解决方案及高端装备”的主营业务，扩大市场领域、延伸产业链条、加强能力支撑，</w:t>
      </w:r>
      <w:r>
        <w:rPr>
          <w:spacing w:val="-81"/>
        </w:rPr>
        <w:t> </w:t>
      </w:r>
      <w:r>
        <w:rPr>
          <w:spacing w:val="-81"/>
        </w:rPr>
      </w:r>
      <w:r>
        <w:rPr/>
        <w:t>打造高端制造系统平台，提升轨道交通智能运维解决方案及综合服务能力。</w:t>
      </w:r>
    </w:p>
    <w:p>
      <w:pPr>
        <w:pStyle w:val="BodyText"/>
        <w:spacing w:line="350" w:lineRule="auto"/>
        <w:ind w:right="1169" w:firstLine="482"/>
        <w:jc w:val="both"/>
      </w:pPr>
      <w:r>
        <w:rPr/>
        <w:t>积极参与实体经济建设，加大物联网、大数据、人工智能等新技术的引进和应用研发， 推动创新技术在传统行业中的应用，为行业应用创新提供新产品、新模式、新动力。</w:t>
      </w:r>
    </w:p>
    <w:p>
      <w:pPr>
        <w:pStyle w:val="BodyText"/>
        <w:spacing w:line="352" w:lineRule="auto" w:before="35"/>
        <w:ind w:right="1132" w:firstLine="482"/>
        <w:jc w:val="both"/>
      </w:pPr>
      <w:r>
        <w:rPr>
          <w:spacing w:val="-3"/>
        </w:rPr>
        <w:t>顺应国家信息产业发展规划，推进“产业</w:t>
      </w:r>
      <w:r>
        <w:rPr>
          <w:rFonts w:ascii="宋体" w:hAnsi="宋体" w:cs="宋体" w:eastAsia="宋体" w:hint="default"/>
          <w:spacing w:val="-3"/>
        </w:rPr>
        <w:t>+</w:t>
      </w:r>
      <w:r>
        <w:rPr>
          <w:spacing w:val="-3"/>
        </w:rPr>
        <w:t>资本”双轮驱动战略，不断扩展并优化大交通</w:t>
      </w:r>
      <w:r>
        <w:rPr/>
        <w:t> 新领域的布局，形成新的业务增长平台。</w:t>
      </w:r>
    </w:p>
    <w:p>
      <w:pPr>
        <w:spacing w:line="350" w:lineRule="auto" w:before="33"/>
        <w:ind w:left="636" w:right="4390" w:firstLine="0"/>
        <w:jc w:val="left"/>
        <w:rPr>
          <w:rFonts w:ascii="宋体" w:hAnsi="宋体" w:cs="宋体" w:eastAsia="宋体" w:hint="default"/>
          <w:sz w:val="24"/>
          <w:szCs w:val="24"/>
        </w:rPr>
      </w:pPr>
      <w:r>
        <w:rPr>
          <w:rFonts w:ascii="宋体" w:hAnsi="宋体" w:cs="宋体" w:eastAsia="宋体" w:hint="default"/>
          <w:b/>
          <w:bCs/>
          <w:sz w:val="24"/>
          <w:szCs w:val="24"/>
        </w:rPr>
        <w:t>（三）经营计划</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、加大研发投入，坚持技术创新，构建智能化产品体系</w:t>
      </w:r>
    </w:p>
    <w:p>
      <w:pPr>
        <w:spacing w:after="0" w:line="350"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1132" w:firstLine="482"/>
        <w:jc w:val="both"/>
      </w:pPr>
      <w:r>
        <w:rPr/>
        <w:t>技术是公司发展的源头和生命力，公司坚持技术自主创新，在不断优化已有优势产品的 基础上，一如既往的加大技术研发投入。</w:t>
      </w:r>
      <w:r>
        <w:rPr>
          <w:rFonts w:ascii="宋体" w:hAnsi="宋体" w:cs="宋体" w:eastAsia="宋体" w:hint="default"/>
        </w:rPr>
        <w:t>2019</w:t>
      </w:r>
      <w:r>
        <w:rPr>
          <w:rFonts w:ascii="宋体" w:hAnsi="宋体" w:cs="宋体" w:eastAsia="宋体" w:hint="default"/>
          <w:spacing w:val="-81"/>
        </w:rPr>
        <w:t> </w:t>
      </w:r>
      <w:r>
        <w:rPr/>
        <w:t>年，公司将以物联网、大数据、人工智能为基 础方向，积极推动各产品线的智能化升级。</w:t>
      </w:r>
    </w:p>
    <w:p>
      <w:pPr>
        <w:pStyle w:val="BodyText"/>
        <w:spacing w:line="350" w:lineRule="auto" w:before="33"/>
        <w:ind w:left="634" w:right="0"/>
        <w:jc w:val="left"/>
      </w:pPr>
      <w:r>
        <w:rPr>
          <w:rFonts w:ascii="宋体" w:hAnsi="宋体" w:cs="宋体" w:eastAsia="宋体" w:hint="default"/>
        </w:rPr>
        <w:t>2</w:t>
      </w:r>
      <w:r>
        <w:rPr/>
        <w:t>、深化行业布局，拓展业务增长空间 公司在提高现有产品和解决方案竞争力的同时，不断创造新价值和新服务，持续满足并</w:t>
      </w:r>
    </w:p>
    <w:p>
      <w:pPr>
        <w:pStyle w:val="BodyText"/>
        <w:spacing w:line="350" w:lineRule="auto"/>
        <w:ind w:right="0"/>
        <w:jc w:val="left"/>
      </w:pPr>
      <w:r>
        <w:rPr>
          <w:spacing w:val="-3"/>
        </w:rPr>
        <w:t>引导客户需求，增强与行业客户的粘性，深化与行业客户的合作，不断扩大公司的领先优势。</w:t>
      </w:r>
      <w:r>
        <w:rPr>
          <w:spacing w:val="-81"/>
        </w:rPr>
        <w:t> </w:t>
      </w:r>
      <w:r>
        <w:rPr>
          <w:spacing w:val="-81"/>
        </w:rPr>
      </w:r>
      <w:r>
        <w:rPr/>
        <w:t>公司将以物联网、大数据分析、人工智能为平台，在信号、线路、供电、站场领域布局研发 智能监测检修维护体系装备。</w:t>
      </w:r>
    </w:p>
    <w:p>
      <w:pPr>
        <w:pStyle w:val="BodyText"/>
        <w:spacing w:line="350" w:lineRule="auto"/>
        <w:ind w:right="0" w:firstLine="480"/>
        <w:jc w:val="left"/>
      </w:pPr>
      <w:r>
        <w:rPr/>
        <w:t>伴随我国城镇化进程的加剧和城市轨道交通的高速发展，加大在地铁、有轨电车等新兴 市场的开拓和资源投入力度。</w:t>
      </w:r>
    </w:p>
    <w:p>
      <w:pPr>
        <w:pStyle w:val="BodyText"/>
        <w:spacing w:line="352" w:lineRule="auto" w:before="35"/>
        <w:ind w:left="634" w:right="0"/>
        <w:jc w:val="left"/>
      </w:pPr>
      <w:r>
        <w:rPr>
          <w:rFonts w:ascii="宋体" w:hAnsi="宋体" w:cs="宋体" w:eastAsia="宋体" w:hint="default"/>
        </w:rPr>
        <w:t>3</w:t>
      </w:r>
      <w:r>
        <w:rPr/>
        <w:t>、加强人才队伍建设，优化人力结构 公司结合未来发展战略，持续优化人力资源配置。围绕公司业务布局，充分吸纳人才，</w:t>
      </w:r>
    </w:p>
    <w:p>
      <w:pPr>
        <w:pStyle w:val="BodyText"/>
        <w:spacing w:line="352" w:lineRule="auto" w:before="32"/>
        <w:ind w:right="1139"/>
        <w:jc w:val="both"/>
      </w:pPr>
      <w:r>
        <w:rPr/>
        <w:t>培养和造就一支高素质人才队伍；加强核心人才梯队建设，提高团队的凝聚力、创造力和执 行力，不断提升人均效率；提升管理岗位人员的领导力，营造一个有利于员工职业发展的良 好氛围，使公司逐步建设行业内优越的工作环境，吸引人才加入、保持团队稳定。</w:t>
      </w:r>
    </w:p>
    <w:p>
      <w:pPr>
        <w:pStyle w:val="BodyText"/>
        <w:spacing w:line="350" w:lineRule="auto" w:before="33"/>
        <w:ind w:left="634" w:right="0"/>
        <w:jc w:val="left"/>
      </w:pPr>
      <w:r>
        <w:rPr>
          <w:rFonts w:ascii="宋体" w:hAnsi="宋体" w:cs="宋体" w:eastAsia="宋体" w:hint="default"/>
        </w:rPr>
        <w:t>4</w:t>
      </w:r>
      <w:r>
        <w:rPr/>
        <w:t>、优化内控管理，提升公司管理运作水平。 稳步夯实和扩展</w:t>
      </w:r>
      <w:r>
        <w:rPr>
          <w:rFonts w:ascii="宋体" w:hAnsi="宋体" w:cs="宋体" w:eastAsia="宋体" w:hint="default"/>
        </w:rPr>
        <w:t>IRIS</w:t>
      </w:r>
      <w:r>
        <w:rPr/>
        <w:t>质量管理体系在公司的覆盖范围，从研发设计、项目管理、生产控</w:t>
      </w:r>
    </w:p>
    <w:p>
      <w:pPr>
        <w:pStyle w:val="BodyText"/>
        <w:spacing w:line="350" w:lineRule="auto"/>
        <w:ind w:left="634" w:right="0" w:hanging="480"/>
        <w:jc w:val="left"/>
      </w:pPr>
      <w:r>
        <w:rPr/>
        <w:t>制等多个维度不断增强质量管理水平，为打造行业领先的产品质量与品牌建立基础。 优化子公司的管理和组织，控制运营成本，发挥子公司之间的协同效应，加强组织绩效</w:t>
      </w:r>
    </w:p>
    <w:p>
      <w:pPr>
        <w:pStyle w:val="BodyText"/>
        <w:spacing w:line="352" w:lineRule="auto" w:before="35"/>
        <w:ind w:left="634" w:right="0" w:hanging="480"/>
        <w:jc w:val="left"/>
      </w:pPr>
      <w:r>
        <w:rPr/>
        <w:t>管理，努力实现公司销售最大化、成本最小化的经营方针。 持续优化管理流程，保持内控体系有效性，保证经营活动高效率运转，使得内控体系达</w:t>
      </w:r>
    </w:p>
    <w:p>
      <w:pPr>
        <w:pStyle w:val="BodyText"/>
        <w:spacing w:line="240" w:lineRule="auto" w:before="32"/>
        <w:ind w:right="0"/>
        <w:jc w:val="left"/>
      </w:pPr>
      <w:r>
        <w:rPr/>
        <w:t>到权责一致、运行顺畅、执行有力、管理科学的目标。</w:t>
      </w:r>
    </w:p>
    <w:p>
      <w:pPr>
        <w:pStyle w:val="Heading2"/>
        <w:spacing w:line="240" w:lineRule="auto" w:before="145"/>
        <w:ind w:left="636" w:right="0"/>
        <w:jc w:val="left"/>
        <w:rPr>
          <w:b w:val="0"/>
          <w:bCs w:val="0"/>
        </w:rPr>
      </w:pPr>
      <w:r>
        <w:rPr/>
        <w:t>（四）资金需求计划</w:t>
      </w:r>
      <w:r>
        <w:rPr>
          <w:b w:val="0"/>
          <w:bCs w:val="0"/>
        </w:rPr>
      </w:r>
    </w:p>
    <w:p>
      <w:pPr>
        <w:pStyle w:val="BodyText"/>
        <w:spacing w:line="240" w:lineRule="auto" w:before="146"/>
        <w:ind w:left="636" w:right="0"/>
        <w:jc w:val="left"/>
      </w:pPr>
      <w:r>
        <w:rPr/>
        <w:t>针对</w:t>
      </w:r>
      <w:r>
        <w:rPr>
          <w:spacing w:val="-51"/>
        </w:rPr>
        <w:t> </w:t>
      </w:r>
      <w:r>
        <w:rPr>
          <w:rFonts w:ascii="宋体" w:hAnsi="宋体" w:cs="宋体" w:eastAsia="宋体" w:hint="default"/>
        </w:rPr>
        <w:t>2019</w:t>
      </w:r>
      <w:r>
        <w:rPr>
          <w:rFonts w:ascii="宋体" w:hAnsi="宋体" w:cs="宋体" w:eastAsia="宋体" w:hint="default"/>
          <w:spacing w:val="-51"/>
        </w:rPr>
        <w:t> </w:t>
      </w:r>
      <w:r>
        <w:rPr>
          <w:spacing w:val="-3"/>
        </w:rPr>
        <w:t>年的资金使用及需求，公司将严格按照中国证监会和深圳证券交易所对募集资</w:t>
      </w:r>
    </w:p>
    <w:p>
      <w:pPr>
        <w:pStyle w:val="BodyText"/>
        <w:spacing w:line="350" w:lineRule="auto" w:before="145"/>
        <w:ind w:left="636" w:right="1150" w:hanging="483"/>
        <w:jc w:val="left"/>
      </w:pPr>
      <w:r>
        <w:rPr/>
        <w:t>金的各项要求，规范公司</w:t>
      </w:r>
      <w:r>
        <w:rPr>
          <w:spacing w:val="-60"/>
        </w:rPr>
        <w:t> </w:t>
      </w:r>
      <w:r>
        <w:rPr>
          <w:rFonts w:ascii="宋体" w:hAnsi="宋体" w:cs="宋体" w:eastAsia="宋体" w:hint="default"/>
        </w:rPr>
        <w:t>2013</w:t>
      </w:r>
      <w:r>
        <w:rPr>
          <w:rFonts w:ascii="宋体" w:hAnsi="宋体" w:cs="宋体" w:eastAsia="宋体" w:hint="default"/>
          <w:spacing w:val="-60"/>
        </w:rPr>
        <w:t> </w:t>
      </w:r>
      <w:r>
        <w:rPr/>
        <w:t>年度非公开发行募集资金的使用。 未来，公司将结合发展目标，制定切实可行的资金使用和筹措计划，不排除利用信贷、</w:t>
      </w:r>
    </w:p>
    <w:p>
      <w:pPr>
        <w:pStyle w:val="BodyText"/>
        <w:spacing w:line="240" w:lineRule="auto"/>
        <w:ind w:right="0"/>
        <w:jc w:val="left"/>
      </w:pPr>
      <w:r>
        <w:rPr/>
        <w:t>债券等多种方式筹措资金。</w:t>
      </w:r>
    </w:p>
    <w:p>
      <w:pPr>
        <w:pStyle w:val="Heading2"/>
        <w:spacing w:line="240" w:lineRule="auto" w:before="146"/>
        <w:ind w:left="636" w:right="0"/>
        <w:jc w:val="left"/>
        <w:rPr>
          <w:b w:val="0"/>
          <w:bCs w:val="0"/>
        </w:rPr>
      </w:pPr>
      <w:r>
        <w:rPr/>
        <w:t>（五）可能面对的风险</w:t>
      </w:r>
      <w:r>
        <w:rPr>
          <w:b w:val="0"/>
          <w:bCs w:val="0"/>
        </w:rPr>
      </w:r>
    </w:p>
    <w:p>
      <w:pPr>
        <w:pStyle w:val="BodyText"/>
        <w:spacing w:line="240" w:lineRule="auto" w:before="145"/>
        <w:ind w:left="636" w:right="0"/>
        <w:jc w:val="left"/>
      </w:pPr>
      <w:r>
        <w:rPr/>
        <w:t>详见“第一节 重要提示、目录和释义”中所列风险因素。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十、接待调研、沟通、采访等活动" w:id="58"/>
      <w:bookmarkEnd w:id="58"/>
      <w:r>
        <w:rPr>
          <w:b w:val="0"/>
          <w:bCs w:val="0"/>
        </w:rPr>
      </w:r>
      <w:r>
        <w:rPr/>
        <w:t>十、接待调研、沟通、采访等活动</w:t>
      </w:r>
      <w:r>
        <w:rPr>
          <w:b w:val="0"/>
          <w:bCs w:val="0"/>
        </w:rPr>
      </w:r>
    </w:p>
    <w:p>
      <w:pPr>
        <w:spacing w:line="240" w:lineRule="auto" w:before="9"/>
        <w:rPr>
          <w:rFonts w:ascii="宋体" w:hAnsi="宋体" w:cs="宋体" w:eastAsia="宋体" w:hint="default"/>
          <w:b/>
          <w:bCs/>
          <w:sz w:val="22"/>
          <w:szCs w:val="22"/>
        </w:rPr>
      </w:pPr>
    </w:p>
    <w:p>
      <w:pPr>
        <w:pStyle w:val="Heading2"/>
        <w:spacing w:line="240" w:lineRule="auto" w:before="0"/>
        <w:ind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17"/>
          <w:szCs w:val="17"/>
        </w:rPr>
      </w:pPr>
    </w:p>
    <w:p>
      <w:pPr>
        <w:pStyle w:val="BodyText"/>
        <w:spacing w:line="350" w:lineRule="auto" w:before="0"/>
        <w:ind w:left="636" w:right="4750"/>
        <w:jc w:val="left"/>
      </w:pPr>
      <w:r>
        <w:rPr/>
        <w:t>□ 适用 √ 不适用 公司报告期内未发生接待调研、沟通、采访等活动。</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112"/>
        <w:jc w:val="center"/>
        <w:rPr>
          <w:b w:val="0"/>
          <w:bCs w:val="0"/>
        </w:rPr>
      </w:pPr>
      <w:bookmarkStart w:name="第五节 重要事项" w:id="60"/>
      <w:bookmarkEnd w:id="60"/>
      <w:r>
        <w:rPr>
          <w:b w:val="0"/>
          <w:bCs w:val="0"/>
        </w:rPr>
      </w:r>
      <w:bookmarkStart w:name="_bookmark4" w:id="61"/>
      <w:bookmarkEnd w:id="61"/>
      <w:r>
        <w:rPr>
          <w:b w:val="0"/>
          <w:bCs w:val="0"/>
        </w:rPr>
      </w:r>
      <w:r>
        <w:rPr/>
        <w:t>第五节</w:t>
      </w:r>
      <w:r>
        <w:rPr>
          <w:spacing w:val="-5"/>
        </w:rPr>
        <w:t> </w:t>
      </w:r>
      <w:r>
        <w:rPr/>
        <w:t>重要事项</w:t>
      </w:r>
      <w:r>
        <w:rPr>
          <w:b w:val="0"/>
          <w:bCs w:val="0"/>
        </w:rPr>
      </w:r>
    </w:p>
    <w:p>
      <w:pPr>
        <w:spacing w:line="740" w:lineRule="atLeast" w:before="83"/>
        <w:ind w:left="636" w:right="2110" w:hanging="483"/>
        <w:jc w:val="left"/>
        <w:rPr>
          <w:rFonts w:ascii="宋体" w:hAnsi="宋体" w:cs="宋体" w:eastAsia="宋体" w:hint="default"/>
          <w:sz w:val="24"/>
          <w:szCs w:val="24"/>
        </w:rPr>
      </w:pPr>
      <w:bookmarkStart w:name="一、公司普通股利润分配及资本公积金转增股本情况" w:id="62"/>
      <w:bookmarkEnd w:id="62"/>
      <w:r>
        <w:rPr/>
      </w:r>
      <w:r>
        <w:rPr>
          <w:rFonts w:ascii="宋体" w:hAnsi="宋体" w:cs="宋体" w:eastAsia="宋体" w:hint="default"/>
          <w:b/>
          <w:bCs/>
          <w:sz w:val="24"/>
          <w:szCs w:val="24"/>
        </w:rPr>
        <w:t>一、公司普通股利润分配及资本公积金转增股本情况</w:t>
      </w:r>
      <w:r>
        <w:rPr>
          <w:rFonts w:ascii="宋体" w:hAnsi="宋体" w:cs="宋体" w:eastAsia="宋体" w:hint="default"/>
          <w:b/>
          <w:bCs/>
          <w:w w:val="99"/>
          <w:sz w:val="24"/>
          <w:szCs w:val="24"/>
        </w:rPr>
        <w:t> </w:t>
      </w:r>
      <w:r>
        <w:rPr>
          <w:rFonts w:ascii="宋体" w:hAnsi="宋体" w:cs="宋体" w:eastAsia="宋体" w:hint="default"/>
          <w:sz w:val="24"/>
          <w:szCs w:val="24"/>
        </w:rPr>
        <w:t>报告期内普通股利润分配政策，特别是现金分红政策的制定、执行或调整情况</w:t>
      </w:r>
    </w:p>
    <w:p>
      <w:pPr>
        <w:pStyle w:val="BodyText"/>
        <w:spacing w:line="350" w:lineRule="auto" w:before="145"/>
        <w:ind w:left="636" w:right="1150"/>
        <w:jc w:val="left"/>
      </w:pPr>
      <w:r>
        <w:rPr/>
        <w:t>√ 适用 □ 不适用 报告期内，公司实行持续、稳定的利润分配政策，分红政策的制定、执行符合公司章程</w:t>
      </w:r>
    </w:p>
    <w:p>
      <w:pPr>
        <w:pStyle w:val="BodyText"/>
        <w:spacing w:line="350" w:lineRule="auto"/>
        <w:ind w:right="994"/>
        <w:jc w:val="left"/>
      </w:pPr>
      <w:r>
        <w:rPr/>
        <w:t>的规定及股东大会决议的要求，分红标准明确，分红比例清晰，决策程序完备。独立董事对 </w:t>
      </w:r>
      <w:r>
        <w:rPr>
          <w:spacing w:val="-2"/>
        </w:rPr>
        <w:t>分红事项充分发表了意见，利润分配政策均提交股东大会审议，中小股东权益得到充分保护，</w:t>
      </w:r>
      <w:r>
        <w:rPr/>
        <w:t> 促进公司更好的发展。</w:t>
      </w:r>
    </w:p>
    <w:p>
      <w:pPr>
        <w:pStyle w:val="BodyText"/>
        <w:spacing w:line="350" w:lineRule="auto"/>
        <w:ind w:right="1132" w:firstLine="482"/>
        <w:jc w:val="both"/>
      </w:pPr>
      <w:r>
        <w:rPr/>
        <w:pict>
          <v:shape style="position:absolute;margin-left:57.029999pt;margin-top:135.415619pt;width:478.6pt;height:141.2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58"/>
                    <w:gridCol w:w="1499"/>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9"/>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2" w:hRule="exact"/>
                    </w:trPr>
                    <w:tc>
                      <w:tcPr>
                        <w:tcW w:w="8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1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1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1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1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1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1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p>
              </w:txbxContent>
            </v:textbox>
            <w10:wrap type="none"/>
          </v:shape>
        </w:pict>
      </w:r>
      <w:r>
        <w:rPr>
          <w:spacing w:val="-7"/>
        </w:rPr>
        <w:t>根据中国证监会《关于进一步落实上市公司现金分红有关事项的通知》、《上市公司监管</w:t>
      </w:r>
      <w:r>
        <w:rPr/>
        <w:t> 指引第</w:t>
      </w:r>
      <w:r>
        <w:rPr>
          <w:spacing w:val="-54"/>
        </w:rPr>
        <w:t> </w:t>
      </w:r>
      <w:r>
        <w:rPr>
          <w:rFonts w:ascii="宋体" w:hAnsi="宋体" w:cs="宋体" w:eastAsia="宋体" w:hint="default"/>
        </w:rPr>
        <w:t>3</w:t>
      </w:r>
      <w:r>
        <w:rPr>
          <w:rFonts w:ascii="宋体" w:hAnsi="宋体" w:cs="宋体" w:eastAsia="宋体" w:hint="default"/>
          <w:spacing w:val="-54"/>
        </w:rPr>
        <w:t> </w:t>
      </w:r>
      <w:r>
        <w:rPr>
          <w:spacing w:val="-7"/>
        </w:rPr>
        <w:t>号—上市公司现金分红》、《关于鼓励上市公司兼并重组、现金分红及回购股份的通</w:t>
      </w:r>
      <w:r>
        <w:rPr>
          <w:spacing w:val="-115"/>
        </w:rPr>
        <w:t> </w:t>
      </w:r>
      <w:r>
        <w:rPr>
          <w:spacing w:val="-115"/>
        </w:rPr>
      </w:r>
      <w:r>
        <w:rPr/>
        <w:t>知》等相关规定以及《公司章程》的约定，综合考虑公司所处行业特征、公司发展战略和经 营计划、股东回报、社会资金成本以及外部融资环境等因素，制订《公司未来三年股东回报 </w:t>
      </w:r>
      <w:r>
        <w:rPr>
          <w:spacing w:val="-3"/>
        </w:rPr>
        <w:t>规划（</w:t>
      </w:r>
      <w:r>
        <w:rPr>
          <w:rFonts w:ascii="宋体" w:hAnsi="宋体" w:cs="宋体" w:eastAsia="宋体" w:hint="default"/>
          <w:spacing w:val="-3"/>
        </w:rPr>
        <w:t>2018-2020</w:t>
      </w:r>
      <w:r>
        <w:rPr>
          <w:rFonts w:ascii="宋体" w:hAnsi="宋体" w:cs="宋体" w:eastAsia="宋体" w:hint="default"/>
          <w:spacing w:val="-59"/>
        </w:rPr>
        <w:t> </w:t>
      </w:r>
      <w:r>
        <w:rPr>
          <w:spacing w:val="-34"/>
        </w:rPr>
        <w:t>年）》，已经公司</w:t>
      </w:r>
      <w:r>
        <w:rPr>
          <w:spacing w:val="-59"/>
        </w:rPr>
        <w:t> </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w:t>
      </w:r>
      <w:r>
        <w:rPr>
          <w:spacing w:val="-59"/>
        </w:rPr>
        <w:t> </w:t>
      </w:r>
      <w:r>
        <w:rPr>
          <w:rFonts w:ascii="宋体" w:hAnsi="宋体" w:cs="宋体" w:eastAsia="宋体" w:hint="default"/>
        </w:rPr>
        <w:t>23</w:t>
      </w:r>
      <w:r>
        <w:rPr>
          <w:rFonts w:ascii="宋体" w:hAnsi="宋体" w:cs="宋体" w:eastAsia="宋体" w:hint="default"/>
          <w:spacing w:val="-59"/>
        </w:rPr>
        <w:t> </w:t>
      </w:r>
      <w:r>
        <w:rPr>
          <w:spacing w:val="-5"/>
        </w:rPr>
        <w:t>日、</w:t>
      </w:r>
      <w:r>
        <w:rPr>
          <w:rFonts w:ascii="宋体" w:hAnsi="宋体" w:cs="宋体" w:eastAsia="宋体" w:hint="default"/>
          <w:spacing w:val="-5"/>
        </w:rPr>
        <w:t>2018</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29</w:t>
      </w:r>
      <w:r>
        <w:rPr>
          <w:rFonts w:ascii="宋体" w:hAnsi="宋体" w:cs="宋体" w:eastAsia="宋体" w:hint="default"/>
          <w:spacing w:val="-59"/>
        </w:rPr>
        <w:t> </w:t>
      </w:r>
      <w:r>
        <w:rPr/>
        <w:t>日召开的第六届董事会 第十二次会议、</w:t>
      </w:r>
      <w:r>
        <w:rPr>
          <w:rFonts w:ascii="宋体" w:hAnsi="宋体" w:cs="宋体" w:eastAsia="宋体" w:hint="default"/>
        </w:rPr>
        <w:t>2017</w:t>
      </w:r>
      <w:r>
        <w:rPr>
          <w:rFonts w:ascii="宋体" w:hAnsi="宋体" w:cs="宋体" w:eastAsia="宋体" w:hint="default"/>
          <w:spacing w:val="-60"/>
        </w:rPr>
        <w:t> </w:t>
      </w:r>
      <w:r>
        <w:rPr/>
        <w:t>年年度股东大会审议通过。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26"/>
        <w:ind w:left="636" w:right="0"/>
        <w:jc w:val="left"/>
      </w:pPr>
      <w:r>
        <w:rPr/>
        <w:t>公司近</w:t>
      </w:r>
      <w:r>
        <w:rPr>
          <w:spacing w:val="-60"/>
        </w:rPr>
        <w:t> </w:t>
      </w:r>
      <w:r>
        <w:rPr>
          <w:rFonts w:ascii="宋体" w:hAnsi="宋体" w:cs="宋体" w:eastAsia="宋体" w:hint="default"/>
        </w:rPr>
        <w:t>3</w:t>
      </w:r>
      <w:r>
        <w:rPr>
          <w:rFonts w:ascii="宋体" w:hAnsi="宋体" w:cs="宋体" w:eastAsia="宋体" w:hint="default"/>
          <w:spacing w:val="-60"/>
        </w:rPr>
        <w:t> </w:t>
      </w:r>
      <w:r>
        <w:rPr>
          <w:spacing w:val="-22"/>
        </w:rPr>
        <w:t>年</w:t>
      </w:r>
      <w:r>
        <w:rPr/>
        <w:t>（包括本报告期</w:t>
      </w:r>
      <w:r>
        <w:rPr>
          <w:spacing w:val="-22"/>
        </w:rPr>
        <w:t>）</w:t>
      </w:r>
      <w:r>
        <w:rPr/>
        <w:t>的普通股股利分配方</w:t>
      </w:r>
      <w:r>
        <w:rPr>
          <w:spacing w:val="-22"/>
        </w:rPr>
        <w:t>案</w:t>
      </w:r>
      <w:r>
        <w:rPr/>
        <w:t>（预案</w:t>
      </w:r>
      <w:r>
        <w:rPr>
          <w:spacing w:val="-120"/>
        </w:rPr>
        <w:t>）</w:t>
      </w:r>
      <w:r>
        <w:rPr>
          <w:spacing w:val="-22"/>
        </w:rPr>
        <w:t>、</w:t>
      </w:r>
      <w:r>
        <w:rPr/>
        <w:t>资本公积金转增股本方案</w:t>
      </w:r>
    </w:p>
    <w:p>
      <w:pPr>
        <w:pStyle w:val="BodyText"/>
        <w:spacing w:line="240" w:lineRule="auto" w:before="145"/>
        <w:ind w:right="0"/>
        <w:jc w:val="left"/>
      </w:pPr>
      <w:r>
        <w:rPr/>
        <w:t>（预案）情况</w:t>
      </w:r>
    </w:p>
    <w:p>
      <w:pPr>
        <w:pStyle w:val="BodyText"/>
        <w:spacing w:line="240" w:lineRule="auto" w:before="146"/>
        <w:ind w:left="636" w:right="0"/>
        <w:jc w:val="left"/>
      </w:pPr>
      <w:r>
        <w:rPr>
          <w:rFonts w:ascii="宋体" w:hAnsi="宋体" w:cs="宋体" w:eastAsia="宋体" w:hint="default"/>
          <w:spacing w:val="-12"/>
        </w:rPr>
        <w:t>1</w:t>
      </w:r>
      <w:r>
        <w:rPr>
          <w:spacing w:val="-12"/>
        </w:rPr>
        <w:t>、</w:t>
      </w:r>
      <w:r>
        <w:rPr>
          <w:rFonts w:ascii="宋体" w:hAnsi="宋体" w:cs="宋体" w:eastAsia="宋体" w:hint="default"/>
          <w:spacing w:val="-12"/>
        </w:rPr>
        <w:t>2016</w:t>
      </w:r>
      <w:r>
        <w:rPr>
          <w:rFonts w:ascii="宋体" w:hAnsi="宋体" w:cs="宋体" w:eastAsia="宋体" w:hint="default"/>
          <w:spacing w:val="-60"/>
        </w:rPr>
        <w:t> </w:t>
      </w:r>
      <w:r>
        <w:rPr>
          <w:spacing w:val="-6"/>
        </w:rPr>
        <w:t>年度利润分配方案为：以公司</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日总股本</w:t>
      </w:r>
      <w:r>
        <w:rPr>
          <w:spacing w:val="-60"/>
        </w:rPr>
        <w:t> </w:t>
      </w:r>
      <w:r>
        <w:rPr>
          <w:rFonts w:ascii="宋体" w:hAnsi="宋体" w:cs="宋体" w:eastAsia="宋体" w:hint="default"/>
        </w:rPr>
        <w:t>376,656,420</w:t>
      </w:r>
      <w:r>
        <w:rPr>
          <w:rFonts w:ascii="宋体" w:hAnsi="宋体" w:cs="宋体" w:eastAsia="宋体" w:hint="default"/>
          <w:spacing w:val="-60"/>
        </w:rPr>
        <w:t> </w:t>
      </w:r>
      <w:r>
        <w:rPr/>
        <w:t>股为基数，</w:t>
      </w:r>
    </w:p>
    <w:p>
      <w:pPr>
        <w:pStyle w:val="BodyText"/>
        <w:spacing w:line="350" w:lineRule="auto" w:before="145"/>
        <w:ind w:left="636" w:right="1150" w:hanging="483"/>
        <w:jc w:val="left"/>
      </w:pPr>
      <w:r>
        <w:rPr/>
        <w:t>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股派发现金红利</w:t>
      </w:r>
      <w:r>
        <w:rPr>
          <w:spacing w:val="-60"/>
        </w:rPr>
        <w:t> </w:t>
      </w:r>
      <w:r>
        <w:rPr>
          <w:rFonts w:ascii="宋体" w:hAnsi="宋体" w:cs="宋体" w:eastAsia="宋体" w:hint="default"/>
        </w:rPr>
        <w:t>0.10</w:t>
      </w:r>
      <w:r>
        <w:rPr>
          <w:rFonts w:ascii="宋体" w:hAnsi="宋体" w:cs="宋体" w:eastAsia="宋体" w:hint="default"/>
          <w:spacing w:val="-60"/>
        </w:rPr>
        <w:t> </w:t>
      </w:r>
      <w:r>
        <w:rPr>
          <w:spacing w:val="-6"/>
        </w:rPr>
        <w:t>元（含税），不送红股，不以公积金转增股本。</w:t>
      </w:r>
      <w:r>
        <w:rPr>
          <w:spacing w:val="-116"/>
        </w:rPr>
        <w:t> </w:t>
      </w:r>
      <w:r>
        <w:rPr>
          <w:spacing w:val="-116"/>
        </w:rPr>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60"/>
        </w:rPr>
        <w:t> </w:t>
      </w:r>
      <w:r>
        <w:rPr/>
        <w:t>年度利润分配方案为：</w:t>
      </w:r>
      <w:r>
        <w:rPr>
          <w:rFonts w:ascii="宋体" w:hAnsi="宋体" w:cs="宋体" w:eastAsia="宋体" w:hint="default"/>
        </w:rPr>
        <w:t>2017</w:t>
      </w:r>
      <w:r>
        <w:rPr>
          <w:rFonts w:ascii="宋体" w:hAnsi="宋体" w:cs="宋体" w:eastAsia="宋体" w:hint="default"/>
          <w:spacing w:val="-60"/>
        </w:rPr>
        <w:t> </w:t>
      </w:r>
      <w:r>
        <w:rPr/>
        <w:t>年度不进行利润分配，不以公积金转增股本，未分</w:t>
      </w:r>
    </w:p>
    <w:p>
      <w:pPr>
        <w:pStyle w:val="BodyText"/>
        <w:spacing w:line="240" w:lineRule="auto"/>
        <w:ind w:right="0"/>
        <w:jc w:val="left"/>
      </w:pPr>
      <w:r>
        <w:rPr/>
        <w:t>配利润结转下一年度。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50" w:firstLine="482"/>
        <w:jc w:val="left"/>
      </w:pPr>
      <w:r>
        <w:rPr>
          <w:rFonts w:ascii="宋体" w:hAnsi="宋体" w:cs="宋体" w:eastAsia="宋体" w:hint="default"/>
        </w:rPr>
        <w:t>3</w:t>
      </w:r>
      <w:r>
        <w:rPr/>
        <w:t>、</w:t>
      </w:r>
      <w:r>
        <w:rPr>
          <w:rFonts w:ascii="宋体" w:hAnsi="宋体" w:cs="宋体" w:eastAsia="宋体" w:hint="default"/>
        </w:rPr>
        <w:t>2018</w:t>
      </w:r>
      <w:r>
        <w:rPr>
          <w:rFonts w:ascii="宋体" w:hAnsi="宋体" w:cs="宋体" w:eastAsia="宋体" w:hint="default"/>
          <w:spacing w:val="-60"/>
        </w:rPr>
        <w:t> </w:t>
      </w:r>
      <w:r>
        <w:rPr/>
        <w:t>年度利润分配方案为：</w:t>
      </w:r>
      <w:r>
        <w:rPr>
          <w:rFonts w:ascii="宋体" w:hAnsi="宋体" w:cs="宋体" w:eastAsia="宋体" w:hint="default"/>
        </w:rPr>
        <w:t>2018</w:t>
      </w:r>
      <w:r>
        <w:rPr>
          <w:rFonts w:ascii="宋体" w:hAnsi="宋体" w:cs="宋体" w:eastAsia="宋体" w:hint="default"/>
          <w:spacing w:val="-60"/>
        </w:rPr>
        <w:t> </w:t>
      </w:r>
      <w:r>
        <w:rPr/>
        <w:t>年度不进行利润分配，不以公积金转增股本，未分 配利润结转下一年度。</w:t>
      </w:r>
    </w:p>
    <w:p>
      <w:pPr>
        <w:pStyle w:val="BodyText"/>
        <w:spacing w:line="240" w:lineRule="auto"/>
        <w:ind w:left="636" w:right="0"/>
        <w:jc w:val="left"/>
      </w:pPr>
      <w:r>
        <w:rPr/>
        <w:t>公司近三年（包括本报告期）普通股现金分红情况表</w:t>
      </w:r>
    </w:p>
    <w:p>
      <w:pPr>
        <w:spacing w:before="10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97" w:type="dxa"/>
        <w:tblLayout w:type="fixed"/>
        <w:tblCellMar>
          <w:top w:w="0" w:type="dxa"/>
          <w:left w:w="0" w:type="dxa"/>
          <w:bottom w:w="0" w:type="dxa"/>
          <w:right w:w="0" w:type="dxa"/>
        </w:tblCellMar>
        <w:tblLook w:val="01E0"/>
      </w:tblPr>
      <w:tblGrid>
        <w:gridCol w:w="934"/>
        <w:gridCol w:w="991"/>
        <w:gridCol w:w="1277"/>
        <w:gridCol w:w="1275"/>
        <w:gridCol w:w="851"/>
        <w:gridCol w:w="1477"/>
        <w:gridCol w:w="1134"/>
        <w:gridCol w:w="1579"/>
      </w:tblGrid>
      <w:tr>
        <w:trPr>
          <w:trHeight w:val="161" w:hRule="exact"/>
        </w:trPr>
        <w:tc>
          <w:tcPr>
            <w:tcW w:w="934"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06" w:right="106"/>
              <w:jc w:val="center"/>
              <w:rPr>
                <w:rFonts w:ascii="宋体" w:hAnsi="宋体" w:cs="宋体" w:eastAsia="宋体" w:hint="default"/>
                <w:sz w:val="21"/>
                <w:szCs w:val="21"/>
              </w:rPr>
            </w:pPr>
            <w:r>
              <w:rPr>
                <w:rFonts w:ascii="宋体" w:hAnsi="宋体" w:cs="宋体" w:eastAsia="宋体" w:hint="default"/>
                <w:sz w:val="21"/>
                <w:szCs w:val="21"/>
              </w:rPr>
              <w:t>现金分红金 额占合并报 表中归属于 上市公司普 通股股东的 净利润的比 率</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5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934"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2" w:right="20" w:hanging="1"/>
              <w:jc w:val="center"/>
              <w:rPr>
                <w:rFonts w:ascii="宋体" w:hAnsi="宋体" w:cs="宋体" w:eastAsia="宋体" w:hint="default"/>
                <w:sz w:val="21"/>
                <w:szCs w:val="21"/>
              </w:rPr>
            </w:pPr>
            <w:r>
              <w:rPr>
                <w:rFonts w:ascii="宋体" w:hAnsi="宋体" w:cs="宋体" w:eastAsia="宋体" w:hint="default"/>
                <w:sz w:val="21"/>
                <w:szCs w:val="21"/>
              </w:rPr>
              <w:t>以其他 </w:t>
            </w:r>
            <w:r>
              <w:rPr>
                <w:rFonts w:ascii="宋体" w:hAnsi="宋体" w:cs="宋体" w:eastAsia="宋体" w:hint="default"/>
                <w:spacing w:val="-12"/>
                <w:sz w:val="21"/>
                <w:szCs w:val="21"/>
              </w:rPr>
              <w:t>方式（如</w:t>
            </w:r>
            <w:r>
              <w:rPr>
                <w:rFonts w:ascii="宋体" w:hAnsi="宋体" w:cs="宋体" w:eastAsia="宋体" w:hint="default"/>
                <w:sz w:val="21"/>
                <w:szCs w:val="21"/>
              </w:rPr>
              <w:t> 回购股 </w:t>
            </w:r>
            <w:r>
              <w:rPr>
                <w:rFonts w:ascii="宋体" w:hAnsi="宋体" w:cs="宋体" w:eastAsia="宋体" w:hint="default"/>
                <w:spacing w:val="-12"/>
                <w:sz w:val="21"/>
                <w:szCs w:val="21"/>
              </w:rPr>
              <w:t>份）现金</w:t>
            </w:r>
            <w:r>
              <w:rPr>
                <w:rFonts w:ascii="宋体" w:hAnsi="宋体" w:cs="宋体" w:eastAsia="宋体" w:hint="default"/>
                <w:sz w:val="21"/>
                <w:szCs w:val="21"/>
              </w:rPr>
              <w:t> 分红的 金额</w:t>
            </w:r>
          </w:p>
        </w:tc>
        <w:tc>
          <w:tcPr>
            <w:tcW w:w="147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03" w:right="102"/>
              <w:jc w:val="both"/>
              <w:rPr>
                <w:rFonts w:ascii="宋体" w:hAnsi="宋体" w:cs="宋体" w:eastAsia="宋体" w:hint="default"/>
                <w:sz w:val="21"/>
                <w:szCs w:val="21"/>
              </w:rPr>
            </w:pPr>
            <w:r>
              <w:rPr>
                <w:rFonts w:ascii="宋体" w:hAnsi="宋体" w:cs="宋体" w:eastAsia="宋体" w:hint="default"/>
                <w:sz w:val="21"/>
                <w:szCs w:val="21"/>
              </w:rPr>
              <w:t>以其他方式现 金分红金额占 合并报表中归 属于上市公司 普通股股东的 净利润的比例</w:t>
            </w:r>
          </w:p>
        </w:tc>
        <w:tc>
          <w:tcPr>
            <w:tcW w:w="1134" w:type="dxa"/>
            <w:vMerge/>
            <w:tcBorders>
              <w:left w:val="single" w:sz="4" w:space="0" w:color="000000"/>
              <w:right w:val="single" w:sz="4" w:space="0" w:color="000000"/>
            </w:tcBorders>
            <w:shd w:val="clear" w:color="auto" w:fill="D2D2D2"/>
          </w:tcPr>
          <w:p>
            <w:pPr/>
          </w:p>
        </w:tc>
        <w:tc>
          <w:tcPr>
            <w:tcW w:w="15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现金分红总额</w:t>
            </w:r>
          </w:p>
          <w:p>
            <w:pPr>
              <w:pStyle w:val="TableParagraph"/>
              <w:spacing w:line="273" w:lineRule="auto" w:before="36"/>
              <w:ind w:left="49" w:right="48"/>
              <w:jc w:val="center"/>
              <w:rPr>
                <w:rFonts w:ascii="宋体" w:hAnsi="宋体" w:cs="宋体" w:eastAsia="宋体" w:hint="default"/>
                <w:sz w:val="21"/>
                <w:szCs w:val="21"/>
              </w:rPr>
            </w:pPr>
            <w:r>
              <w:rPr>
                <w:rFonts w:ascii="宋体" w:hAnsi="宋体" w:cs="宋体" w:eastAsia="宋体" w:hint="default"/>
                <w:sz w:val="21"/>
                <w:szCs w:val="21"/>
              </w:rPr>
              <w:t>（含其他方式） 占合并报表中归 属于上市公司普 通股股东的净利 润的比率</w:t>
            </w:r>
          </w:p>
        </w:tc>
      </w:tr>
      <w:tr>
        <w:trPr>
          <w:trHeight w:val="312" w:hRule="exact"/>
        </w:trPr>
        <w:tc>
          <w:tcPr>
            <w:tcW w:w="934"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08" w:right="107"/>
              <w:jc w:val="both"/>
              <w:rPr>
                <w:rFonts w:ascii="宋体" w:hAnsi="宋体" w:cs="宋体" w:eastAsia="宋体" w:hint="default"/>
                <w:sz w:val="21"/>
                <w:szCs w:val="21"/>
              </w:rPr>
            </w:pPr>
            <w:r>
              <w:rPr>
                <w:rFonts w:ascii="宋体" w:hAnsi="宋体" w:cs="宋体" w:eastAsia="宋体" w:hint="default"/>
                <w:sz w:val="21"/>
                <w:szCs w:val="21"/>
              </w:rPr>
              <w:t>分红年度合 并报表中归 属于上市公 司普通股股 东的净利润</w:t>
            </w:r>
          </w:p>
        </w:tc>
        <w:tc>
          <w:tcPr>
            <w:tcW w:w="1275"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477"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579" w:type="dxa"/>
            <w:vMerge/>
            <w:tcBorders>
              <w:left w:val="single" w:sz="4" w:space="0" w:color="000000"/>
              <w:right w:val="single" w:sz="4" w:space="0" w:color="000000"/>
            </w:tcBorders>
            <w:shd w:val="clear" w:color="auto" w:fill="D2D2D2"/>
          </w:tcPr>
          <w:p>
            <w:pPr/>
          </w:p>
        </w:tc>
      </w:tr>
      <w:tr>
        <w:trPr>
          <w:trHeight w:val="312" w:hRule="exact"/>
        </w:trPr>
        <w:tc>
          <w:tcPr>
            <w:tcW w:w="934"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70" w:right="68"/>
              <w:jc w:val="center"/>
              <w:rPr>
                <w:rFonts w:ascii="宋体" w:hAnsi="宋体" w:cs="宋体" w:eastAsia="宋体" w:hint="default"/>
                <w:sz w:val="21"/>
                <w:szCs w:val="21"/>
              </w:rPr>
            </w:pPr>
            <w:r>
              <w:rPr>
                <w:rFonts w:ascii="宋体" w:hAnsi="宋体" w:cs="宋体" w:eastAsia="宋体" w:hint="default"/>
                <w:sz w:val="21"/>
                <w:szCs w:val="21"/>
              </w:rPr>
              <w:t>现金分红 金额（含 税）</w:t>
            </w:r>
          </w:p>
        </w:tc>
        <w:tc>
          <w:tcPr>
            <w:tcW w:w="127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477"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5" w:right="36"/>
              <w:jc w:val="center"/>
              <w:rPr>
                <w:rFonts w:ascii="宋体" w:hAnsi="宋体" w:cs="宋体" w:eastAsia="宋体" w:hint="default"/>
                <w:sz w:val="21"/>
                <w:szCs w:val="21"/>
              </w:rPr>
            </w:pPr>
            <w:r>
              <w:rPr>
                <w:rFonts w:ascii="宋体" w:hAnsi="宋体" w:cs="宋体" w:eastAsia="宋体" w:hint="default"/>
                <w:sz w:val="21"/>
                <w:szCs w:val="21"/>
              </w:rPr>
              <w:t>现金分红总 额（含其他 方式）</w:t>
            </w:r>
          </w:p>
        </w:tc>
        <w:tc>
          <w:tcPr>
            <w:tcW w:w="1579" w:type="dxa"/>
            <w:vMerge/>
            <w:tcBorders>
              <w:left w:val="single" w:sz="4" w:space="0" w:color="000000"/>
              <w:right w:val="single" w:sz="4" w:space="0" w:color="000000"/>
            </w:tcBorders>
            <w:shd w:val="clear" w:color="auto" w:fill="D2D2D2"/>
          </w:tcPr>
          <w:p>
            <w:pPr/>
          </w:p>
        </w:tc>
      </w:tr>
      <w:tr>
        <w:trPr>
          <w:trHeight w:val="392" w:hRule="exact"/>
        </w:trPr>
        <w:tc>
          <w:tcPr>
            <w:tcW w:w="934" w:type="dxa"/>
            <w:tcBorders>
              <w:top w:val="nil" w:sz="6" w:space="0" w:color="auto"/>
              <w:left w:val="single" w:sz="13" w:space="0" w:color="D2D2D2"/>
              <w:bottom w:val="nil" w:sz="6" w:space="0" w:color="auto"/>
              <w:right w:val="single" w:sz="9" w:space="0" w:color="D2D2D2"/>
            </w:tcBorders>
          </w:tcPr>
          <w:p>
            <w:pPr>
              <w:pStyle w:val="TableParagraph"/>
              <w:spacing w:line="240" w:lineRule="auto" w:before="26"/>
              <w:ind w:left="2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分红年度</w:t>
            </w:r>
            <w:r>
              <w:rPr>
                <w:rFonts w:ascii="宋体" w:hAnsi="宋体" w:cs="宋体" w:eastAsia="宋体" w:hint="default"/>
                <w:sz w:val="21"/>
                <w:szCs w:val="21"/>
              </w:rPr>
            </w:r>
          </w:p>
        </w:tc>
        <w:tc>
          <w:tcPr>
            <w:tcW w:w="991"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477"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579" w:type="dxa"/>
            <w:vMerge/>
            <w:tcBorders>
              <w:left w:val="single" w:sz="4" w:space="0" w:color="000000"/>
              <w:right w:val="single" w:sz="4" w:space="0" w:color="000000"/>
            </w:tcBorders>
            <w:shd w:val="clear" w:color="auto" w:fill="D2D2D2"/>
          </w:tcPr>
          <w:p>
            <w:pPr/>
          </w:p>
        </w:tc>
      </w:tr>
      <w:tr>
        <w:trPr>
          <w:trHeight w:val="312" w:hRule="exact"/>
        </w:trPr>
        <w:tc>
          <w:tcPr>
            <w:tcW w:w="934" w:type="dxa"/>
            <w:vMerge w:val="restart"/>
            <w:tcBorders>
              <w:top w:val="nil" w:sz="6" w:space="0" w:color="auto"/>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477"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579" w:type="dxa"/>
            <w:vMerge/>
            <w:tcBorders>
              <w:left w:val="single" w:sz="4" w:space="0" w:color="000000"/>
              <w:right w:val="single" w:sz="4" w:space="0" w:color="000000"/>
            </w:tcBorders>
            <w:shd w:val="clear" w:color="auto" w:fill="D2D2D2"/>
          </w:tcPr>
          <w:p>
            <w:pPr/>
          </w:p>
        </w:tc>
      </w:tr>
      <w:tr>
        <w:trPr>
          <w:trHeight w:val="312" w:hRule="exact"/>
        </w:trPr>
        <w:tc>
          <w:tcPr>
            <w:tcW w:w="934"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477"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579" w:type="dxa"/>
            <w:vMerge/>
            <w:tcBorders>
              <w:left w:val="single" w:sz="4" w:space="0" w:color="000000"/>
              <w:right w:val="single" w:sz="4" w:space="0" w:color="000000"/>
            </w:tcBorders>
            <w:shd w:val="clear" w:color="auto" w:fill="D2D2D2"/>
          </w:tcPr>
          <w:p>
            <w:pPr/>
          </w:p>
        </w:tc>
      </w:tr>
      <w:tr>
        <w:trPr>
          <w:trHeight w:val="156" w:hRule="exact"/>
        </w:trPr>
        <w:tc>
          <w:tcPr>
            <w:tcW w:w="934"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47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57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3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5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579" w:right="0"/>
              <w:jc w:val="left"/>
              <w:rPr>
                <w:rFonts w:ascii="Times New Roman" w:hAnsi="Times New Roman" w:cs="Times New Roman" w:eastAsia="Times New Roman" w:hint="default"/>
                <w:sz w:val="21"/>
                <w:szCs w:val="21"/>
              </w:rPr>
            </w:pPr>
            <w:r>
              <w:rPr>
                <w:rFonts w:ascii="Times New Roman"/>
                <w:sz w:val="21"/>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6" w:right="0"/>
              <w:jc w:val="left"/>
              <w:rPr>
                <w:rFonts w:ascii="Times New Roman" w:hAnsi="Times New Roman" w:cs="Times New Roman" w:eastAsia="Times New Roman" w:hint="default"/>
                <w:sz w:val="21"/>
                <w:szCs w:val="21"/>
              </w:rPr>
            </w:pPr>
            <w:r>
              <w:rPr>
                <w:rFonts w:ascii="Times New Roman"/>
                <w:sz w:val="21"/>
              </w:rPr>
              <w:t>27,732,998.08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99" w:right="0"/>
              <w:jc w:val="left"/>
              <w:rPr>
                <w:rFonts w:ascii="Times New Roman" w:hAnsi="Times New Roman" w:cs="Times New Roman" w:eastAsia="Times New Roman" w:hint="default"/>
                <w:sz w:val="21"/>
                <w:szCs w:val="21"/>
              </w:rPr>
            </w:pPr>
            <w:r>
              <w:rPr>
                <w:rFonts w:ascii="Times New Roman"/>
                <w:sz w:val="21"/>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51" w:right="0"/>
              <w:jc w:val="left"/>
              <w:rPr>
                <w:rFonts w:ascii="Times New Roman" w:hAnsi="Times New Roman" w:cs="Times New Roman" w:eastAsia="Times New Roman" w:hint="default"/>
                <w:sz w:val="21"/>
                <w:szCs w:val="21"/>
              </w:rPr>
            </w:pPr>
            <w:r>
              <w:rPr>
                <w:rFonts w:ascii="Times New Roman"/>
                <w:sz w:val="21"/>
              </w:rPr>
              <w:t>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01" w:right="0"/>
              <w:jc w:val="left"/>
              <w:rPr>
                <w:rFonts w:ascii="Times New Roman" w:hAnsi="Times New Roman" w:cs="Times New Roman" w:eastAsia="Times New Roman" w:hint="default"/>
                <w:sz w:val="21"/>
                <w:szCs w:val="21"/>
              </w:rPr>
            </w:pPr>
            <w:r>
              <w:rPr>
                <w:rFonts w:ascii="Times New Roman"/>
                <w:sz w:val="21"/>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33" w:right="0"/>
              <w:jc w:val="left"/>
              <w:rPr>
                <w:rFonts w:ascii="Times New Roman" w:hAnsi="Times New Roman" w:cs="Times New Roman" w:eastAsia="Times New Roman" w:hint="default"/>
                <w:sz w:val="21"/>
                <w:szCs w:val="21"/>
              </w:rPr>
            </w:pPr>
            <w:r>
              <w:rPr>
                <w:rFonts w:ascii="Times New Roman"/>
                <w:sz w:val="21"/>
              </w:rPr>
              <w:t>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3" w:right="0"/>
              <w:jc w:val="left"/>
              <w:rPr>
                <w:rFonts w:ascii="Times New Roman" w:hAnsi="Times New Roman" w:cs="Times New Roman" w:eastAsia="Times New Roman" w:hint="default"/>
                <w:sz w:val="21"/>
                <w:szCs w:val="21"/>
              </w:rPr>
            </w:pPr>
            <w:r>
              <w:rPr>
                <w:rFonts w:ascii="Times New Roman"/>
                <w:sz w:val="21"/>
              </w:rPr>
              <w:t>0.00%</w:t>
            </w:r>
          </w:p>
        </w:tc>
      </w:tr>
      <w:tr>
        <w:trPr>
          <w:trHeight w:val="161" w:hRule="exact"/>
        </w:trPr>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85" w:right="0"/>
              <w:jc w:val="left"/>
              <w:rPr>
                <w:rFonts w:ascii="Times New Roman" w:hAnsi="Times New Roman" w:cs="Times New Roman" w:eastAsia="Times New Roman" w:hint="default"/>
                <w:sz w:val="21"/>
                <w:szCs w:val="21"/>
              </w:rPr>
            </w:pPr>
            <w:r>
              <w:rPr>
                <w:rFonts w:ascii="Times New Roman"/>
                <w:sz w:val="21"/>
              </w:rPr>
              <w:t>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-151,742,824.</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19</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99" w:right="0"/>
              <w:jc w:val="left"/>
              <w:rPr>
                <w:rFonts w:ascii="Times New Roman" w:hAnsi="Times New Roman" w:cs="Times New Roman" w:eastAsia="Times New Roman" w:hint="default"/>
                <w:sz w:val="21"/>
                <w:szCs w:val="21"/>
              </w:rPr>
            </w:pPr>
            <w:r>
              <w:rPr>
                <w:rFonts w:ascii="Times New Roman"/>
                <w:sz w:val="21"/>
              </w:rPr>
              <w:t>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21"/>
                <w:szCs w:val="21"/>
              </w:rPr>
            </w:pPr>
            <w:r>
              <w:rPr>
                <w:rFonts w:ascii="Times New Roman"/>
                <w:sz w:val="21"/>
              </w:rPr>
              <w:t>0.00</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01" w:right="0"/>
              <w:jc w:val="left"/>
              <w:rPr>
                <w:rFonts w:ascii="Times New Roman" w:hAnsi="Times New Roman" w:cs="Times New Roman" w:eastAsia="Times New Roman" w:hint="default"/>
                <w:sz w:val="21"/>
                <w:szCs w:val="21"/>
              </w:rPr>
            </w:pPr>
            <w:r>
              <w:rPr>
                <w:rFonts w:ascii="Times New Roman"/>
                <w:sz w:val="21"/>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33" w:right="0"/>
              <w:jc w:val="left"/>
              <w:rPr>
                <w:rFonts w:ascii="Times New Roman" w:hAnsi="Times New Roman" w:cs="Times New Roman" w:eastAsia="Times New Roman" w:hint="default"/>
                <w:sz w:val="21"/>
                <w:szCs w:val="21"/>
              </w:rPr>
            </w:pPr>
            <w:r>
              <w:rPr>
                <w:rFonts w:ascii="Times New Roman"/>
                <w:sz w:val="21"/>
              </w:rPr>
              <w:t>0.00</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3" w:right="0"/>
              <w:jc w:val="left"/>
              <w:rPr>
                <w:rFonts w:ascii="Times New Roman" w:hAnsi="Times New Roman" w:cs="Times New Roman" w:eastAsia="Times New Roman" w:hint="default"/>
                <w:sz w:val="21"/>
                <w:szCs w:val="21"/>
              </w:rPr>
            </w:pPr>
            <w:r>
              <w:rPr>
                <w:rFonts w:ascii="Times New Roman"/>
                <w:sz w:val="21"/>
              </w:rPr>
              <w:t>0.00%</w:t>
            </w:r>
          </w:p>
        </w:tc>
      </w:tr>
      <w:tr>
        <w:trPr>
          <w:trHeight w:val="392" w:hRule="exact"/>
        </w:trPr>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91"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4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79" w:type="dxa"/>
            <w:vMerge/>
            <w:tcBorders>
              <w:left w:val="single" w:sz="4" w:space="0" w:color="000000"/>
              <w:right w:val="single" w:sz="4" w:space="0" w:color="000000"/>
            </w:tcBorders>
          </w:tcPr>
          <w:p>
            <w:pPr/>
          </w:p>
        </w:tc>
      </w:tr>
      <w:tr>
        <w:trPr>
          <w:trHeight w:val="161" w:hRule="exact"/>
        </w:trPr>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r>
        <w:trPr>
          <w:trHeight w:val="161" w:hRule="exact"/>
        </w:trPr>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9" w:space="0" w:color="D2D2D2"/>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3,766,564.</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20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6" w:right="0"/>
              <w:jc w:val="left"/>
              <w:rPr>
                <w:rFonts w:ascii="Times New Roman" w:hAnsi="Times New Roman" w:cs="Times New Roman" w:eastAsia="Times New Roman" w:hint="default"/>
                <w:sz w:val="21"/>
                <w:szCs w:val="21"/>
              </w:rPr>
            </w:pPr>
            <w:r>
              <w:rPr>
                <w:rFonts w:ascii="Times New Roman"/>
                <w:sz w:val="21"/>
              </w:rPr>
              <w:t>85,070,143.95</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99" w:right="0"/>
              <w:jc w:val="left"/>
              <w:rPr>
                <w:rFonts w:ascii="Times New Roman" w:hAnsi="Times New Roman" w:cs="Times New Roman" w:eastAsia="Times New Roman" w:hint="default"/>
                <w:sz w:val="21"/>
                <w:szCs w:val="21"/>
              </w:rPr>
            </w:pPr>
            <w:r>
              <w:rPr>
                <w:rFonts w:ascii="Times New Roman"/>
                <w:sz w:val="21"/>
              </w:rPr>
              <w:t>4.43%</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21"/>
                <w:szCs w:val="21"/>
              </w:rPr>
            </w:pPr>
            <w:r>
              <w:rPr>
                <w:rFonts w:ascii="Times New Roman"/>
                <w:sz w:val="21"/>
              </w:rPr>
              <w:t>0.00</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01" w:right="0"/>
              <w:jc w:val="left"/>
              <w:rPr>
                <w:rFonts w:ascii="Times New Roman" w:hAnsi="Times New Roman" w:cs="Times New Roman" w:eastAsia="Times New Roman" w:hint="default"/>
                <w:sz w:val="21"/>
                <w:szCs w:val="21"/>
              </w:rPr>
            </w:pPr>
            <w:r>
              <w:rPr>
                <w:rFonts w:ascii="Times New Roman"/>
                <w:sz w:val="21"/>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3,766,564.2</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0</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3" w:right="0"/>
              <w:jc w:val="left"/>
              <w:rPr>
                <w:rFonts w:ascii="Times New Roman" w:hAnsi="Times New Roman" w:cs="Times New Roman" w:eastAsia="Times New Roman" w:hint="default"/>
                <w:sz w:val="21"/>
                <w:szCs w:val="21"/>
              </w:rPr>
            </w:pPr>
            <w:r>
              <w:rPr>
                <w:rFonts w:ascii="Times New Roman"/>
                <w:sz w:val="21"/>
              </w:rPr>
              <w:t>4.43%</w:t>
            </w:r>
          </w:p>
        </w:tc>
      </w:tr>
      <w:tr>
        <w:trPr>
          <w:trHeight w:val="392" w:hRule="exact"/>
        </w:trPr>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91"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4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79" w:type="dxa"/>
            <w:vMerge/>
            <w:tcBorders>
              <w:left w:val="single" w:sz="4" w:space="0" w:color="000000"/>
              <w:right w:val="single" w:sz="4" w:space="0" w:color="000000"/>
            </w:tcBorders>
          </w:tcPr>
          <w:p>
            <w:pPr/>
          </w:p>
        </w:tc>
      </w:tr>
      <w:tr>
        <w:trPr>
          <w:trHeight w:val="161" w:hRule="exact"/>
        </w:trPr>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240" w:lineRule="auto" w:before="26"/>
        <w:ind w:left="636" w:right="0"/>
        <w:jc w:val="left"/>
      </w:pPr>
      <w:r>
        <w:rPr/>
        <w:t>公司报告期内盈利且母公司可供普通股股东分配利润为正但未提出普通股现金红利分配</w:t>
      </w:r>
    </w:p>
    <w:p>
      <w:pPr>
        <w:pStyle w:val="BodyText"/>
        <w:spacing w:line="240" w:lineRule="auto" w:before="145"/>
        <w:ind w:right="0"/>
        <w:jc w:val="left"/>
      </w:pPr>
      <w:r>
        <w:rPr/>
        <w:t>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35"/>
        <w:ind w:left="0" w:right="1127" w:firstLine="0"/>
        <w:jc w:val="right"/>
        <w:rPr>
          <w:rFonts w:ascii="宋体" w:hAnsi="宋体" w:cs="宋体" w:eastAsia="宋体" w:hint="default"/>
          <w:sz w:val="21"/>
          <w:szCs w:val="21"/>
        </w:rPr>
      </w:pPr>
      <w:r>
        <w:rPr/>
        <w:pict>
          <v:shape style="position:absolute;margin-left:56.459999pt;margin-top:-35.7463pt;width:479.2pt;height:214.3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97"/>
                    <w:gridCol w:w="4772"/>
                  </w:tblGrid>
                  <w:tr>
                    <w:trPr>
                      <w:trHeight w:val="714"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91" w:right="88" w:hanging="315"/>
                          <w:jc w:val="left"/>
                          <w:rPr>
                            <w:rFonts w:ascii="宋体" w:hAnsi="宋体" w:cs="宋体" w:eastAsia="宋体" w:hint="default"/>
                            <w:sz w:val="21"/>
                            <w:szCs w:val="21"/>
                          </w:rPr>
                        </w:pPr>
                        <w:r>
                          <w:rPr>
                            <w:rFonts w:ascii="宋体" w:hAnsi="宋体" w:cs="宋体" w:eastAsia="宋体" w:hint="default"/>
                            <w:sz w:val="21"/>
                            <w:szCs w:val="21"/>
                          </w:rPr>
                          <w:t>报告期内盈利且母公司可供普通股股东分配利润为 正但未提出普通股现金红利分配预案的原因</w:t>
                        </w:r>
                      </w:p>
                    </w:tc>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99" w:right="0"/>
                          <w:jc w:val="left"/>
                          <w:rPr>
                            <w:rFonts w:ascii="宋体" w:hAnsi="宋体" w:cs="宋体" w:eastAsia="宋体" w:hint="default"/>
                            <w:sz w:val="21"/>
                            <w:szCs w:val="21"/>
                          </w:rPr>
                        </w:pPr>
                        <w:r>
                          <w:rPr>
                            <w:rFonts w:ascii="宋体" w:hAnsi="宋体" w:cs="宋体" w:eastAsia="宋体" w:hint="default"/>
                            <w:sz w:val="21"/>
                            <w:szCs w:val="21"/>
                          </w:rPr>
                          <w:t>公司未分配利润的用途和使用计划</w:t>
                        </w:r>
                      </w:p>
                    </w:tc>
                  </w:tr>
                  <w:tr>
                    <w:trPr>
                      <w:trHeight w:val="3562" w:hRule="exact"/>
                    </w:trPr>
                    <w:tc>
                      <w:tcPr>
                        <w:tcW w:w="479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根据公司章程及《公司未来三年股东回报规划</w:t>
                        </w:r>
                      </w:p>
                      <w:p>
                        <w:pPr>
                          <w:pStyle w:val="TableParagraph"/>
                          <w:spacing w:line="264" w:lineRule="auto" w:before="36"/>
                          <w:ind w:left="22" w:right="-33"/>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2018-2020 </w:t>
                        </w:r>
                        <w:r>
                          <w:rPr>
                            <w:rFonts w:ascii="宋体" w:hAnsi="宋体" w:cs="宋体" w:eastAsia="宋体" w:hint="default"/>
                            <w:spacing w:val="-13"/>
                            <w:sz w:val="21"/>
                            <w:szCs w:val="21"/>
                          </w:rPr>
                          <w:t>年）》，在符合利润分配原则、保证公司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正常经营和长远发展、且在满足现金分红条件的前提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下，公司原则上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2018-2020 </w:t>
                        </w:r>
                        <w:r>
                          <w:rPr>
                            <w:rFonts w:ascii="宋体" w:hAnsi="宋体" w:cs="宋体" w:eastAsia="宋体" w:hint="default"/>
                            <w:sz w:val="21"/>
                            <w:szCs w:val="21"/>
                          </w:rPr>
                          <w:t>年每年进行一次现金分 </w:t>
                        </w:r>
                        <w:r>
                          <w:rPr>
                            <w:rFonts w:ascii="宋体" w:hAnsi="宋体" w:cs="宋体" w:eastAsia="宋体" w:hint="default"/>
                            <w:spacing w:val="-5"/>
                            <w:sz w:val="21"/>
                            <w:szCs w:val="21"/>
                          </w:rPr>
                          <w:t>红，公司连续三年以现金方式累计分配的利润不少于</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该三年实现的年均可分配利润的</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 度加权平均净资产收益率为</w:t>
                        </w:r>
                        <w:r>
                          <w:rPr>
                            <w:rFonts w:ascii="宋体" w:hAnsi="宋体" w:cs="宋体" w:eastAsia="宋体" w:hint="default"/>
                            <w:spacing w:val="-49"/>
                            <w:sz w:val="21"/>
                            <w:szCs w:val="21"/>
                          </w:rPr>
                          <w:t> </w:t>
                        </w:r>
                        <w:r>
                          <w:rPr>
                            <w:rFonts w:ascii="Times New Roman" w:hAnsi="Times New Roman" w:cs="Times New Roman" w:eastAsia="Times New Roman" w:hint="default"/>
                            <w:spacing w:val="-6"/>
                            <w:sz w:val="21"/>
                            <w:szCs w:val="21"/>
                          </w:rPr>
                          <w:t>1.98%</w:t>
                        </w:r>
                        <w:r>
                          <w:rPr>
                            <w:rFonts w:ascii="宋体" w:hAnsi="宋体" w:cs="宋体" w:eastAsia="宋体" w:hint="default"/>
                            <w:spacing w:val="-6"/>
                            <w:sz w:val="21"/>
                            <w:szCs w:val="21"/>
                          </w:rPr>
                          <w:t>（以扣除非经常损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益前后孰低者为准），基于目前经营管理需要，公司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年度拟不进行利润分配，不以公积金转增股本。</w:t>
                        </w:r>
                        <w:r>
                          <w:rPr>
                            <w:rFonts w:ascii="宋体" w:hAnsi="宋体" w:cs="宋体" w:eastAsia="宋体" w:hint="default"/>
                            <w:sz w:val="21"/>
                            <w:szCs w:val="21"/>
                          </w:rPr>
                        </w:r>
                      </w:p>
                    </w:tc>
                    <w:tc>
                      <w:tcPr>
                        <w:tcW w:w="4772" w:type="dxa"/>
                        <w:tcBorders>
                          <w:top w:val="single" w:sz="4" w:space="0" w:color="000000"/>
                          <w:left w:val="single" w:sz="13" w:space="0" w:color="FFFFFF"/>
                          <w:bottom w:val="single" w:sz="4" w:space="0" w:color="000000"/>
                          <w:right w:val="single" w:sz="4" w:space="0" w:color="000000"/>
                        </w:tcBorders>
                      </w:tcPr>
                      <w:p>
                        <w:pPr>
                          <w:pStyle w:val="TableParagraph"/>
                          <w:spacing w:line="261" w:lineRule="auto" w:before="26"/>
                          <w:ind w:right="21" w:firstLine="315"/>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年度未分配利润累积滚存至下一年度 目前，公司需要围绕</w:t>
                        </w:r>
                        <w:r>
                          <w:rPr>
                            <w:rFonts w:ascii="Times New Roman" w:hAnsi="Times New Roman" w:cs="Times New Roman" w:eastAsia="Times New Roman" w:hint="default"/>
                            <w:sz w:val="21"/>
                            <w:szCs w:val="21"/>
                          </w:rPr>
                          <w:t>“</w:t>
                        </w:r>
                        <w:r>
                          <w:rPr>
                            <w:rFonts w:ascii="宋体" w:hAnsi="宋体" w:cs="宋体" w:eastAsia="宋体" w:hint="default"/>
                            <w:sz w:val="21"/>
                            <w:szCs w:val="21"/>
                          </w:rPr>
                          <w:t>轨道交通运营维护一体化解决 方案及高端装备</w:t>
                        </w:r>
                        <w:r>
                          <w:rPr>
                            <w:rFonts w:ascii="Times New Roman" w:hAnsi="Times New Roman" w:cs="Times New Roman" w:eastAsia="Times New Roman" w:hint="default"/>
                            <w:sz w:val="21"/>
                            <w:szCs w:val="21"/>
                          </w:rPr>
                          <w:t>”</w:t>
                        </w:r>
                        <w:r>
                          <w:rPr>
                            <w:rFonts w:ascii="宋体" w:hAnsi="宋体" w:cs="宋体" w:eastAsia="宋体" w:hint="default"/>
                            <w:sz w:val="21"/>
                            <w:szCs w:val="21"/>
                          </w:rPr>
                          <w:t>的主营业务，在技术研发、市场开 </w:t>
                        </w:r>
                        <w:r>
                          <w:rPr>
                            <w:rFonts w:ascii="宋体" w:hAnsi="宋体" w:cs="宋体" w:eastAsia="宋体" w:hint="default"/>
                            <w:spacing w:val="-5"/>
                            <w:sz w:val="21"/>
                            <w:szCs w:val="21"/>
                          </w:rPr>
                          <w:t>拓及固定资产投资等方面加大营运资金的投入，以增</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强综合竞争力，保障公司生产经营持续稳定发展。</w:t>
                        </w:r>
                      </w:p>
                      <w:p>
                        <w:pPr>
                          <w:pStyle w:val="TableParagraph"/>
                          <w:spacing w:line="268" w:lineRule="auto" w:before="58"/>
                          <w:ind w:right="21" w:firstLine="315"/>
                          <w:jc w:val="left"/>
                          <w:rPr>
                            <w:rFonts w:ascii="宋体" w:hAnsi="宋体" w:cs="宋体" w:eastAsia="宋体" w:hint="default"/>
                            <w:sz w:val="21"/>
                            <w:szCs w:val="21"/>
                          </w:rPr>
                        </w:pPr>
                        <w:r>
                          <w:rPr>
                            <w:rFonts w:ascii="宋体" w:hAnsi="宋体" w:cs="宋体" w:eastAsia="宋体" w:hint="default"/>
                            <w:sz w:val="21"/>
                            <w:szCs w:val="21"/>
                          </w:rPr>
                          <w:t>未来，公司将一如既往地重视以现金分红形式对 </w:t>
                        </w:r>
                        <w:r>
                          <w:rPr>
                            <w:rFonts w:ascii="宋体" w:hAnsi="宋体" w:cs="宋体" w:eastAsia="宋体" w:hint="default"/>
                            <w:spacing w:val="-5"/>
                            <w:sz w:val="21"/>
                            <w:szCs w:val="21"/>
                          </w:rPr>
                          <w:t>投资者进行回报，严格按照相关法律法规和《公司章</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9"/>
                            <w:sz w:val="21"/>
                            <w:szCs w:val="21"/>
                          </w:rPr>
                          <w:t>程》及《公司未来三年股东回报规划（</w:t>
                        </w:r>
                        <w:r>
                          <w:rPr>
                            <w:rFonts w:ascii="Times New Roman" w:hAnsi="Times New Roman" w:cs="Times New Roman" w:eastAsia="Times New Roman" w:hint="default"/>
                            <w:spacing w:val="-9"/>
                            <w:sz w:val="21"/>
                            <w:szCs w:val="21"/>
                          </w:rPr>
                          <w:t>2018-2020</w:t>
                        </w:r>
                        <w:r>
                          <w:rPr>
                            <w:rFonts w:ascii="Times New Roman" w:hAnsi="Times New Roman" w:cs="Times New Roman" w:eastAsia="Times New Roman" w:hint="default"/>
                            <w:spacing w:val="2"/>
                            <w:sz w:val="21"/>
                            <w:szCs w:val="21"/>
                          </w:rPr>
                          <w:t> </w:t>
                        </w:r>
                        <w:r>
                          <w:rPr>
                            <w:rFonts w:ascii="宋体" w:hAnsi="宋体" w:cs="宋体" w:eastAsia="宋体" w:hint="default"/>
                            <w:spacing w:val="-54"/>
                            <w:sz w:val="21"/>
                            <w:szCs w:val="21"/>
                          </w:rPr>
                          <w:t>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等规定，综合考虑与利润分配相关的各种因素，积极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5"/>
                            <w:sz w:val="21"/>
                            <w:szCs w:val="21"/>
                          </w:rPr>
                          <w:t>履行公司的利润分配制度，与投资者共享公司发展的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成果。</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35"/>
        <w:ind w:left="0" w:right="1123"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11"/>
        <w:rPr>
          <w:rFonts w:ascii="宋体" w:hAnsi="宋体" w:cs="宋体" w:eastAsia="宋体" w:hint="default"/>
          <w:sz w:val="27"/>
          <w:szCs w:val="27"/>
        </w:rPr>
      </w:pPr>
    </w:p>
    <w:p>
      <w:pPr>
        <w:spacing w:line="312" w:lineRule="exact"/>
        <w:ind w:left="496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236.45pt;height:15.6pt;mso-position-horizontal-relative:char;mso-position-vertical-relative:line" coordorigin="0,0" coordsize="4729,312">
            <v:group style="position:absolute;left:0;top:0;width:4729;height:312" coordorigin="0,0" coordsize="4729,312">
              <v:shape style="position:absolute;left:0;top:0;width:4729;height:312" coordorigin="0,0" coordsize="4729,312" path="m0,312l4728,312,4728,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line="564" w:lineRule="auto" w:before="26"/>
        <w:ind w:left="636" w:right="3310" w:hanging="483"/>
        <w:jc w:val="left"/>
        <w:rPr>
          <w:rFonts w:ascii="宋体" w:hAnsi="宋体" w:cs="宋体" w:eastAsia="宋体" w:hint="default"/>
          <w:sz w:val="24"/>
          <w:szCs w:val="24"/>
        </w:rPr>
      </w:pPr>
      <w:bookmarkStart w:name="二、本报告期利润分配及资本公积金转增股本预案" w:id="63"/>
      <w:bookmarkEnd w:id="63"/>
      <w:r>
        <w:rPr/>
      </w:r>
      <w:r>
        <w:rPr>
          <w:rFonts w:ascii="宋体" w:hAnsi="宋体" w:cs="宋体" w:eastAsia="宋体" w:hint="default"/>
          <w:b/>
          <w:bCs/>
          <w:sz w:val="24"/>
          <w:szCs w:val="24"/>
        </w:rPr>
        <w:t>二、本报告期利润分配及资本公积金转增股本预案</w:t>
      </w:r>
      <w:r>
        <w:rPr>
          <w:rFonts w:ascii="宋体" w:hAnsi="宋体" w:cs="宋体" w:eastAsia="宋体" w:hint="default"/>
          <w:b/>
          <w:bCs/>
          <w:spacing w:val="1"/>
          <w:w w:val="99"/>
          <w:sz w:val="24"/>
          <w:szCs w:val="24"/>
        </w:rPr>
        <w:t> </w:t>
      </w:r>
      <w:r>
        <w:rPr>
          <w:rFonts w:ascii="宋体" w:hAnsi="宋体" w:cs="宋体" w:eastAsia="宋体" w:hint="default"/>
          <w:sz w:val="24"/>
          <w:szCs w:val="24"/>
        </w:rPr>
        <w:t>公司计划年度不派发现金红利，不送红股，不以公积金转增股本。</w:t>
      </w:r>
    </w:p>
    <w:p>
      <w:pPr>
        <w:spacing w:after="0" w:line="564"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r>
        <w:rPr/>
        <w:pict>
          <v:group style="position:absolute;margin-left:511.73999pt;margin-top:330.559998pt;width:22pt;height:17.650pt;mso-position-horizontal-relative:page;mso-position-vertical-relative:page;z-index:-891736" coordorigin="10235,6611" coordsize="440,353">
            <v:shape style="position:absolute;left:10235;top:6611;width:440;height:353" coordorigin="10235,6611" coordsize="440,353" path="m10235,6964l10674,6964,10674,6611,10235,6611,10235,6964xe" filled="true" fillcolor="#ffffff" stroked="false">
              <v:path arrowok="t"/>
              <v:fill type="solid"/>
            </v:shape>
            <w10:wrap type="none"/>
          </v:group>
        </w:pict>
      </w:r>
    </w:p>
    <w:p>
      <w:pPr>
        <w:pStyle w:val="Heading2"/>
        <w:spacing w:line="240" w:lineRule="auto"/>
        <w:ind w:right="0"/>
        <w:jc w:val="left"/>
        <w:rPr>
          <w:b w:val="0"/>
          <w:bCs w:val="0"/>
        </w:rPr>
      </w:pPr>
      <w:bookmarkStart w:name="三、承诺事项履行情况" w:id="64"/>
      <w:bookmarkEnd w:id="64"/>
      <w:r>
        <w:rPr>
          <w:b w:val="0"/>
          <w:bCs w:val="0"/>
        </w:rPr>
      </w:r>
      <w:r>
        <w:rPr/>
        <w:t>三、承诺事项履行情况</w:t>
      </w:r>
      <w:r>
        <w:rPr>
          <w:b w:val="0"/>
          <w:bCs w:val="0"/>
        </w:rPr>
      </w:r>
    </w:p>
    <w:p>
      <w:pPr>
        <w:spacing w:line="240" w:lineRule="auto" w:before="5"/>
        <w:rPr>
          <w:rFonts w:ascii="宋体" w:hAnsi="宋体" w:cs="宋体" w:eastAsia="宋体" w:hint="default"/>
          <w:b/>
          <w:bCs/>
          <w:sz w:val="32"/>
          <w:szCs w:val="32"/>
        </w:rPr>
      </w:pPr>
    </w:p>
    <w:p>
      <w:pPr>
        <w:pStyle w:val="Heading2"/>
        <w:spacing w:line="331" w:lineRule="auto" w:before="0"/>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w:t>
      </w:r>
      <w:r>
        <w:rPr>
          <w:spacing w:val="5"/>
          <w:w w:val="95"/>
        </w:rPr>
        <w:t> </w:t>
      </w:r>
      <w:r>
        <w:rPr>
          <w:spacing w:val="5"/>
          <w:w w:val="95"/>
        </w:rPr>
      </w:r>
      <w:r>
        <w:rPr/>
        <w:t>至报告期末尚未履行完毕的承诺事项</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425"/>
        <w:gridCol w:w="709"/>
        <w:gridCol w:w="4395"/>
        <w:gridCol w:w="566"/>
        <w:gridCol w:w="992"/>
        <w:gridCol w:w="496"/>
      </w:tblGrid>
      <w:tr>
        <w:trPr>
          <w:trHeight w:val="161"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6" w:right="26" w:hanging="90"/>
              <w:jc w:val="left"/>
              <w:rPr>
                <w:rFonts w:ascii="宋体" w:hAnsi="宋体" w:cs="宋体" w:eastAsia="宋体" w:hint="default"/>
                <w:sz w:val="18"/>
                <w:szCs w:val="18"/>
              </w:rPr>
            </w:pPr>
            <w:r>
              <w:rPr>
                <w:rFonts w:ascii="宋体" w:hAnsi="宋体" w:cs="宋体" w:eastAsia="宋体" w:hint="default"/>
                <w:sz w:val="18"/>
                <w:szCs w:val="18"/>
              </w:rPr>
              <w:t>承诺 方</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60" w:right="77"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2" w:right="61"/>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425"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4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496" w:type="dxa"/>
            <w:vMerge/>
            <w:tcBorders>
              <w:left w:val="single" w:sz="4" w:space="0" w:color="000000"/>
              <w:right w:val="single" w:sz="4" w:space="0" w:color="000000"/>
            </w:tcBorders>
            <w:shd w:val="clear" w:color="auto" w:fill="D2D2D2"/>
          </w:tcPr>
          <w:p>
            <w:pPr/>
          </w:p>
        </w:tc>
      </w:tr>
      <w:tr>
        <w:trPr>
          <w:trHeight w:val="161"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4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425" w:type="dxa"/>
            <w:tcBorders>
              <w:top w:val="single" w:sz="4" w:space="0" w:color="000000"/>
              <w:left w:val="single" w:sz="9"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425" w:type="dxa"/>
            <w:tcBorders>
              <w:top w:val="single" w:sz="4" w:space="0" w:color="000000"/>
              <w:left w:val="single" w:sz="9"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425" w:type="dxa"/>
            <w:tcBorders>
              <w:top w:val="single" w:sz="4" w:space="0" w:color="000000"/>
              <w:left w:val="single" w:sz="9"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1097"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9" w:lineRule="auto"/>
              <w:ind w:left="16" w:right="30"/>
              <w:jc w:val="left"/>
              <w:rPr>
                <w:rFonts w:ascii="宋体" w:hAnsi="宋体" w:cs="宋体" w:eastAsia="宋体" w:hint="default"/>
                <w:sz w:val="18"/>
                <w:szCs w:val="18"/>
              </w:rPr>
            </w:pPr>
            <w:r>
              <w:rPr>
                <w:rFonts w:ascii="宋体" w:hAnsi="宋体" w:cs="宋体" w:eastAsia="宋体" w:hint="default"/>
                <w:sz w:val="18"/>
                <w:szCs w:val="18"/>
              </w:rPr>
              <w:t>李海 鹰</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9" w:lineRule="auto"/>
              <w:ind w:left="23" w:right="133"/>
              <w:jc w:val="left"/>
              <w:rPr>
                <w:rFonts w:ascii="宋体" w:hAnsi="宋体" w:cs="宋体" w:eastAsia="宋体" w:hint="default"/>
                <w:sz w:val="18"/>
                <w:szCs w:val="18"/>
              </w:rPr>
            </w:pPr>
            <w:r>
              <w:rPr>
                <w:rFonts w:ascii="宋体" w:hAnsi="宋体" w:cs="宋体" w:eastAsia="宋体" w:hint="default"/>
                <w:sz w:val="18"/>
                <w:szCs w:val="18"/>
              </w:rPr>
              <w:t>关于同 业竞争</w:t>
            </w:r>
          </w:p>
        </w:tc>
        <w:tc>
          <w:tcPr>
            <w:tcW w:w="43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22" w:right="40"/>
              <w:jc w:val="both"/>
              <w:rPr>
                <w:rFonts w:ascii="宋体" w:hAnsi="宋体" w:cs="宋体" w:eastAsia="宋体" w:hint="default"/>
                <w:sz w:val="18"/>
                <w:szCs w:val="18"/>
              </w:rPr>
            </w:pPr>
            <w:r>
              <w:rPr>
                <w:rFonts w:ascii="宋体" w:hAnsi="宋体" w:cs="宋体" w:eastAsia="宋体" w:hint="default"/>
                <w:sz w:val="18"/>
                <w:szCs w:val="18"/>
              </w:rPr>
              <w:t>在持有辉煌科技股权或担任辉煌科技董事、监事、高级 管理人员或核心技术人员期间及法定期限内，不经营或 投资于任何与辉煌科技主营业务构成同业竞争的企业。</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9" w:space="0" w:color="FFFFFF"/>
            </w:tcBorders>
          </w:tcPr>
          <w:p>
            <w:pPr>
              <w:pStyle w:val="TableParagraph"/>
              <w:spacing w:line="319" w:lineRule="auto" w:before="51"/>
              <w:ind w:left="24" w:right="-40"/>
              <w:jc w:val="left"/>
              <w:rPr>
                <w:rFonts w:ascii="宋体" w:hAnsi="宋体" w:cs="宋体" w:eastAsia="宋体" w:hint="default"/>
                <w:sz w:val="18"/>
                <w:szCs w:val="18"/>
              </w:rPr>
            </w:pPr>
            <w:r>
              <w:rPr>
                <w:rFonts w:ascii="宋体" w:hAnsi="宋体" w:cs="宋体" w:eastAsia="宋体" w:hint="default"/>
                <w:sz w:val="18"/>
                <w:szCs w:val="18"/>
              </w:rPr>
              <w:t>持有辉煌科 技股权或担 任辉煌科技 </w:t>
            </w:r>
            <w:r>
              <w:rPr>
                <w:rFonts w:ascii="宋体" w:hAnsi="宋体" w:cs="宋体" w:eastAsia="宋体" w:hint="default"/>
                <w:spacing w:val="-15"/>
                <w:sz w:val="18"/>
                <w:szCs w:val="18"/>
              </w:rPr>
              <w:t>董事、监事、</w:t>
            </w:r>
            <w:r>
              <w:rPr>
                <w:rFonts w:ascii="宋体" w:hAnsi="宋体" w:cs="宋体" w:eastAsia="宋体" w:hint="default"/>
                <w:spacing w:val="-35"/>
                <w:sz w:val="18"/>
                <w:szCs w:val="18"/>
              </w:rPr>
              <w:t> </w:t>
            </w:r>
            <w:r>
              <w:rPr>
                <w:rFonts w:ascii="宋体" w:hAnsi="宋体" w:cs="宋体" w:eastAsia="宋体" w:hint="default"/>
                <w:sz w:val="18"/>
                <w:szCs w:val="18"/>
              </w:rPr>
              <w:t>高级管理人</w:t>
            </w:r>
            <w:r>
              <w:rPr>
                <w:rFonts w:ascii="宋体" w:hAnsi="宋体" w:cs="宋体" w:eastAsia="宋体" w:hint="default"/>
                <w:sz w:val="18"/>
                <w:szCs w:val="18"/>
              </w:rPr>
              <w:t> 员或核心技 术人员期间 及法定期限 内</w:t>
            </w:r>
          </w:p>
        </w:tc>
        <w:tc>
          <w:tcPr>
            <w:tcW w:w="496"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16"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704"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425"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439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2" w:type="dxa"/>
            <w:vMerge/>
            <w:tcBorders>
              <w:left w:val="single" w:sz="4" w:space="0" w:color="000000"/>
              <w:right w:val="single" w:sz="9" w:space="0" w:color="FFFFFF"/>
            </w:tcBorders>
          </w:tcPr>
          <w:p>
            <w:pPr/>
          </w:p>
        </w:tc>
        <w:tc>
          <w:tcPr>
            <w:tcW w:w="496" w:type="dxa"/>
            <w:vMerge/>
            <w:tcBorders>
              <w:left w:val="single" w:sz="9" w:space="0" w:color="FFFFFF"/>
              <w:right w:val="single" w:sz="4" w:space="0" w:color="000000"/>
            </w:tcBorders>
          </w:tcPr>
          <w:p>
            <w:pPr/>
          </w:p>
        </w:tc>
      </w:tr>
      <w:tr>
        <w:trPr>
          <w:trHeight w:val="1097"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439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9" w:space="0" w:color="FFFFFF"/>
            </w:tcBorders>
          </w:tcPr>
          <w:p>
            <w:pPr/>
          </w:p>
        </w:tc>
        <w:tc>
          <w:tcPr>
            <w:tcW w:w="496" w:type="dxa"/>
            <w:vMerge/>
            <w:tcBorders>
              <w:left w:val="single" w:sz="9" w:space="0" w:color="FFFFFF"/>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425" w:type="dxa"/>
            <w:tcBorders>
              <w:top w:val="single" w:sz="4" w:space="0" w:color="000000"/>
              <w:left w:val="single" w:sz="9"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133"/>
              <w:jc w:val="both"/>
              <w:rPr>
                <w:rFonts w:ascii="宋体" w:hAnsi="宋体" w:cs="宋体" w:eastAsia="宋体" w:hint="default"/>
                <w:sz w:val="18"/>
                <w:szCs w:val="18"/>
              </w:rPr>
            </w:pPr>
            <w:r>
              <w:rPr>
                <w:rFonts w:ascii="宋体" w:hAnsi="宋体" w:cs="宋体" w:eastAsia="宋体" w:hint="default"/>
                <w:sz w:val="18"/>
                <w:szCs w:val="18"/>
              </w:rPr>
              <w:t>募集资 金使用 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0"/>
              <w:jc w:val="both"/>
              <w:rPr>
                <w:rFonts w:ascii="宋体" w:hAnsi="宋体" w:cs="宋体" w:eastAsia="宋体" w:hint="default"/>
                <w:sz w:val="18"/>
                <w:szCs w:val="18"/>
              </w:rPr>
            </w:pPr>
            <w:r>
              <w:rPr>
                <w:rFonts w:ascii="宋体" w:hAnsi="宋体" w:cs="宋体" w:eastAsia="宋体" w:hint="default"/>
                <w:sz w:val="18"/>
                <w:szCs w:val="18"/>
              </w:rPr>
              <w:t>在丰图辉煌产业并购基金投资设立后的十二个月内，不 使用闲置募集资金暂时补充流动资金、不将募集资金投 向变更为永久性补充流动资金、不将募集资金永久性用 于补充流动资金或归还银行贷款。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4" w:right="56"/>
              <w:jc w:val="both"/>
              <w:rPr>
                <w:rFonts w:ascii="宋体" w:hAnsi="宋体" w:cs="宋体" w:eastAsia="宋体" w:hint="default"/>
                <w:sz w:val="18"/>
                <w:szCs w:val="18"/>
              </w:rPr>
            </w:pPr>
            <w:r>
              <w:rPr>
                <w:rFonts w:ascii="宋体" w:hAnsi="宋体" w:cs="宋体" w:eastAsia="宋体" w:hint="default"/>
                <w:sz w:val="18"/>
                <w:szCs w:val="18"/>
              </w:rPr>
              <w:t>该产业并购 基金设立后 十二个月内</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1500"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316" w:lineRule="auto"/>
              <w:ind w:left="23" w:right="133"/>
              <w:jc w:val="both"/>
              <w:rPr>
                <w:rFonts w:ascii="宋体" w:hAnsi="宋体" w:cs="宋体" w:eastAsia="宋体" w:hint="default"/>
                <w:sz w:val="18"/>
                <w:szCs w:val="18"/>
              </w:rPr>
            </w:pPr>
            <w:r>
              <w:rPr>
                <w:rFonts w:ascii="宋体" w:hAnsi="宋体" w:cs="宋体" w:eastAsia="宋体" w:hint="default"/>
                <w:sz w:val="18"/>
                <w:szCs w:val="18"/>
              </w:rPr>
              <w:t>募集资 金使用 承诺</w:t>
            </w:r>
          </w:p>
        </w:tc>
        <w:tc>
          <w:tcPr>
            <w:tcW w:w="4395" w:type="dxa"/>
            <w:vMerge w:val="restart"/>
            <w:tcBorders>
              <w:top w:val="single" w:sz="4" w:space="0" w:color="000000"/>
              <w:left w:val="single" w:sz="4" w:space="0" w:color="000000"/>
              <w:right w:val="single" w:sz="9" w:space="0" w:color="FFFFFF"/>
            </w:tcBorders>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pacing w:val="-3"/>
                <w:sz w:val="18"/>
                <w:szCs w:val="18"/>
              </w:rPr>
              <w:t>本次闲置募集资金暂时补充流动资金的承诺：</w:t>
            </w:r>
            <w:r>
              <w:rPr>
                <w:rFonts w:ascii="宋体" w:hAnsi="宋体" w:cs="宋体" w:eastAsia="宋体" w:hint="default"/>
                <w:spacing w:val="-3"/>
                <w:sz w:val="18"/>
                <w:szCs w:val="18"/>
              </w:rPr>
              <w:t>1</w:t>
            </w:r>
            <w:r>
              <w:rPr>
                <w:rFonts w:ascii="宋体" w:hAnsi="宋体" w:cs="宋体" w:eastAsia="宋体" w:hint="default"/>
                <w:spacing w:val="-3"/>
                <w:sz w:val="18"/>
                <w:szCs w:val="18"/>
              </w:rPr>
              <w:t>、承诺在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本次补充流动资金期限届满之前，公司将及时足额将资 </w:t>
            </w:r>
            <w:r>
              <w:rPr>
                <w:rFonts w:ascii="宋体" w:hAnsi="宋体" w:cs="宋体" w:eastAsia="宋体" w:hint="default"/>
                <w:spacing w:val="-3"/>
                <w:sz w:val="18"/>
                <w:szCs w:val="18"/>
              </w:rPr>
              <w:t>金归还至募集资金专户；</w:t>
            </w:r>
            <w:r>
              <w:rPr>
                <w:rFonts w:ascii="宋体" w:hAnsi="宋体" w:cs="宋体" w:eastAsia="宋体" w:hint="default"/>
                <w:spacing w:val="-3"/>
                <w:sz w:val="18"/>
                <w:szCs w:val="18"/>
              </w:rPr>
              <w:t>2</w:t>
            </w:r>
            <w:r>
              <w:rPr>
                <w:rFonts w:ascii="宋体" w:hAnsi="宋体" w:cs="宋体" w:eastAsia="宋体" w:hint="default"/>
                <w:spacing w:val="-3"/>
                <w:sz w:val="18"/>
                <w:szCs w:val="18"/>
              </w:rPr>
              <w:t>、承诺本次使用部分闲置募集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资金暂时补充流动资金不会改变或变相改变募集资金用 </w:t>
            </w:r>
            <w:r>
              <w:rPr>
                <w:rFonts w:ascii="宋体" w:hAnsi="宋体" w:cs="宋体" w:eastAsia="宋体" w:hint="default"/>
                <w:spacing w:val="-3"/>
                <w:sz w:val="18"/>
                <w:szCs w:val="18"/>
              </w:rPr>
              <w:t>途；</w:t>
            </w:r>
            <w:r>
              <w:rPr>
                <w:rFonts w:ascii="宋体" w:hAnsi="宋体" w:cs="宋体" w:eastAsia="宋体" w:hint="default"/>
                <w:spacing w:val="-3"/>
                <w:sz w:val="18"/>
                <w:szCs w:val="18"/>
              </w:rPr>
              <w:t>3</w:t>
            </w:r>
            <w:r>
              <w:rPr>
                <w:rFonts w:ascii="宋体" w:hAnsi="宋体" w:cs="宋体" w:eastAsia="宋体" w:hint="default"/>
                <w:spacing w:val="-3"/>
                <w:sz w:val="18"/>
                <w:szCs w:val="18"/>
              </w:rPr>
              <w:t>、承诺本次使用部分闲置募集资金暂时补充流动资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金不影响募集资金投资项目正常进行；若原募集资金投 资项目因实施进度需要使用，公司将及时归还资金至募 集资金专户，以确保募集资金投资项目的正常进行；</w:t>
            </w:r>
            <w:r>
              <w:rPr>
                <w:rFonts w:ascii="宋体" w:hAnsi="宋体" w:cs="宋体" w:eastAsia="宋体" w:hint="default"/>
                <w:sz w:val="18"/>
                <w:szCs w:val="18"/>
              </w:rPr>
              <w:t>4</w:t>
            </w:r>
            <w:r>
              <w:rPr>
                <w:rFonts w:ascii="宋体" w:hAnsi="宋体" w:cs="宋体" w:eastAsia="宋体" w:hint="default"/>
                <w:sz w:val="18"/>
                <w:szCs w:val="18"/>
              </w:rPr>
              <w:t>、 承诺本次使用闲置募集资金暂时补充流动资金前十二个 月内未进行风险投资；本次使用部分闲置募集资金暂时 补充流动资金后十二个月内不进行风险投资、不对控股 </w:t>
            </w:r>
            <w:r>
              <w:rPr>
                <w:rFonts w:ascii="宋体" w:hAnsi="宋体" w:cs="宋体" w:eastAsia="宋体" w:hint="default"/>
                <w:spacing w:val="-3"/>
                <w:sz w:val="18"/>
                <w:szCs w:val="18"/>
              </w:rPr>
              <w:t>子公司以外的对象提供财务资助；</w:t>
            </w:r>
            <w:r>
              <w:rPr>
                <w:rFonts w:ascii="宋体" w:hAnsi="宋体" w:cs="宋体" w:eastAsia="宋体" w:hint="default"/>
                <w:spacing w:val="-3"/>
                <w:sz w:val="18"/>
                <w:szCs w:val="18"/>
              </w:rPr>
              <w:t>5</w:t>
            </w:r>
            <w:r>
              <w:rPr>
                <w:rFonts w:ascii="宋体" w:hAnsi="宋体" w:cs="宋体" w:eastAsia="宋体" w:hint="default"/>
                <w:spacing w:val="-3"/>
                <w:sz w:val="18"/>
                <w:szCs w:val="18"/>
              </w:rPr>
              <w:t>、承诺本次使用部分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闲置募集资金暂时补充流动资金，仅限于与主营业务相 关的生产经营使用，不通过直接或者间接安排用于新股 配售、申购，或用于股票及其衍生品种、可转换公司债 </w:t>
            </w:r>
            <w:r>
              <w:rPr>
                <w:rFonts w:ascii="宋体" w:hAnsi="宋体" w:cs="宋体" w:eastAsia="宋体" w:hint="default"/>
                <w:spacing w:val="-3"/>
                <w:sz w:val="18"/>
                <w:szCs w:val="18"/>
              </w:rPr>
              <w:t>券等的交易；</w:t>
            </w:r>
            <w:r>
              <w:rPr>
                <w:rFonts w:ascii="宋体" w:hAnsi="宋体" w:cs="宋体" w:eastAsia="宋体" w:hint="default"/>
                <w:spacing w:val="-3"/>
                <w:sz w:val="18"/>
                <w:szCs w:val="18"/>
              </w:rPr>
              <w:t>6</w:t>
            </w:r>
            <w:r>
              <w:rPr>
                <w:rFonts w:ascii="宋体" w:hAnsi="宋体" w:cs="宋体" w:eastAsia="宋体" w:hint="default"/>
                <w:spacing w:val="-3"/>
                <w:sz w:val="18"/>
                <w:szCs w:val="18"/>
              </w:rPr>
              <w:t>、本公司闲置募集资金暂时补充流动资金</w:t>
            </w:r>
          </w:p>
        </w:tc>
        <w:tc>
          <w:tcPr>
            <w:tcW w:w="566"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2018.7.12</w:t>
            </w:r>
          </w:p>
        </w:tc>
        <w:tc>
          <w:tcPr>
            <w:tcW w:w="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该承 诺已 履行 完 毕。</w:t>
            </w:r>
          </w:p>
        </w:tc>
      </w:tr>
      <w:tr>
        <w:trPr>
          <w:trHeight w:val="704"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425"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4395" w:type="dxa"/>
            <w:vMerge/>
            <w:tcBorders>
              <w:left w:val="single" w:sz="4" w:space="0" w:color="000000"/>
              <w:right w:val="single" w:sz="9" w:space="0" w:color="FFFFFF"/>
            </w:tcBorders>
          </w:tcPr>
          <w:p>
            <w:pPr/>
          </w:p>
        </w:tc>
        <w:tc>
          <w:tcPr>
            <w:tcW w:w="566" w:type="dxa"/>
            <w:vMerge/>
            <w:tcBorders>
              <w:left w:val="single" w:sz="9" w:space="0" w:color="FFFFFF"/>
              <w:right w:val="single" w:sz="4" w:space="0" w:color="000000"/>
            </w:tcBorders>
          </w:tcPr>
          <w:p>
            <w:pPr/>
          </w:p>
        </w:tc>
        <w:tc>
          <w:tcPr>
            <w:tcW w:w="992"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2838"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4395" w:type="dxa"/>
            <w:vMerge/>
            <w:tcBorders>
              <w:left w:val="single" w:sz="4" w:space="0" w:color="000000"/>
              <w:bottom w:val="single" w:sz="4" w:space="0" w:color="000000"/>
              <w:right w:val="single" w:sz="9" w:space="0" w:color="FFFFFF"/>
            </w:tcBorders>
          </w:tcPr>
          <w:p>
            <w:pPr/>
          </w:p>
        </w:tc>
        <w:tc>
          <w:tcPr>
            <w:tcW w:w="566" w:type="dxa"/>
            <w:vMerge/>
            <w:tcBorders>
              <w:left w:val="single" w:sz="9" w:space="0" w:color="FFFFFF"/>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9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shape style="position:absolute;margin-left:354.440002pt;margin-top:137.399979pt;width:106.1pt;height:85.85pt;mso-position-horizontal-relative:page;mso-position-vertical-relative:page;z-index:-8916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提高资金使用效率，</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985"/>
        <w:gridCol w:w="425"/>
        <w:gridCol w:w="709"/>
        <w:gridCol w:w="4395"/>
        <w:gridCol w:w="566"/>
        <w:gridCol w:w="992"/>
        <w:gridCol w:w="496"/>
      </w:tblGrid>
      <w:tr>
        <w:trPr>
          <w:trHeight w:val="1298"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0"/>
              <w:jc w:val="left"/>
              <w:rPr>
                <w:rFonts w:ascii="宋体" w:hAnsi="宋体" w:cs="宋体" w:eastAsia="宋体" w:hint="default"/>
                <w:sz w:val="18"/>
                <w:szCs w:val="18"/>
              </w:rPr>
            </w:pPr>
            <w:r>
              <w:rPr>
                <w:rFonts w:ascii="宋体" w:hAnsi="宋体" w:cs="宋体" w:eastAsia="宋体" w:hint="default"/>
                <w:sz w:val="18"/>
                <w:szCs w:val="18"/>
              </w:rPr>
              <w:t>期间不进行交易性金融资产和可供出售金融资产的投 资、借予他人、委托理财（购买商业银行安全性高、流 动性强的保本型现金管理产品除外）等财务性投资，不 直接或间接投资于以买卖有价证券为主要业务的公司。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316" w:lineRule="auto"/>
              <w:ind w:left="23" w:right="133"/>
              <w:jc w:val="both"/>
              <w:rPr>
                <w:rFonts w:ascii="宋体" w:hAnsi="宋体" w:cs="宋体" w:eastAsia="宋体" w:hint="default"/>
                <w:sz w:val="18"/>
                <w:szCs w:val="18"/>
              </w:rPr>
            </w:pPr>
            <w:r>
              <w:rPr>
                <w:rFonts w:ascii="宋体" w:hAnsi="宋体" w:cs="宋体" w:eastAsia="宋体" w:hint="default"/>
                <w:sz w:val="18"/>
                <w:szCs w:val="18"/>
              </w:rPr>
              <w:t>募集资 金使用 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pacing w:val="-3"/>
                <w:sz w:val="18"/>
                <w:szCs w:val="18"/>
              </w:rPr>
              <w:t>本次永久补充流动资金的承诺：</w:t>
            </w:r>
            <w:r>
              <w:rPr>
                <w:rFonts w:ascii="宋体" w:hAnsi="宋体" w:cs="宋体" w:eastAsia="宋体" w:hint="default"/>
                <w:spacing w:val="-3"/>
                <w:sz w:val="18"/>
                <w:szCs w:val="18"/>
              </w:rPr>
              <w:t>1</w:t>
            </w:r>
            <w:r>
              <w:rPr>
                <w:rFonts w:ascii="宋体" w:hAnsi="宋体" w:cs="宋体" w:eastAsia="宋体" w:hint="default"/>
                <w:spacing w:val="-3"/>
                <w:sz w:val="18"/>
                <w:szCs w:val="18"/>
              </w:rPr>
              <w:t>、本次变更部分募集资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金用途并永久补充流动资金，更符合公司现阶段的经营 </w:t>
            </w:r>
            <w:r>
              <w:rPr>
                <w:rFonts w:ascii="宋体" w:hAnsi="宋体" w:cs="宋体" w:eastAsia="宋体" w:hint="default"/>
                <w:spacing w:val="-3"/>
                <w:sz w:val="18"/>
                <w:szCs w:val="18"/>
              </w:rPr>
              <w:t>情况，且有利于降低公司财务费用，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不存在损害公司和全体股东利益的情形；</w:t>
            </w:r>
            <w:r>
              <w:rPr>
                <w:rFonts w:ascii="宋体" w:hAnsi="宋体" w:cs="宋体" w:eastAsia="宋体" w:hint="default"/>
                <w:spacing w:val="-3"/>
                <w:sz w:val="18"/>
                <w:szCs w:val="18"/>
              </w:rPr>
              <w:t>2</w:t>
            </w:r>
            <w:r>
              <w:rPr>
                <w:rFonts w:ascii="宋体" w:hAnsi="宋体" w:cs="宋体" w:eastAsia="宋体" w:hint="default"/>
                <w:spacing w:val="-3"/>
                <w:sz w:val="18"/>
                <w:szCs w:val="18"/>
              </w:rPr>
              <w:t>、本次变更用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途并永久补充流动资金的募集资金已到账超过</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pacing w:val="-3"/>
                <w:sz w:val="18"/>
                <w:szCs w:val="18"/>
              </w:rPr>
              <w:t>本次变更募集资金用途不影响其他项目的实施；</w:t>
            </w:r>
            <w:r>
              <w:rPr>
                <w:rFonts w:ascii="宋体" w:hAnsi="宋体" w:cs="宋体" w:eastAsia="宋体" w:hint="default"/>
                <w:spacing w:val="-3"/>
                <w:sz w:val="18"/>
                <w:szCs w:val="18"/>
              </w:rPr>
              <w:t>4</w:t>
            </w:r>
            <w:r>
              <w:rPr>
                <w:rFonts w:ascii="宋体" w:hAnsi="宋体" w:cs="宋体" w:eastAsia="宋体" w:hint="default"/>
                <w:spacing w:val="-3"/>
                <w:sz w:val="18"/>
                <w:szCs w:val="18"/>
              </w:rPr>
              <w:t>、公司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将按照募集资金用途变更的要求履行审批程序和信息披 露义务；</w:t>
            </w:r>
            <w:r>
              <w:rPr>
                <w:rFonts w:ascii="宋体" w:hAnsi="宋体" w:cs="宋体" w:eastAsia="宋体" w:hint="default"/>
                <w:sz w:val="18"/>
                <w:szCs w:val="18"/>
              </w:rPr>
              <w:t>5</w:t>
            </w:r>
            <w:r>
              <w:rPr>
                <w:rFonts w:ascii="宋体" w:hAnsi="宋体" w:cs="宋体" w:eastAsia="宋体" w:hint="default"/>
                <w:sz w:val="18"/>
                <w:szCs w:val="18"/>
              </w:rPr>
              <w:t>、本次使用募集资金永久补充流动资金前</w:t>
            </w:r>
            <w:r>
              <w:rPr>
                <w:rFonts w:ascii="宋体" w:hAnsi="宋体" w:cs="宋体" w:eastAsia="宋体" w:hint="default"/>
                <w:spacing w:val="-46"/>
                <w:sz w:val="18"/>
                <w:szCs w:val="18"/>
              </w:rPr>
              <w:t> </w:t>
            </w:r>
            <w:r>
              <w:rPr>
                <w:rFonts w:ascii="宋体" w:hAnsi="宋体" w:cs="宋体" w:eastAsia="宋体" w:hint="default"/>
                <w:sz w:val="18"/>
                <w:szCs w:val="18"/>
              </w:rPr>
              <w:t>12 </w:t>
            </w:r>
            <w:r>
              <w:rPr>
                <w:rFonts w:ascii="宋体" w:hAnsi="宋体" w:cs="宋体" w:eastAsia="宋体" w:hint="default"/>
                <w:sz w:val="18"/>
                <w:szCs w:val="18"/>
              </w:rPr>
              <w:t>个月内公司不存在从事风险投资的情况，未对控股子公 </w:t>
            </w:r>
            <w:r>
              <w:rPr>
                <w:rFonts w:ascii="宋体" w:hAnsi="宋体" w:cs="宋体" w:eastAsia="宋体" w:hint="default"/>
                <w:spacing w:val="-3"/>
                <w:sz w:val="18"/>
                <w:szCs w:val="18"/>
              </w:rPr>
              <w:t>司以外的对象提供财务资助；</w:t>
            </w:r>
            <w:r>
              <w:rPr>
                <w:rFonts w:ascii="宋体" w:hAnsi="宋体" w:cs="宋体" w:eastAsia="宋体" w:hint="default"/>
                <w:spacing w:val="-3"/>
                <w:sz w:val="18"/>
                <w:szCs w:val="18"/>
              </w:rPr>
              <w:t>6</w:t>
            </w:r>
            <w:r>
              <w:rPr>
                <w:rFonts w:ascii="宋体" w:hAnsi="宋体" w:cs="宋体" w:eastAsia="宋体" w:hint="default"/>
                <w:spacing w:val="-3"/>
                <w:sz w:val="18"/>
                <w:szCs w:val="18"/>
              </w:rPr>
              <w:t>、本次使用募集资金永久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补充流动资金后</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pacing w:val="-5"/>
                <w:sz w:val="18"/>
                <w:szCs w:val="18"/>
              </w:rPr>
              <w:t>个月内不进行风险投资、不为控股子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公司以外的对象提供财务资助；</w:t>
            </w:r>
            <w:r>
              <w:rPr>
                <w:rFonts w:ascii="宋体" w:hAnsi="宋体" w:cs="宋体" w:eastAsia="宋体" w:hint="default"/>
                <w:spacing w:val="-3"/>
                <w:sz w:val="18"/>
                <w:szCs w:val="18"/>
              </w:rPr>
              <w:t>7</w:t>
            </w:r>
            <w:r>
              <w:rPr>
                <w:rFonts w:ascii="宋体" w:hAnsi="宋体" w:cs="宋体" w:eastAsia="宋体" w:hint="default"/>
                <w:spacing w:val="-3"/>
                <w:sz w:val="18"/>
                <w:szCs w:val="18"/>
              </w:rPr>
              <w:t>、本次计划使用募集资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金补充的流动资金仅限于与主营业务相关的生产经营使 用，不会通过直接或间接的安排用于新股配售、申购， 或用于股票及其衍生品种、可转换公司债券等的交易。</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6" w:lineRule="exact"/>
              <w:ind w:right="-51"/>
              <w:jc w:val="left"/>
              <w:rPr>
                <w:rFonts w:ascii="宋体" w:hAnsi="宋体" w:cs="宋体" w:eastAsia="宋体" w:hint="default"/>
                <w:sz w:val="20"/>
                <w:szCs w:val="20"/>
              </w:rPr>
            </w:pPr>
            <w:r>
              <w:rPr>
                <w:rFonts w:ascii="宋体" w:hAnsi="宋体" w:cs="宋体" w:eastAsia="宋体" w:hint="default"/>
                <w:position w:val="-33"/>
                <w:sz w:val="20"/>
                <w:szCs w:val="20"/>
              </w:rPr>
              <w:pict>
                <v:group style="width:27.85pt;height:85.85pt;mso-position-horizontal-relative:char;mso-position-vertical-relative:line" coordorigin="0,0" coordsize="557,1717">
                  <v:group style="position:absolute;left:0;top:0;width:557;height:1717" coordorigin="0,0" coordsize="557,1717">
                    <v:shape style="position:absolute;left:0;top:0;width:557;height:1717" coordorigin="0,0" coordsize="557,1717" path="m0,1716l557,1716,557,0,0,0,0,1716xe" filled="true" fillcolor="#ffffff" stroked="false">
                      <v:path arrowok="t"/>
                      <v:fill type="solid"/>
                    </v:shape>
                  </v:group>
                </v:group>
              </w:pict>
            </w:r>
            <w:r>
              <w:rPr>
                <w:rFonts w:ascii="宋体" w:hAnsi="宋体" w:cs="宋体" w:eastAsia="宋体" w:hint="default"/>
                <w:position w:val="-33"/>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3"/>
                <w:szCs w:val="23"/>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left="24" w:right="0"/>
              <w:jc w:val="left"/>
              <w:rPr>
                <w:rFonts w:ascii="Times New Roman" w:hAnsi="Times New Roman" w:cs="Times New Roman" w:eastAsia="Times New Roman" w:hint="default"/>
                <w:sz w:val="18"/>
                <w:szCs w:val="18"/>
              </w:rPr>
            </w:pPr>
            <w:r>
              <w:rPr>
                <w:rFonts w:ascii="Times New Roman"/>
                <w:sz w:val="18"/>
              </w:rPr>
              <w:t>2019.11.22</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58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如承诺超期未履行完毕 </w:t>
            </w:r>
            <w:r>
              <w:rPr>
                <w:rFonts w:ascii="宋体" w:hAnsi="宋体" w:cs="宋体" w:eastAsia="宋体" w:hint="default"/>
                <w:spacing w:val="-5"/>
                <w:sz w:val="18"/>
                <w:szCs w:val="18"/>
              </w:rPr>
              <w:t>的，应当详细说明未完成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履行的具体原因及下一 步的工作计划</w:t>
            </w:r>
          </w:p>
        </w:tc>
        <w:tc>
          <w:tcPr>
            <w:tcW w:w="758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宋体" w:hAnsi="宋体" w:cs="宋体" w:eastAsia="宋体" w:hint="default"/>
          <w:b/>
          <w:bCs/>
          <w:sz w:val="4"/>
          <w:szCs w:val="4"/>
        </w:rPr>
      </w:pPr>
    </w:p>
    <w:p>
      <w:pPr>
        <w:pStyle w:val="Heading2"/>
        <w:spacing w:line="331" w:lineRule="auto"/>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w:t>
      </w:r>
      <w:r>
        <w:rPr>
          <w:spacing w:val="6"/>
          <w:w w:val="95"/>
        </w:rPr>
        <w:t> </w:t>
      </w:r>
      <w:r>
        <w:rPr>
          <w:spacing w:val="6"/>
          <w:w w:val="95"/>
        </w:rPr>
      </w:r>
      <w:r>
        <w:rPr/>
        <w:t>盈利预测及其原因做出说明</w:t>
      </w:r>
      <w:r>
        <w:rPr>
          <w:b w:val="0"/>
          <w:bCs w:val="0"/>
        </w:rPr>
      </w:r>
    </w:p>
    <w:p>
      <w:pPr>
        <w:spacing w:line="484" w:lineRule="auto" w:before="55"/>
        <w:ind w:left="154" w:right="4270" w:firstLine="482"/>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四、控股股东及其关联方对上市公司的非经营性占用资金情况" w:id="67"/>
      <w:bookmarkEnd w:id="67"/>
      <w:r>
        <w:rPr>
          <w:rFonts w:ascii="宋体" w:hAnsi="宋体" w:cs="宋体" w:eastAsia="宋体" w:hint="default"/>
          <w:sz w:val="24"/>
          <w:szCs w:val="24"/>
        </w:rPr>
      </w:r>
      <w:r>
        <w:rPr>
          <w:rFonts w:ascii="宋体" w:hAnsi="宋体" w:cs="宋体" w:eastAsia="宋体" w:hint="default"/>
          <w:b/>
          <w:bCs/>
          <w:w w:val="95"/>
          <w:sz w:val="24"/>
          <w:szCs w:val="24"/>
        </w:rPr>
        <w:t>四、控股股东及其关联方对上市公司的非经营性占用资金情况</w:t>
      </w:r>
      <w:r>
        <w:rPr>
          <w:rFonts w:ascii="宋体" w:hAnsi="宋体" w:cs="宋体" w:eastAsia="宋体" w:hint="default"/>
          <w:sz w:val="24"/>
          <w:szCs w:val="24"/>
        </w:rPr>
      </w:r>
    </w:p>
    <w:p>
      <w:pPr>
        <w:pStyle w:val="BodyText"/>
        <w:spacing w:line="350" w:lineRule="auto" w:before="179"/>
        <w:ind w:left="636" w:right="2590"/>
        <w:jc w:val="left"/>
      </w:pPr>
      <w:r>
        <w:rPr/>
        <w:t>□ 适用 √ 不适用 公司报告期不存在控股股东及其关联方对上市公司的非经营性占用资金。</w:t>
      </w:r>
    </w:p>
    <w:p>
      <w:pPr>
        <w:pStyle w:val="Heading2"/>
        <w:spacing w:line="240" w:lineRule="auto" w:before="211"/>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0"/>
        <w:rPr>
          <w:rFonts w:ascii="宋体" w:hAnsi="宋体" w:cs="宋体" w:eastAsia="宋体" w:hint="default"/>
          <w:b/>
          <w:bCs/>
          <w:sz w:val="31"/>
          <w:szCs w:val="31"/>
        </w:rPr>
      </w:pPr>
    </w:p>
    <w:p>
      <w:pPr>
        <w:spacing w:line="484" w:lineRule="auto" w:before="0"/>
        <w:ind w:left="154" w:right="1092" w:firstLine="482"/>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六、与上年度财务报告相比，会计政策、会计估计和核算方法发生变化的情况说明" w:id="69"/>
      <w:bookmarkEnd w:id="69"/>
      <w:r>
        <w:rPr>
          <w:rFonts w:ascii="宋体" w:hAnsi="宋体" w:cs="宋体" w:eastAsia="宋体" w:hint="default"/>
          <w:sz w:val="24"/>
          <w:szCs w:val="24"/>
        </w:rPr>
      </w:r>
      <w:r>
        <w:rPr>
          <w:rFonts w:ascii="宋体" w:hAnsi="宋体" w:cs="宋体" w:eastAsia="宋体" w:hint="default"/>
          <w:b/>
          <w:bCs/>
          <w:w w:val="95"/>
          <w:sz w:val="24"/>
          <w:szCs w:val="24"/>
        </w:rPr>
        <w:t>六、与上年度财务报告相比，会计政策、会计估计和核算方法发生变化的情况说明</w:t>
      </w:r>
      <w:r>
        <w:rPr>
          <w:rFonts w:ascii="宋体" w:hAnsi="宋体" w:cs="宋体" w:eastAsia="宋体" w:hint="default"/>
          <w:sz w:val="24"/>
          <w:szCs w:val="24"/>
        </w:rPr>
      </w:r>
    </w:p>
    <w:p>
      <w:pPr>
        <w:pStyle w:val="BodyText"/>
        <w:spacing w:line="240" w:lineRule="auto" w:before="179"/>
        <w:ind w:left="636"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484" w:lineRule="auto" w:before="199"/>
        <w:ind w:left="154" w:right="2590" w:firstLine="482"/>
        <w:jc w:val="left"/>
        <w:rPr>
          <w:rFonts w:ascii="宋体" w:hAnsi="宋体" w:cs="宋体" w:eastAsia="宋体" w:hint="default"/>
          <w:sz w:val="24"/>
          <w:szCs w:val="24"/>
        </w:rPr>
      </w:pPr>
      <w:r>
        <w:rPr>
          <w:rFonts w:ascii="宋体" w:hAnsi="宋体" w:cs="宋体" w:eastAsia="宋体" w:hint="default"/>
          <w:sz w:val="24"/>
          <w:szCs w:val="24"/>
        </w:rPr>
        <w:t>详见本报告第十一节财务报告中“重要会计政策和会计估计变更”一节。 </w:t>
      </w:r>
      <w:bookmarkStart w:name="七、报告期内发生重大会计差错更正需追溯重述的情况说明" w:id="70"/>
      <w:bookmarkEnd w:id="70"/>
      <w:r>
        <w:rPr>
          <w:rFonts w:ascii="宋体" w:hAnsi="宋体" w:cs="宋体" w:eastAsia="宋体" w:hint="default"/>
          <w:sz w:val="24"/>
          <w:szCs w:val="24"/>
        </w:rPr>
      </w:r>
      <w:r>
        <w:rPr>
          <w:rFonts w:ascii="宋体" w:hAnsi="宋体" w:cs="宋体" w:eastAsia="宋体" w:hint="default"/>
          <w:b/>
          <w:bCs/>
          <w:sz w:val="24"/>
          <w:szCs w:val="24"/>
        </w:rPr>
        <w:t>七、报告期内发生重大会计差错更正需追溯重述的情况说明</w:t>
      </w:r>
      <w:r>
        <w:rPr>
          <w:rFonts w:ascii="宋体" w:hAnsi="宋体" w:cs="宋体" w:eastAsia="宋体" w:hint="default"/>
          <w:sz w:val="24"/>
          <w:szCs w:val="24"/>
        </w:rPr>
      </w:r>
    </w:p>
    <w:p>
      <w:pPr>
        <w:pStyle w:val="BodyText"/>
        <w:spacing w:line="352" w:lineRule="auto" w:before="179"/>
        <w:ind w:left="636" w:right="4750"/>
        <w:jc w:val="left"/>
      </w:pPr>
      <w:r>
        <w:rPr/>
        <w:t>□ 适用 √ 不适用 公司报告期无重大会计差错更正需追溯重述的情况。</w:t>
      </w:r>
    </w:p>
    <w:p>
      <w:pPr>
        <w:pStyle w:val="Heading2"/>
        <w:spacing w:line="240" w:lineRule="auto" w:before="208"/>
        <w:ind w:right="0"/>
        <w:jc w:val="left"/>
        <w:rPr>
          <w:b w:val="0"/>
          <w:bCs w:val="0"/>
        </w:rPr>
      </w:pPr>
      <w:bookmarkStart w:name="八、与上年度财务报告相比，合并报表范围发生变化的情况说明" w:id="71"/>
      <w:bookmarkEnd w:id="71"/>
      <w:r>
        <w:rPr>
          <w:b w:val="0"/>
          <w:bCs w:val="0"/>
        </w:rPr>
      </w:r>
      <w:r>
        <w:rPr/>
        <w:t>八、与上年度财务报告相比，合并报表范围发生变化的情况说明</w:t>
      </w:r>
      <w:r>
        <w:rPr>
          <w:b w:val="0"/>
          <w:bCs w:val="0"/>
        </w:rPr>
      </w:r>
    </w:p>
    <w:p>
      <w:pPr>
        <w:spacing w:line="240" w:lineRule="auto" w:before="5"/>
        <w:rPr>
          <w:rFonts w:ascii="宋体" w:hAnsi="宋体" w:cs="宋体" w:eastAsia="宋体" w:hint="default"/>
          <w:b/>
          <w:bCs/>
          <w:sz w:val="32"/>
          <w:szCs w:val="32"/>
        </w:rPr>
      </w:pPr>
    </w:p>
    <w:p>
      <w:pPr>
        <w:pStyle w:val="BodyText"/>
        <w:spacing w:line="350" w:lineRule="auto" w:before="0"/>
        <w:ind w:left="636" w:right="4270"/>
        <w:jc w:val="left"/>
      </w:pPr>
      <w:r>
        <w:rPr/>
        <w:t>√ 适用 □ 不适用 全资子公司天津智信源科技有限公司在报告期内已注销。</w:t>
      </w:r>
    </w:p>
    <w:p>
      <w:pPr>
        <w:spacing w:line="564" w:lineRule="auto" w:before="211"/>
        <w:ind w:left="636" w:right="5952" w:hanging="483"/>
        <w:jc w:val="left"/>
        <w:rPr>
          <w:rFonts w:ascii="宋体" w:hAnsi="宋体" w:cs="宋体" w:eastAsia="宋体" w:hint="default"/>
          <w:sz w:val="24"/>
          <w:szCs w:val="24"/>
        </w:rPr>
      </w:pPr>
      <w:r>
        <w:rPr/>
        <w:pict>
          <v:shape style="position:absolute;margin-left:56.459999pt;margin-top:66.02565pt;width:479.2pt;height:101.1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59"/>
                    <w:gridCol w:w="3909"/>
                  </w:tblGrid>
                  <w:tr>
                    <w:trPr>
                      <w:trHeight w:val="403" w:hRule="exact"/>
                    </w:trPr>
                    <w:tc>
                      <w:tcPr>
                        <w:tcW w:w="5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2" w:hRule="exact"/>
                    </w:trPr>
                    <w:tc>
                      <w:tcPr>
                        <w:tcW w:w="5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80</w:t>
                        </w:r>
                      </w:p>
                    </w:tc>
                  </w:tr>
                  <w:tr>
                    <w:trPr>
                      <w:trHeight w:val="402" w:hRule="exact"/>
                    </w:trPr>
                    <w:tc>
                      <w:tcPr>
                        <w:tcW w:w="5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 </w:t>
                        </w:r>
                        <w:r>
                          <w:rPr>
                            <w:rFonts w:ascii="宋体" w:hAnsi="宋体" w:cs="宋体" w:eastAsia="宋体" w:hint="default"/>
                            <w:sz w:val="21"/>
                            <w:szCs w:val="21"/>
                          </w:rPr>
                          <w:t>年</w:t>
                        </w:r>
                      </w:p>
                    </w:tc>
                  </w:tr>
                  <w:tr>
                    <w:trPr>
                      <w:trHeight w:val="402" w:hRule="exact"/>
                    </w:trPr>
                    <w:tc>
                      <w:tcPr>
                        <w:tcW w:w="5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吕勇军</w:t>
                        </w:r>
                        <w:r>
                          <w:rPr>
                            <w:rFonts w:ascii="宋体" w:hAnsi="宋体" w:cs="宋体" w:eastAsia="宋体" w:hint="default"/>
                            <w:spacing w:val="-2"/>
                            <w:sz w:val="21"/>
                            <w:szCs w:val="21"/>
                          </w:rPr>
                          <w:t> </w:t>
                        </w:r>
                        <w:r>
                          <w:rPr>
                            <w:rFonts w:ascii="宋体" w:hAnsi="宋体" w:cs="宋体" w:eastAsia="宋体" w:hint="default"/>
                            <w:sz w:val="21"/>
                            <w:szCs w:val="21"/>
                          </w:rPr>
                          <w:t>胡丽娟</w:t>
                        </w:r>
                      </w:p>
                    </w:tc>
                  </w:tr>
                  <w:tr>
                    <w:trPr>
                      <w:trHeight w:val="403" w:hRule="exact"/>
                    </w:trPr>
                    <w:tc>
                      <w:tcPr>
                        <w:tcW w:w="5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境内会计师事务所注册会计师审计服务的连续年限</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吕勇军</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年、胡丽娟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bl>
                <w:p>
                  <w:pPr/>
                </w:p>
              </w:txbxContent>
            </v:textbox>
            <w10:wrap type="none"/>
          </v:shape>
        </w:pict>
      </w:r>
      <w:bookmarkStart w:name="九、聘任、解聘会计师事务所情况" w:id="72"/>
      <w:bookmarkEnd w:id="72"/>
      <w:r>
        <w:rPr/>
      </w:r>
      <w:r>
        <w:rPr>
          <w:rFonts w:ascii="宋体" w:hAnsi="宋体" w:cs="宋体" w:eastAsia="宋体" w:hint="default"/>
          <w:b/>
          <w:bCs/>
          <w:w w:val="95"/>
          <w:sz w:val="24"/>
          <w:szCs w:val="24"/>
        </w:rPr>
        <w:t>九、聘任、解聘会计师事务所情况</w:t>
      </w:r>
      <w:r>
        <w:rPr>
          <w:rFonts w:ascii="宋体" w:hAnsi="宋体" w:cs="宋体" w:eastAsia="宋体" w:hint="default"/>
          <w:b/>
          <w:bCs/>
          <w:spacing w:val="51"/>
          <w:w w:val="95"/>
          <w:sz w:val="24"/>
          <w:szCs w:val="24"/>
        </w:rPr>
        <w:t> </w:t>
      </w:r>
      <w:r>
        <w:rPr>
          <w:rFonts w:ascii="宋体" w:hAnsi="宋体" w:cs="宋体" w:eastAsia="宋体" w:hint="default"/>
          <w:sz w:val="24"/>
          <w:szCs w:val="24"/>
        </w:rPr>
        <w:t>现聘任的会计师事务所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26"/>
        <w:ind w:left="636" w:right="0"/>
        <w:jc w:val="left"/>
      </w:pPr>
      <w:r>
        <w:rPr/>
        <w:t>当期是否改聘会计师事务所</w:t>
      </w:r>
    </w:p>
    <w:p>
      <w:pPr>
        <w:pStyle w:val="BodyText"/>
        <w:spacing w:line="350" w:lineRule="auto" w:before="145"/>
        <w:ind w:left="636" w:right="4270"/>
        <w:jc w:val="left"/>
      </w:pPr>
      <w:r>
        <w:rPr/>
        <w:t>□ 是 √ 否 聘请内部控制审计会计师事务所、财务顾问或保荐人情况</w:t>
      </w:r>
    </w:p>
    <w:p>
      <w:pPr>
        <w:pStyle w:val="BodyText"/>
        <w:spacing w:line="350" w:lineRule="auto"/>
        <w:ind w:left="636" w:right="1150"/>
        <w:jc w:val="left"/>
      </w:pPr>
      <w:r>
        <w:rPr/>
        <w:t>√ 适用 □ 不适用 报告期内，公司聘请大华会计师事务所（特殊普通合伙）担任公司的内部控制审计会计</w:t>
      </w:r>
    </w:p>
    <w:p>
      <w:pPr>
        <w:spacing w:line="487" w:lineRule="auto" w:before="35"/>
        <w:ind w:left="154" w:right="3432" w:firstLine="0"/>
        <w:jc w:val="left"/>
        <w:rPr>
          <w:rFonts w:ascii="宋体" w:hAnsi="宋体" w:cs="宋体" w:eastAsia="宋体" w:hint="default"/>
          <w:sz w:val="24"/>
          <w:szCs w:val="24"/>
        </w:rPr>
      </w:pPr>
      <w:r>
        <w:rPr>
          <w:rFonts w:ascii="宋体" w:hAnsi="宋体" w:cs="宋体" w:eastAsia="宋体" w:hint="default"/>
          <w:sz w:val="24"/>
          <w:szCs w:val="24"/>
        </w:rPr>
        <w:t>师，期间共支付其财务审计、内部控制审计及验资费用共计</w:t>
      </w:r>
      <w:r>
        <w:rPr>
          <w:rFonts w:ascii="宋体" w:hAnsi="宋体" w:cs="宋体" w:eastAsia="宋体" w:hint="default"/>
          <w:spacing w:val="-60"/>
          <w:sz w:val="24"/>
          <w:szCs w:val="24"/>
        </w:rPr>
        <w:t> </w:t>
      </w:r>
      <w:r>
        <w:rPr>
          <w:rFonts w:ascii="宋体" w:hAnsi="宋体" w:cs="宋体" w:eastAsia="宋体" w:hint="default"/>
          <w:sz w:val="24"/>
          <w:szCs w:val="24"/>
        </w:rPr>
        <w:t>80</w:t>
      </w:r>
      <w:r>
        <w:rPr>
          <w:rFonts w:ascii="宋体" w:hAnsi="宋体" w:cs="宋体" w:eastAsia="宋体" w:hint="default"/>
          <w:spacing w:val="-60"/>
          <w:sz w:val="24"/>
          <w:szCs w:val="24"/>
        </w:rPr>
        <w:t> </w:t>
      </w:r>
      <w:r>
        <w:rPr>
          <w:rFonts w:ascii="宋体" w:hAnsi="宋体" w:cs="宋体" w:eastAsia="宋体" w:hint="default"/>
          <w:sz w:val="24"/>
          <w:szCs w:val="24"/>
        </w:rPr>
        <w:t>万元。 </w:t>
      </w:r>
      <w:bookmarkStart w:name="十、年度报告披露后面临暂停上市和终止上市情况" w:id="73"/>
      <w:bookmarkEnd w:id="73"/>
      <w:r>
        <w:rPr>
          <w:rFonts w:ascii="宋体" w:hAnsi="宋体" w:cs="宋体" w:eastAsia="宋体" w:hint="default"/>
          <w:sz w:val="24"/>
          <w:szCs w:val="24"/>
        </w:rPr>
      </w:r>
      <w:r>
        <w:rPr>
          <w:rFonts w:ascii="宋体" w:hAnsi="宋体" w:cs="宋体" w:eastAsia="宋体" w:hint="default"/>
          <w:b/>
          <w:bCs/>
          <w:sz w:val="24"/>
          <w:szCs w:val="24"/>
        </w:rPr>
        <w:t>十、年度报告披露后面临暂停上市和终止上市情况</w:t>
      </w:r>
      <w:r>
        <w:rPr>
          <w:rFonts w:ascii="宋体" w:hAnsi="宋体" w:cs="宋体" w:eastAsia="宋体" w:hint="default"/>
          <w:sz w:val="24"/>
          <w:szCs w:val="24"/>
        </w:rPr>
      </w:r>
    </w:p>
    <w:p>
      <w:pPr>
        <w:spacing w:line="484" w:lineRule="auto" w:before="176"/>
        <w:ind w:left="154" w:right="8112" w:firstLine="482"/>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十一、破产重整相关事项" w:id="74"/>
      <w:bookmarkEnd w:id="74"/>
      <w:r>
        <w:rPr>
          <w:rFonts w:ascii="宋体" w:hAnsi="宋体" w:cs="宋体" w:eastAsia="宋体" w:hint="default"/>
          <w:sz w:val="24"/>
          <w:szCs w:val="24"/>
        </w:rPr>
      </w:r>
      <w:r>
        <w:rPr>
          <w:rFonts w:ascii="宋体" w:hAnsi="宋体" w:cs="宋体" w:eastAsia="宋体" w:hint="default"/>
          <w:b/>
          <w:bCs/>
          <w:w w:val="95"/>
          <w:sz w:val="24"/>
          <w:szCs w:val="24"/>
        </w:rPr>
        <w:t>十一、破产重整相关事项</w:t>
      </w:r>
      <w:r>
        <w:rPr>
          <w:rFonts w:ascii="宋体" w:hAnsi="宋体" w:cs="宋体" w:eastAsia="宋体" w:hint="default"/>
          <w:sz w:val="24"/>
          <w:szCs w:val="24"/>
        </w:rPr>
      </w:r>
    </w:p>
    <w:p>
      <w:pPr>
        <w:pStyle w:val="BodyText"/>
        <w:spacing w:line="350" w:lineRule="auto" w:before="179"/>
        <w:ind w:left="636" w:right="6190"/>
        <w:jc w:val="left"/>
      </w:pPr>
      <w:r>
        <w:rPr/>
        <w:t>□ 适用 √ 不适用 公司报告期未发生破产重整相关事项。</w:t>
      </w:r>
    </w:p>
    <w:p>
      <w:pPr>
        <w:spacing w:after="0" w:line="35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十二、重大诉讼、仲裁事项" w:id="75"/>
      <w:bookmarkEnd w:id="75"/>
      <w:r>
        <w:rPr>
          <w:b w:val="0"/>
          <w:bCs w:val="0"/>
        </w:rPr>
      </w:r>
      <w:r>
        <w:rPr/>
        <w:t>十二、重大诉讼、仲裁事项</w:t>
      </w:r>
      <w:r>
        <w:rPr>
          <w:b w:val="0"/>
          <w:bCs w:val="0"/>
        </w:rPr>
      </w:r>
    </w:p>
    <w:p>
      <w:pPr>
        <w:spacing w:line="240" w:lineRule="auto" w:before="5"/>
        <w:rPr>
          <w:rFonts w:ascii="宋体" w:hAnsi="宋体" w:cs="宋体" w:eastAsia="宋体" w:hint="default"/>
          <w:b/>
          <w:bCs/>
          <w:sz w:val="32"/>
          <w:szCs w:val="32"/>
        </w:rPr>
      </w:pPr>
    </w:p>
    <w:p>
      <w:pPr>
        <w:pStyle w:val="BodyText"/>
        <w:spacing w:line="350" w:lineRule="auto" w:before="0"/>
        <w:ind w:left="636" w:right="6190"/>
        <w:jc w:val="left"/>
      </w:pPr>
      <w:r>
        <w:rPr/>
        <w:t>□ 适用 √ 不适用 本报告期公司无重大诉讼、仲裁事项。</w:t>
      </w:r>
    </w:p>
    <w:p>
      <w:pPr>
        <w:pStyle w:val="Heading2"/>
        <w:spacing w:line="240" w:lineRule="auto" w:before="211"/>
        <w:ind w:right="0"/>
        <w:jc w:val="left"/>
        <w:rPr>
          <w:b w:val="0"/>
          <w:bCs w:val="0"/>
        </w:rPr>
      </w:pPr>
      <w:bookmarkStart w:name="十三、处罚及整改情况" w:id="76"/>
      <w:bookmarkEnd w:id="76"/>
      <w:r>
        <w:rPr>
          <w:b w:val="0"/>
          <w:bCs w:val="0"/>
        </w:rPr>
      </w:r>
      <w:r>
        <w:rPr/>
        <w:t>十三、处罚及整改情况</w:t>
      </w:r>
      <w:r>
        <w:rPr>
          <w:b w:val="0"/>
          <w:bCs w:val="0"/>
        </w:rPr>
      </w:r>
    </w:p>
    <w:p>
      <w:pPr>
        <w:spacing w:line="240" w:lineRule="auto" w:before="5"/>
        <w:rPr>
          <w:rFonts w:ascii="宋体" w:hAnsi="宋体" w:cs="宋体" w:eastAsia="宋体" w:hint="default"/>
          <w:b/>
          <w:bCs/>
          <w:sz w:val="32"/>
          <w:szCs w:val="32"/>
        </w:rPr>
      </w:pPr>
    </w:p>
    <w:p>
      <w:pPr>
        <w:pStyle w:val="BodyText"/>
        <w:spacing w:line="350" w:lineRule="auto" w:before="0"/>
        <w:ind w:left="636" w:right="6430"/>
        <w:jc w:val="left"/>
      </w:pPr>
      <w:r>
        <w:rPr/>
        <w:t>□ 适用 √ 不适用 公司报告期不存在处罚及整改情况。</w:t>
      </w:r>
    </w:p>
    <w:p>
      <w:pPr>
        <w:pStyle w:val="Heading2"/>
        <w:spacing w:line="240" w:lineRule="auto" w:before="210"/>
        <w:ind w:right="0"/>
        <w:jc w:val="left"/>
        <w:rPr>
          <w:b w:val="0"/>
          <w:bCs w:val="0"/>
        </w:rPr>
      </w:pPr>
      <w:bookmarkStart w:name="十四、公司及其控股股东、实际控制人的诚信状况" w:id="77"/>
      <w:bookmarkEnd w:id="77"/>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32"/>
          <w:szCs w:val="32"/>
        </w:rPr>
      </w:pPr>
    </w:p>
    <w:p>
      <w:pPr>
        <w:pStyle w:val="BodyText"/>
        <w:spacing w:line="350" w:lineRule="auto" w:before="0"/>
        <w:ind w:left="636" w:right="1150"/>
        <w:jc w:val="left"/>
      </w:pPr>
      <w:r>
        <w:rPr/>
        <w:t>√ 适用 □ 不适用 报告期内，公司及公司第一大股东不存在未履行的法院生效判决、所负数额较大的债务</w:t>
      </w:r>
    </w:p>
    <w:p>
      <w:pPr>
        <w:spacing w:line="487" w:lineRule="auto" w:before="35"/>
        <w:ind w:left="154" w:right="1573" w:firstLine="0"/>
        <w:jc w:val="left"/>
        <w:rPr>
          <w:rFonts w:ascii="宋体" w:hAnsi="宋体" w:cs="宋体" w:eastAsia="宋体" w:hint="default"/>
          <w:sz w:val="24"/>
          <w:szCs w:val="24"/>
        </w:rPr>
      </w:pPr>
      <w:r>
        <w:rPr>
          <w:rFonts w:ascii="宋体" w:hAnsi="宋体" w:cs="宋体" w:eastAsia="宋体" w:hint="default"/>
          <w:sz w:val="24"/>
          <w:szCs w:val="24"/>
        </w:rPr>
        <w:t>到期未清偿等情况。 </w:t>
      </w:r>
      <w:bookmarkStart w:name="十五、公司股权激励计划、员工持股计划或其他员工激励措施的实施情况" w:id="78"/>
      <w:bookmarkEnd w:id="78"/>
      <w:r>
        <w:rPr>
          <w:rFonts w:ascii="宋体" w:hAnsi="宋体" w:cs="宋体" w:eastAsia="宋体" w:hint="default"/>
          <w:sz w:val="24"/>
          <w:szCs w:val="24"/>
        </w:rPr>
      </w:r>
      <w:r>
        <w:rPr>
          <w:rFonts w:ascii="宋体" w:hAnsi="宋体" w:cs="宋体" w:eastAsia="宋体" w:hint="default"/>
          <w:b/>
          <w:bCs/>
          <w:w w:val="95"/>
          <w:sz w:val="24"/>
          <w:szCs w:val="24"/>
        </w:rPr>
        <w:t>十五、公司股权激励计划、员工持股计划或其他员工激励措施的实施情况</w:t>
      </w:r>
      <w:r>
        <w:rPr>
          <w:rFonts w:ascii="宋体" w:hAnsi="宋体" w:cs="宋体" w:eastAsia="宋体" w:hint="default"/>
          <w:sz w:val="24"/>
          <w:szCs w:val="24"/>
        </w:rPr>
      </w:r>
    </w:p>
    <w:p>
      <w:pPr>
        <w:pStyle w:val="BodyText"/>
        <w:spacing w:line="240" w:lineRule="auto" w:before="176"/>
        <w:ind w:left="636" w:right="0"/>
        <w:jc w:val="left"/>
      </w:pPr>
      <w:r>
        <w:rPr/>
        <w:t>□ 适用 √ 不适用</w:t>
      </w:r>
    </w:p>
    <w:p>
      <w:pPr>
        <w:pStyle w:val="BodyText"/>
        <w:spacing w:line="350" w:lineRule="auto" w:before="146"/>
        <w:ind w:right="1116" w:firstLine="482"/>
        <w:jc w:val="left"/>
      </w:pPr>
      <w:r>
        <w:rPr>
          <w:spacing w:val="-4"/>
        </w:rPr>
        <w:t>公司需遵守《深圳证券交易所行业信息披露指引第</w:t>
      </w:r>
      <w:r>
        <w:rPr>
          <w:spacing w:val="-59"/>
        </w:rPr>
        <w:t> </w:t>
      </w:r>
      <w:r>
        <w:rPr>
          <w:rFonts w:ascii="宋体" w:hAnsi="宋体" w:cs="宋体" w:eastAsia="宋体" w:hint="default"/>
        </w:rPr>
        <w:t>12</w:t>
      </w:r>
      <w:r>
        <w:rPr>
          <w:rFonts w:ascii="宋体" w:hAnsi="宋体" w:cs="宋体" w:eastAsia="宋体" w:hint="default"/>
          <w:spacing w:val="-59"/>
        </w:rPr>
        <w:t> </w:t>
      </w:r>
      <w:r>
        <w:rPr/>
        <w:t>号——上市公司从事软件与信息技 术服务业务》的披露要求</w:t>
      </w:r>
    </w:p>
    <w:p>
      <w:pPr>
        <w:pStyle w:val="BodyText"/>
        <w:spacing w:line="484" w:lineRule="auto"/>
        <w:ind w:right="1870" w:firstLine="482"/>
        <w:jc w:val="left"/>
        <w:rPr>
          <w:rFonts w:ascii="宋体" w:hAnsi="宋体" w:cs="宋体" w:eastAsia="宋体" w:hint="default"/>
        </w:rPr>
      </w:pPr>
      <w:r>
        <w:rPr/>
        <w:t>公司报告期无股权激励计划、员工持股计划或其他员工激励措施及其实施情况。 </w:t>
      </w:r>
      <w:bookmarkStart w:name="十六、重大关联交易" w:id="79"/>
      <w:bookmarkEnd w:id="79"/>
      <w:r>
        <w:rPr/>
      </w:r>
      <w:r>
        <w:rPr>
          <w:rFonts w:ascii="宋体" w:hAnsi="宋体" w:cs="宋体" w:eastAsia="宋体" w:hint="default"/>
          <w:b/>
          <w:bCs/>
        </w:rPr>
        <w:t>十六、重大关联交易</w:t>
      </w:r>
      <w:r>
        <w:rPr>
          <w:rFonts w:ascii="宋体" w:hAnsi="宋体" w:cs="宋体" w:eastAsia="宋体" w:hint="default"/>
        </w:rPr>
      </w:r>
    </w:p>
    <w:p>
      <w:pPr>
        <w:pStyle w:val="Heading2"/>
        <w:spacing w:line="240" w:lineRule="auto" w:before="179"/>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pStyle w:val="BodyText"/>
        <w:spacing w:line="352" w:lineRule="auto" w:before="127"/>
        <w:ind w:left="636" w:right="5230"/>
        <w:jc w:val="left"/>
      </w:pPr>
      <w:r>
        <w:rPr/>
        <w:t>□ 适用 √ 不适用 公司报告期未发生与日常经营相关的关联交易。</w:t>
      </w:r>
    </w:p>
    <w:p>
      <w:pPr>
        <w:pStyle w:val="Heading2"/>
        <w:spacing w:line="240" w:lineRule="auto" w:before="32"/>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pStyle w:val="BodyText"/>
        <w:spacing w:line="352" w:lineRule="auto" w:before="127"/>
        <w:ind w:left="636" w:right="4510"/>
        <w:jc w:val="left"/>
      </w:pPr>
      <w:r>
        <w:rPr/>
        <w:t>□ 适用 √ 不适用 公司报告期未发生资产或股权收购、出售的关联交易。</w:t>
      </w:r>
    </w:p>
    <w:p>
      <w:pPr>
        <w:pStyle w:val="Heading2"/>
        <w:spacing w:line="240" w:lineRule="auto" w:before="32"/>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pStyle w:val="BodyText"/>
        <w:spacing w:line="352" w:lineRule="auto" w:before="127"/>
        <w:ind w:left="636" w:right="5470"/>
        <w:jc w:val="left"/>
      </w:pPr>
      <w:r>
        <w:rPr/>
        <w:t>□ 适用 √ 不适用 公司报告期未发生共同对外投资的关联交易。</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0"/>
        <w:jc w:val="both"/>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pStyle w:val="BodyText"/>
        <w:spacing w:line="352" w:lineRule="auto" w:before="127"/>
        <w:ind w:left="636" w:right="6190"/>
        <w:jc w:val="left"/>
      </w:pPr>
      <w:r>
        <w:rPr/>
        <w:t>□ 适用 √ 不适用 公司报告期不存在关联债权债务往来。</w:t>
      </w:r>
    </w:p>
    <w:p>
      <w:pPr>
        <w:pStyle w:val="Heading2"/>
        <w:spacing w:line="240" w:lineRule="auto" w:before="33"/>
        <w:ind w:right="0"/>
        <w:jc w:val="both"/>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pStyle w:val="BodyText"/>
        <w:spacing w:line="352" w:lineRule="auto" w:before="127"/>
        <w:ind w:right="1116" w:firstLine="482"/>
        <w:jc w:val="left"/>
      </w:pP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日，公司第六届董事会第三次会议审议通过了《关于放弃参股公司股权 </w:t>
      </w:r>
      <w:r>
        <w:rPr>
          <w:spacing w:val="-5"/>
        </w:rPr>
        <w:t>转让及增资相关优先权暨关联交易的议案》，同意公司放弃参股公司飞天联合本次股权转让和</w:t>
      </w:r>
      <w:r>
        <w:rPr>
          <w:spacing w:val="-117"/>
        </w:rPr>
        <w:t> </w:t>
      </w:r>
      <w:r>
        <w:rPr>
          <w:spacing w:val="-117"/>
        </w:rPr>
      </w:r>
      <w:r>
        <w:rPr>
          <w:spacing w:val="-3"/>
        </w:rPr>
        <w:t>增资扩股事项的相关权利，因公司董事、总经理谢春生先生截至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日前担任飞</w:t>
      </w:r>
    </w:p>
    <w:p>
      <w:pPr>
        <w:pStyle w:val="BodyText"/>
        <w:spacing w:line="350" w:lineRule="auto" w:before="32"/>
        <w:ind w:right="1130"/>
        <w:jc w:val="both"/>
      </w:pPr>
      <w:r>
        <w:rPr/>
        <w:t>天联合董事，本次交易构成关联交易，详见</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日巨潮资讯网《关于放弃参股公 </w:t>
      </w:r>
      <w:r>
        <w:rPr>
          <w:spacing w:val="-5"/>
        </w:rPr>
        <w:t>司股权转让及增资相关优先权暨关联交易的公告》。截至本报告期末，飞天联合完成了上述部</w:t>
      </w:r>
      <w:r>
        <w:rPr>
          <w:spacing w:val="-117"/>
        </w:rPr>
        <w:t> </w:t>
      </w:r>
      <w:r>
        <w:rPr>
          <w:spacing w:val="-117"/>
        </w:rPr>
      </w:r>
      <w:r>
        <w:rPr/>
        <w:t>分事项工商变更，辉煌科技持有的飞天联合股权比例变更为</w:t>
      </w:r>
      <w:r>
        <w:rPr>
          <w:spacing w:val="-67"/>
        </w:rPr>
        <w:t> </w:t>
      </w:r>
      <w:r>
        <w:rPr>
          <w:rFonts w:ascii="宋体" w:hAnsi="宋体" w:cs="宋体" w:eastAsia="宋体" w:hint="default"/>
          <w:spacing w:val="-4"/>
        </w:rPr>
        <w:t>21.0643%</w:t>
      </w:r>
      <w:r>
        <w:rPr>
          <w:spacing w:val="-4"/>
        </w:rPr>
        <w:t>，详见</w:t>
      </w:r>
      <w:r>
        <w:rPr>
          <w:spacing w:val="-67"/>
        </w:rPr>
        <w:t> </w:t>
      </w:r>
      <w:r>
        <w:rPr>
          <w:rFonts w:ascii="宋体" w:hAnsi="宋体" w:cs="宋体" w:eastAsia="宋体" w:hint="default"/>
        </w:rPr>
        <w:t>2018</w:t>
      </w:r>
      <w:r>
        <w:rPr>
          <w:rFonts w:ascii="宋体" w:hAnsi="宋体" w:cs="宋体" w:eastAsia="宋体" w:hint="default"/>
          <w:spacing w:val="-67"/>
        </w:rPr>
        <w:t> </w:t>
      </w:r>
      <w:r>
        <w:rPr/>
        <w:t>年</w:t>
      </w:r>
      <w:r>
        <w:rPr>
          <w:spacing w:val="-67"/>
        </w:rPr>
        <w:t> </w:t>
      </w:r>
      <w:r>
        <w:rPr>
          <w:rFonts w:ascii="宋体" w:hAnsi="宋体" w:cs="宋体" w:eastAsia="宋体" w:hint="default"/>
        </w:rPr>
        <w:t>12</w:t>
      </w:r>
      <w:r>
        <w:rPr>
          <w:rFonts w:ascii="宋体" w:hAnsi="宋体" w:cs="宋体" w:eastAsia="宋体" w:hint="default"/>
          <w:spacing w:val="-67"/>
        </w:rPr>
        <w:t> </w:t>
      </w:r>
      <w:r>
        <w:rPr/>
        <w:t>月</w:t>
      </w:r>
      <w:r>
        <w:rPr>
          <w:spacing w:val="-67"/>
        </w:rPr>
        <w:t> </w:t>
      </w:r>
      <w:r>
        <w:rPr>
          <w:rFonts w:ascii="宋体" w:hAnsi="宋体" w:cs="宋体" w:eastAsia="宋体" w:hint="default"/>
        </w:rPr>
        <w:t>28 </w:t>
      </w:r>
      <w:r>
        <w:rPr>
          <w:spacing w:val="-9"/>
        </w:rPr>
        <w:t>日巨潮资讯网《关于放弃参股公司增资及股权转让相关权利的进展公告》（</w:t>
      </w:r>
      <w:r>
        <w:rPr>
          <w:rFonts w:ascii="宋体" w:hAnsi="宋体" w:cs="宋体" w:eastAsia="宋体" w:hint="default"/>
          <w:spacing w:val="-9"/>
        </w:rPr>
        <w:t>2018-063</w:t>
      </w:r>
      <w:r>
        <w:rPr>
          <w:spacing w:val="-9"/>
        </w:rPr>
        <w:t>）。</w:t>
      </w:r>
      <w:r>
        <w:rPr/>
      </w:r>
    </w:p>
    <w:p>
      <w:pPr>
        <w:pStyle w:val="BodyText"/>
        <w:spacing w:line="240" w:lineRule="auto"/>
        <w:ind w:left="636" w:right="0"/>
        <w:jc w:val="left"/>
      </w:pPr>
      <w:r>
        <w:rPr/>
        <w:t>重大关联交易临时报告披露网站相关查询</w:t>
      </w:r>
    </w:p>
    <w:p>
      <w:pPr>
        <w:spacing w:line="240" w:lineRule="auto" w:before="5"/>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678"/>
        <w:gridCol w:w="1843"/>
        <w:gridCol w:w="3047"/>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临时公告名称</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 w:right="0"/>
              <w:jc w:val="left"/>
              <w:rPr>
                <w:rFonts w:ascii="宋体" w:hAnsi="宋体" w:cs="宋体" w:eastAsia="宋体" w:hint="default"/>
                <w:sz w:val="21"/>
                <w:szCs w:val="21"/>
              </w:rPr>
            </w:pPr>
            <w:r>
              <w:rPr>
                <w:rFonts w:ascii="宋体" w:hAnsi="宋体" w:cs="宋体" w:eastAsia="宋体" w:hint="default"/>
                <w:sz w:val="21"/>
                <w:szCs w:val="21"/>
              </w:rPr>
              <w:t>临时公告披露日期</w:t>
            </w:r>
          </w:p>
        </w:tc>
        <w:tc>
          <w:tcPr>
            <w:tcW w:w="3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临时公告披露网站名称</w:t>
            </w: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5"/>
              <w:jc w:val="left"/>
              <w:rPr>
                <w:rFonts w:ascii="Times New Roman" w:hAnsi="Times New Roman" w:cs="Times New Roman" w:eastAsia="Times New Roman" w:hint="default"/>
                <w:sz w:val="21"/>
                <w:szCs w:val="21"/>
              </w:rPr>
            </w:pPr>
            <w:r>
              <w:rPr>
                <w:rFonts w:ascii="宋体" w:hAnsi="宋体" w:cs="宋体" w:eastAsia="宋体" w:hint="default"/>
                <w:sz w:val="21"/>
                <w:szCs w:val="21"/>
              </w:rPr>
              <w:t>《关于放弃参股公司股权转让及增资相关优先权暨 关联交易的公告》</w:t>
            </w:r>
            <w:r>
              <w:rPr>
                <w:rFonts w:ascii="Times New Roman" w:hAnsi="Times New Roman" w:cs="Times New Roman" w:eastAsia="Times New Roman" w:hint="default"/>
                <w:sz w:val="21"/>
                <w:szCs w:val="21"/>
              </w:rPr>
              <w:t>(2018-036)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05"/>
              <w:jc w:val="center"/>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r>
              <w:rPr>
                <w:rFonts w:ascii="Times New Roman" w:hAnsi="Times New Roman" w:cs="Times New Roman" w:eastAsia="Times New Roman" w:hint="default"/>
                <w:sz w:val="21"/>
                <w:szCs w:val="21"/>
              </w:rPr>
              <w:t>(www.cninfo.com.cn)</w:t>
            </w: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5"/>
              <w:jc w:val="left"/>
              <w:rPr>
                <w:rFonts w:ascii="宋体" w:hAnsi="宋体" w:cs="宋体" w:eastAsia="宋体" w:hint="default"/>
                <w:sz w:val="21"/>
                <w:szCs w:val="21"/>
              </w:rPr>
            </w:pPr>
            <w:r>
              <w:rPr>
                <w:rFonts w:ascii="宋体" w:hAnsi="宋体" w:cs="宋体" w:eastAsia="宋体" w:hint="default"/>
                <w:sz w:val="21"/>
                <w:szCs w:val="21"/>
              </w:rPr>
              <w:t>《关于放弃参股公司增资及股权转让相关权利的进 </w:t>
            </w:r>
            <w:r>
              <w:rPr>
                <w:rFonts w:ascii="宋体" w:hAnsi="宋体" w:cs="宋体" w:eastAsia="宋体" w:hint="default"/>
                <w:spacing w:val="-8"/>
                <w:sz w:val="21"/>
                <w:szCs w:val="21"/>
              </w:rPr>
              <w:t>展公告》（</w:t>
            </w:r>
            <w:r>
              <w:rPr>
                <w:rFonts w:ascii="Times New Roman" w:hAnsi="Times New Roman" w:cs="Times New Roman" w:eastAsia="Times New Roman" w:hint="default"/>
                <w:spacing w:val="-8"/>
                <w:sz w:val="21"/>
                <w:szCs w:val="21"/>
              </w:rPr>
              <w:t>2018-063</w:t>
            </w:r>
            <w:r>
              <w:rPr>
                <w:rFonts w:ascii="宋体" w:hAnsi="宋体" w:cs="宋体" w:eastAsia="宋体" w:hint="default"/>
                <w:spacing w:val="-8"/>
                <w:sz w:val="21"/>
                <w:szCs w:val="21"/>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05"/>
              <w:jc w:val="center"/>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r>
              <w:rPr>
                <w:rFonts w:ascii="Times New Roman" w:hAnsi="Times New Roman" w:cs="Times New Roman" w:eastAsia="Times New Roman" w:hint="default"/>
                <w:sz w:val="21"/>
                <w:szCs w:val="21"/>
              </w:rPr>
              <w:t>(www.cninfo.com.cn)</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十七、重大合同及其履行情况" w:id="85"/>
      <w:bookmarkEnd w:id="85"/>
      <w:r>
        <w:rPr>
          <w:b w:val="0"/>
          <w:bCs w:val="0"/>
        </w:rPr>
      </w:r>
      <w:r>
        <w:rPr/>
        <w:t>十七、重大合同及其履行情况</w:t>
      </w:r>
      <w:r>
        <w:rPr>
          <w:b w:val="0"/>
          <w:bCs w:val="0"/>
        </w:rPr>
      </w:r>
    </w:p>
    <w:p>
      <w:pPr>
        <w:spacing w:line="240" w:lineRule="auto" w:before="5"/>
        <w:rPr>
          <w:rFonts w:ascii="宋体" w:hAnsi="宋体" w:cs="宋体" w:eastAsia="宋体" w:hint="default"/>
          <w:b/>
          <w:bCs/>
          <w:sz w:val="32"/>
          <w:szCs w:val="32"/>
        </w:rPr>
      </w:pPr>
    </w:p>
    <w:p>
      <w:pPr>
        <w:pStyle w:val="Heading2"/>
        <w:spacing w:line="240" w:lineRule="auto" w:before="0"/>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before="163"/>
        <w:ind w:left="154" w:right="0" w:firstLine="0"/>
        <w:jc w:val="left"/>
        <w:rPr>
          <w:rFonts w:ascii="宋体" w:hAnsi="宋体" w:cs="宋体" w:eastAsia="宋体" w:hint="default"/>
          <w:sz w:val="21"/>
          <w:szCs w:val="21"/>
        </w:rPr>
      </w:pPr>
      <w:bookmarkStart w:name="（1）托管情况" w:id="87"/>
      <w:bookmarkEnd w:id="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pStyle w:val="BodyText"/>
        <w:spacing w:line="350" w:lineRule="auto" w:before="134"/>
        <w:ind w:left="636" w:right="7150"/>
        <w:jc w:val="left"/>
      </w:pPr>
      <w:r>
        <w:rPr/>
        <w:t>□ 适用 √ 不适用 公司报告期不存在托管情况。</w:t>
      </w:r>
    </w:p>
    <w:p>
      <w:pPr>
        <w:spacing w:before="71"/>
        <w:ind w:left="154" w:right="0" w:firstLine="0"/>
        <w:jc w:val="left"/>
        <w:rPr>
          <w:rFonts w:ascii="宋体" w:hAnsi="宋体" w:cs="宋体" w:eastAsia="宋体" w:hint="default"/>
          <w:sz w:val="21"/>
          <w:szCs w:val="21"/>
        </w:rPr>
      </w:pPr>
      <w:bookmarkStart w:name="（2）承包情况" w:id="88"/>
      <w:bookmarkEnd w:id="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pStyle w:val="BodyText"/>
        <w:spacing w:line="350" w:lineRule="auto" w:before="134"/>
        <w:ind w:left="636" w:right="7150"/>
        <w:jc w:val="left"/>
      </w:pPr>
      <w:r>
        <w:rPr/>
        <w:t>□ 适用 √ 不适用 公司报告期不存在承包情况。</w:t>
      </w:r>
    </w:p>
    <w:p>
      <w:pPr>
        <w:spacing w:before="71"/>
        <w:ind w:left="154" w:right="0" w:firstLine="0"/>
        <w:jc w:val="left"/>
        <w:rPr>
          <w:rFonts w:ascii="宋体" w:hAnsi="宋体" w:cs="宋体" w:eastAsia="宋体" w:hint="default"/>
          <w:sz w:val="21"/>
          <w:szCs w:val="21"/>
        </w:rPr>
      </w:pPr>
      <w:bookmarkStart w:name="（3）租赁情况" w:id="89"/>
      <w:bookmarkEnd w:id="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pStyle w:val="BodyText"/>
        <w:spacing w:line="350" w:lineRule="auto" w:before="134"/>
        <w:ind w:left="636" w:right="7150"/>
        <w:jc w:val="left"/>
      </w:pPr>
      <w:r>
        <w:rPr/>
        <w:t>□ 适用 √ 不适用 公司报告期不存在租赁情况。</w:t>
      </w:r>
    </w:p>
    <w:p>
      <w:pPr>
        <w:pStyle w:val="Heading2"/>
        <w:spacing w:line="240" w:lineRule="auto" w:before="36"/>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pStyle w:val="BodyText"/>
        <w:spacing w:line="240" w:lineRule="auto" w:before="127"/>
        <w:ind w:left="636"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636" w:right="0"/>
        <w:jc w:val="left"/>
      </w:pPr>
      <w:r>
        <w:rPr/>
        <w:t>公司报告期不存在担保情况。</w:t>
      </w:r>
    </w:p>
    <w:p>
      <w:pPr>
        <w:pStyle w:val="Heading2"/>
        <w:spacing w:line="240" w:lineRule="auto" w:before="145"/>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1"/>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747" w:footer="979" w:top="1060" w:bottom="1160" w:left="980" w:right="0"/>
        </w:sectPr>
      </w:pPr>
    </w:p>
    <w:p>
      <w:pPr>
        <w:spacing w:before="35"/>
        <w:ind w:left="154" w:right="-20" w:firstLine="0"/>
        <w:jc w:val="left"/>
        <w:rPr>
          <w:rFonts w:ascii="宋体" w:hAnsi="宋体" w:cs="宋体" w:eastAsia="宋体" w:hint="default"/>
          <w:sz w:val="21"/>
          <w:szCs w:val="21"/>
        </w:rPr>
      </w:pPr>
      <w:bookmarkStart w:name="（1）委托理财情况" w:id="92"/>
      <w:bookmarkEnd w:id="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pStyle w:val="BodyText"/>
        <w:spacing w:line="350" w:lineRule="auto" w:before="134"/>
        <w:ind w:left="636" w:right="-20"/>
        <w:jc w:val="left"/>
      </w:pPr>
      <w:r>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037" w:space="5703"/>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09" w:right="0"/>
              <w:jc w:val="left"/>
              <w:rPr>
                <w:rFonts w:ascii="宋体" w:hAnsi="宋体" w:cs="宋体" w:eastAsia="宋体" w:hint="default"/>
                <w:sz w:val="21"/>
                <w:szCs w:val="21"/>
              </w:rPr>
            </w:pPr>
            <w:r>
              <w:rPr>
                <w:rFonts w:ascii="宋体" w:hAnsi="宋体" w:cs="宋体" w:eastAsia="宋体" w:hint="default"/>
                <w:sz w:val="21"/>
                <w:szCs w:val="21"/>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0" w:right="0"/>
              <w:jc w:val="left"/>
              <w:rPr>
                <w:rFonts w:ascii="宋体" w:hAnsi="宋体" w:cs="宋体" w:eastAsia="宋体" w:hint="default"/>
                <w:sz w:val="21"/>
                <w:szCs w:val="21"/>
              </w:rPr>
            </w:pPr>
            <w:r>
              <w:rPr>
                <w:rFonts w:ascii="宋体" w:hAnsi="宋体" w:cs="宋体" w:eastAsia="宋体" w:hint="default"/>
                <w:sz w:val="21"/>
                <w:szCs w:val="21"/>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9" w:right="0"/>
              <w:jc w:val="left"/>
              <w:rPr>
                <w:rFonts w:ascii="宋体" w:hAnsi="宋体" w:cs="宋体" w:eastAsia="宋体" w:hint="default"/>
                <w:sz w:val="21"/>
                <w:szCs w:val="21"/>
              </w:rPr>
            </w:pPr>
            <w:r>
              <w:rPr>
                <w:rFonts w:ascii="宋体" w:hAnsi="宋体" w:cs="宋体" w:eastAsia="宋体" w:hint="default"/>
                <w:sz w:val="21"/>
                <w:szCs w:val="21"/>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3"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77"/>
              <w:jc w:val="right"/>
              <w:rPr>
                <w:rFonts w:ascii="宋体" w:hAnsi="宋体" w:cs="宋体" w:eastAsia="宋体" w:hint="default"/>
                <w:sz w:val="21"/>
                <w:szCs w:val="21"/>
              </w:rPr>
            </w:pPr>
            <w:r>
              <w:rPr>
                <w:rFonts w:ascii="宋体" w:hAnsi="宋体" w:cs="宋体" w:eastAsia="宋体" w:hint="default"/>
                <w:sz w:val="21"/>
                <w:szCs w:val="21"/>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93,328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15,300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2"/>
                <w:sz w:val="21"/>
              </w:rPr>
              <w:t>113,328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15,300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10"/>
        <w:rPr>
          <w:rFonts w:ascii="宋体" w:hAnsi="宋体" w:cs="宋体" w:eastAsia="宋体" w:hint="default"/>
          <w:sz w:val="4"/>
          <w:szCs w:val="4"/>
        </w:rPr>
      </w:pPr>
    </w:p>
    <w:p>
      <w:pPr>
        <w:pStyle w:val="BodyText"/>
        <w:spacing w:line="240" w:lineRule="auto" w:before="26"/>
        <w:ind w:left="636" w:right="0"/>
        <w:jc w:val="left"/>
      </w:pPr>
      <w:r>
        <w:rPr/>
        <w:t>单项金额重大或安全性较低、流动性较差、不保本的高风险委托理财具体情况</w:t>
      </w:r>
    </w:p>
    <w:p>
      <w:pPr>
        <w:pStyle w:val="BodyText"/>
        <w:spacing w:line="350" w:lineRule="auto" w:before="145"/>
        <w:ind w:left="636" w:right="3550"/>
        <w:jc w:val="left"/>
      </w:pPr>
      <w:r>
        <w:rPr/>
        <w:t>□ 适用 √ 不适用 委托理财出现预期无法收回本金或存在其他可能导致减值的情形</w:t>
      </w:r>
    </w:p>
    <w:p>
      <w:pPr>
        <w:pStyle w:val="BodyText"/>
        <w:spacing w:line="240" w:lineRule="auto"/>
        <w:ind w:left="636" w:right="0"/>
        <w:jc w:val="left"/>
      </w:pPr>
      <w:r>
        <w:rPr/>
        <w:t>□ 适用 √ 不适用</w:t>
      </w:r>
    </w:p>
    <w:p>
      <w:pPr>
        <w:spacing w:before="180"/>
        <w:ind w:left="154" w:right="0" w:firstLine="0"/>
        <w:jc w:val="both"/>
        <w:rPr>
          <w:rFonts w:ascii="宋体" w:hAnsi="宋体" w:cs="宋体" w:eastAsia="宋体" w:hint="default"/>
          <w:sz w:val="21"/>
          <w:szCs w:val="21"/>
        </w:rPr>
      </w:pPr>
      <w:bookmarkStart w:name="（2）委托贷款情况" w:id="93"/>
      <w:bookmarkEnd w:id="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pStyle w:val="BodyText"/>
        <w:spacing w:line="352" w:lineRule="auto" w:before="134"/>
        <w:ind w:left="636" w:right="7150"/>
        <w:jc w:val="left"/>
      </w:pPr>
      <w:r>
        <w:rPr/>
        <w:t>□ 适用 √ 不适用 公司报告期不存在委托贷款。</w:t>
      </w:r>
    </w:p>
    <w:p>
      <w:pPr>
        <w:pStyle w:val="Heading2"/>
        <w:spacing w:line="240" w:lineRule="auto" w:before="32"/>
        <w:ind w:right="0"/>
        <w:jc w:val="both"/>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pStyle w:val="BodyText"/>
        <w:spacing w:line="352" w:lineRule="auto" w:before="127"/>
        <w:ind w:left="636" w:right="6670"/>
        <w:jc w:val="left"/>
      </w:pPr>
      <w:r>
        <w:rPr/>
        <w:t>□ 适用 √ 不适用 公司报告期不存在其他重大合同。</w:t>
      </w:r>
    </w:p>
    <w:p>
      <w:pPr>
        <w:pStyle w:val="Heading2"/>
        <w:spacing w:line="240" w:lineRule="auto" w:before="208"/>
        <w:ind w:right="0"/>
        <w:jc w:val="both"/>
        <w:rPr>
          <w:b w:val="0"/>
          <w:bCs w:val="0"/>
        </w:rPr>
      </w:pPr>
      <w:bookmarkStart w:name="十八、社会责任情况" w:id="95"/>
      <w:bookmarkEnd w:id="95"/>
      <w:r>
        <w:rPr>
          <w:b w:val="0"/>
          <w:bCs w:val="0"/>
        </w:rPr>
      </w:r>
      <w:r>
        <w:rPr/>
        <w:t>十八、社会责任情况</w:t>
      </w:r>
      <w:r>
        <w:rPr>
          <w:b w:val="0"/>
          <w:bCs w:val="0"/>
        </w:rPr>
      </w:r>
    </w:p>
    <w:p>
      <w:pPr>
        <w:spacing w:line="240" w:lineRule="auto" w:before="5"/>
        <w:rPr>
          <w:rFonts w:ascii="宋体" w:hAnsi="宋体" w:cs="宋体" w:eastAsia="宋体" w:hint="default"/>
          <w:b/>
          <w:bCs/>
          <w:sz w:val="32"/>
          <w:szCs w:val="32"/>
        </w:rPr>
      </w:pPr>
    </w:p>
    <w:p>
      <w:pPr>
        <w:spacing w:line="331" w:lineRule="auto" w:before="0"/>
        <w:ind w:left="636" w:right="1150" w:hanging="483"/>
        <w:jc w:val="left"/>
        <w:rPr>
          <w:rFonts w:ascii="宋体" w:hAnsi="宋体" w:cs="宋体" w:eastAsia="宋体" w:hint="default"/>
          <w:sz w:val="24"/>
          <w:szCs w:val="24"/>
        </w:rPr>
      </w:pPr>
      <w:bookmarkStart w:name="1、履行社会责任情况" w:id="96"/>
      <w:bookmarkEnd w:id="96"/>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、履行社会责任情况</w:t>
      </w:r>
      <w:r>
        <w:rPr>
          <w:rFonts w:ascii="宋体" w:hAnsi="宋体" w:cs="宋体" w:eastAsia="宋体" w:hint="default"/>
          <w:b/>
          <w:bCs/>
          <w:w w:val="99"/>
          <w:sz w:val="24"/>
          <w:szCs w:val="24"/>
        </w:rPr>
        <w:t> </w:t>
      </w:r>
      <w:r>
        <w:rPr>
          <w:rFonts w:ascii="宋体" w:hAnsi="宋体" w:cs="宋体" w:eastAsia="宋体" w:hint="default"/>
          <w:sz w:val="24"/>
          <w:szCs w:val="24"/>
        </w:rPr>
        <w:t>公司积极努力推进经营业务发展，在追求最佳企业经济效益的同时，切实履行股东、职</w:t>
      </w:r>
    </w:p>
    <w:p>
      <w:pPr>
        <w:pStyle w:val="BodyText"/>
        <w:spacing w:line="240" w:lineRule="auto" w:before="55"/>
        <w:ind w:right="0"/>
        <w:jc w:val="both"/>
      </w:pPr>
      <w:r>
        <w:rPr/>
        <w:t>工客户、供应商等利益相关者的社会责任，实现公司与社会的全面、协调、可持续性发展。</w:t>
      </w:r>
    </w:p>
    <w:p>
      <w:pPr>
        <w:pStyle w:val="BodyText"/>
        <w:spacing w:line="350" w:lineRule="auto" w:before="145"/>
        <w:ind w:left="636" w:right="1150"/>
        <w:jc w:val="left"/>
      </w:pPr>
      <w:r>
        <w:rPr/>
        <w:t>（</w:t>
      </w:r>
      <w:r>
        <w:rPr>
          <w:rFonts w:ascii="宋体" w:hAnsi="宋体" w:cs="宋体" w:eastAsia="宋体" w:hint="default"/>
        </w:rPr>
        <w:t>1</w:t>
      </w:r>
      <w:r>
        <w:rPr/>
        <w:t>）股东和投资者权益保护 </w:t>
      </w:r>
      <w:r>
        <w:rPr>
          <w:spacing w:val="-12"/>
        </w:rPr>
        <w:t>公司严格按照《公司法》、《证券法》、《深圳证券交易所中小板上市公司规范运作指引》</w:t>
      </w:r>
    </w:p>
    <w:p>
      <w:pPr>
        <w:pStyle w:val="BodyText"/>
        <w:spacing w:line="350" w:lineRule="auto"/>
        <w:ind w:right="1170"/>
        <w:jc w:val="both"/>
      </w:pPr>
      <w:r>
        <w:rPr/>
        <w:t>等法律法规以及《公司章程》的要求，建立健全公司内部控制体系，优化公司治理结构，不 断提升公司治理水平。公司严格依法履行信息披露义务，真实、准确、完整、及时、公平地 向所有股东披露信息，通过深圳证券交易所网站互动平台、接待调研采访等沟通渠道与广大</w:t>
      </w:r>
    </w:p>
    <w:p>
      <w:pPr>
        <w:spacing w:after="0" w:line="350" w:lineRule="auto"/>
        <w:jc w:val="both"/>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1169"/>
        <w:jc w:val="both"/>
      </w:pPr>
      <w:r>
        <w:rPr/>
        <w:t>投资者进行互动、交流，可及时接受投资者咨询，加深投资者对公司的了解和认同，促进公 司与投资者之间长期、健康、稳定的关系，提高了公司的透明度与诚信度，实现公司价值和 股东利益最大化。</w:t>
      </w:r>
    </w:p>
    <w:p>
      <w:pPr>
        <w:pStyle w:val="BodyText"/>
        <w:spacing w:line="350" w:lineRule="auto" w:before="33"/>
        <w:ind w:right="1169" w:firstLine="482"/>
        <w:jc w:val="both"/>
      </w:pPr>
      <w:r>
        <w:rPr/>
        <w:t>公司非常重视对投资者的合理回报，严格依照法律法规关于上市公司利润分配的规定， 制定并实施合理可行的利润分配方案，决策程序透明，有效保障了股东的合法权益。</w:t>
      </w:r>
    </w:p>
    <w:p>
      <w:pPr>
        <w:pStyle w:val="BodyText"/>
        <w:spacing w:line="350" w:lineRule="auto"/>
        <w:ind w:left="636" w:right="1150"/>
        <w:jc w:val="left"/>
      </w:pPr>
      <w:r>
        <w:rPr/>
        <w:t>（</w:t>
      </w:r>
      <w:r>
        <w:rPr>
          <w:rFonts w:ascii="宋体" w:hAnsi="宋体" w:cs="宋体" w:eastAsia="宋体" w:hint="default"/>
        </w:rPr>
        <w:t>2</w:t>
      </w:r>
      <w:r>
        <w:rPr/>
        <w:t>）职工权益保护 公司一直坚持以人为本的理念，努力构建和谐的劳资关系，把员工作为企业生存和发展</w:t>
      </w:r>
    </w:p>
    <w:p>
      <w:pPr>
        <w:pStyle w:val="BodyText"/>
        <w:spacing w:line="352" w:lineRule="auto" w:before="35"/>
        <w:ind w:right="1170"/>
        <w:jc w:val="both"/>
      </w:pPr>
      <w:r>
        <w:rPr/>
        <w:t>的宝贵资源，为员工提供良好的工作环境、积极向上的文化氛围、公平合理的薪酬福利体系 及广阔的职业发展道路，实现企业与员工的共同成长、发展。</w:t>
      </w:r>
    </w:p>
    <w:p>
      <w:pPr>
        <w:pStyle w:val="BodyText"/>
        <w:spacing w:line="350" w:lineRule="auto" w:before="32"/>
        <w:ind w:right="1013" w:firstLine="482"/>
        <w:jc w:val="both"/>
      </w:pPr>
      <w:r>
        <w:rPr>
          <w:spacing w:val="-7"/>
        </w:rPr>
        <w:t>公司严格遵守《中华人民共和国劳动合同法》、《妇女权益保护法》等有关法律法规，规</w:t>
      </w:r>
      <w:r>
        <w:rPr/>
        <w:t> 范执行劳动用工制度。公司还设立了工会、职工代表大会等职工维权机构，从制度上为维护 职工权益提供了保障。公司按照国家规定为员工缴纳五险一金，同时关爱员工，为广大员工 </w:t>
      </w:r>
      <w:r>
        <w:rPr>
          <w:spacing w:val="-3"/>
        </w:rPr>
        <w:t>提供优厚的福利待遇，如：免费班车、员工餐厅、健康体检、节日慰问、意外险、运动场等。</w:t>
      </w:r>
    </w:p>
    <w:p>
      <w:pPr>
        <w:pStyle w:val="BodyText"/>
        <w:spacing w:line="352" w:lineRule="auto" w:before="35"/>
        <w:ind w:right="1169" w:firstLine="482"/>
        <w:jc w:val="both"/>
      </w:pPr>
      <w:r>
        <w:rPr/>
        <w:t>报告期内，公司结合铁路通信信号的行业特点及公司经营特点，按照市场化原则，公司 对现有的制度不断优化，有效的提升了员工的执行力及责任意识，有利于巩固公司的人才队 伍，为企业的发展提供人力资源保障。同时，通过良性的企业文化树立员工的主人翁意识， 培养员工的进取精神，通过给员工提供成长和发展的机遇与平台，鼓励员工提升自我、实现 自我，从而促进了员工与企业的共同发展。</w:t>
      </w:r>
    </w:p>
    <w:p>
      <w:pPr>
        <w:pStyle w:val="BodyText"/>
        <w:spacing w:line="350" w:lineRule="auto" w:before="32"/>
        <w:ind w:left="636" w:right="1150"/>
        <w:jc w:val="left"/>
      </w:pPr>
      <w:r>
        <w:rPr/>
        <w:t>（</w:t>
      </w:r>
      <w:r>
        <w:rPr>
          <w:rFonts w:ascii="宋体" w:hAnsi="宋体" w:cs="宋体" w:eastAsia="宋体" w:hint="default"/>
        </w:rPr>
        <w:t>3</w:t>
      </w:r>
      <w:r>
        <w:rPr/>
        <w:t>）客户和供应商权益保护 公司将诚实守信作为企业发展之基，注重与供应商、客户的沟通与协调，把其满意度作</w:t>
      </w:r>
    </w:p>
    <w:p>
      <w:pPr>
        <w:pStyle w:val="BodyText"/>
        <w:spacing w:line="350" w:lineRule="auto"/>
        <w:ind w:right="1170"/>
        <w:jc w:val="both"/>
      </w:pPr>
      <w:r>
        <w:rPr/>
        <w:t>为衡量公司工作的标准之一，并与其建立共生共荣的战略合作伙伴关系，充分尊重并保护供 应商和客户的合法权益，保持长期良好的合作关系。</w:t>
      </w:r>
    </w:p>
    <w:p>
      <w:pPr>
        <w:pStyle w:val="BodyText"/>
        <w:spacing w:line="352" w:lineRule="auto" w:before="35"/>
        <w:ind w:right="1169" w:firstLine="482"/>
        <w:jc w:val="both"/>
      </w:pPr>
      <w:r>
        <w:rPr/>
        <w:t>公司遵循合法合规、互利双赢的原则，与主要供应商建立并保持了诚信共赢、长期稳定 的战略合作关系。公司严格遵守相关规定，不断完善采购流程与机制，推动双方更深层次的 合作与发展，促进共同进步。</w:t>
      </w:r>
    </w:p>
    <w:p>
      <w:pPr>
        <w:pStyle w:val="BodyText"/>
        <w:spacing w:line="352" w:lineRule="auto" w:before="32"/>
        <w:ind w:right="0" w:firstLine="482"/>
        <w:jc w:val="left"/>
      </w:pPr>
      <w:r>
        <w:rPr>
          <w:spacing w:val="-3"/>
        </w:rPr>
        <w:t>公司一贯信守承诺，始终坚持“客户至上”的原则，为客户提供优质产品与满意的服务，</w:t>
      </w:r>
      <w:r>
        <w:rPr/>
        <w:t> 充分保障客户利益。公司注重加强与客户的沟通交流，以合作为纽带，以诚信为基础，形成 长期友好合作的战略伙伴关系，达到供需双方的互惠共赢，共同为社会创造财富。</w:t>
      </w:r>
    </w:p>
    <w:p>
      <w:pPr>
        <w:pStyle w:val="BodyText"/>
        <w:spacing w:line="240" w:lineRule="auto" w:before="32"/>
        <w:ind w:left="636" w:right="0"/>
        <w:jc w:val="left"/>
      </w:pPr>
      <w:r>
        <w:rPr/>
        <w:t>（</w:t>
      </w:r>
      <w:r>
        <w:rPr>
          <w:rFonts w:ascii="宋体" w:hAnsi="宋体" w:cs="宋体" w:eastAsia="宋体" w:hint="default"/>
        </w:rPr>
        <w:t>4</w:t>
      </w:r>
      <w:r>
        <w:rPr/>
        <w:t>）其他社会责任</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69" w:firstLine="482"/>
        <w:jc w:val="both"/>
      </w:pPr>
      <w:r>
        <w:rPr/>
        <w:t>公司诚信经营，遵纪守法，积极履行企业的纳税义务，为国家经济发展做贡献。公司在 自身发展壮大的同时，也积极为社会创造更多的就业机会，面向社会公开招聘员工，为缓解 社会的就业压力、带动地方的经济发展做出贡献。公司积极、主动的与相关政府部门、监管 机构、媒体保持沟通交流，主动接受政府部门、监管机构的行政监督和社会公众、新闻媒体 的社会监督，力争营造友善、和谐的公共关系。</w:t>
      </w:r>
    </w:p>
    <w:p>
      <w:pPr>
        <w:spacing w:line="331" w:lineRule="auto" w:before="36"/>
        <w:ind w:left="636" w:right="4750" w:hanging="483"/>
        <w:jc w:val="left"/>
        <w:rPr>
          <w:rFonts w:ascii="宋体" w:hAnsi="宋体" w:cs="宋体" w:eastAsia="宋体" w:hint="default"/>
          <w:sz w:val="24"/>
          <w:szCs w:val="24"/>
        </w:rPr>
      </w:pPr>
      <w:bookmarkStart w:name="2、履行精准扶贫社会责任情况" w:id="97"/>
      <w:bookmarkEnd w:id="97"/>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、履行精准扶贫社会责任情况</w:t>
      </w:r>
      <w:r>
        <w:rPr>
          <w:rFonts w:ascii="宋体" w:hAnsi="宋体" w:cs="宋体" w:eastAsia="宋体" w:hint="default"/>
          <w:b/>
          <w:bCs/>
          <w:w w:val="99"/>
          <w:sz w:val="24"/>
          <w:szCs w:val="24"/>
        </w:rPr>
        <w:t> </w:t>
      </w:r>
      <w:r>
        <w:rPr>
          <w:rFonts w:ascii="宋体" w:hAnsi="宋体" w:cs="宋体" w:eastAsia="宋体" w:hint="default"/>
          <w:sz w:val="24"/>
          <w:szCs w:val="24"/>
        </w:rPr>
        <w:t>报告期内无精准扶贫规划。暂无后续精准扶贫计划。</w:t>
      </w:r>
    </w:p>
    <w:p>
      <w:pPr>
        <w:spacing w:line="343" w:lineRule="auto" w:before="54"/>
        <w:ind w:left="636" w:right="3550" w:hanging="483"/>
        <w:jc w:val="left"/>
        <w:rPr>
          <w:rFonts w:ascii="宋体" w:hAnsi="宋体" w:cs="宋体" w:eastAsia="宋体" w:hint="default"/>
          <w:sz w:val="24"/>
          <w:szCs w:val="24"/>
        </w:rPr>
      </w:pPr>
      <w:r>
        <w:rPr/>
        <w:pict>
          <v:shape style="position:absolute;margin-left:70.5pt;margin-top:67.295624pt;width:454.75pt;height:117.4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78"/>
                    <w:gridCol w:w="4395"/>
                  </w:tblGrid>
                  <w:tr>
                    <w:trPr>
                      <w:trHeight w:val="427" w:hRule="exact"/>
                    </w:trPr>
                    <w:tc>
                      <w:tcPr>
                        <w:tcW w:w="46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6"/>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公司是否通过环境管理体系认证（</w:t>
                        </w:r>
                        <w:r>
                          <w:rPr>
                            <w:rFonts w:ascii="Times New Roman" w:hAnsi="Times New Roman" w:cs="Times New Roman" w:eastAsia="Times New Roman" w:hint="default"/>
                            <w:sz w:val="21"/>
                            <w:szCs w:val="21"/>
                          </w:rPr>
                          <w:t>ISO14001</w:t>
                        </w:r>
                        <w:r>
                          <w:rPr>
                            <w:rFonts w:ascii="宋体" w:hAnsi="宋体" w:cs="宋体" w:eastAsia="宋体" w:hint="default"/>
                            <w:sz w:val="21"/>
                            <w:szCs w:val="21"/>
                          </w:rPr>
                          <w:t>）</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6"/>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公司年度环保投支出金额（万元）</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 w:right="0"/>
                          <w:jc w:val="left"/>
                          <w:rPr>
                            <w:rFonts w:ascii="Times New Roman" w:hAnsi="Times New Roman" w:cs="Times New Roman" w:eastAsia="Times New Roman" w:hint="default"/>
                            <w:sz w:val="21"/>
                            <w:szCs w:val="21"/>
                          </w:rPr>
                        </w:pPr>
                        <w:r>
                          <w:rPr>
                            <w:rFonts w:ascii="Times New Roman"/>
                            <w:sz w:val="21"/>
                          </w:rPr>
                          <w:t>0.75</w:t>
                        </w:r>
                      </w:p>
                    </w:tc>
                  </w:tr>
                  <w:tr>
                    <w:trPr>
                      <w:trHeight w:val="739" w:hRule="exact"/>
                    </w:trPr>
                    <w:tc>
                      <w:tcPr>
                        <w:tcW w:w="46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2"/>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r>
                          <w:rPr>
                            <w:rFonts w:ascii="宋体" w:hAnsi="宋体" w:cs="宋体" w:eastAsia="宋体" w:hint="default"/>
                            <w:sz w:val="21"/>
                            <w:szCs w:val="21"/>
                          </w:rPr>
                          <w:t>废气、废水、废渣</w:t>
                        </w:r>
                        <w:r>
                          <w:rPr>
                            <w:rFonts w:ascii="Times New Roman" w:hAnsi="Times New Roman" w:cs="Times New Roman" w:eastAsia="Times New Roman" w:hint="default"/>
                            <w:sz w:val="21"/>
                            <w:szCs w:val="21"/>
                          </w:rPr>
                          <w:t>”</w:t>
                        </w:r>
                        <w:r>
                          <w:rPr>
                            <w:rFonts w:ascii="宋体" w:hAnsi="宋体" w:cs="宋体" w:eastAsia="宋体" w:hint="default"/>
                            <w:sz w:val="21"/>
                            <w:szCs w:val="21"/>
                          </w:rPr>
                          <w:t>三废减排绩效</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3" w:right="1"/>
                          <w:jc w:val="left"/>
                          <w:rPr>
                            <w:rFonts w:ascii="宋体" w:hAnsi="宋体" w:cs="宋体" w:eastAsia="宋体" w:hint="default"/>
                            <w:sz w:val="21"/>
                            <w:szCs w:val="21"/>
                          </w:rPr>
                        </w:pPr>
                        <w:r>
                          <w:rPr>
                            <w:rFonts w:ascii="宋体" w:hAnsi="宋体" w:cs="宋体" w:eastAsia="宋体" w:hint="default"/>
                            <w:spacing w:val="8"/>
                            <w:sz w:val="21"/>
                            <w:szCs w:val="21"/>
                          </w:rPr>
                          <w:t>公司属软件集成企业，除有少量办公废水排放</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外，无其他</w:t>
                        </w:r>
                        <w:r>
                          <w:rPr>
                            <w:rFonts w:ascii="Times New Roman" w:hAnsi="Times New Roman" w:cs="Times New Roman" w:eastAsia="Times New Roman" w:hint="default"/>
                            <w:sz w:val="21"/>
                            <w:szCs w:val="21"/>
                          </w:rPr>
                          <w:t>“</w:t>
                        </w:r>
                        <w:r>
                          <w:rPr>
                            <w:rFonts w:ascii="宋体" w:hAnsi="宋体" w:cs="宋体" w:eastAsia="宋体" w:hint="default"/>
                            <w:sz w:val="21"/>
                            <w:szCs w:val="21"/>
                          </w:rPr>
                          <w:t>废气、废水、废渣</w:t>
                        </w:r>
                        <w:r>
                          <w:rPr>
                            <w:rFonts w:ascii="Times New Roman" w:hAnsi="Times New Roman" w:cs="Times New Roman" w:eastAsia="Times New Roman" w:hint="default"/>
                            <w:sz w:val="21"/>
                            <w:szCs w:val="21"/>
                          </w:rPr>
                          <w:t>”</w:t>
                        </w:r>
                        <w:r>
                          <w:rPr>
                            <w:rFonts w:ascii="宋体" w:hAnsi="宋体" w:cs="宋体" w:eastAsia="宋体" w:hint="default"/>
                            <w:sz w:val="21"/>
                            <w:szCs w:val="21"/>
                          </w:rPr>
                          <w:t>的排放。</w:t>
                        </w:r>
                      </w:p>
                    </w:tc>
                  </w:tr>
                  <w:tr>
                    <w:trPr>
                      <w:trHeight w:val="739" w:hRule="exact"/>
                    </w:trPr>
                    <w:tc>
                      <w:tcPr>
                        <w:tcW w:w="46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6" w:lineRule="auto" w:before="36"/>
                          <w:ind w:left="2"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公司投资于雇员个人知识和技能提高以提升雇员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职业发展能力的投入（万元）</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 w:right="0"/>
                          <w:jc w:val="left"/>
                          <w:rPr>
                            <w:rFonts w:ascii="Times New Roman" w:hAnsi="Times New Roman" w:cs="Times New Roman" w:eastAsia="Times New Roman" w:hint="default"/>
                            <w:sz w:val="21"/>
                            <w:szCs w:val="21"/>
                          </w:rPr>
                        </w:pPr>
                        <w:r>
                          <w:rPr>
                            <w:rFonts w:ascii="Times New Roman"/>
                            <w:sz w:val="21"/>
                          </w:rPr>
                          <w:t>7.67</w:t>
                        </w:r>
                      </w:p>
                    </w:tc>
                  </w:tr>
                </w:tbl>
                <w:p>
                  <w:pPr/>
                </w:p>
              </w:txbxContent>
            </v:textbox>
            <w10:wrap type="none"/>
          </v:shape>
        </w:pict>
      </w:r>
      <w:bookmarkStart w:name="3、环境保护相关的情况" w:id="98"/>
      <w:bookmarkEnd w:id="98"/>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、环境保护相关的情况</w:t>
      </w:r>
      <w:r>
        <w:rPr>
          <w:rFonts w:ascii="宋体" w:hAnsi="宋体" w:cs="宋体" w:eastAsia="宋体" w:hint="default"/>
          <w:b/>
          <w:bCs/>
          <w:w w:val="99"/>
          <w:sz w:val="24"/>
          <w:szCs w:val="24"/>
        </w:rPr>
        <w:t> </w:t>
      </w:r>
      <w:r>
        <w:rPr>
          <w:rFonts w:ascii="宋体" w:hAnsi="宋体" w:cs="宋体" w:eastAsia="宋体" w:hint="default"/>
          <w:sz w:val="24"/>
          <w:szCs w:val="24"/>
        </w:rPr>
        <w:t>上市公司及其子公司是否属于环境保护部门公布的重点排污单位 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bookmarkStart w:name="十九、其他重大事项的说明" w:id="99"/>
      <w:bookmarkEnd w:id="99"/>
      <w:r>
        <w:rPr>
          <w:b w:val="0"/>
          <w:bCs w:val="0"/>
        </w:rPr>
      </w:r>
      <w:r>
        <w:rPr/>
        <w:t>十九、其他重大事项的说明</w:t>
      </w:r>
      <w:r>
        <w:rPr>
          <w:b w:val="0"/>
          <w:bCs w:val="0"/>
        </w:rPr>
      </w:r>
    </w:p>
    <w:p>
      <w:pPr>
        <w:spacing w:line="240" w:lineRule="auto" w:before="5"/>
        <w:rPr>
          <w:rFonts w:ascii="宋体" w:hAnsi="宋体" w:cs="宋体" w:eastAsia="宋体" w:hint="default"/>
          <w:b/>
          <w:bCs/>
          <w:sz w:val="32"/>
          <w:szCs w:val="32"/>
        </w:rPr>
      </w:pPr>
    </w:p>
    <w:p>
      <w:pPr>
        <w:pStyle w:val="BodyText"/>
        <w:spacing w:line="352" w:lineRule="auto" w:before="0"/>
        <w:ind w:left="636" w:right="5470"/>
        <w:jc w:val="left"/>
      </w:pPr>
      <w:r>
        <w:rPr/>
        <w:t>□ 适用 √ 不适用 公司报告期不存在需要说明的其他重大事项。</w:t>
      </w:r>
    </w:p>
    <w:p>
      <w:pPr>
        <w:pStyle w:val="Heading2"/>
        <w:spacing w:line="240" w:lineRule="auto" w:before="208"/>
        <w:ind w:right="0"/>
        <w:jc w:val="left"/>
        <w:rPr>
          <w:b w:val="0"/>
          <w:bCs w:val="0"/>
        </w:rPr>
      </w:pPr>
      <w:bookmarkStart w:name="二十、公司子公司重大事项" w:id="100"/>
      <w:bookmarkEnd w:id="100"/>
      <w:r>
        <w:rPr>
          <w:b w:val="0"/>
          <w:bCs w:val="0"/>
        </w:rPr>
      </w:r>
      <w:r>
        <w:rPr/>
        <w:t>二十、公司子公司重大事项</w:t>
      </w:r>
      <w:r>
        <w:rPr>
          <w:b w:val="0"/>
          <w:bCs w:val="0"/>
        </w:rPr>
      </w:r>
    </w:p>
    <w:p>
      <w:pPr>
        <w:spacing w:line="240" w:lineRule="auto" w:before="5"/>
        <w:rPr>
          <w:rFonts w:ascii="宋体" w:hAnsi="宋体" w:cs="宋体" w:eastAsia="宋体" w:hint="default"/>
          <w:b/>
          <w:bCs/>
          <w:sz w:val="32"/>
          <w:szCs w:val="32"/>
        </w:rPr>
      </w:pPr>
    </w:p>
    <w:p>
      <w:pPr>
        <w:pStyle w:val="BodyText"/>
        <w:spacing w:line="352" w:lineRule="auto" w:before="0"/>
        <w:ind w:right="1131" w:firstLine="482"/>
        <w:jc w:val="both"/>
      </w:pPr>
      <w:r>
        <w:rPr/>
        <w:t>报告期内，因放弃参股公司智慧图进行的股权转让和增资事项的相关优先权，公司持有 其股权比例由期初</w:t>
      </w:r>
      <w:r>
        <w:rPr>
          <w:spacing w:val="-50"/>
        </w:rPr>
        <w:t> </w:t>
      </w:r>
      <w:r>
        <w:rPr>
          <w:rFonts w:ascii="宋体" w:hAnsi="宋体" w:cs="宋体" w:eastAsia="宋体" w:hint="default"/>
        </w:rPr>
        <w:t>2.44%</w:t>
      </w:r>
      <w:r>
        <w:rPr/>
        <w:t>变更为期末的</w:t>
      </w:r>
      <w:r>
        <w:rPr>
          <w:spacing w:val="-50"/>
        </w:rPr>
        <w:t> </w:t>
      </w:r>
      <w:r>
        <w:rPr>
          <w:rFonts w:ascii="宋体" w:hAnsi="宋体" w:cs="宋体" w:eastAsia="宋体" w:hint="default"/>
          <w:spacing w:val="-4"/>
        </w:rPr>
        <w:t>2.15%</w:t>
      </w:r>
      <w:r>
        <w:rPr>
          <w:spacing w:val="-4"/>
        </w:rPr>
        <w:t>，该交易事项已履行内部审批程序，但未达到信</w:t>
      </w:r>
      <w:r>
        <w:rPr/>
        <w:t> 息披露标准，截至本报告期末，智慧图已完成相关工商变更手续。</w:t>
      </w:r>
    </w:p>
    <w:p>
      <w:pPr>
        <w:pStyle w:val="BodyText"/>
        <w:spacing w:line="350" w:lineRule="auto" w:before="32"/>
        <w:ind w:right="1131" w:firstLine="482"/>
        <w:jc w:val="left"/>
      </w:pPr>
      <w:r>
        <w:rPr/>
        <w:t>报告期内，因放弃参股公司飞天联合进行的股权转让和增资事项的相关优先权，公司持 有其股权比例由期初</w:t>
      </w:r>
      <w:r>
        <w:rPr>
          <w:spacing w:val="-60"/>
        </w:rPr>
        <w:t> </w:t>
      </w:r>
      <w:r>
        <w:rPr>
          <w:rFonts w:ascii="宋体" w:hAnsi="宋体" w:cs="宋体" w:eastAsia="宋体" w:hint="default"/>
        </w:rPr>
        <w:t>23.35%</w:t>
      </w:r>
      <w:r>
        <w:rPr/>
        <w:t>变更为期末的</w:t>
      </w:r>
      <w:r>
        <w:rPr>
          <w:spacing w:val="-60"/>
        </w:rPr>
        <w:t> </w:t>
      </w:r>
      <w:r>
        <w:rPr>
          <w:rFonts w:ascii="宋体" w:hAnsi="宋体" w:cs="宋体" w:eastAsia="宋体" w:hint="default"/>
        </w:rPr>
        <w:t>21.06%</w:t>
      </w:r>
      <w:r>
        <w:rPr/>
        <w:t>，该交易事项已履行相关审批程序，详见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日巨潮资讯网《关于放弃参股公司股权转让及增资相关 </w:t>
      </w:r>
      <w:r>
        <w:rPr>
          <w:spacing w:val="-10"/>
        </w:rPr>
        <w:t>优先权暨关联交易的公告》（</w:t>
      </w:r>
      <w:r>
        <w:rPr>
          <w:rFonts w:ascii="宋体" w:hAnsi="宋体" w:cs="宋体" w:eastAsia="宋体" w:hint="default"/>
          <w:spacing w:val="-10"/>
        </w:rPr>
        <w:t>2018-036</w:t>
      </w:r>
      <w:r>
        <w:rPr>
          <w:spacing w:val="-10"/>
        </w:rPr>
        <w:t>）、《关于放弃参股公司增资及股权转让相关权利的进展</w:t>
      </w:r>
      <w:r>
        <w:rPr>
          <w:spacing w:val="-102"/>
        </w:rPr>
        <w:t> </w:t>
      </w:r>
      <w:r>
        <w:rPr>
          <w:spacing w:val="-102"/>
        </w:rPr>
      </w:r>
      <w:r>
        <w:rPr>
          <w:spacing w:val="-26"/>
        </w:rPr>
        <w:t>公告》（</w:t>
      </w:r>
      <w:r>
        <w:rPr>
          <w:rFonts w:ascii="宋体" w:hAnsi="宋体" w:cs="宋体" w:eastAsia="宋体" w:hint="default"/>
          <w:spacing w:val="-26"/>
        </w:rPr>
        <w:t>2018-063</w:t>
      </w:r>
      <w:r>
        <w:rPr>
          <w:spacing w:val="-26"/>
        </w:rPr>
        <w:t>）。</w:t>
      </w:r>
      <w:r>
        <w:rPr/>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86" w:right="1152"/>
        <w:jc w:val="left"/>
        <w:rPr>
          <w:b w:val="0"/>
          <w:bCs w:val="0"/>
        </w:rPr>
      </w:pPr>
      <w:bookmarkStart w:name="第六节 股份变动及股东情况" w:id="101"/>
      <w:bookmarkEnd w:id="101"/>
      <w:r>
        <w:rPr>
          <w:b w:val="0"/>
          <w:bCs w:val="0"/>
        </w:rPr>
      </w:r>
      <w:bookmarkStart w:name="_bookmark5" w:id="102"/>
      <w:bookmarkEnd w:id="10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left="174" w:right="1152"/>
        <w:jc w:val="left"/>
        <w:rPr>
          <w:b w:val="0"/>
          <w:bCs w:val="0"/>
        </w:rPr>
      </w:pPr>
      <w:bookmarkStart w:name="一、股份变动情况" w:id="103"/>
      <w:bookmarkEnd w:id="103"/>
      <w:r>
        <w:rPr>
          <w:b w:val="0"/>
          <w:bCs w:val="0"/>
        </w:rPr>
      </w:r>
      <w:r>
        <w:rPr/>
        <w:t>一、股份变动情况</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before="0"/>
        <w:ind w:left="174" w:right="1152"/>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2"/>
        <w:rPr>
          <w:rFonts w:ascii="宋体" w:hAnsi="宋体" w:cs="宋体" w:eastAsia="宋体" w:hint="default"/>
          <w:b/>
          <w:bCs/>
          <w:sz w:val="8"/>
          <w:szCs w:val="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961"/>
        <w:gridCol w:w="1145"/>
        <w:gridCol w:w="851"/>
        <w:gridCol w:w="568"/>
        <w:gridCol w:w="425"/>
        <w:gridCol w:w="709"/>
        <w:gridCol w:w="991"/>
        <w:gridCol w:w="1038"/>
        <w:gridCol w:w="1216"/>
        <w:gridCol w:w="850"/>
      </w:tblGrid>
      <w:tr>
        <w:trPr>
          <w:trHeight w:val="402" w:hRule="exact"/>
        </w:trPr>
        <w:tc>
          <w:tcPr>
            <w:tcW w:w="19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7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73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05"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02"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1961" w:type="dxa"/>
            <w:vMerge w:val="restart"/>
            <w:tcBorders>
              <w:top w:val="nil" w:sz="6" w:space="0" w:color="auto"/>
              <w:left w:val="single" w:sz="4" w:space="0" w:color="000000"/>
              <w:right w:val="single" w:sz="4" w:space="0" w:color="000000"/>
            </w:tcBorders>
            <w:shd w:val="clear" w:color="auto" w:fill="D2D2D2"/>
          </w:tcPr>
          <w:p>
            <w:pP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68" w:right="67"/>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01" w:right="101"/>
              <w:jc w:val="left"/>
              <w:rPr>
                <w:rFonts w:ascii="宋体" w:hAnsi="宋体" w:cs="宋体" w:eastAsia="宋体" w:hint="default"/>
                <w:sz w:val="21"/>
                <w:szCs w:val="21"/>
              </w:rPr>
            </w:pPr>
            <w:r>
              <w:rPr>
                <w:rFonts w:ascii="宋体" w:hAnsi="宋体" w:cs="宋体" w:eastAsia="宋体" w:hint="default"/>
                <w:sz w:val="21"/>
                <w:szCs w:val="21"/>
              </w:rPr>
              <w:t>送 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39" w:right="35" w:hanging="106"/>
              <w:jc w:val="left"/>
              <w:rPr>
                <w:rFonts w:ascii="宋体" w:hAnsi="宋体" w:cs="宋体" w:eastAsia="宋体" w:hint="default"/>
                <w:sz w:val="21"/>
                <w:szCs w:val="21"/>
              </w:rPr>
            </w:pPr>
            <w:r>
              <w:rPr>
                <w:rFonts w:ascii="宋体" w:hAnsi="宋体" w:cs="宋体" w:eastAsia="宋体" w:hint="default"/>
                <w:sz w:val="21"/>
                <w:szCs w:val="21"/>
              </w:rPr>
              <w:t>公积金 转股</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61"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6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6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0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9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02" w:hRule="exact"/>
        </w:trPr>
        <w:tc>
          <w:tcPr>
            <w:tcW w:w="1961" w:type="dxa"/>
            <w:vMerge w:val="restart"/>
            <w:tcBorders>
              <w:top w:val="nil" w:sz="6" w:space="0" w:color="auto"/>
              <w:left w:val="single" w:sz="4" w:space="0" w:color="000000"/>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038" w:type="dxa"/>
            <w:vMerge/>
            <w:tcBorders>
              <w:left w:val="single" w:sz="4" w:space="0" w:color="000000"/>
              <w:bottom w:val="nil" w:sz="6" w:space="0" w:color="auto"/>
              <w:right w:val="single" w:sz="4" w:space="0" w:color="000000"/>
            </w:tcBorders>
            <w:shd w:val="clear" w:color="auto" w:fill="D2D2D2"/>
          </w:tcPr>
          <w:p>
            <w:pPr/>
          </w:p>
        </w:tc>
        <w:tc>
          <w:tcPr>
            <w:tcW w:w="1216"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1" w:type="dxa"/>
            <w:vMerge/>
            <w:tcBorders>
              <w:left w:val="single" w:sz="4" w:space="0" w:color="000000"/>
              <w:bottom w:val="single" w:sz="4" w:space="0" w:color="000000"/>
              <w:right w:val="single" w:sz="4" w:space="0" w:color="000000"/>
            </w:tcBorders>
            <w:shd w:val="clear" w:color="auto" w:fill="D2D2D2"/>
          </w:tcPr>
          <w:p>
            <w:pPr/>
          </w:p>
        </w:tc>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59,488,551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15.79%</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-6,544,042</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-6,544,042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6" w:right="0"/>
              <w:jc w:val="center"/>
              <w:rPr>
                <w:rFonts w:ascii="Times New Roman" w:hAnsi="Times New Roman" w:cs="Times New Roman" w:eastAsia="Times New Roman" w:hint="default"/>
                <w:sz w:val="21"/>
                <w:szCs w:val="21"/>
              </w:rPr>
            </w:pPr>
            <w:r>
              <w:rPr>
                <w:rFonts w:ascii="Times New Roman"/>
                <w:sz w:val="21"/>
              </w:rPr>
              <w:t>52,944,509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14.06%</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59,488,551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15.79%</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-6,544,042</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-6,544,042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6" w:right="0"/>
              <w:jc w:val="center"/>
              <w:rPr>
                <w:rFonts w:ascii="Times New Roman" w:hAnsi="Times New Roman" w:cs="Times New Roman" w:eastAsia="Times New Roman" w:hint="default"/>
                <w:sz w:val="21"/>
                <w:szCs w:val="21"/>
              </w:rPr>
            </w:pPr>
            <w:r>
              <w:rPr>
                <w:rFonts w:ascii="Times New Roman"/>
                <w:sz w:val="21"/>
              </w:rPr>
              <w:t>52,944,509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14.06%</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317,167,869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84.21%</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6,544,042</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6,544,042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6" w:right="0"/>
              <w:jc w:val="center"/>
              <w:rPr>
                <w:rFonts w:ascii="Times New Roman" w:hAnsi="Times New Roman" w:cs="Times New Roman" w:eastAsia="Times New Roman" w:hint="default"/>
                <w:sz w:val="21"/>
                <w:szCs w:val="21"/>
              </w:rPr>
            </w:pPr>
            <w:r>
              <w:rPr>
                <w:rFonts w:ascii="Times New Roman"/>
                <w:sz w:val="21"/>
              </w:rPr>
              <w:t>323,711,911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85.94%</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317,167,869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84.21%</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6,544,042</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6,544,042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6" w:right="0"/>
              <w:jc w:val="center"/>
              <w:rPr>
                <w:rFonts w:ascii="Times New Roman" w:hAnsi="Times New Roman" w:cs="Times New Roman" w:eastAsia="Times New Roman" w:hint="default"/>
                <w:sz w:val="21"/>
                <w:szCs w:val="21"/>
              </w:rPr>
            </w:pPr>
            <w:r>
              <w:rPr>
                <w:rFonts w:ascii="Times New Roman"/>
                <w:sz w:val="21"/>
              </w:rPr>
              <w:t>323,711,911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85.94%</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376,656,420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0" w:right="0"/>
              <w:jc w:val="center"/>
              <w:rPr>
                <w:rFonts w:ascii="Times New Roman" w:hAnsi="Times New Roman" w:cs="Times New Roman" w:eastAsia="Times New Roman" w:hint="default"/>
                <w:sz w:val="21"/>
                <w:szCs w:val="21"/>
              </w:rPr>
            </w:pPr>
            <w:r>
              <w:rPr>
                <w:rFonts w:ascii="Times New Roman"/>
                <w:sz w:val="21"/>
              </w:rPr>
              <w:t>376,656,420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0"/>
        <w:rPr>
          <w:rFonts w:ascii="宋体" w:hAnsi="宋体" w:cs="宋体" w:eastAsia="宋体" w:hint="default"/>
          <w:sz w:val="4"/>
          <w:szCs w:val="4"/>
        </w:rPr>
      </w:pPr>
    </w:p>
    <w:p>
      <w:pPr>
        <w:pStyle w:val="BodyText"/>
        <w:spacing w:line="240" w:lineRule="auto" w:before="26"/>
        <w:ind w:left="656" w:right="1152"/>
        <w:jc w:val="left"/>
      </w:pPr>
      <w:r>
        <w:rPr/>
        <w:t>股份变动的原因</w:t>
      </w:r>
    </w:p>
    <w:p>
      <w:pPr>
        <w:pStyle w:val="BodyText"/>
        <w:spacing w:line="240" w:lineRule="auto" w:before="146"/>
        <w:ind w:left="656" w:right="1152"/>
        <w:jc w:val="left"/>
      </w:pPr>
      <w:r>
        <w:rPr/>
        <w:t>√ 适用 □ 不适用</w:t>
      </w:r>
    </w:p>
    <w:p>
      <w:pPr>
        <w:pStyle w:val="BodyText"/>
        <w:spacing w:line="352" w:lineRule="auto" w:before="146"/>
        <w:ind w:left="174" w:right="1132" w:firstLine="482"/>
        <w:jc w:val="both"/>
      </w:pPr>
      <w:r>
        <w:rPr/>
        <w:t>根据公司董事长李海鹰先生</w:t>
      </w:r>
      <w:r>
        <w:rPr>
          <w:spacing w:val="-60"/>
        </w:rPr>
        <w:t> </w:t>
      </w:r>
      <w:r>
        <w:rPr>
          <w:rFonts w:ascii="宋体" w:hAnsi="宋体" w:cs="宋体" w:eastAsia="宋体" w:hint="default"/>
        </w:rPr>
        <w:t>2017</w:t>
      </w:r>
      <w:r>
        <w:rPr>
          <w:rFonts w:ascii="宋体" w:hAnsi="宋体" w:cs="宋体" w:eastAsia="宋体" w:hint="default"/>
          <w:spacing w:val="-60"/>
        </w:rPr>
        <w:t> </w:t>
      </w:r>
      <w:r>
        <w:rPr/>
        <w:t>年度股份减持计划，详见</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日巨潮资讯 </w:t>
      </w:r>
      <w:r>
        <w:rPr>
          <w:spacing w:val="-4"/>
        </w:rPr>
        <w:t>网《关于公司持股</w:t>
      </w:r>
      <w:r>
        <w:rPr/>
        <w:t> </w:t>
      </w:r>
      <w:r>
        <w:rPr>
          <w:rFonts w:ascii="宋体" w:hAnsi="宋体" w:cs="宋体" w:eastAsia="宋体" w:hint="default"/>
          <w:spacing w:val="-10"/>
        </w:rPr>
        <w:t>5%</w:t>
      </w:r>
      <w:r>
        <w:rPr>
          <w:spacing w:val="-10"/>
        </w:rPr>
        <w:t>以上股东减持计划的预披露公告》（</w:t>
      </w:r>
      <w:r>
        <w:rPr>
          <w:rFonts w:ascii="宋体" w:hAnsi="宋体" w:cs="宋体" w:eastAsia="宋体" w:hint="default"/>
          <w:spacing w:val="-10"/>
        </w:rPr>
        <w:t>2017-072</w:t>
      </w:r>
      <w:r>
        <w:rPr>
          <w:spacing w:val="-10"/>
        </w:rPr>
        <w:t>），</w:t>
      </w:r>
      <w:r>
        <w:rPr>
          <w:rFonts w:ascii="宋体" w:hAnsi="宋体" w:cs="宋体" w:eastAsia="宋体" w:hint="default"/>
          <w:spacing w:val="-10"/>
        </w:rPr>
        <w:t>2017</w:t>
      </w:r>
      <w:r>
        <w:rPr>
          <w:rFonts w:ascii="宋体" w:hAnsi="宋体" w:cs="宋体" w:eastAsia="宋体" w:hint="default"/>
          <w:spacing w:val="-94"/>
        </w:rPr>
        <w:t> </w:t>
      </w:r>
      <w:r>
        <w:rPr/>
        <w:t>年度李海鹰先生共 减持股份</w:t>
      </w:r>
      <w:r>
        <w:rPr>
          <w:spacing w:val="-60"/>
        </w:rPr>
        <w:t> </w:t>
      </w:r>
      <w:r>
        <w:rPr>
          <w:rFonts w:ascii="宋体" w:hAnsi="宋体" w:cs="宋体" w:eastAsia="宋体" w:hint="default"/>
        </w:rPr>
        <w:t>7,533,300</w:t>
      </w:r>
      <w:r>
        <w:rPr>
          <w:rFonts w:ascii="宋体" w:hAnsi="宋体" w:cs="宋体" w:eastAsia="宋体" w:hint="default"/>
          <w:spacing w:val="-60"/>
        </w:rPr>
        <w:t> </w:t>
      </w:r>
      <w:r>
        <w:rPr/>
        <w:t>股，致本报告期内有限售条件股份减少</w:t>
      </w:r>
      <w:r>
        <w:rPr>
          <w:spacing w:val="-60"/>
        </w:rPr>
        <w:t> </w:t>
      </w:r>
      <w:r>
        <w:rPr>
          <w:rFonts w:ascii="宋体" w:hAnsi="宋体" w:cs="宋体" w:eastAsia="宋体" w:hint="default"/>
        </w:rPr>
        <w:t>5,649,975</w:t>
      </w:r>
      <w:r>
        <w:rPr>
          <w:rFonts w:ascii="宋体" w:hAnsi="宋体" w:cs="宋体" w:eastAsia="宋体" w:hint="default"/>
          <w:spacing w:val="-60"/>
        </w:rPr>
        <w:t> </w:t>
      </w:r>
      <w:r>
        <w:rPr/>
        <w:t>股。本报告期内，公</w:t>
      </w:r>
    </w:p>
    <w:p>
      <w:pPr>
        <w:pStyle w:val="BodyText"/>
        <w:spacing w:line="350" w:lineRule="auto" w:before="32"/>
        <w:ind w:left="656" w:right="2953" w:hanging="483"/>
        <w:jc w:val="left"/>
      </w:pPr>
      <w:r>
        <w:rPr/>
        <w:t>司原监事会主席刘宝利先生离职期满</w:t>
      </w:r>
      <w:r>
        <w:rPr>
          <w:spacing w:val="-60"/>
        </w:rPr>
        <w:t> </w:t>
      </w:r>
      <w:r>
        <w:rPr>
          <w:rFonts w:ascii="宋体" w:hAnsi="宋体" w:cs="宋体" w:eastAsia="宋体" w:hint="default"/>
        </w:rPr>
        <w:t>18</w:t>
      </w:r>
      <w:r>
        <w:rPr>
          <w:rFonts w:ascii="宋体" w:hAnsi="宋体" w:cs="宋体" w:eastAsia="宋体" w:hint="default"/>
          <w:spacing w:val="-60"/>
        </w:rPr>
        <w:t> </w:t>
      </w:r>
      <w:r>
        <w:rPr/>
        <w:t>个月，其所持股份全部解除限售。 股份变动的批准情况</w:t>
      </w:r>
    </w:p>
    <w:p>
      <w:pPr>
        <w:pStyle w:val="BodyText"/>
        <w:spacing w:line="350" w:lineRule="auto"/>
        <w:ind w:left="656" w:right="8110"/>
        <w:jc w:val="left"/>
      </w:pPr>
      <w:r>
        <w:rPr/>
        <w:t>□ 适用 √ 不适用 股份变动的过户情况</w:t>
      </w:r>
    </w:p>
    <w:p>
      <w:pPr>
        <w:pStyle w:val="BodyText"/>
        <w:spacing w:line="352" w:lineRule="auto" w:before="35"/>
        <w:ind w:left="656" w:right="7630"/>
        <w:jc w:val="left"/>
      </w:pPr>
      <w:r>
        <w:rPr/>
        <w:t>□ 适用 √ 不适用 股份回购的实施进展情况</w:t>
      </w:r>
    </w:p>
    <w:p>
      <w:pPr>
        <w:pStyle w:val="BodyText"/>
        <w:spacing w:line="350" w:lineRule="auto" w:before="32"/>
        <w:ind w:left="656" w:right="5230"/>
        <w:jc w:val="left"/>
      </w:pPr>
      <w:r>
        <w:rPr/>
        <w:t>□ 适用 √ 不适用 采用集中竞价方式减持回购股份的实施进展情况</w:t>
      </w:r>
    </w:p>
    <w:p>
      <w:pPr>
        <w:pStyle w:val="BodyText"/>
        <w:spacing w:line="350" w:lineRule="auto"/>
        <w:ind w:left="656" w:right="1150"/>
        <w:jc w:val="left"/>
      </w:pPr>
      <w:r>
        <w:rPr/>
        <w:t>□ 适用 √ 不适用 股份变动对最近一年和最近一期基本每股收益和稀释每股收益、归属于公司普通股股东</w:t>
      </w:r>
    </w:p>
    <w:p>
      <w:pPr>
        <w:pStyle w:val="BodyText"/>
        <w:spacing w:line="240" w:lineRule="auto" w:before="35"/>
        <w:ind w:left="174" w:right="1152"/>
        <w:jc w:val="left"/>
      </w:pPr>
      <w:r>
        <w:rPr/>
        <w:t>的每股净资产等财务指标的影响</w:t>
      </w:r>
    </w:p>
    <w:p>
      <w:pPr>
        <w:pStyle w:val="BodyText"/>
        <w:spacing w:line="240" w:lineRule="auto" w:before="146"/>
        <w:ind w:left="656" w:right="1152"/>
        <w:jc w:val="left"/>
      </w:pPr>
      <w:r>
        <w:rPr/>
        <w:t>□ 适用 √ 不适用</w:t>
      </w:r>
    </w:p>
    <w:p>
      <w:pPr>
        <w:spacing w:after="0" w:line="240" w:lineRule="auto"/>
        <w:jc w:val="left"/>
        <w:sectPr>
          <w:pgSz w:w="11910" w:h="16840"/>
          <w:pgMar w:header="747" w:footer="979" w:top="1060" w:bottom="1160" w:left="960" w:right="0"/>
        </w:sectPr>
      </w:pPr>
    </w:p>
    <w:p>
      <w:pPr>
        <w:spacing w:line="240" w:lineRule="auto" w:before="0"/>
        <w:rPr>
          <w:rFonts w:ascii="宋体" w:hAnsi="宋体" w:cs="宋体" w:eastAsia="宋体" w:hint="default"/>
          <w:sz w:val="20"/>
          <w:szCs w:val="20"/>
        </w:rPr>
      </w:pPr>
    </w:p>
    <w:p>
      <w:pPr>
        <w:pStyle w:val="BodyText"/>
        <w:spacing w:line="240" w:lineRule="auto" w:before="199"/>
        <w:ind w:left="636" w:right="0"/>
        <w:jc w:val="left"/>
      </w:pPr>
      <w:r>
        <w:rPr/>
        <w:t>公司认为必要或证券监管机构要求披露的其他内容</w:t>
      </w:r>
    </w:p>
    <w:p>
      <w:pPr>
        <w:pStyle w:val="BodyText"/>
        <w:spacing w:line="240" w:lineRule="auto" w:before="145"/>
        <w:ind w:left="636" w:right="0"/>
        <w:jc w:val="left"/>
      </w:pPr>
      <w:r>
        <w:rPr/>
        <w:t>□ 适用 √ 不适用</w:t>
      </w:r>
    </w:p>
    <w:p>
      <w:pPr>
        <w:pStyle w:val="Heading2"/>
        <w:spacing w:line="240" w:lineRule="auto" w:before="139"/>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5"/>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747" w:footer="979" w:top="1060" w:bottom="1160" w:left="980" w:right="0"/>
        </w:sectPr>
      </w:pPr>
    </w:p>
    <w:p>
      <w:pPr>
        <w:pStyle w:val="BodyText"/>
        <w:spacing w:line="240" w:lineRule="auto" w:before="26"/>
        <w:ind w:left="636"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6"/>
          <w:szCs w:val="16"/>
        </w:rPr>
      </w:pPr>
    </w:p>
    <w:p>
      <w:pPr>
        <w:spacing w:before="0"/>
        <w:ind w:left="636"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677" w:space="5760"/>
            <w:col w:w="2493"/>
          </w:cols>
        </w:sectPr>
      </w:pPr>
    </w:p>
    <w:p>
      <w:pPr>
        <w:spacing w:line="240" w:lineRule="auto" w:before="1"/>
        <w:rPr>
          <w:rFonts w:ascii="宋体" w:hAnsi="宋体" w:cs="宋体" w:eastAsia="宋体" w:hint="default"/>
          <w:sz w:val="8"/>
          <w:szCs w:val="8"/>
        </w:rPr>
      </w:pPr>
    </w:p>
    <w:tbl>
      <w:tblPr>
        <w:tblW w:w="0" w:type="auto"/>
        <w:jc w:val="left"/>
        <w:tblInd w:w="342" w:type="dxa"/>
        <w:tblLayout w:type="fixed"/>
        <w:tblCellMar>
          <w:top w:w="0" w:type="dxa"/>
          <w:left w:w="0" w:type="dxa"/>
          <w:bottom w:w="0" w:type="dxa"/>
          <w:right w:w="0" w:type="dxa"/>
        </w:tblCellMar>
        <w:tblLook w:val="01E0"/>
      </w:tblPr>
      <w:tblGrid>
        <w:gridCol w:w="1134"/>
        <w:gridCol w:w="1176"/>
        <w:gridCol w:w="1367"/>
        <w:gridCol w:w="1000"/>
        <w:gridCol w:w="1134"/>
        <w:gridCol w:w="2219"/>
        <w:gridCol w:w="1223"/>
      </w:tblGrid>
      <w:tr>
        <w:trPr>
          <w:trHeight w:val="75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6"/>
              <w:ind w:left="371" w:right="162" w:hanging="210"/>
              <w:jc w:val="left"/>
              <w:rPr>
                <w:rFonts w:ascii="宋体" w:hAnsi="宋体" w:cs="宋体" w:eastAsia="宋体" w:hint="default"/>
                <w:sz w:val="21"/>
                <w:szCs w:val="21"/>
              </w:rPr>
            </w:pPr>
            <w:r>
              <w:rPr>
                <w:rFonts w:ascii="宋体" w:hAnsi="宋体" w:cs="宋体" w:eastAsia="宋体" w:hint="default"/>
                <w:sz w:val="21"/>
                <w:szCs w:val="21"/>
              </w:rPr>
              <w:t>期初限售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6"/>
              <w:ind w:left="468" w:right="47" w:hanging="420"/>
              <w:jc w:val="left"/>
              <w:rPr>
                <w:rFonts w:ascii="宋体" w:hAnsi="宋体" w:cs="宋体" w:eastAsia="宋体" w:hint="default"/>
                <w:sz w:val="21"/>
                <w:szCs w:val="21"/>
              </w:rPr>
            </w:pPr>
            <w:r>
              <w:rPr>
                <w:rFonts w:ascii="宋体" w:hAnsi="宋体" w:cs="宋体" w:eastAsia="宋体" w:hint="default"/>
                <w:sz w:val="21"/>
                <w:szCs w:val="21"/>
              </w:rPr>
              <w:t>本期解除限售 股数</w:t>
            </w:r>
          </w:p>
        </w:tc>
        <w:tc>
          <w:tcPr>
            <w:tcW w:w="1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6"/>
              <w:ind w:left="74" w:right="73"/>
              <w:jc w:val="left"/>
              <w:rPr>
                <w:rFonts w:ascii="宋体" w:hAnsi="宋体" w:cs="宋体" w:eastAsia="宋体" w:hint="default"/>
                <w:sz w:val="21"/>
                <w:szCs w:val="21"/>
              </w:rPr>
            </w:pPr>
            <w:r>
              <w:rPr>
                <w:rFonts w:ascii="宋体" w:hAnsi="宋体" w:cs="宋体" w:eastAsia="宋体" w:hint="default"/>
                <w:sz w:val="21"/>
                <w:szCs w:val="21"/>
              </w:rPr>
              <w:t>本期增加 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6"/>
              <w:ind w:left="352" w:right="139" w:hanging="210"/>
              <w:jc w:val="left"/>
              <w:rPr>
                <w:rFonts w:ascii="宋体" w:hAnsi="宋体" w:cs="宋体" w:eastAsia="宋体" w:hint="default"/>
                <w:sz w:val="21"/>
                <w:szCs w:val="21"/>
              </w:rPr>
            </w:pPr>
            <w:r>
              <w:rPr>
                <w:rFonts w:ascii="宋体" w:hAnsi="宋体" w:cs="宋体" w:eastAsia="宋体" w:hint="default"/>
                <w:sz w:val="21"/>
                <w:szCs w:val="21"/>
              </w:rPr>
              <w:t>期末限售 股数</w:t>
            </w:r>
          </w:p>
        </w:tc>
        <w:tc>
          <w:tcPr>
            <w:tcW w:w="2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85"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6"/>
              <w:ind w:left="395" w:right="185" w:hanging="210"/>
              <w:jc w:val="left"/>
              <w:rPr>
                <w:rFonts w:ascii="宋体" w:hAnsi="宋体" w:cs="宋体" w:eastAsia="宋体" w:hint="default"/>
                <w:sz w:val="21"/>
                <w:szCs w:val="21"/>
              </w:rPr>
            </w:pPr>
            <w:r>
              <w:rPr>
                <w:rFonts w:ascii="宋体" w:hAnsi="宋体" w:cs="宋体" w:eastAsia="宋体" w:hint="default"/>
                <w:sz w:val="21"/>
                <w:szCs w:val="21"/>
              </w:rPr>
              <w:t>解除限售 日期</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李海鹰</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41,269,200</w:t>
            </w:r>
          </w:p>
        </w:tc>
        <w:tc>
          <w:tcPr>
            <w:tcW w:w="136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1"/>
                <w:sz w:val="21"/>
              </w:rPr>
              <w:t>5,649,975</w:t>
            </w:r>
          </w:p>
        </w:tc>
        <w:tc>
          <w:tcPr>
            <w:tcW w:w="100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35,619,225</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2018.1.2</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刘宝利</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894,066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894,066</w:t>
            </w:r>
          </w:p>
        </w:tc>
        <w:tc>
          <w:tcPr>
            <w:tcW w:w="100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3" w:right="65"/>
              <w:jc w:val="left"/>
              <w:rPr>
                <w:rFonts w:ascii="宋体" w:hAnsi="宋体" w:cs="宋体" w:eastAsia="宋体" w:hint="default"/>
                <w:sz w:val="21"/>
                <w:szCs w:val="21"/>
              </w:rPr>
            </w:pPr>
            <w:r>
              <w:rPr>
                <w:rFonts w:ascii="宋体" w:hAnsi="宋体" w:cs="宋体" w:eastAsia="宋体" w:hint="default"/>
                <w:sz w:val="21"/>
                <w:szCs w:val="21"/>
              </w:rPr>
              <w:t>剩余高管锁定股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 报告期内已解除限售。</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2018.8.9</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42,163,266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6,544,041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35,619,225</w:t>
            </w:r>
          </w:p>
        </w:tc>
        <w:tc>
          <w:tcPr>
            <w:tcW w:w="2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9"/>
        <w:rPr>
          <w:rFonts w:ascii="宋体" w:hAnsi="宋体" w:cs="宋体" w:eastAsia="宋体" w:hint="default"/>
          <w:b/>
          <w:bCs/>
          <w:sz w:val="22"/>
          <w:szCs w:val="22"/>
        </w:rPr>
      </w:pPr>
    </w:p>
    <w:p>
      <w:pPr>
        <w:pStyle w:val="Heading2"/>
        <w:spacing w:line="240" w:lineRule="auto" w:before="0"/>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17"/>
          <w:szCs w:val="17"/>
        </w:rPr>
      </w:pPr>
    </w:p>
    <w:p>
      <w:pPr>
        <w:pStyle w:val="BodyText"/>
        <w:spacing w:line="240" w:lineRule="auto" w:before="0"/>
        <w:ind w:left="130" w:right="7741"/>
        <w:jc w:val="center"/>
      </w:pPr>
      <w:r>
        <w:rPr/>
        <w:t>□ 适用 √ 不适用</w:t>
      </w:r>
    </w:p>
    <w:p>
      <w:pPr>
        <w:pStyle w:val="Heading2"/>
        <w:spacing w:line="240" w:lineRule="auto" w:before="139"/>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17"/>
          <w:szCs w:val="17"/>
        </w:rPr>
      </w:pPr>
    </w:p>
    <w:p>
      <w:pPr>
        <w:pStyle w:val="BodyText"/>
        <w:spacing w:line="240" w:lineRule="auto" w:before="0"/>
        <w:ind w:left="130" w:right="7741"/>
        <w:jc w:val="center"/>
      </w:pPr>
      <w:r>
        <w:rPr/>
        <w:t>□ 适用 √ 不适用</w:t>
      </w:r>
    </w:p>
    <w:p>
      <w:pPr>
        <w:pStyle w:val="Heading2"/>
        <w:spacing w:line="240" w:lineRule="auto" w:before="138"/>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17"/>
          <w:szCs w:val="17"/>
        </w:rPr>
      </w:pPr>
    </w:p>
    <w:p>
      <w:pPr>
        <w:spacing w:line="484" w:lineRule="auto" w:before="0"/>
        <w:ind w:left="153" w:right="7761" w:hanging="4"/>
        <w:jc w:val="center"/>
        <w:rPr>
          <w:rFonts w:ascii="宋体" w:hAnsi="宋体" w:cs="宋体" w:eastAsia="宋体" w:hint="default"/>
          <w:sz w:val="24"/>
          <w:szCs w:val="24"/>
        </w:rPr>
      </w:pPr>
      <w:r>
        <w:rPr>
          <w:rFonts w:ascii="宋体" w:hAnsi="宋体" w:cs="宋体" w:eastAsia="宋体" w:hint="default"/>
          <w:sz w:val="24"/>
          <w:szCs w:val="24"/>
        </w:rPr>
        <w:t>□ 适用 √ 不适用 </w:t>
      </w:r>
      <w:bookmarkStart w:name="三、股东和实际控制人情况" w:id="110"/>
      <w:bookmarkEnd w:id="110"/>
      <w:r>
        <w:rPr>
          <w:rFonts w:ascii="宋体" w:hAnsi="宋体" w:cs="宋体" w:eastAsia="宋体" w:hint="default"/>
          <w:sz w:val="24"/>
          <w:szCs w:val="24"/>
        </w:rPr>
      </w: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pStyle w:val="Heading2"/>
        <w:spacing w:line="240" w:lineRule="auto" w:before="52"/>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8"/>
          <w:szCs w:val="8"/>
        </w:rPr>
      </w:pPr>
    </w:p>
    <w:p>
      <w:pPr>
        <w:spacing w:before="44"/>
        <w:ind w:left="0" w:right="1130" w:firstLine="0"/>
        <w:jc w:val="right"/>
        <w:rPr>
          <w:rFonts w:ascii="宋体" w:hAnsi="宋体" w:cs="宋体" w:eastAsia="宋体" w:hint="default"/>
          <w:sz w:val="18"/>
          <w:szCs w:val="18"/>
        </w:rPr>
      </w:pPr>
      <w:r>
        <w:rPr/>
        <w:pict>
          <v:group style="position:absolute;margin-left:355.269989pt;margin-top:93.41172pt;width:.1pt;height:50.8pt;mso-position-horizontal-relative:page;mso-position-vertical-relative:paragraph;z-index:-891616" coordorigin="7105,1868" coordsize="2,1016">
            <v:shape style="position:absolute;left:7105;top:1868;width:2;height:1016" coordorigin="7105,1868" coordsize="0,1016" path="m7105,1868l7105,2884e" filled="false" stroked="true" strokeweight="1.140pt" strokecolor="#d2d2d2">
              <v:path arrowok="t"/>
            </v:shape>
            <w10:wrap type="none"/>
          </v:group>
        </w:pict>
      </w:r>
      <w:r>
        <w:rPr/>
        <w:pict>
          <v:group style="position:absolute;margin-left:403.209991pt;margin-top:93.41172pt;width:.1pt;height:50.8pt;mso-position-horizontal-relative:page;mso-position-vertical-relative:paragraph;z-index:-891592" coordorigin="8064,1868" coordsize="2,1016">
            <v:shape style="position:absolute;left:8064;top:1868;width:2;height:1016" coordorigin="8064,1868" coordsize="0,1016" path="m8064,1868l8064,2884e" filled="false" stroked="true" strokeweight="1.140pt" strokecolor="#d2d2d2">
              <v:path arrowok="t"/>
            </v:shape>
            <w10:wrap type="none"/>
          </v:group>
        </w:pict>
      </w: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84"/>
        <w:gridCol w:w="1091"/>
        <w:gridCol w:w="1128"/>
        <w:gridCol w:w="175"/>
        <w:gridCol w:w="535"/>
        <w:gridCol w:w="683"/>
        <w:gridCol w:w="309"/>
        <w:gridCol w:w="857"/>
        <w:gridCol w:w="991"/>
        <w:gridCol w:w="1128"/>
        <w:gridCol w:w="568"/>
        <w:gridCol w:w="130"/>
        <w:gridCol w:w="790"/>
      </w:tblGrid>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0" w:right="0"/>
              <w:jc w:val="left"/>
              <w:rPr>
                <w:rFonts w:ascii="Times New Roman" w:hAnsi="Times New Roman" w:cs="Times New Roman" w:eastAsia="Times New Roman" w:hint="default"/>
                <w:sz w:val="18"/>
                <w:szCs w:val="18"/>
              </w:rPr>
            </w:pPr>
            <w:r>
              <w:rPr>
                <w:rFonts w:ascii="Times New Roman"/>
                <w:sz w:val="18"/>
              </w:rPr>
              <w:t>40,651</w:t>
            </w:r>
          </w:p>
        </w:tc>
        <w:tc>
          <w:tcPr>
            <w:tcW w:w="13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7" w:right="1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8" w:type="dxa"/>
            <w:gridSpan w:val="2"/>
            <w:vMerge w:val="restart"/>
            <w:tcBorders>
              <w:top w:val="single" w:sz="4" w:space="0" w:color="000000"/>
              <w:left w:val="single" w:sz="13"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40,363</w:t>
            </w:r>
          </w:p>
        </w:tc>
        <w:tc>
          <w:tcPr>
            <w:tcW w:w="11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63"/>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tc>
        <w:tc>
          <w:tcPr>
            <w:tcW w:w="991" w:type="dxa"/>
            <w:vMerge w:val="restart"/>
            <w:tcBorders>
              <w:top w:val="single" w:sz="4" w:space="0" w:color="000000"/>
              <w:left w:val="single" w:sz="13"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82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8" w:right="176"/>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w:t>
            </w:r>
          </w:p>
        </w:tc>
        <w:tc>
          <w:tcPr>
            <w:tcW w:w="790"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0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091" w:type="dxa"/>
            <w:vMerge/>
            <w:tcBorders>
              <w:left w:val="single" w:sz="10" w:space="0" w:color="D2D2D2"/>
              <w:right w:val="single" w:sz="9" w:space="0" w:color="D2D2D2"/>
            </w:tcBorders>
          </w:tcPr>
          <w:p>
            <w:pPr/>
          </w:p>
        </w:tc>
        <w:tc>
          <w:tcPr>
            <w:tcW w:w="1303" w:type="dxa"/>
            <w:gridSpan w:val="2"/>
            <w:vMerge/>
            <w:tcBorders>
              <w:left w:val="single" w:sz="4" w:space="0" w:color="000000"/>
              <w:right w:val="single" w:sz="4" w:space="0" w:color="000000"/>
            </w:tcBorders>
            <w:shd w:val="clear" w:color="auto" w:fill="D2D2D2"/>
          </w:tcPr>
          <w:p>
            <w:pPr/>
          </w:p>
        </w:tc>
        <w:tc>
          <w:tcPr>
            <w:tcW w:w="1218" w:type="dxa"/>
            <w:gridSpan w:val="2"/>
            <w:vMerge/>
            <w:tcBorders>
              <w:left w:val="single" w:sz="13" w:space="0" w:color="D2D2D2"/>
              <w:right w:val="single" w:sz="13" w:space="0" w:color="D2D2D2"/>
            </w:tcBorders>
          </w:tcPr>
          <w:p>
            <w:pPr/>
          </w:p>
        </w:tc>
        <w:tc>
          <w:tcPr>
            <w:tcW w:w="1166" w:type="dxa"/>
            <w:gridSpan w:val="2"/>
            <w:vMerge/>
            <w:tcBorders>
              <w:left w:val="single" w:sz="4" w:space="0" w:color="000000"/>
              <w:right w:val="single" w:sz="4" w:space="0" w:color="000000"/>
            </w:tcBorders>
            <w:shd w:val="clear" w:color="auto" w:fill="D2D2D2"/>
          </w:tcPr>
          <w:p>
            <w:pPr/>
          </w:p>
        </w:tc>
        <w:tc>
          <w:tcPr>
            <w:tcW w:w="991" w:type="dxa"/>
            <w:vMerge/>
            <w:tcBorders>
              <w:left w:val="single" w:sz="13" w:space="0" w:color="D2D2D2"/>
              <w:right w:val="single" w:sz="13" w:space="0" w:color="D2D2D2"/>
            </w:tcBorders>
          </w:tcPr>
          <w:p>
            <w:pPr/>
          </w:p>
        </w:tc>
        <w:tc>
          <w:tcPr>
            <w:tcW w:w="1826" w:type="dxa"/>
            <w:gridSpan w:val="3"/>
            <w:vMerge/>
            <w:tcBorders>
              <w:left w:val="single" w:sz="4" w:space="0" w:color="000000"/>
              <w:right w:val="single" w:sz="4" w:space="0" w:color="000000"/>
            </w:tcBorders>
            <w:shd w:val="clear" w:color="auto" w:fill="D2D2D2"/>
          </w:tcPr>
          <w:p>
            <w:pPr/>
          </w:p>
        </w:tc>
        <w:tc>
          <w:tcPr>
            <w:tcW w:w="790" w:type="dxa"/>
            <w:vMerge/>
            <w:tcBorders>
              <w:left w:val="single" w:sz="13" w:space="0" w:color="D2D2D2"/>
              <w:right w:val="single" w:sz="4" w:space="0" w:color="000000"/>
            </w:tcBorders>
          </w:tcPr>
          <w:p>
            <w:pPr/>
          </w:p>
        </w:tc>
      </w:tr>
      <w:tr>
        <w:trPr>
          <w:trHeight w:val="16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10" w:space="0" w:color="D2D2D2"/>
              <w:bottom w:val="single" w:sz="4" w:space="0" w:color="000000"/>
              <w:right w:val="single" w:sz="9" w:space="0" w:color="D2D2D2"/>
            </w:tcBorders>
          </w:tcPr>
          <w:p>
            <w:pPr/>
          </w:p>
        </w:tc>
        <w:tc>
          <w:tcPr>
            <w:tcW w:w="1303"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13" w:space="0" w:color="D2D2D2"/>
              <w:bottom w:val="single" w:sz="4" w:space="0" w:color="000000"/>
              <w:right w:val="single" w:sz="13" w:space="0" w:color="D2D2D2"/>
            </w:tcBorders>
          </w:tcPr>
          <w:p>
            <w:pPr/>
          </w:p>
        </w:tc>
        <w:tc>
          <w:tcPr>
            <w:tcW w:w="1166" w:type="dxa"/>
            <w:gridSpan w:val="2"/>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13" w:space="0" w:color="D2D2D2"/>
              <w:bottom w:val="single" w:sz="4" w:space="0" w:color="000000"/>
              <w:right w:val="single" w:sz="13" w:space="0" w:color="D2D2D2"/>
            </w:tcBorders>
          </w:tcPr>
          <w:p>
            <w:pPr/>
          </w:p>
        </w:tc>
        <w:tc>
          <w:tcPr>
            <w:tcW w:w="1826" w:type="dxa"/>
            <w:gridSpan w:val="3"/>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01" w:hRule="exact"/>
        </w:trPr>
        <w:tc>
          <w:tcPr>
            <w:tcW w:w="2274" w:type="dxa"/>
            <w:gridSpan w:val="2"/>
            <w:vMerge w:val="restart"/>
            <w:tcBorders>
              <w:top w:val="single" w:sz="4" w:space="0" w:color="000000"/>
              <w:left w:val="single" w:sz="4" w:space="0" w:color="000000"/>
              <w:right w:val="single" w:sz="4" w:space="0" w:color="000000"/>
            </w:tcBorders>
            <w:shd w:val="clear" w:color="auto" w:fill="D2D2D2"/>
          </w:tcPr>
          <w:p>
            <w:pPr/>
          </w:p>
        </w:tc>
        <w:tc>
          <w:tcPr>
            <w:tcW w:w="1128" w:type="dxa"/>
            <w:vMerge w:val="restart"/>
            <w:tcBorders>
              <w:top w:val="single" w:sz="4" w:space="0" w:color="000000"/>
              <w:left w:val="single" w:sz="4" w:space="0" w:color="000000"/>
              <w:right w:val="single" w:sz="4" w:space="0" w:color="000000"/>
            </w:tcBorders>
            <w:shd w:val="clear" w:color="auto" w:fill="D2D2D2"/>
          </w:tcPr>
          <w:p>
            <w:pPr/>
          </w:p>
        </w:tc>
        <w:tc>
          <w:tcPr>
            <w:tcW w:w="710" w:type="dxa"/>
            <w:gridSpan w:val="2"/>
            <w:tcBorders>
              <w:top w:val="single" w:sz="4" w:space="0" w:color="000000"/>
              <w:left w:val="single" w:sz="4" w:space="0" w:color="000000"/>
              <w:bottom w:val="single" w:sz="8" w:space="0" w:color="FFFFFF"/>
              <w:right w:val="single" w:sz="4" w:space="0" w:color="000000"/>
            </w:tcBorders>
            <w:shd w:val="clear" w:color="auto" w:fill="D2D2D2"/>
          </w:tcPr>
          <w:p>
            <w:pPr/>
          </w:p>
        </w:tc>
        <w:tc>
          <w:tcPr>
            <w:tcW w:w="992" w:type="dxa"/>
            <w:gridSpan w:val="2"/>
            <w:tcBorders>
              <w:top w:val="single" w:sz="4" w:space="0" w:color="000000"/>
              <w:left w:val="single" w:sz="4" w:space="0" w:color="000000"/>
              <w:bottom w:val="single" w:sz="8" w:space="0" w:color="FFFFFF"/>
              <w:right w:val="single" w:sz="4" w:space="0" w:color="000000"/>
            </w:tcBorders>
            <w:shd w:val="clear" w:color="auto" w:fill="D2D2D2"/>
          </w:tcPr>
          <w:p>
            <w:pPr/>
          </w:p>
        </w:tc>
        <w:tc>
          <w:tcPr>
            <w:tcW w:w="8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59" w:right="65"/>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4" w:right="44"/>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07" w:right="10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4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86" w:hRule="exact"/>
        </w:trPr>
        <w:tc>
          <w:tcPr>
            <w:tcW w:w="2274" w:type="dxa"/>
            <w:gridSpan w:val="2"/>
            <w:vMerge/>
            <w:tcBorders>
              <w:left w:val="single" w:sz="4" w:space="0" w:color="000000"/>
              <w:bottom w:val="nil" w:sz="6" w:space="0" w:color="auto"/>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710" w:type="dxa"/>
            <w:gridSpan w:val="2"/>
            <w:vMerge w:val="restart"/>
            <w:tcBorders>
              <w:top w:val="single" w:sz="8" w:space="0" w:color="FFFFFF"/>
              <w:left w:val="single" w:sz="4" w:space="0" w:color="000000"/>
              <w:right w:val="single" w:sz="4" w:space="0" w:color="000000"/>
            </w:tcBorders>
            <w:shd w:val="clear" w:color="auto" w:fill="D2D2D2"/>
          </w:tcPr>
          <w:p>
            <w:pPr>
              <w:pStyle w:val="TableParagraph"/>
              <w:spacing w:line="360" w:lineRule="auto" w:before="31"/>
              <w:ind w:left="169" w:right="16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92" w:type="dxa"/>
            <w:gridSpan w:val="2"/>
            <w:vMerge w:val="restart"/>
            <w:tcBorders>
              <w:top w:val="single" w:sz="8" w:space="0" w:color="FFFFFF"/>
              <w:left w:val="single" w:sz="4" w:space="0" w:color="000000"/>
              <w:right w:val="single" w:sz="4" w:space="0" w:color="000000"/>
            </w:tcBorders>
            <w:shd w:val="clear" w:color="auto" w:fill="D2D2D2"/>
          </w:tcPr>
          <w:p>
            <w:pPr>
              <w:pStyle w:val="TableParagraph"/>
              <w:spacing w:line="316"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7"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128" w:type="dxa"/>
            <w:vMerge/>
            <w:tcBorders>
              <w:left w:val="single" w:sz="4" w:space="0" w:color="000000"/>
              <w:right w:val="single" w:sz="4" w:space="0" w:color="000000"/>
            </w:tcBorders>
            <w:shd w:val="clear" w:color="auto" w:fill="D2D2D2"/>
          </w:tcPr>
          <w:p>
            <w:pPr/>
          </w:p>
        </w:tc>
        <w:tc>
          <w:tcPr>
            <w:tcW w:w="1488" w:type="dxa"/>
            <w:gridSpan w:val="3"/>
            <w:vMerge/>
            <w:tcBorders>
              <w:left w:val="single" w:sz="4" w:space="0" w:color="000000"/>
              <w:bottom w:val="single" w:sz="4" w:space="0" w:color="000000"/>
              <w:right w:val="single" w:sz="4" w:space="0" w:color="000000"/>
            </w:tcBorders>
            <w:shd w:val="clear" w:color="auto" w:fill="D2D2D2"/>
          </w:tcPr>
          <w:p>
            <w:pPr/>
          </w:p>
        </w:tc>
      </w:tr>
      <w:tr>
        <w:trPr>
          <w:trHeight w:val="181" w:hRule="exact"/>
        </w:trPr>
        <w:tc>
          <w:tcPr>
            <w:tcW w:w="22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right="5"/>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9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10"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128" w:type="dxa"/>
            <w:vMerge/>
            <w:tcBorders>
              <w:left w:val="single" w:sz="4" w:space="0" w:color="000000"/>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99" w:right="96"/>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920"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74" w:type="dxa"/>
            <w:gridSpan w:val="2"/>
            <w:vMerge/>
            <w:tcBorders>
              <w:left w:val="single" w:sz="4" w:space="0" w:color="000000"/>
              <w:bottom w:val="nil" w:sz="6" w:space="0" w:color="auto"/>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710"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128"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92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4" w:hRule="exact"/>
        </w:trPr>
        <w:tc>
          <w:tcPr>
            <w:tcW w:w="2274" w:type="dxa"/>
            <w:gridSpan w:val="2"/>
            <w:vMerge w:val="restart"/>
            <w:tcBorders>
              <w:top w:val="nil" w:sz="6" w:space="0" w:color="auto"/>
              <w:left w:val="single" w:sz="4" w:space="0" w:color="000000"/>
              <w:right w:val="single" w:sz="4" w:space="0" w:color="000000"/>
            </w:tcBorders>
            <w:shd w:val="clear" w:color="auto" w:fill="D2D2D2"/>
          </w:tcPr>
          <w:p>
            <w:pPr/>
          </w:p>
        </w:tc>
        <w:tc>
          <w:tcPr>
            <w:tcW w:w="1128" w:type="dxa"/>
            <w:vMerge w:val="restart"/>
            <w:tcBorders>
              <w:top w:val="nil" w:sz="6" w:space="0" w:color="auto"/>
              <w:left w:val="single" w:sz="4" w:space="0" w:color="000000"/>
              <w:right w:val="single" w:sz="4" w:space="0" w:color="000000"/>
            </w:tcBorders>
            <w:shd w:val="clear" w:color="auto" w:fill="D2D2D2"/>
          </w:tcPr>
          <w:p>
            <w:pPr/>
          </w:p>
        </w:tc>
        <w:tc>
          <w:tcPr>
            <w:tcW w:w="710" w:type="dxa"/>
            <w:gridSpan w:val="2"/>
            <w:vMerge/>
            <w:tcBorders>
              <w:left w:val="single" w:sz="4" w:space="0" w:color="000000"/>
              <w:bottom w:val="single" w:sz="8" w:space="0" w:color="FFFFFF"/>
              <w:right w:val="single" w:sz="4" w:space="0" w:color="000000"/>
            </w:tcBorders>
            <w:shd w:val="clear" w:color="auto" w:fill="D2D2D2"/>
          </w:tcPr>
          <w:p>
            <w:pPr/>
          </w:p>
        </w:tc>
        <w:tc>
          <w:tcPr>
            <w:tcW w:w="992" w:type="dxa"/>
            <w:gridSpan w:val="2"/>
            <w:vMerge/>
            <w:tcBorders>
              <w:left w:val="single" w:sz="4" w:space="0" w:color="000000"/>
              <w:bottom w:val="single" w:sz="8" w:space="0" w:color="FFFFFF"/>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128"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920" w:type="dxa"/>
            <w:gridSpan w:val="2"/>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274" w:type="dxa"/>
            <w:gridSpan w:val="2"/>
            <w:vMerge/>
            <w:tcBorders>
              <w:left w:val="single" w:sz="4" w:space="0" w:color="000000"/>
              <w:bottom w:val="single" w:sz="4" w:space="0" w:color="000000"/>
              <w:right w:val="single" w:sz="4" w:space="0" w:color="000000"/>
            </w:tcBorders>
            <w:shd w:val="clear" w:color="auto" w:fill="D2D2D2"/>
          </w:tcPr>
          <w:p>
            <w:pPr/>
          </w:p>
        </w:tc>
        <w:tc>
          <w:tcPr>
            <w:tcW w:w="1128" w:type="dxa"/>
            <w:vMerge/>
            <w:tcBorders>
              <w:left w:val="single" w:sz="4" w:space="0" w:color="000000"/>
              <w:bottom w:val="single" w:sz="4" w:space="0" w:color="000000"/>
              <w:right w:val="single" w:sz="4" w:space="0" w:color="000000"/>
            </w:tcBorders>
            <w:shd w:val="clear" w:color="auto" w:fill="D2D2D2"/>
          </w:tcPr>
          <w:p>
            <w:pPr/>
          </w:p>
        </w:tc>
        <w:tc>
          <w:tcPr>
            <w:tcW w:w="710" w:type="dxa"/>
            <w:gridSpan w:val="2"/>
            <w:tcBorders>
              <w:top w:val="single" w:sz="8" w:space="0" w:color="FFFFFF"/>
              <w:left w:val="single" w:sz="4" w:space="0" w:color="000000"/>
              <w:bottom w:val="single" w:sz="4" w:space="0" w:color="000000"/>
              <w:right w:val="single" w:sz="4" w:space="0" w:color="000000"/>
            </w:tcBorders>
            <w:shd w:val="clear" w:color="auto" w:fill="D2D2D2"/>
          </w:tcPr>
          <w:p>
            <w:pPr/>
          </w:p>
        </w:tc>
        <w:tc>
          <w:tcPr>
            <w:tcW w:w="992" w:type="dxa"/>
            <w:gridSpan w:val="2"/>
            <w:tcBorders>
              <w:top w:val="single" w:sz="8" w:space="0" w:color="FFFFFF"/>
              <w:left w:val="single" w:sz="4" w:space="0" w:color="000000"/>
              <w:bottom w:val="single" w:sz="4" w:space="0" w:color="000000"/>
              <w:right w:val="single" w:sz="4" w:space="0" w:color="000000"/>
            </w:tcBorders>
            <w:shd w:val="clear" w:color="auto" w:fill="D2D2D2"/>
          </w:tcPr>
          <w:p>
            <w:pPr/>
          </w:p>
        </w:tc>
        <w:tc>
          <w:tcPr>
            <w:tcW w:w="857"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128"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920"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10.75%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40,492,300</w:t>
            </w:r>
          </w:p>
        </w:tc>
        <w:tc>
          <w:tcPr>
            <w:tcW w:w="857"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Times New Roman" w:hAnsi="Times New Roman" w:cs="Times New Roman" w:eastAsia="Times New Roman" w:hint="default"/>
                <w:sz w:val="18"/>
                <w:szCs w:val="18"/>
              </w:rPr>
            </w:pPr>
            <w:r>
              <w:rPr>
                <w:rFonts w:ascii="Times New Roman"/>
                <w:sz w:val="18"/>
              </w:rPr>
              <w:t>-7,000,000</w:t>
            </w:r>
          </w:p>
        </w:tc>
        <w:tc>
          <w:tcPr>
            <w:tcW w:w="991"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z w:val="18"/>
              </w:rPr>
              <w:t>35,619,225</w:t>
            </w:r>
          </w:p>
        </w:tc>
        <w:tc>
          <w:tcPr>
            <w:tcW w:w="1128"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4,873,075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15,980,000</w:t>
            </w:r>
          </w:p>
        </w:tc>
      </w:tr>
      <w:tr>
        <w:trPr>
          <w:trHeight w:val="402" w:hRule="exact"/>
        </w:trPr>
        <w:tc>
          <w:tcPr>
            <w:tcW w:w="2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5.89%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22,168,000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16,626,000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5,542,000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2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3.82%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14,374,343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2,415,600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14,374,343</w:t>
            </w:r>
          </w:p>
        </w:tc>
        <w:tc>
          <w:tcPr>
            <w:tcW w:w="568" w:type="dxa"/>
            <w:tcBorders>
              <w:top w:val="single" w:sz="4" w:space="0" w:color="000000"/>
              <w:left w:val="single" w:sz="4" w:space="0" w:color="000000"/>
              <w:bottom w:val="single" w:sz="4" w:space="0" w:color="000000"/>
              <w:right w:val="single" w:sz="4" w:space="0" w:color="000000"/>
            </w:tcBorders>
          </w:tcPr>
          <w:p>
            <w:pPr/>
          </w:p>
        </w:tc>
        <w:tc>
          <w:tcPr>
            <w:tcW w:w="920"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8"/>
        <w:gridCol w:w="1134"/>
        <w:gridCol w:w="710"/>
        <w:gridCol w:w="992"/>
        <w:gridCol w:w="851"/>
        <w:gridCol w:w="954"/>
        <w:gridCol w:w="1172"/>
        <w:gridCol w:w="140"/>
        <w:gridCol w:w="427"/>
        <w:gridCol w:w="920"/>
      </w:tblGrid>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深圳长城汇理资产管理有限 公司－长城汇理战略并购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号私募基金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13,749,542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2,671,700</w:t>
            </w:r>
          </w:p>
        </w:tc>
        <w:tc>
          <w:tcPr>
            <w:tcW w:w="95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13,749,542</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胡江平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9,897,600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9,897,600</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苗卫东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5,894,354</w:t>
            </w:r>
          </w:p>
        </w:tc>
        <w:tc>
          <w:tcPr>
            <w:tcW w:w="851"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5,894,354</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河南超赢投资有限公司－超 赢创赢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号私募投资基金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5,674,090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5,674,090</w:t>
            </w:r>
          </w:p>
        </w:tc>
        <w:tc>
          <w:tcPr>
            <w:tcW w:w="95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5,674,090</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李劲松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5,468,875</w:t>
            </w:r>
          </w:p>
        </w:tc>
        <w:tc>
          <w:tcPr>
            <w:tcW w:w="851"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5,468,875</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樊志宏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5,305,995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3,737,340</w:t>
            </w:r>
          </w:p>
        </w:tc>
        <w:tc>
          <w:tcPr>
            <w:tcW w:w="95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5,305,995</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李天翔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4,060,000</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166"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166" w:type="dxa"/>
            <w:gridSpan w:val="8"/>
            <w:vMerge w:val="restart"/>
            <w:tcBorders>
              <w:top w:val="single" w:sz="4" w:space="0" w:color="000000"/>
              <w:left w:val="single" w:sz="9" w:space="0" w:color="D2D2D2"/>
              <w:right w:val="single" w:sz="4" w:space="0" w:color="000000"/>
            </w:tcBorders>
          </w:tcPr>
          <w:p>
            <w:pPr>
              <w:pStyle w:val="TableParagraph"/>
              <w:spacing w:line="319"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李天翔为李劲松之子，除此之外，未知上述股东之间是否存在关联关系，也未 知是否属于一致行动人。</w:t>
            </w:r>
          </w:p>
        </w:tc>
      </w:tr>
      <w:tr>
        <w:trPr>
          <w:trHeight w:val="392" w:hRule="exact"/>
        </w:trPr>
        <w:tc>
          <w:tcPr>
            <w:tcW w:w="340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166" w:type="dxa"/>
            <w:gridSpan w:val="8"/>
            <w:vMerge/>
            <w:tcBorders>
              <w:left w:val="single" w:sz="9" w:space="0" w:color="D2D2D2"/>
              <w:right w:val="single" w:sz="4" w:space="0" w:color="000000"/>
            </w:tcBorders>
          </w:tcPr>
          <w:p>
            <w:pPr/>
          </w:p>
        </w:tc>
      </w:tr>
      <w:tr>
        <w:trPr>
          <w:trHeight w:val="161" w:hRule="exact"/>
        </w:trPr>
        <w:tc>
          <w:tcPr>
            <w:tcW w:w="3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166" w:type="dxa"/>
            <w:gridSpan w:val="8"/>
            <w:vMerge/>
            <w:tcBorders>
              <w:left w:val="single" w:sz="9" w:space="0" w:color="D2D2D2"/>
              <w:bottom w:val="single" w:sz="4" w:space="0" w:color="000000"/>
              <w:right w:val="single" w:sz="4" w:space="0" w:color="000000"/>
            </w:tcBorders>
          </w:tcPr>
          <w:p>
            <w:pPr/>
          </w:p>
        </w:tc>
      </w:tr>
      <w:tr>
        <w:trPr>
          <w:trHeight w:val="40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166" w:hRule="exact"/>
        </w:trPr>
        <w:tc>
          <w:tcPr>
            <w:tcW w:w="3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50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66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37"/>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1" w:hRule="exact"/>
        </w:trPr>
        <w:tc>
          <w:tcPr>
            <w:tcW w:w="3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07"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7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60" w:type="dxa"/>
            <w:gridSpan w:val="4"/>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3402" w:type="dxa"/>
            <w:gridSpan w:val="2"/>
            <w:vMerge/>
            <w:tcBorders>
              <w:left w:val="single" w:sz="4" w:space="0" w:color="000000"/>
              <w:bottom w:val="nil" w:sz="6" w:space="0" w:color="auto"/>
              <w:right w:val="single" w:sz="4" w:space="0" w:color="000000"/>
            </w:tcBorders>
            <w:shd w:val="clear" w:color="auto" w:fill="D2D2D2"/>
          </w:tcPr>
          <w:p>
            <w:pPr/>
          </w:p>
        </w:tc>
        <w:tc>
          <w:tcPr>
            <w:tcW w:w="3507" w:type="dxa"/>
            <w:gridSpan w:val="4"/>
            <w:vMerge/>
            <w:tcBorders>
              <w:left w:val="single" w:sz="4" w:space="0" w:color="000000"/>
              <w:bottom w:val="nil" w:sz="6" w:space="0" w:color="auto"/>
              <w:right w:val="single" w:sz="4" w:space="0" w:color="000000"/>
            </w:tcBorders>
            <w:shd w:val="clear" w:color="auto" w:fill="D2D2D2"/>
          </w:tcPr>
          <w:p>
            <w:pPr/>
          </w:p>
        </w:tc>
        <w:tc>
          <w:tcPr>
            <w:tcW w:w="13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left="27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67" w:hRule="exact"/>
        </w:trPr>
        <w:tc>
          <w:tcPr>
            <w:tcW w:w="3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50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12"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35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14,374,343</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14,374,343</w:t>
            </w:r>
          </w:p>
        </w:tc>
      </w:tr>
      <w:tr>
        <w:trPr>
          <w:trHeight w:val="714"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深圳长城汇理资产管理有限公司－长城汇 理战略并购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号私募基金</w:t>
            </w:r>
          </w:p>
        </w:tc>
        <w:tc>
          <w:tcPr>
            <w:tcW w:w="35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13,749,542</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13,749,542</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胡江平</w:t>
            </w:r>
          </w:p>
        </w:tc>
        <w:tc>
          <w:tcPr>
            <w:tcW w:w="35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9,897,600</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9,897,600</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苗卫东</w:t>
            </w:r>
          </w:p>
        </w:tc>
        <w:tc>
          <w:tcPr>
            <w:tcW w:w="35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5,894,354</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5,894,354</w:t>
            </w:r>
          </w:p>
        </w:tc>
      </w:tr>
      <w:tr>
        <w:trPr>
          <w:trHeight w:val="714"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河南超赢投资有限公司－超赢创赢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 募投资基金</w:t>
            </w:r>
          </w:p>
        </w:tc>
        <w:tc>
          <w:tcPr>
            <w:tcW w:w="35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5,674,090</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5,674,090</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35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5,542,000</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5,542,000</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李劲松</w:t>
            </w:r>
          </w:p>
        </w:tc>
        <w:tc>
          <w:tcPr>
            <w:tcW w:w="35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5,468,875</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5,468,875</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樊志宏</w:t>
            </w:r>
          </w:p>
        </w:tc>
        <w:tc>
          <w:tcPr>
            <w:tcW w:w="35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5,305,995</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5,305,995</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35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4,873,075</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4,873,075</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李天翔</w:t>
            </w:r>
          </w:p>
        </w:tc>
        <w:tc>
          <w:tcPr>
            <w:tcW w:w="35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4,060,000</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4,060,000</w:t>
            </w:r>
          </w:p>
        </w:tc>
      </w:tr>
      <w:tr>
        <w:trPr>
          <w:trHeight w:val="1026" w:hRule="exact"/>
        </w:trPr>
        <w:tc>
          <w:tcPr>
            <w:tcW w:w="3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p>
          <w:p>
            <w:pPr>
              <w:pStyle w:val="TableParagraph"/>
              <w:spacing w:line="302" w:lineRule="auto" w:before="61"/>
              <w:ind w:left="22" w:right="37"/>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616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李天翔为李劲松之子，除此之外，未知前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名无限售条件普通股股东之间，</w:t>
            </w:r>
          </w:p>
          <w:p>
            <w:pPr>
              <w:pStyle w:val="TableParagraph"/>
              <w:spacing w:line="302" w:lineRule="auto" w:before="61"/>
              <w:ind w:left="22" w:right="21"/>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名普通股股东之间是否存在关联关 系，也未知是否属于一致行动人。</w:t>
            </w:r>
          </w:p>
        </w:tc>
      </w:tr>
      <w:tr>
        <w:trPr>
          <w:trHeight w:val="714" w:hRule="exact"/>
        </w:trPr>
        <w:tc>
          <w:tcPr>
            <w:tcW w:w="3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名普通股股东参与融资融券业务情况 </w:t>
            </w:r>
            <w:r>
              <w:rPr>
                <w:rFonts w:ascii="宋体" w:hAnsi="宋体" w:cs="宋体" w:eastAsia="宋体" w:hint="default"/>
                <w:spacing w:val="-9"/>
                <w:sz w:val="18"/>
                <w:szCs w:val="18"/>
              </w:rPr>
              <w:t>说明（如有）（参见注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16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宋体" w:hAnsi="宋体" w:cs="宋体" w:eastAsia="宋体" w:hint="default"/>
          <w:sz w:val="4"/>
          <w:szCs w:val="4"/>
        </w:rPr>
      </w:pPr>
    </w:p>
    <w:p>
      <w:pPr>
        <w:pStyle w:val="BodyText"/>
        <w:spacing w:line="240" w:lineRule="auto" w:before="26"/>
        <w:ind w:left="636" w:right="0"/>
        <w:jc w:val="left"/>
      </w:pPr>
      <w:r>
        <w:rPr/>
        <w:t>公司前</w:t>
      </w:r>
      <w:r>
        <w:rPr>
          <w:spacing w:val="-60"/>
        </w:rPr>
        <w:t> </w:t>
      </w:r>
      <w:r>
        <w:rPr>
          <w:rFonts w:ascii="宋体" w:hAnsi="宋体" w:cs="宋体" w:eastAsia="宋体" w:hint="default"/>
        </w:rPr>
        <w:t>10</w:t>
      </w:r>
      <w:r>
        <w:rPr>
          <w:rFonts w:ascii="宋体" w:hAnsi="宋体" w:cs="宋体" w:eastAsia="宋体" w:hint="default"/>
          <w:spacing w:val="-60"/>
        </w:rPr>
        <w:t> </w:t>
      </w:r>
      <w:r>
        <w:rPr/>
        <w:t>名普通股股东、前</w:t>
      </w:r>
      <w:r>
        <w:rPr>
          <w:spacing w:val="-60"/>
        </w:rPr>
        <w:t> </w:t>
      </w:r>
      <w:r>
        <w:rPr>
          <w:rFonts w:ascii="宋体" w:hAnsi="宋体" w:cs="宋体" w:eastAsia="宋体" w:hint="default"/>
        </w:rPr>
        <w:t>10</w:t>
      </w:r>
      <w:r>
        <w:rPr>
          <w:rFonts w:ascii="宋体" w:hAnsi="宋体" w:cs="宋体" w:eastAsia="宋体" w:hint="default"/>
          <w:spacing w:val="-60"/>
        </w:rPr>
        <w:t> </w:t>
      </w:r>
      <w:r>
        <w:rPr/>
        <w:t>名无限售条件普通股股东在报告期内是否进行约定购回</w:t>
      </w:r>
    </w:p>
    <w:p>
      <w:pPr>
        <w:pStyle w:val="BodyText"/>
        <w:spacing w:line="240" w:lineRule="auto" w:before="145"/>
        <w:ind w:right="0"/>
        <w:jc w:val="left"/>
      </w:pPr>
      <w:r>
        <w:rPr/>
        <w:t>交易</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636" w:right="0"/>
        <w:jc w:val="left"/>
      </w:pPr>
      <w:r>
        <w:rPr/>
        <w:t>□ 是 √ 否</w:t>
      </w:r>
    </w:p>
    <w:p>
      <w:pPr>
        <w:pStyle w:val="BodyText"/>
        <w:spacing w:line="240" w:lineRule="auto" w:before="145"/>
        <w:ind w:left="636" w:right="0"/>
        <w:jc w:val="left"/>
      </w:pPr>
      <w:r>
        <w:rPr/>
        <w:t>公司前</w:t>
      </w:r>
      <w:r>
        <w:rPr>
          <w:spacing w:val="-60"/>
        </w:rPr>
        <w:t> </w:t>
      </w:r>
      <w:r>
        <w:rPr>
          <w:rFonts w:ascii="宋体" w:hAnsi="宋体" w:cs="宋体" w:eastAsia="宋体" w:hint="default"/>
        </w:rPr>
        <w:t>10</w:t>
      </w:r>
      <w:r>
        <w:rPr>
          <w:rFonts w:ascii="宋体" w:hAnsi="宋体" w:cs="宋体" w:eastAsia="宋体" w:hint="default"/>
          <w:spacing w:val="-60"/>
        </w:rPr>
        <w:t> </w:t>
      </w:r>
      <w:r>
        <w:rPr/>
        <w:t>名普通股股东、前</w:t>
      </w:r>
      <w:r>
        <w:rPr>
          <w:spacing w:val="-60"/>
        </w:rPr>
        <w:t> </w:t>
      </w:r>
      <w:r>
        <w:rPr>
          <w:rFonts w:ascii="宋体" w:hAnsi="宋体" w:cs="宋体" w:eastAsia="宋体" w:hint="default"/>
        </w:rPr>
        <w:t>10</w:t>
      </w:r>
      <w:r>
        <w:rPr>
          <w:rFonts w:ascii="宋体" w:hAnsi="宋体" w:cs="宋体" w:eastAsia="宋体" w:hint="default"/>
          <w:spacing w:val="-60"/>
        </w:rPr>
        <w:t> </w:t>
      </w:r>
      <w:r>
        <w:rPr/>
        <w:t>名无限售条件普通股股东在报告期内未进行约定购回交</w:t>
      </w:r>
    </w:p>
    <w:p>
      <w:pPr>
        <w:pStyle w:val="BodyText"/>
        <w:spacing w:line="240" w:lineRule="auto" w:before="146"/>
        <w:ind w:right="0"/>
        <w:jc w:val="left"/>
      </w:pPr>
      <w:r>
        <w:rPr/>
        <w:t>易。</w:t>
      </w:r>
    </w:p>
    <w:p>
      <w:pPr>
        <w:spacing w:line="240" w:lineRule="auto" w:before="8"/>
        <w:rPr>
          <w:rFonts w:ascii="宋体" w:hAnsi="宋体" w:cs="宋体" w:eastAsia="宋体" w:hint="default"/>
          <w:sz w:val="8"/>
          <w:szCs w:val="8"/>
        </w:rPr>
      </w:pPr>
    </w:p>
    <w:p>
      <w:pPr>
        <w:pStyle w:val="Heading2"/>
        <w:spacing w:line="240" w:lineRule="auto"/>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17"/>
          <w:szCs w:val="17"/>
        </w:rPr>
      </w:pPr>
    </w:p>
    <w:p>
      <w:pPr>
        <w:pStyle w:val="BodyText"/>
        <w:spacing w:line="352" w:lineRule="auto" w:before="0"/>
        <w:ind w:left="636" w:right="6910"/>
        <w:jc w:val="left"/>
      </w:pPr>
      <w:r>
        <w:rPr/>
        <w:t>控股股东性质：无控股主体 控股股东类型：不存在 公司不存在控股股东情况的说明</w:t>
      </w:r>
    </w:p>
    <w:p>
      <w:pPr>
        <w:pStyle w:val="BodyText"/>
        <w:spacing w:line="352" w:lineRule="auto" w:before="32"/>
        <w:ind w:right="1227" w:firstLine="482"/>
        <w:jc w:val="both"/>
      </w:pPr>
      <w:r>
        <w:rPr/>
        <w:t>公司股权分散，不存在持有的股份占公司股本总额</w:t>
      </w:r>
      <w:r>
        <w:rPr>
          <w:spacing w:val="-60"/>
        </w:rPr>
        <w:t> </w:t>
      </w:r>
      <w:r>
        <w:rPr>
          <w:rFonts w:ascii="宋体" w:hAnsi="宋体" w:cs="宋体" w:eastAsia="宋体" w:hint="default"/>
        </w:rPr>
        <w:t>50%</w:t>
      </w:r>
      <w:r>
        <w:rPr/>
        <w:t>以上的股东；也不存在持有股份 的比例虽然不足</w:t>
      </w:r>
      <w:r>
        <w:rPr>
          <w:spacing w:val="-60"/>
        </w:rPr>
        <w:t> </w:t>
      </w:r>
      <w:r>
        <w:rPr>
          <w:rFonts w:ascii="宋体" w:hAnsi="宋体" w:cs="宋体" w:eastAsia="宋体" w:hint="default"/>
        </w:rPr>
        <w:t>50%</w:t>
      </w:r>
      <w:r>
        <w:rPr/>
        <w:t>，但依其持有的股份所享有的表决权已足以对股东会、股东大会的决议 产生重大影响的股东。</w:t>
      </w:r>
    </w:p>
    <w:p>
      <w:pPr>
        <w:pStyle w:val="BodyText"/>
        <w:spacing w:line="240" w:lineRule="auto" w:before="32"/>
        <w:ind w:left="636" w:right="0"/>
        <w:jc w:val="left"/>
      </w:pPr>
      <w:r>
        <w:rPr/>
        <w:t>控股股东报告期内变更</w:t>
      </w:r>
    </w:p>
    <w:p>
      <w:pPr>
        <w:pStyle w:val="BodyText"/>
        <w:spacing w:line="352" w:lineRule="auto" w:before="145"/>
        <w:ind w:left="636" w:right="6670"/>
        <w:jc w:val="left"/>
      </w:pPr>
      <w:r>
        <w:rPr/>
        <w:t>□ 适用 √ 不适用 公司报告期控股股东未发生变更。</w:t>
      </w:r>
    </w:p>
    <w:p>
      <w:pPr>
        <w:pStyle w:val="Heading2"/>
        <w:spacing w:line="240" w:lineRule="auto" w:before="25"/>
        <w:ind w:right="0"/>
        <w:jc w:val="left"/>
        <w:rPr>
          <w:b w:val="0"/>
          <w:bCs w:val="0"/>
        </w:rPr>
      </w:pPr>
      <w:bookmarkStart w:name="3、公司实际控制人及其一致行动人" w:id="113"/>
      <w:bookmarkEnd w:id="11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5"/>
        <w:rPr>
          <w:rFonts w:ascii="宋体" w:hAnsi="宋体" w:cs="宋体" w:eastAsia="宋体" w:hint="default"/>
          <w:b/>
          <w:bCs/>
          <w:sz w:val="17"/>
          <w:szCs w:val="17"/>
        </w:rPr>
      </w:pPr>
    </w:p>
    <w:p>
      <w:pPr>
        <w:pStyle w:val="BodyText"/>
        <w:spacing w:line="352" w:lineRule="auto" w:before="0"/>
        <w:ind w:left="636" w:right="6670"/>
        <w:jc w:val="left"/>
      </w:pPr>
      <w:r>
        <w:rPr/>
        <w:t>实际控制人性质：无实际控制人 实际控制人类型：不存在 公司不存在实际控制人情况的说明</w:t>
      </w:r>
    </w:p>
    <w:p>
      <w:pPr>
        <w:pStyle w:val="BodyText"/>
        <w:spacing w:line="350" w:lineRule="auto" w:before="32"/>
        <w:ind w:right="994" w:firstLine="482"/>
        <w:jc w:val="left"/>
      </w:pPr>
      <w:r>
        <w:rPr/>
        <w:t>公司目前不存在以下情况</w:t>
      </w:r>
      <w:r>
        <w:rPr>
          <w:spacing w:val="-120"/>
        </w:rPr>
        <w:t>：</w:t>
      </w:r>
      <w:r>
        <w:rPr/>
        <w:t>（</w:t>
      </w:r>
      <w:r>
        <w:rPr>
          <w:rFonts w:ascii="宋体" w:hAnsi="宋体" w:cs="宋体" w:eastAsia="宋体" w:hint="default"/>
        </w:rPr>
        <w:t>1</w:t>
      </w:r>
      <w:r>
        <w:rPr/>
        <w:t>）持股</w:t>
      </w:r>
      <w:r>
        <w:rPr>
          <w:spacing w:val="-60"/>
        </w:rPr>
        <w:t> </w:t>
      </w:r>
      <w:r>
        <w:rPr>
          <w:rFonts w:ascii="宋体" w:hAnsi="宋体" w:cs="宋体" w:eastAsia="宋体" w:hint="default"/>
        </w:rPr>
        <w:t>50%</w:t>
      </w:r>
      <w:r>
        <w:rPr/>
        <w:t>以上控股股东</w:t>
      </w:r>
      <w:r>
        <w:rPr>
          <w:spacing w:val="-120"/>
        </w:rPr>
        <w:t>；</w:t>
      </w:r>
      <w:r>
        <w:rPr/>
        <w:t>（</w:t>
      </w:r>
      <w:r>
        <w:rPr>
          <w:rFonts w:ascii="宋体" w:hAnsi="宋体" w:cs="宋体" w:eastAsia="宋体" w:hint="default"/>
        </w:rPr>
        <w:t>2</w:t>
      </w:r>
      <w:r>
        <w:rPr/>
        <w:t>）实际支配公司表决权超过 </w:t>
      </w:r>
      <w:r>
        <w:rPr>
          <w:rFonts w:ascii="宋体" w:hAnsi="宋体" w:cs="宋体" w:eastAsia="宋体" w:hint="default"/>
        </w:rPr>
        <w:t>30%</w:t>
      </w:r>
      <w:r>
        <w:rPr/>
        <w:t>的股东</w:t>
      </w:r>
      <w:r>
        <w:rPr>
          <w:spacing w:val="-221"/>
        </w:rPr>
        <w:t>；</w:t>
      </w:r>
      <w:r>
        <w:rPr/>
        <w:t>（</w:t>
      </w:r>
      <w:r>
        <w:rPr>
          <w:rFonts w:ascii="宋体" w:hAnsi="宋体" w:cs="宋体" w:eastAsia="宋体" w:hint="default"/>
        </w:rPr>
        <w:t>3</w:t>
      </w:r>
      <w:r>
        <w:rPr>
          <w:spacing w:val="-101"/>
        </w:rPr>
        <w:t>）</w:t>
      </w:r>
      <w:r>
        <w:rPr/>
        <w:t>通过实际支配公司股份表决权能够决定公司董事会半数以上成员选任的股东；</w:t>
      </w:r>
    </w:p>
    <w:p>
      <w:pPr>
        <w:pStyle w:val="BodyText"/>
        <w:spacing w:line="350" w:lineRule="auto"/>
        <w:ind w:right="1114"/>
        <w:jc w:val="left"/>
      </w:pPr>
      <w:r>
        <w:rPr>
          <w:spacing w:val="-2"/>
        </w:rPr>
        <w:t>（</w:t>
      </w:r>
      <w:r>
        <w:rPr>
          <w:rFonts w:ascii="宋体" w:hAnsi="宋体" w:cs="宋体" w:eastAsia="宋体" w:hint="default"/>
          <w:spacing w:val="-2"/>
        </w:rPr>
        <w:t>4</w:t>
      </w:r>
      <w:r>
        <w:rPr>
          <w:spacing w:val="-2"/>
        </w:rPr>
        <w:t>）股东依其可实际支配的公司股份表决权足以对公司股东大会的决议产生重大影响。故公</w:t>
      </w:r>
      <w:r>
        <w:rPr/>
        <w:t> 司不存在实际控制人。</w:t>
      </w:r>
    </w:p>
    <w:p>
      <w:pPr>
        <w:pStyle w:val="BodyText"/>
        <w:spacing w:line="240" w:lineRule="auto" w:before="35"/>
        <w:ind w:left="636" w:right="0"/>
        <w:jc w:val="left"/>
      </w:pPr>
      <w:r>
        <w:rPr/>
        <w:t>公司最终控制层面是否存在持股比例在</w:t>
      </w:r>
      <w:r>
        <w:rPr>
          <w:spacing w:val="-60"/>
        </w:rPr>
        <w:t> </w:t>
      </w:r>
      <w:r>
        <w:rPr>
          <w:rFonts w:ascii="宋体" w:hAnsi="宋体" w:cs="宋体" w:eastAsia="宋体" w:hint="default"/>
        </w:rPr>
        <w:t>10%</w:t>
      </w:r>
      <w:r>
        <w:rPr/>
        <w:t>以上的股东情况</w:t>
      </w:r>
    </w:p>
    <w:p>
      <w:pPr>
        <w:pStyle w:val="BodyText"/>
        <w:spacing w:line="350" w:lineRule="auto" w:before="146"/>
        <w:ind w:left="636" w:right="8950"/>
        <w:jc w:val="left"/>
      </w:pPr>
      <w:r>
        <w:rPr/>
        <w:t>√ 是 □ 否 自然人</w:t>
      </w:r>
    </w:p>
    <w:p>
      <w:pPr>
        <w:pStyle w:val="BodyText"/>
        <w:spacing w:line="240" w:lineRule="auto" w:before="35"/>
        <w:ind w:left="636" w:right="0"/>
        <w:jc w:val="left"/>
      </w:pPr>
      <w:r>
        <w:rPr/>
        <w:t>最终控制层面持股情况</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4" w:right="0"/>
              <w:jc w:val="left"/>
              <w:rPr>
                <w:rFonts w:ascii="宋体" w:hAnsi="宋体" w:cs="宋体" w:eastAsia="宋体" w:hint="default"/>
                <w:sz w:val="21"/>
                <w:szCs w:val="21"/>
              </w:rPr>
            </w:pPr>
            <w:r>
              <w:rPr>
                <w:rFonts w:ascii="宋体" w:hAnsi="宋体" w:cs="宋体" w:eastAsia="宋体" w:hint="default"/>
                <w:sz w:val="21"/>
                <w:szCs w:val="21"/>
              </w:rPr>
              <w:t>最终控制层面股东姓名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8"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李海鹰先生</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李海鹰先生最近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年一直担任公司董事长。</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22" w:right="128"/>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 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636" w:right="0"/>
        <w:jc w:val="left"/>
      </w:pPr>
      <w:r>
        <w:rPr/>
        <w:t>实际控制人报告期内变更</w:t>
      </w:r>
    </w:p>
    <w:p>
      <w:pPr>
        <w:pStyle w:val="BodyText"/>
        <w:spacing w:line="352" w:lineRule="auto" w:before="145"/>
        <w:ind w:left="636" w:right="4990"/>
        <w:jc w:val="left"/>
      </w:pPr>
      <w:r>
        <w:rPr/>
        <w:t>□ 适用 √ 不适用 公司报告期实际控制人未发生变更。 公司与实际控制人之间的产权及控制关系的方框图</w:t>
      </w:r>
    </w:p>
    <w:p>
      <w:pPr>
        <w:spacing w:line="240" w:lineRule="auto" w:before="6"/>
        <w:rPr>
          <w:rFonts w:ascii="宋体" w:hAnsi="宋体" w:cs="宋体" w:eastAsia="宋体" w:hint="default"/>
          <w:sz w:val="22"/>
          <w:szCs w:val="22"/>
        </w:rPr>
      </w:pPr>
    </w:p>
    <w:p>
      <w:pPr>
        <w:spacing w:line="2820" w:lineRule="exact"/>
        <w:ind w:left="2080"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3672807" cy="17907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6" cstate="print"/>
                    <a:stretch>
                      <a:fillRect/>
                    </a:stretch>
                  </pic:blipFill>
                  <pic:spPr>
                    <a:xfrm>
                      <a:off x="0" y="0"/>
                      <a:ext cx="3672807" cy="1790700"/>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0"/>
        <w:rPr>
          <w:rFonts w:ascii="宋体" w:hAnsi="宋体" w:cs="宋体" w:eastAsia="宋体" w:hint="default"/>
          <w:sz w:val="20"/>
          <w:szCs w:val="20"/>
        </w:rPr>
      </w:pPr>
    </w:p>
    <w:p>
      <w:pPr>
        <w:pStyle w:val="BodyText"/>
        <w:spacing w:line="240" w:lineRule="auto" w:before="178"/>
        <w:ind w:left="636" w:right="0"/>
        <w:jc w:val="left"/>
      </w:pPr>
      <w:r>
        <w:rPr/>
        <w:t>实际控制人通过信托或其他资产管理方式控制公司</w:t>
      </w:r>
    </w:p>
    <w:p>
      <w:pPr>
        <w:pStyle w:val="BodyText"/>
        <w:spacing w:line="240" w:lineRule="auto" w:before="145"/>
        <w:ind w:left="636" w:right="0"/>
        <w:jc w:val="left"/>
      </w:pPr>
      <w:r>
        <w:rPr/>
        <w:t>□ 适用 √ 不适用</w:t>
      </w:r>
    </w:p>
    <w:p>
      <w:pPr>
        <w:pStyle w:val="Heading2"/>
        <w:spacing w:line="240" w:lineRule="auto" w:before="138"/>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73"/>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17"/>
          <w:szCs w:val="17"/>
        </w:rPr>
      </w:pPr>
    </w:p>
    <w:p>
      <w:pPr>
        <w:pStyle w:val="BodyText"/>
        <w:spacing w:line="240" w:lineRule="auto" w:before="0"/>
        <w:ind w:left="636" w:right="0"/>
        <w:jc w:val="left"/>
      </w:pPr>
      <w:r>
        <w:rPr/>
        <w:t>□ 适用 √ 不适用</w:t>
      </w:r>
    </w:p>
    <w:p>
      <w:pPr>
        <w:pStyle w:val="Heading2"/>
        <w:spacing w:line="240" w:lineRule="auto" w:before="139"/>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17"/>
          <w:szCs w:val="17"/>
        </w:rPr>
      </w:pPr>
    </w:p>
    <w:p>
      <w:pPr>
        <w:pStyle w:val="BodyText"/>
        <w:spacing w:line="240" w:lineRule="auto" w:before="0"/>
        <w:ind w:left="636"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第七节 优先股相关情况" w:id="116"/>
      <w:bookmarkEnd w:id="116"/>
      <w:r>
        <w:rPr>
          <w:b w:val="0"/>
          <w:bCs w:val="0"/>
        </w:rPr>
      </w:r>
      <w:bookmarkStart w:name="_bookmark6" w:id="117"/>
      <w:bookmarkEnd w:id="11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15"/>
        <w:ind w:left="636" w:right="0"/>
        <w:jc w:val="left"/>
      </w:pPr>
      <w:r>
        <w:rPr/>
        <w:t>报告期公司不存在优先股。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680" w:right="0"/>
        <w:jc w:val="left"/>
        <w:rPr>
          <w:b w:val="0"/>
          <w:bCs w:val="0"/>
        </w:rPr>
      </w:pPr>
      <w:bookmarkStart w:name="第八节 董事、监事、高级管理人员和员工情况" w:id="118"/>
      <w:bookmarkEnd w:id="118"/>
      <w:r>
        <w:rPr>
          <w:b w:val="0"/>
          <w:bCs w:val="0"/>
        </w:rPr>
      </w:r>
      <w:bookmarkStart w:name="_bookmark7" w:id="119"/>
      <w:bookmarkEnd w:id="119"/>
      <w:r>
        <w:rPr>
          <w:b w:val="0"/>
          <w:bCs w:val="0"/>
        </w:rPr>
      </w:r>
      <w:r>
        <w:rPr/>
        <w:t>第八节</w:t>
      </w:r>
      <w:r>
        <w:rPr>
          <w:spacing w:val="-17"/>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0" w:right="2059" w:firstLine="0"/>
        <w:jc w:val="right"/>
        <w:rPr>
          <w:rFonts w:ascii="宋体" w:hAnsi="宋体" w:cs="宋体" w:eastAsia="宋体" w:hint="default"/>
          <w:sz w:val="18"/>
          <w:szCs w:val="18"/>
        </w:rPr>
      </w:pPr>
      <w:r>
        <w:rPr/>
        <w:pict>
          <v:shape style="position:absolute;margin-left:56.459999pt;margin-top:-18.6483pt;width:479.4pt;height:458.8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8"/>
                    <w:gridCol w:w="797"/>
                    <w:gridCol w:w="533"/>
                    <w:gridCol w:w="425"/>
                    <w:gridCol w:w="283"/>
                    <w:gridCol w:w="851"/>
                    <w:gridCol w:w="992"/>
                    <w:gridCol w:w="992"/>
                    <w:gridCol w:w="994"/>
                    <w:gridCol w:w="1134"/>
                    <w:gridCol w:w="850"/>
                    <w:gridCol w:w="82"/>
                    <w:gridCol w:w="843"/>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80"/>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7"/>
                          <w:jc w:val="left"/>
                          <w:rPr>
                            <w:rFonts w:ascii="宋体" w:hAnsi="宋体" w:cs="宋体" w:eastAsia="宋体" w:hint="default"/>
                            <w:sz w:val="18"/>
                            <w:szCs w:val="18"/>
                          </w:rPr>
                        </w:pPr>
                        <w:r>
                          <w:rPr>
                            <w:rFonts w:ascii="宋体" w:hAnsi="宋体" w:cs="宋体" w:eastAsia="宋体" w:hint="default"/>
                            <w:sz w:val="18"/>
                            <w:szCs w:val="18"/>
                          </w:rPr>
                          <w:t>年 龄</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1" w:right="39" w:hanging="361"/>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firstLine="18"/>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88"/>
                          <w:jc w:val="left"/>
                          <w:rPr>
                            <w:rFonts w:ascii="宋体" w:hAnsi="宋体" w:cs="宋体" w:eastAsia="宋体" w:hint="default"/>
                            <w:sz w:val="18"/>
                            <w:szCs w:val="18"/>
                          </w:rPr>
                        </w:pPr>
                        <w:r>
                          <w:rPr>
                            <w:rFonts w:ascii="宋体" w:hAnsi="宋体" w:cs="宋体" w:eastAsia="宋体" w:hint="default"/>
                            <w:sz w:val="18"/>
                            <w:szCs w:val="18"/>
                          </w:rPr>
                          <w:t>本期减持股 份数量（股）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9" w:firstLine="37"/>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4"/>
                            <w:sz w:val="18"/>
                            <w:szCs w:val="18"/>
                          </w:rPr>
                          <w:t>变动（股</w:t>
                        </w:r>
                      </w:p>
                    </w:tc>
                    <w:tc>
                      <w:tcPr>
                        <w:tcW w:w="82" w:type="dxa"/>
                        <w:tcBorders>
                          <w:top w:val="single" w:sz="4" w:space="0" w:color="000000"/>
                          <w:left w:val="single" w:sz="4" w:space="0" w:color="000000"/>
                          <w:bottom w:val="single" w:sz="4" w:space="0" w:color="000000"/>
                          <w:right w:val="nil" w:sz="6" w:space="0" w:color="auto"/>
                        </w:tcBorders>
                        <w:shd w:val="clear" w:color="auto" w:fill="D2D2D2"/>
                      </w:tcPr>
                      <w:p>
                        <w:pPr/>
                      </w:p>
                    </w:tc>
                    <w:tc>
                      <w:tcPr>
                        <w:tcW w:w="8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9" w:right="96"/>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63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47,492,300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40,492,300</w:t>
                        </w:r>
                      </w:p>
                    </w:tc>
                  </w:tr>
                  <w:tr>
                    <w:trPr>
                      <w:trHeight w:val="63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22,168,000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22,168,000</w:t>
                        </w:r>
                      </w:p>
                    </w:tc>
                  </w:tr>
                  <w:tr>
                    <w:trPr>
                      <w:trHeight w:val="635"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郑建彪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5" w:type="dxa"/>
                        <w:gridSpan w:val="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康斌生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5" w:type="dxa"/>
                        <w:gridSpan w:val="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张宇锋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5" w:type="dxa"/>
                        <w:gridSpan w:val="2"/>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郭治国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34,626</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7" w:right="0"/>
                          <w:jc w:val="left"/>
                          <w:rPr>
                            <w:rFonts w:ascii="Times New Roman" w:hAnsi="Times New Roman" w:cs="Times New Roman" w:eastAsia="Times New Roman" w:hint="default"/>
                            <w:sz w:val="18"/>
                            <w:szCs w:val="18"/>
                          </w:rPr>
                        </w:pPr>
                        <w:r>
                          <w:rPr>
                            <w:rFonts w:ascii="Times New Roman"/>
                            <w:sz w:val="18"/>
                          </w:rPr>
                          <w:t>34,626</w:t>
                        </w:r>
                      </w:p>
                    </w:tc>
                  </w:tr>
                  <w:tr>
                    <w:trPr>
                      <w:trHeight w:val="63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黄继军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357,967</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357,967</w:t>
                        </w:r>
                      </w:p>
                    </w:tc>
                  </w:tr>
                  <w:tr>
                    <w:trPr>
                      <w:trHeight w:val="63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郝恩元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13,749</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7" w:right="0"/>
                          <w:jc w:val="left"/>
                          <w:rPr>
                            <w:rFonts w:ascii="Times New Roman" w:hAnsi="Times New Roman" w:cs="Times New Roman" w:eastAsia="Times New Roman" w:hint="default"/>
                            <w:sz w:val="18"/>
                            <w:szCs w:val="18"/>
                          </w:rPr>
                        </w:pPr>
                        <w:r>
                          <w:rPr>
                            <w:rFonts w:ascii="Times New Roman"/>
                            <w:sz w:val="18"/>
                          </w:rPr>
                          <w:t>13,749</w:t>
                        </w:r>
                      </w:p>
                    </w:tc>
                  </w:tr>
                  <w:tr>
                    <w:trPr>
                      <w:trHeight w:val="491"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杜旭升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sz w:val="18"/>
                          </w:rPr>
                          <w:t>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375" w:right="0"/>
                          <w:jc w:val="left"/>
                          <w:rPr>
                            <w:rFonts w:ascii="Times New Roman" w:hAnsi="Times New Roman" w:cs="Times New Roman" w:eastAsia="Times New Roman" w:hint="default"/>
                            <w:sz w:val="18"/>
                            <w:szCs w:val="18"/>
                          </w:rPr>
                        </w:pPr>
                        <w:r>
                          <w:rPr>
                            <w:rFonts w:ascii="Times New Roman"/>
                            <w:sz w:val="18"/>
                          </w:rPr>
                          <w:t>342,380</w:t>
                        </w:r>
                      </w:p>
                    </w:tc>
                    <w:tc>
                      <w:tcPr>
                        <w:tcW w:w="99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925"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307" w:right="0"/>
                          <w:jc w:val="left"/>
                          <w:rPr>
                            <w:rFonts w:ascii="Times New Roman" w:hAnsi="Times New Roman" w:cs="Times New Roman" w:eastAsia="Times New Roman" w:hint="default"/>
                            <w:sz w:val="18"/>
                            <w:szCs w:val="18"/>
                          </w:rPr>
                        </w:pPr>
                        <w:r>
                          <w:rPr>
                            <w:rFonts w:ascii="Times New Roman"/>
                            <w:sz w:val="18"/>
                          </w:rPr>
                          <w:t>342,380</w:t>
                        </w:r>
                      </w:p>
                    </w:tc>
                  </w:tr>
                  <w:tr>
                    <w:trPr>
                      <w:trHeight w:val="490" w:hRule="exact"/>
                    </w:trPr>
                    <w:tc>
                      <w:tcPr>
                        <w:tcW w:w="798"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533"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5" w:type="dxa"/>
                        <w:gridSpan w:val="2"/>
                        <w:vMerge/>
                        <w:tcBorders>
                          <w:left w:val="single" w:sz="4" w:space="0" w:color="000000"/>
                          <w:bottom w:val="single" w:sz="4" w:space="0" w:color="000000"/>
                          <w:right w:val="single" w:sz="4" w:space="0" w:color="000000"/>
                        </w:tcBorders>
                      </w:tcPr>
                      <w:p>
                        <w:pPr/>
                      </w:p>
                    </w:tc>
                  </w:tr>
                  <w:tr>
                    <w:trPr>
                      <w:trHeight w:val="63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张奕敏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183,657</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183,657</w:t>
                        </w:r>
                      </w:p>
                    </w:tc>
                  </w:tr>
                  <w:tr>
                    <w:trPr>
                      <w:trHeight w:val="635"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侯菊艳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289</w:t>
                        </w:r>
                      </w:p>
                    </w:tc>
                  </w:tr>
                  <w:tr>
                    <w:trPr>
                      <w:trHeight w:val="73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5"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70,592,968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63,592,968</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3"/>
        <w:ind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5"/>
        <w:rPr>
          <w:rFonts w:ascii="宋体" w:hAnsi="宋体" w:cs="宋体" w:eastAsia="宋体" w:hint="default"/>
          <w:b/>
          <w:bCs/>
          <w:sz w:val="32"/>
          <w:szCs w:val="32"/>
        </w:rPr>
      </w:pPr>
    </w:p>
    <w:p>
      <w:pPr>
        <w:pStyle w:val="BodyText"/>
        <w:spacing w:line="240" w:lineRule="auto" w:before="0"/>
        <w:ind w:left="636" w:right="0"/>
        <w:jc w:val="left"/>
      </w:pPr>
      <w:r>
        <w:rPr/>
        <w:t>√ 适用 □ 不适用</w:t>
      </w:r>
    </w:p>
    <w:p>
      <w:pPr>
        <w:spacing w:line="240" w:lineRule="auto" w:before="7"/>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330"/>
        <w:gridCol w:w="2782"/>
        <w:gridCol w:w="1276"/>
        <w:gridCol w:w="1844"/>
        <w:gridCol w:w="233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1"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类型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韩瑞</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董事会秘书、副总经理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个人原因辞职。</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三、任职情况" w:id="122"/>
      <w:bookmarkEnd w:id="122"/>
      <w:r>
        <w:rPr>
          <w:b w:val="0"/>
          <w:bCs w:val="0"/>
        </w:rPr>
      </w:r>
      <w:r>
        <w:rPr/>
        <w:t>三、任职情况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2"/>
        <w:ind w:left="636" w:right="0"/>
        <w:jc w:val="left"/>
      </w:pPr>
      <w:r>
        <w:rPr/>
        <w:t>公司现任董事、监事、高级管理人员专业背景、主要工作经历以及目前在公司的主要职</w:t>
      </w:r>
    </w:p>
    <w:p>
      <w:pPr>
        <w:pStyle w:val="BodyText"/>
        <w:spacing w:line="240" w:lineRule="auto" w:before="146"/>
        <w:ind w:right="0"/>
        <w:jc w:val="left"/>
      </w:pPr>
      <w:r>
        <w:rPr/>
        <w:t>责</w:t>
      </w:r>
    </w:p>
    <w:p>
      <w:pPr>
        <w:pStyle w:val="BodyText"/>
        <w:spacing w:line="240" w:lineRule="auto" w:before="146"/>
        <w:ind w:left="636" w:right="0"/>
        <w:jc w:val="left"/>
      </w:pPr>
      <w:r>
        <w:rPr>
          <w:rFonts w:ascii="宋体" w:hAnsi="宋体" w:cs="宋体" w:eastAsia="宋体" w:hint="default"/>
        </w:rPr>
        <w:t>1</w:t>
      </w:r>
      <w:r>
        <w:rPr/>
        <w:t>、董事</w:t>
      </w:r>
    </w:p>
    <w:p>
      <w:pPr>
        <w:pStyle w:val="BodyText"/>
        <w:spacing w:line="240" w:lineRule="auto" w:before="145"/>
        <w:ind w:left="636" w:right="0"/>
        <w:jc w:val="left"/>
      </w:pPr>
      <w:r>
        <w:rPr/>
        <w:t>（</w:t>
      </w:r>
      <w:r>
        <w:rPr>
          <w:rFonts w:ascii="宋体" w:hAnsi="宋体" w:cs="宋体" w:eastAsia="宋体" w:hint="default"/>
        </w:rPr>
        <w:t>1</w:t>
      </w:r>
      <w:r>
        <w:rPr/>
        <w:t>）李海鹰先生，</w:t>
      </w:r>
      <w:r>
        <w:rPr>
          <w:rFonts w:ascii="宋体" w:hAnsi="宋体" w:cs="宋体" w:eastAsia="宋体" w:hint="default"/>
        </w:rPr>
        <w:t>52</w:t>
      </w:r>
      <w:r>
        <w:rPr>
          <w:rFonts w:ascii="宋体" w:hAnsi="宋体" w:cs="宋体" w:eastAsia="宋体" w:hint="default"/>
          <w:spacing w:val="-60"/>
        </w:rPr>
        <w:t> </w:t>
      </w:r>
      <w:r>
        <w:rPr/>
        <w:t>岁，本科学历，工程师。</w:t>
      </w:r>
      <w:r>
        <w:rPr>
          <w:rFonts w:ascii="宋体" w:hAnsi="宋体" w:cs="宋体" w:eastAsia="宋体" w:hint="default"/>
        </w:rPr>
        <w:t>2001</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月至</w:t>
      </w:r>
      <w:r>
        <w:rPr>
          <w:spacing w:val="-60"/>
        </w:rPr>
        <w:t> </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月任公司董事</w:t>
      </w:r>
    </w:p>
    <w:p>
      <w:pPr>
        <w:spacing w:line="240" w:lineRule="auto" w:before="2"/>
        <w:rPr>
          <w:rFonts w:ascii="宋体" w:hAnsi="宋体" w:cs="宋体" w:eastAsia="宋体" w:hint="default"/>
          <w:sz w:val="9"/>
          <w:szCs w:val="9"/>
        </w:rPr>
      </w:pPr>
    </w:p>
    <w:p>
      <w:pPr>
        <w:pStyle w:val="BodyText"/>
        <w:spacing w:line="352" w:lineRule="auto" w:before="26"/>
        <w:ind w:right="1152"/>
        <w:jc w:val="left"/>
      </w:pPr>
      <w:r>
        <w:rPr/>
        <w:t>长兼总经理，</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月至今担任本公司董事长。</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日至今担任北京七彩通达 传媒股份有限公司董事。</w:t>
      </w:r>
    </w:p>
    <w:p>
      <w:pPr>
        <w:pStyle w:val="BodyText"/>
        <w:spacing w:line="240" w:lineRule="auto" w:before="32"/>
        <w:ind w:left="636" w:right="0"/>
        <w:jc w:val="left"/>
      </w:pPr>
      <w:r>
        <w:rPr/>
        <w:t>（</w:t>
      </w:r>
      <w:r>
        <w:rPr>
          <w:rFonts w:ascii="宋体" w:hAnsi="宋体" w:cs="宋体" w:eastAsia="宋体" w:hint="default"/>
        </w:rPr>
        <w:t>2</w:t>
      </w:r>
      <w:r>
        <w:rPr/>
        <w:t>）谢春生先生，</w:t>
      </w:r>
      <w:r>
        <w:rPr>
          <w:rFonts w:ascii="宋体" w:hAnsi="宋体" w:cs="宋体" w:eastAsia="宋体" w:hint="default"/>
        </w:rPr>
        <w:t>50</w:t>
      </w:r>
      <w:r>
        <w:rPr>
          <w:rFonts w:ascii="宋体" w:hAnsi="宋体" w:cs="宋体" w:eastAsia="宋体" w:hint="default"/>
          <w:spacing w:val="-60"/>
        </w:rPr>
        <w:t> </w:t>
      </w:r>
      <w:r>
        <w:rPr/>
        <w:t>岁，本科学历，高级工程师。</w:t>
      </w:r>
      <w:r>
        <w:rPr>
          <w:rFonts w:ascii="宋体" w:hAnsi="宋体" w:cs="宋体" w:eastAsia="宋体" w:hint="default"/>
        </w:rPr>
        <w:t>2001</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月至</w:t>
      </w:r>
      <w:r>
        <w:rPr>
          <w:spacing w:val="-60"/>
        </w:rPr>
        <w:t> </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月任公司</w:t>
      </w:r>
    </w:p>
    <w:p>
      <w:pPr>
        <w:pStyle w:val="BodyText"/>
        <w:spacing w:line="240" w:lineRule="auto" w:before="145"/>
        <w:ind w:right="0"/>
        <w:jc w:val="left"/>
      </w:pPr>
      <w:r>
        <w:rPr/>
        <w:t>董事兼副总经理，</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月至</w:t>
      </w:r>
      <w:r>
        <w:rPr>
          <w:spacing w:val="-60"/>
        </w:rPr>
        <w:t> </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月任公司董事兼总经理，</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月至</w:t>
      </w:r>
      <w:r>
        <w:rPr>
          <w:spacing w:val="-60"/>
        </w:rPr>
        <w:t> </w:t>
      </w:r>
      <w:r>
        <w:rPr>
          <w:rFonts w:ascii="宋体" w:hAnsi="宋体" w:cs="宋体" w:eastAsia="宋体" w:hint="default"/>
        </w:rPr>
        <w:t>2010</w:t>
      </w:r>
      <w:r>
        <w:rPr>
          <w:rFonts w:ascii="宋体" w:hAnsi="宋体" w:cs="宋体" w:eastAsia="宋体" w:hint="default"/>
          <w:spacing w:val="-60"/>
        </w:rPr>
        <w:t> </w:t>
      </w:r>
      <w:r>
        <w:rPr/>
        <w:t>年</w:t>
      </w:r>
    </w:p>
    <w:p>
      <w:pPr>
        <w:pStyle w:val="BodyText"/>
        <w:spacing w:line="240" w:lineRule="auto" w:before="146"/>
        <w:ind w:right="0"/>
        <w:jc w:val="left"/>
      </w:pPr>
      <w:r>
        <w:rPr>
          <w:rFonts w:ascii="宋体" w:hAnsi="宋体" w:cs="宋体" w:eastAsia="宋体" w:hint="default"/>
        </w:rPr>
        <w:t>12</w:t>
      </w:r>
      <w:r>
        <w:rPr>
          <w:rFonts w:ascii="宋体" w:hAnsi="宋体" w:cs="宋体" w:eastAsia="宋体" w:hint="default"/>
          <w:spacing w:val="-62"/>
        </w:rPr>
        <w:t> </w:t>
      </w:r>
      <w:r>
        <w:rPr>
          <w:spacing w:val="-3"/>
        </w:rPr>
        <w:t>月任公司总经理；</w:t>
      </w:r>
      <w:r>
        <w:rPr>
          <w:rFonts w:ascii="宋体" w:hAnsi="宋体" w:cs="宋体" w:eastAsia="宋体" w:hint="default"/>
          <w:spacing w:val="-3"/>
        </w:rPr>
        <w:t>2010</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spacing w:val="-3"/>
        </w:rPr>
        <w:t>月至今任公司董事；</w:t>
      </w:r>
      <w:r>
        <w:rPr>
          <w:rFonts w:ascii="宋体" w:hAnsi="宋体" w:cs="宋体" w:eastAsia="宋体" w:hint="default"/>
          <w:spacing w:val="-3"/>
        </w:rPr>
        <w:t>2014</w:t>
      </w:r>
      <w:r>
        <w:rPr>
          <w:rFonts w:ascii="宋体" w:hAnsi="宋体" w:cs="宋体" w:eastAsia="宋体" w:hint="default"/>
          <w:spacing w:val="-62"/>
        </w:rPr>
        <w:t> </w:t>
      </w:r>
      <w:r>
        <w:rPr/>
        <w:t>年</w:t>
      </w:r>
      <w:r>
        <w:rPr>
          <w:spacing w:val="-62"/>
        </w:rPr>
        <w:t> </w:t>
      </w:r>
      <w:r>
        <w:rPr>
          <w:rFonts w:ascii="宋体" w:hAnsi="宋体" w:cs="宋体" w:eastAsia="宋体" w:hint="default"/>
        </w:rPr>
        <w:t>2</w:t>
      </w:r>
      <w:r>
        <w:rPr>
          <w:rFonts w:ascii="宋体" w:hAnsi="宋体" w:cs="宋体" w:eastAsia="宋体" w:hint="default"/>
          <w:spacing w:val="-62"/>
        </w:rPr>
        <w:t> </w:t>
      </w:r>
      <w:r>
        <w:rPr/>
        <w:t>月至今任公司总经理。</w:t>
      </w:r>
      <w:r>
        <w:rPr>
          <w:rFonts w:ascii="宋体" w:hAnsi="宋体" w:cs="宋体" w:eastAsia="宋体" w:hint="default"/>
        </w:rPr>
        <w:t>2006</w:t>
      </w:r>
      <w:r>
        <w:rPr>
          <w:rFonts w:ascii="宋体" w:hAnsi="宋体" w:cs="宋体" w:eastAsia="宋体" w:hint="default"/>
          <w:spacing w:val="-62"/>
        </w:rPr>
        <w:t> </w:t>
      </w:r>
      <w:r>
        <w:rPr/>
        <w:t>年</w:t>
      </w:r>
    </w:p>
    <w:p>
      <w:pPr>
        <w:pStyle w:val="BodyText"/>
        <w:spacing w:line="350" w:lineRule="auto" w:before="145"/>
        <w:ind w:right="1152"/>
        <w:jc w:val="left"/>
      </w:pPr>
      <w:r>
        <w:rPr>
          <w:rFonts w:ascii="宋体" w:hAnsi="宋体" w:cs="宋体" w:eastAsia="宋体" w:hint="default"/>
        </w:rPr>
        <w:t>5</w:t>
      </w:r>
      <w:r>
        <w:rPr>
          <w:rFonts w:ascii="宋体" w:hAnsi="宋体" w:cs="宋体" w:eastAsia="宋体" w:hint="default"/>
          <w:spacing w:val="-60"/>
        </w:rPr>
        <w:t> </w:t>
      </w:r>
      <w:r>
        <w:rPr/>
        <w:t>月至今兼任河南辉煌软件有限公司执行董事。</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月至今任河南辉煌信通软件有限公 司执行董事、担任北京全路信通软件科技有限公司执行董事。</w:t>
      </w:r>
    </w:p>
    <w:p>
      <w:pPr>
        <w:pStyle w:val="BodyText"/>
        <w:spacing w:line="352" w:lineRule="auto"/>
        <w:ind w:right="1170" w:firstLine="482"/>
        <w:jc w:val="both"/>
      </w:pPr>
      <w:r>
        <w:rPr/>
        <w:t>（</w:t>
      </w:r>
      <w:r>
        <w:rPr>
          <w:rFonts w:ascii="宋体" w:hAnsi="宋体" w:cs="宋体" w:eastAsia="宋体" w:hint="default"/>
        </w:rPr>
        <w:t>3</w:t>
      </w:r>
      <w:r>
        <w:rPr/>
        <w:t>）郑建彪先生，</w:t>
      </w:r>
      <w:r>
        <w:rPr>
          <w:rFonts w:ascii="宋体" w:hAnsi="宋体" w:cs="宋体" w:eastAsia="宋体" w:hint="default"/>
        </w:rPr>
        <w:t>55</w:t>
      </w:r>
      <w:r>
        <w:rPr>
          <w:rFonts w:ascii="宋体" w:hAnsi="宋体" w:cs="宋体" w:eastAsia="宋体" w:hint="default"/>
          <w:spacing w:val="-60"/>
        </w:rPr>
        <w:t> </w:t>
      </w:r>
      <w:r>
        <w:rPr/>
        <w:t>岁，经济学硕士</w:t>
      </w:r>
      <w:r>
        <w:rPr>
          <w:rFonts w:ascii="宋体" w:hAnsi="宋体" w:cs="宋体" w:eastAsia="宋体" w:hint="default"/>
        </w:rPr>
        <w:t>/</w:t>
      </w:r>
      <w:r>
        <w:rPr/>
        <w:t>工商管理硕士学位</w:t>
      </w:r>
      <w:r>
        <w:rPr>
          <w:rFonts w:ascii="宋体" w:hAnsi="宋体" w:cs="宋体" w:eastAsia="宋体" w:hint="default"/>
        </w:rPr>
        <w:t>,</w:t>
      </w:r>
      <w:r>
        <w:rPr/>
        <w:t>高级会计师、注册会计师， 中共党员。历任：北京市财政局干部、深圳蛇口中华会计师事务所经理、京都会计师事务所 副主任；现任致同会计师事务所合伙人、中国证监会第三届上市公司并购重组专家咨询委员 会专家委员、南方基金管理有限公司独立董事；现任辉煌科技独立董事。</w:t>
      </w:r>
    </w:p>
    <w:p>
      <w:pPr>
        <w:pStyle w:val="BodyText"/>
        <w:spacing w:line="350" w:lineRule="auto" w:before="32"/>
        <w:ind w:right="1132" w:firstLine="482"/>
        <w:jc w:val="both"/>
      </w:pPr>
      <w:r>
        <w:rPr/>
        <w:t>（</w:t>
      </w:r>
      <w:r>
        <w:rPr>
          <w:rFonts w:ascii="宋体" w:hAnsi="宋体" w:cs="宋体" w:eastAsia="宋体" w:hint="default"/>
        </w:rPr>
        <w:t>4</w:t>
      </w:r>
      <w:r>
        <w:rPr/>
        <w:t>）康斌生先生，</w:t>
      </w:r>
      <w:r>
        <w:rPr>
          <w:rFonts w:ascii="宋体" w:hAnsi="宋体" w:cs="宋体" w:eastAsia="宋体" w:hint="default"/>
        </w:rPr>
        <w:t>52</w:t>
      </w:r>
      <w:r>
        <w:rPr>
          <w:rFonts w:ascii="宋体" w:hAnsi="宋体" w:cs="宋体" w:eastAsia="宋体" w:hint="default"/>
          <w:spacing w:val="-69"/>
        </w:rPr>
        <w:t> </w:t>
      </w:r>
      <w:r>
        <w:rPr/>
        <w:t>岁，硕士，高级工程师，清华大学首届</w:t>
      </w:r>
      <w:r>
        <w:rPr>
          <w:spacing w:val="-69"/>
        </w:rPr>
        <w:t> </w:t>
      </w:r>
      <w:r>
        <w:rPr>
          <w:rFonts w:ascii="宋体" w:hAnsi="宋体" w:cs="宋体" w:eastAsia="宋体" w:hint="default"/>
        </w:rPr>
        <w:t>EMBA</w:t>
      </w:r>
      <w:r>
        <w:rPr/>
        <w:t>，中共党员。</w:t>
      </w:r>
      <w:r>
        <w:rPr>
          <w:rFonts w:ascii="宋体" w:hAnsi="宋体" w:cs="宋体" w:eastAsia="宋体" w:hint="default"/>
        </w:rPr>
        <w:t>1990</w:t>
      </w:r>
      <w:r>
        <w:rPr>
          <w:rFonts w:ascii="宋体" w:hAnsi="宋体" w:cs="宋体" w:eastAsia="宋体" w:hint="default"/>
          <w:spacing w:val="-69"/>
        </w:rPr>
        <w:t> </w:t>
      </w:r>
      <w:r>
        <w:rPr/>
        <w:t>年 至 </w:t>
      </w:r>
      <w:r>
        <w:rPr>
          <w:rFonts w:ascii="宋体" w:hAnsi="宋体" w:cs="宋体" w:eastAsia="宋体" w:hint="default"/>
        </w:rPr>
        <w:t>2014</w:t>
      </w:r>
      <w:r>
        <w:rPr>
          <w:rFonts w:ascii="宋体" w:hAnsi="宋体" w:cs="宋体" w:eastAsia="宋体" w:hint="default"/>
          <w:spacing w:val="-96"/>
        </w:rPr>
        <w:t> </w:t>
      </w:r>
      <w:r>
        <w:rPr>
          <w:spacing w:val="-3"/>
        </w:rPr>
        <w:t>年曾先后在北京录音机厂、松下电器（中国）有限公司、同方威视股份有限公司、易</w:t>
      </w:r>
      <w:r>
        <w:rPr/>
        <w:t> </w:t>
      </w:r>
      <w:r>
        <w:rPr>
          <w:spacing w:val="-5"/>
        </w:rPr>
        <w:t>程科技股份有限公司工作，</w:t>
      </w:r>
      <w:r>
        <w:rPr>
          <w:rFonts w:ascii="宋体" w:hAnsi="宋体" w:cs="宋体" w:eastAsia="宋体" w:hint="default"/>
          <w:spacing w:val="-5"/>
        </w:rPr>
        <w:t>2014</w:t>
      </w:r>
      <w:r>
        <w:rPr>
          <w:rFonts w:ascii="宋体" w:hAnsi="宋体" w:cs="宋体" w:eastAsia="宋体" w:hint="default"/>
          <w:spacing w:val="-50"/>
        </w:rPr>
        <w:t> </w:t>
      </w:r>
      <w:r>
        <w:rPr/>
        <w:t>年</w:t>
      </w:r>
      <w:r>
        <w:rPr>
          <w:spacing w:val="-50"/>
        </w:rPr>
        <w:t> </w:t>
      </w:r>
      <w:r>
        <w:rPr>
          <w:rFonts w:ascii="宋体" w:hAnsi="宋体" w:cs="宋体" w:eastAsia="宋体" w:hint="default"/>
        </w:rPr>
        <w:t>7</w:t>
      </w:r>
      <w:r>
        <w:rPr>
          <w:rFonts w:ascii="宋体" w:hAnsi="宋体" w:cs="宋体" w:eastAsia="宋体" w:hint="default"/>
          <w:spacing w:val="-50"/>
        </w:rPr>
        <w:t> </w:t>
      </w:r>
      <w:r>
        <w:rPr>
          <w:spacing w:val="-8"/>
        </w:rPr>
        <w:t>月至今担任中科天艺（北京）科技有限公司董事长，</w:t>
      </w:r>
      <w:r>
        <w:rPr>
          <w:rFonts w:ascii="宋体" w:hAnsi="宋体" w:cs="宋体" w:eastAsia="宋体" w:hint="default"/>
          <w:spacing w:val="-8"/>
        </w:rPr>
        <w:t>2015</w:t>
      </w:r>
      <w:r>
        <w:rPr>
          <w:rFonts w:ascii="宋体" w:hAnsi="宋体" w:cs="宋体" w:eastAsia="宋体" w:hint="default"/>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月至今担任清谊汇（北京）科技有限公司董事长兼</w:t>
      </w:r>
      <w:r>
        <w:rPr>
          <w:spacing w:val="-60"/>
        </w:rPr>
        <w:t> </w:t>
      </w:r>
      <w:r>
        <w:rPr>
          <w:rFonts w:ascii="宋体" w:hAnsi="宋体" w:cs="宋体" w:eastAsia="宋体" w:hint="default"/>
        </w:rPr>
        <w:t>CEO</w:t>
      </w:r>
      <w:r>
        <w:rPr/>
        <w:t>；现任辉煌科技独立董事。</w:t>
      </w:r>
    </w:p>
    <w:p>
      <w:pPr>
        <w:pStyle w:val="BodyText"/>
        <w:spacing w:line="352" w:lineRule="auto" w:before="35"/>
        <w:ind w:right="994" w:firstLine="482"/>
        <w:jc w:val="left"/>
      </w:pPr>
      <w:r>
        <w:rPr>
          <w:spacing w:val="-3"/>
        </w:rPr>
        <w:t>（</w:t>
      </w:r>
      <w:r>
        <w:rPr>
          <w:rFonts w:ascii="宋体" w:hAnsi="宋体" w:cs="宋体" w:eastAsia="宋体" w:hint="default"/>
          <w:spacing w:val="-3"/>
        </w:rPr>
        <w:t>5</w:t>
      </w:r>
      <w:r>
        <w:rPr>
          <w:spacing w:val="-3"/>
        </w:rPr>
        <w:t>）张宇锋先生，</w:t>
      </w:r>
      <w:r>
        <w:rPr>
          <w:rFonts w:ascii="宋体" w:hAnsi="宋体" w:cs="宋体" w:eastAsia="宋体" w:hint="default"/>
          <w:spacing w:val="-3"/>
        </w:rPr>
        <w:t>56</w:t>
      </w:r>
      <w:r>
        <w:rPr>
          <w:rFonts w:ascii="宋体" w:hAnsi="宋体" w:cs="宋体" w:eastAsia="宋体" w:hint="default"/>
          <w:spacing w:val="-58"/>
        </w:rPr>
        <w:t> </w:t>
      </w:r>
      <w:r>
        <w:rPr>
          <w:spacing w:val="-3"/>
        </w:rPr>
        <w:t>岁，硕士，经济师，律师，中共党员。</w:t>
      </w:r>
      <w:r>
        <w:rPr>
          <w:rFonts w:ascii="宋体" w:hAnsi="宋体" w:cs="宋体" w:eastAsia="宋体" w:hint="default"/>
          <w:spacing w:val="-3"/>
        </w:rPr>
        <w:t>1989</w:t>
      </w:r>
      <w:r>
        <w:rPr>
          <w:rFonts w:ascii="宋体" w:hAnsi="宋体" w:cs="宋体" w:eastAsia="宋体" w:hint="default"/>
          <w:spacing w:val="-58"/>
        </w:rPr>
        <w:t> </w:t>
      </w:r>
      <w:r>
        <w:rPr/>
        <w:t>年至</w:t>
      </w:r>
      <w:r>
        <w:rPr>
          <w:spacing w:val="-58"/>
        </w:rPr>
        <w:t> </w:t>
      </w:r>
      <w:r>
        <w:rPr>
          <w:rFonts w:ascii="宋体" w:hAnsi="宋体" w:cs="宋体" w:eastAsia="宋体" w:hint="default"/>
        </w:rPr>
        <w:t>1999</w:t>
      </w:r>
      <w:r>
        <w:rPr>
          <w:rFonts w:ascii="宋体" w:hAnsi="宋体" w:cs="宋体" w:eastAsia="宋体" w:hint="default"/>
          <w:spacing w:val="-58"/>
        </w:rPr>
        <w:t> </w:t>
      </w:r>
      <w:r>
        <w:rPr/>
        <w:t>年先后在中 纪委驻卫生部纪检组、中国康华房地产开发公司、中国建筑工程总公司进出口部从事行政管 理、房地产开发、进出口贸易等工作。</w:t>
      </w:r>
      <w:r>
        <w:rPr>
          <w:rFonts w:ascii="宋体" w:hAnsi="宋体" w:cs="宋体" w:eastAsia="宋体" w:hint="default"/>
        </w:rPr>
        <w:t>1999</w:t>
      </w:r>
      <w:r>
        <w:rPr>
          <w:rFonts w:ascii="宋体" w:hAnsi="宋体" w:cs="宋体" w:eastAsia="宋体" w:hint="default"/>
          <w:spacing w:val="-68"/>
        </w:rPr>
        <w:t> </w:t>
      </w:r>
      <w:r>
        <w:rPr/>
        <w:t>年至今任北京市华城律师事务所创始合伙人。现 </w:t>
      </w:r>
      <w:r>
        <w:rPr>
          <w:spacing w:val="-2"/>
        </w:rPr>
        <w:t>兼任中国政法大学金融法研究中心研究员，中国政法大学国际银行法律实务研究中心研究员，</w:t>
      </w:r>
      <w:r>
        <w:rPr/>
        <w:t> 中国贸促会、中国国际商会调解中心商事调解员、广州仲裁委员会仲裁员、武汉仲裁委员会 仲裁员、无锡仲裁委员会仲裁员、中国保健协会常务理事兼副秘书长、中华全国律师协会金 融证券保险专业委员会委员，廊坊银行、胜利股份及德展健康独立董事，互联网金融安全专 家顾问委员会委员等职务；现任辉煌科技独立董事。</w:t>
      </w:r>
    </w:p>
    <w:p>
      <w:pPr>
        <w:pStyle w:val="BodyText"/>
        <w:spacing w:line="240" w:lineRule="auto" w:before="32"/>
        <w:ind w:left="636" w:right="0"/>
        <w:jc w:val="left"/>
      </w:pPr>
      <w:r>
        <w:rPr>
          <w:rFonts w:ascii="宋体" w:hAnsi="宋体" w:cs="宋体" w:eastAsia="宋体" w:hint="default"/>
        </w:rPr>
        <w:t>2</w:t>
      </w:r>
      <w:r>
        <w:rPr/>
        <w:t>、监事</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1130" w:firstLine="482"/>
        <w:jc w:val="both"/>
      </w:pPr>
      <w:r>
        <w:rPr/>
        <w:t>（</w:t>
      </w:r>
      <w:r>
        <w:rPr>
          <w:rFonts w:ascii="宋体" w:hAnsi="宋体" w:cs="宋体" w:eastAsia="宋体" w:hint="default"/>
        </w:rPr>
        <w:t>1</w:t>
      </w:r>
      <w:r>
        <w:rPr/>
        <w:t>）郭治国先生，</w:t>
      </w:r>
      <w:r>
        <w:rPr>
          <w:rFonts w:ascii="宋体" w:hAnsi="宋体" w:cs="宋体" w:eastAsia="宋体" w:hint="default"/>
        </w:rPr>
        <w:t>42</w:t>
      </w:r>
      <w:r>
        <w:rPr>
          <w:rFonts w:ascii="宋体" w:hAnsi="宋体" w:cs="宋体" w:eastAsia="宋体" w:hint="default"/>
          <w:spacing w:val="-60"/>
        </w:rPr>
        <w:t> </w:t>
      </w:r>
      <w:r>
        <w:rPr/>
        <w:t>岁，硕士，高级工程师。</w:t>
      </w:r>
      <w:r>
        <w:rPr>
          <w:rFonts w:ascii="宋体" w:hAnsi="宋体" w:cs="宋体" w:eastAsia="宋体" w:hint="default"/>
        </w:rPr>
        <w:t>2000</w:t>
      </w:r>
      <w:r>
        <w:rPr>
          <w:rFonts w:ascii="宋体" w:hAnsi="宋体" w:cs="宋体" w:eastAsia="宋体" w:hint="default"/>
          <w:spacing w:val="-60"/>
        </w:rPr>
        <w:t> </w:t>
      </w:r>
      <w:r>
        <w:rPr/>
        <w:t>年至今历任公司项目经理、总工程 </w:t>
      </w:r>
      <w:r>
        <w:rPr>
          <w:spacing w:val="-4"/>
        </w:rPr>
        <w:t>师助理、副总工程师、总经理助理，</w:t>
      </w:r>
      <w:r>
        <w:rPr>
          <w:rFonts w:ascii="宋体" w:hAnsi="宋体" w:cs="宋体" w:eastAsia="宋体" w:hint="default"/>
          <w:spacing w:val="-4"/>
        </w:rPr>
        <w:t>2017</w:t>
      </w:r>
      <w:r>
        <w:rPr>
          <w:rFonts w:ascii="宋体" w:hAnsi="宋体" w:cs="宋体" w:eastAsia="宋体" w:hint="default"/>
          <w:spacing w:val="-61"/>
        </w:rPr>
        <w:t> </w:t>
      </w:r>
      <w:r>
        <w:rPr/>
        <w:t>年</w:t>
      </w:r>
      <w:r>
        <w:rPr>
          <w:spacing w:val="-61"/>
        </w:rPr>
        <w:t> </w:t>
      </w:r>
      <w:r>
        <w:rPr>
          <w:rFonts w:ascii="宋体" w:hAnsi="宋体" w:cs="宋体" w:eastAsia="宋体" w:hint="default"/>
        </w:rPr>
        <w:t>2</w:t>
      </w:r>
      <w:r>
        <w:rPr>
          <w:rFonts w:ascii="宋体" w:hAnsi="宋体" w:cs="宋体" w:eastAsia="宋体" w:hint="default"/>
          <w:spacing w:val="-61"/>
        </w:rPr>
        <w:t> </w:t>
      </w:r>
      <w:r>
        <w:rPr/>
        <w:t>月至今任公司监事会主席，</w:t>
      </w:r>
      <w:r>
        <w:rPr>
          <w:rFonts w:ascii="宋体" w:hAnsi="宋体" w:cs="宋体" w:eastAsia="宋体" w:hint="default"/>
        </w:rPr>
        <w:t>2018</w:t>
      </w:r>
      <w:r>
        <w:rPr>
          <w:rFonts w:ascii="宋体" w:hAnsi="宋体" w:cs="宋体" w:eastAsia="宋体" w:hint="default"/>
          <w:spacing w:val="-61"/>
        </w:rPr>
        <w:t> </w:t>
      </w:r>
      <w:r>
        <w:rPr/>
        <w:t>年</w:t>
      </w:r>
      <w:r>
        <w:rPr>
          <w:spacing w:val="-61"/>
        </w:rPr>
        <w:t> </w:t>
      </w:r>
      <w:r>
        <w:rPr>
          <w:rFonts w:ascii="宋体" w:hAnsi="宋体" w:cs="宋体" w:eastAsia="宋体" w:hint="default"/>
        </w:rPr>
        <w:t>9</w:t>
      </w:r>
      <w:r>
        <w:rPr>
          <w:rFonts w:ascii="宋体" w:hAnsi="宋体" w:cs="宋体" w:eastAsia="宋体" w:hint="default"/>
          <w:spacing w:val="-61"/>
        </w:rPr>
        <w:t> </w:t>
      </w:r>
      <w:r>
        <w:rPr/>
        <w:t>月至今任 北京国铁路阳技术有限公司执行董事。</w:t>
      </w:r>
    </w:p>
    <w:p>
      <w:pPr>
        <w:pStyle w:val="BodyText"/>
        <w:spacing w:line="350" w:lineRule="auto" w:before="33"/>
        <w:ind w:right="1130" w:firstLine="482"/>
        <w:jc w:val="both"/>
      </w:pPr>
      <w:r>
        <w:rPr>
          <w:spacing w:val="-4"/>
        </w:rPr>
        <w:t>（</w:t>
      </w:r>
      <w:r>
        <w:rPr>
          <w:rFonts w:ascii="宋体" w:hAnsi="宋体" w:cs="宋体" w:eastAsia="宋体" w:hint="default"/>
          <w:spacing w:val="-4"/>
        </w:rPr>
        <w:t>2</w:t>
      </w:r>
      <w:r>
        <w:rPr>
          <w:spacing w:val="-4"/>
        </w:rPr>
        <w:t>）黄继军先生，</w:t>
      </w:r>
      <w:r>
        <w:rPr>
          <w:rFonts w:ascii="宋体" w:hAnsi="宋体" w:cs="宋体" w:eastAsia="宋体" w:hint="default"/>
          <w:spacing w:val="-4"/>
        </w:rPr>
        <w:t>49</w:t>
      </w:r>
      <w:r>
        <w:rPr>
          <w:rFonts w:ascii="宋体" w:hAnsi="宋体" w:cs="宋体" w:eastAsia="宋体" w:hint="default"/>
          <w:spacing w:val="-58"/>
        </w:rPr>
        <w:t> </w:t>
      </w:r>
      <w:r>
        <w:rPr>
          <w:spacing w:val="-3"/>
        </w:rPr>
        <w:t>岁，本科学历，助理工程师。</w:t>
      </w:r>
      <w:r>
        <w:rPr>
          <w:rFonts w:ascii="宋体" w:hAnsi="宋体" w:cs="宋体" w:eastAsia="宋体" w:hint="default"/>
          <w:spacing w:val="-3"/>
        </w:rPr>
        <w:t>2001</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月至今任公司职工代表监 事、物资部经理。</w:t>
      </w:r>
    </w:p>
    <w:p>
      <w:pPr>
        <w:pStyle w:val="BodyText"/>
        <w:spacing w:line="350" w:lineRule="auto"/>
        <w:ind w:right="1130" w:firstLine="482"/>
        <w:jc w:val="both"/>
      </w:pPr>
      <w:r>
        <w:rPr>
          <w:spacing w:val="-4"/>
        </w:rPr>
        <w:t>（</w:t>
      </w:r>
      <w:r>
        <w:rPr>
          <w:rFonts w:ascii="宋体" w:hAnsi="宋体" w:cs="宋体" w:eastAsia="宋体" w:hint="default"/>
          <w:spacing w:val="-4"/>
        </w:rPr>
        <w:t>3</w:t>
      </w:r>
      <w:r>
        <w:rPr>
          <w:spacing w:val="-4"/>
        </w:rPr>
        <w:t>）郝恩元先生，</w:t>
      </w:r>
      <w:r>
        <w:rPr>
          <w:rFonts w:ascii="宋体" w:hAnsi="宋体" w:cs="宋体" w:eastAsia="宋体" w:hint="default"/>
          <w:spacing w:val="-4"/>
        </w:rPr>
        <w:t>43</w:t>
      </w:r>
      <w:r>
        <w:rPr>
          <w:rFonts w:ascii="宋体" w:hAnsi="宋体" w:cs="宋体" w:eastAsia="宋体" w:hint="default"/>
          <w:spacing w:val="-58"/>
        </w:rPr>
        <w:t> </w:t>
      </w:r>
      <w:r>
        <w:rPr>
          <w:spacing w:val="-3"/>
        </w:rPr>
        <w:t>岁，本科学历，中级会计师。</w:t>
      </w:r>
      <w:r>
        <w:rPr>
          <w:rFonts w:ascii="宋体" w:hAnsi="宋体" w:cs="宋体" w:eastAsia="宋体" w:hint="default"/>
          <w:spacing w:val="-3"/>
        </w:rPr>
        <w:t>2001</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月至今任公司职工代表监 事、财务部会计。</w:t>
      </w:r>
    </w:p>
    <w:p>
      <w:pPr>
        <w:pStyle w:val="BodyText"/>
        <w:spacing w:line="240" w:lineRule="auto" w:before="35"/>
        <w:ind w:left="636" w:right="0"/>
        <w:jc w:val="left"/>
      </w:pPr>
      <w:r>
        <w:rPr>
          <w:rFonts w:ascii="宋体" w:hAnsi="宋体" w:cs="宋体" w:eastAsia="宋体" w:hint="default"/>
        </w:rPr>
        <w:t>3</w:t>
      </w:r>
      <w:r>
        <w:rPr/>
        <w:t>、高级管理人员</w:t>
      </w:r>
    </w:p>
    <w:p>
      <w:pPr>
        <w:pStyle w:val="BodyText"/>
        <w:spacing w:line="240" w:lineRule="auto" w:before="146"/>
        <w:ind w:left="636" w:right="0"/>
        <w:jc w:val="left"/>
      </w:pPr>
      <w:r>
        <w:rPr/>
        <w:t>（</w:t>
      </w:r>
      <w:r>
        <w:rPr>
          <w:rFonts w:ascii="宋体" w:hAnsi="宋体" w:cs="宋体" w:eastAsia="宋体" w:hint="default"/>
        </w:rPr>
        <w:t>1</w:t>
      </w:r>
      <w:r>
        <w:rPr/>
        <w:t>）谢春生先生，现任公司董事、总经理，其最近五年工作经历详见本节“董事</w:t>
      </w:r>
      <w:r>
        <w:rPr>
          <w:spacing w:val="-120"/>
        </w:rPr>
        <w:t>”</w:t>
      </w:r>
      <w:r>
        <w:rPr/>
        <w:t>。</w:t>
      </w:r>
    </w:p>
    <w:p>
      <w:pPr>
        <w:pStyle w:val="BodyText"/>
        <w:spacing w:line="352" w:lineRule="auto" w:before="145"/>
        <w:ind w:right="1132" w:firstLine="482"/>
        <w:jc w:val="both"/>
      </w:pPr>
      <w:r>
        <w:rPr/>
        <w:t>（</w:t>
      </w:r>
      <w:r>
        <w:rPr>
          <w:rFonts w:ascii="宋体" w:hAnsi="宋体" w:cs="宋体" w:eastAsia="宋体" w:hint="default"/>
        </w:rPr>
        <w:t>2</w:t>
      </w:r>
      <w:r>
        <w:rPr/>
        <w:t>）杜旭升先生，</w:t>
      </w:r>
      <w:r>
        <w:rPr>
          <w:rFonts w:ascii="宋体" w:hAnsi="宋体" w:cs="宋体" w:eastAsia="宋体" w:hint="default"/>
        </w:rPr>
        <w:t>44</w:t>
      </w:r>
      <w:r>
        <w:rPr>
          <w:rFonts w:ascii="宋体" w:hAnsi="宋体" w:cs="宋体" w:eastAsia="宋体" w:hint="default"/>
          <w:spacing w:val="-60"/>
        </w:rPr>
        <w:t> </w:t>
      </w:r>
      <w:r>
        <w:rPr/>
        <w:t>岁，大专学历，高级工程师。</w:t>
      </w:r>
      <w:r>
        <w:rPr>
          <w:rFonts w:ascii="宋体" w:hAnsi="宋体" w:cs="宋体" w:eastAsia="宋体" w:hint="default"/>
        </w:rPr>
        <w:t>2001</w:t>
      </w:r>
      <w:r>
        <w:rPr>
          <w:rFonts w:ascii="宋体" w:hAnsi="宋体" w:cs="宋体" w:eastAsia="宋体" w:hint="default"/>
          <w:spacing w:val="-60"/>
        </w:rPr>
        <w:t> </w:t>
      </w:r>
      <w:r>
        <w:rPr/>
        <w:t>年至今历任公司副总工程师、 </w:t>
      </w:r>
      <w:r>
        <w:rPr>
          <w:spacing w:val="-4"/>
        </w:rPr>
        <w:t>常务副总工程师、总工程师，</w:t>
      </w:r>
      <w:r>
        <w:rPr>
          <w:rFonts w:ascii="宋体" w:hAnsi="宋体" w:cs="宋体" w:eastAsia="宋体" w:hint="default"/>
          <w:spacing w:val="-4"/>
        </w:rPr>
        <w:t>2014</w:t>
      </w:r>
      <w:r>
        <w:rPr>
          <w:rFonts w:ascii="宋体" w:hAnsi="宋体" w:cs="宋体" w:eastAsia="宋体" w:hint="default"/>
          <w:spacing w:val="-63"/>
        </w:rPr>
        <w:t> </w:t>
      </w:r>
      <w:r>
        <w:rPr/>
        <w:t>年</w:t>
      </w:r>
      <w:r>
        <w:rPr>
          <w:spacing w:val="-63"/>
        </w:rPr>
        <w:t> </w:t>
      </w:r>
      <w:r>
        <w:rPr>
          <w:rFonts w:ascii="宋体" w:hAnsi="宋体" w:cs="宋体" w:eastAsia="宋体" w:hint="default"/>
        </w:rPr>
        <w:t>2</w:t>
      </w:r>
      <w:r>
        <w:rPr>
          <w:rFonts w:ascii="宋体" w:hAnsi="宋体" w:cs="宋体" w:eastAsia="宋体" w:hint="default"/>
          <w:spacing w:val="-63"/>
        </w:rPr>
        <w:t> </w:t>
      </w:r>
      <w:r>
        <w:rPr/>
        <w:t>月至今任公司副总经理，</w:t>
      </w:r>
      <w:r>
        <w:rPr>
          <w:rFonts w:ascii="宋体" w:hAnsi="宋体" w:cs="宋体" w:eastAsia="宋体" w:hint="default"/>
        </w:rPr>
        <w:t>2018</w:t>
      </w:r>
      <w:r>
        <w:rPr>
          <w:rFonts w:ascii="宋体" w:hAnsi="宋体" w:cs="宋体" w:eastAsia="宋体" w:hint="default"/>
          <w:spacing w:val="-63"/>
        </w:rPr>
        <w:t> </w:t>
      </w:r>
      <w:r>
        <w:rPr/>
        <w:t>年</w:t>
      </w:r>
      <w:r>
        <w:rPr>
          <w:spacing w:val="-63"/>
        </w:rPr>
        <w:t> </w:t>
      </w:r>
      <w:r>
        <w:rPr>
          <w:rFonts w:ascii="宋体" w:hAnsi="宋体" w:cs="宋体" w:eastAsia="宋体" w:hint="default"/>
        </w:rPr>
        <w:t>4</w:t>
      </w:r>
      <w:r>
        <w:rPr>
          <w:rFonts w:ascii="宋体" w:hAnsi="宋体" w:cs="宋体" w:eastAsia="宋体" w:hint="default"/>
          <w:spacing w:val="-63"/>
        </w:rPr>
        <w:t> </w:t>
      </w:r>
      <w:r>
        <w:rPr/>
        <w:t>月至今任公司董事 会秘书。</w:t>
      </w:r>
    </w:p>
    <w:p>
      <w:pPr>
        <w:pStyle w:val="BodyText"/>
        <w:spacing w:line="350" w:lineRule="auto" w:before="32"/>
        <w:ind w:right="996" w:firstLine="482"/>
        <w:jc w:val="left"/>
      </w:pPr>
      <w:r>
        <w:rPr>
          <w:spacing w:val="-3"/>
        </w:rPr>
        <w:t>（</w:t>
      </w:r>
      <w:r>
        <w:rPr>
          <w:rFonts w:ascii="宋体" w:hAnsi="宋体" w:cs="宋体" w:eastAsia="宋体" w:hint="default"/>
          <w:spacing w:val="-3"/>
        </w:rPr>
        <w:t>3</w:t>
      </w:r>
      <w:r>
        <w:rPr>
          <w:spacing w:val="-3"/>
        </w:rPr>
        <w:t>）张奕敏女士，</w:t>
      </w:r>
      <w:r>
        <w:rPr>
          <w:rFonts w:ascii="宋体" w:hAnsi="宋体" w:cs="宋体" w:eastAsia="宋体" w:hint="default"/>
          <w:spacing w:val="-3"/>
        </w:rPr>
        <w:t>45</w:t>
      </w:r>
      <w:r>
        <w:rPr>
          <w:rFonts w:ascii="宋体" w:hAnsi="宋体" w:cs="宋体" w:eastAsia="宋体" w:hint="default"/>
          <w:spacing w:val="-62"/>
        </w:rPr>
        <w:t> </w:t>
      </w:r>
      <w:r>
        <w:rPr>
          <w:spacing w:val="-4"/>
        </w:rPr>
        <w:t>岁，硕士，工程师。</w:t>
      </w:r>
      <w:r>
        <w:rPr>
          <w:rFonts w:ascii="宋体" w:hAnsi="宋体" w:cs="宋体" w:eastAsia="宋体" w:hint="default"/>
          <w:spacing w:val="-4"/>
        </w:rPr>
        <w:t>2001</w:t>
      </w:r>
      <w:r>
        <w:rPr>
          <w:rFonts w:ascii="宋体" w:hAnsi="宋体" w:cs="宋体" w:eastAsia="宋体" w:hint="default"/>
          <w:spacing w:val="-62"/>
        </w:rPr>
        <w:t> </w:t>
      </w:r>
      <w:r>
        <w:rPr/>
        <w:t>年至今历任公司营销总监、总经理助理，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spacing w:val="-6"/>
        </w:rPr>
        <w:t>月至今任公司副总经理，</w:t>
      </w:r>
      <w:r>
        <w:rPr>
          <w:rFonts w:ascii="宋体" w:hAnsi="宋体" w:cs="宋体" w:eastAsia="宋体" w:hint="default"/>
          <w:spacing w:val="-6"/>
        </w:rPr>
        <w:t>2015</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月至今任河南辉煌城轨科技有限公司执行董事。</w:t>
      </w:r>
    </w:p>
    <w:p>
      <w:pPr>
        <w:pStyle w:val="BodyText"/>
        <w:spacing w:line="350" w:lineRule="auto"/>
        <w:ind w:right="1167" w:firstLine="482"/>
        <w:jc w:val="both"/>
      </w:pPr>
      <w:r>
        <w:rPr/>
        <w:t>（</w:t>
      </w:r>
      <w:r>
        <w:rPr>
          <w:rFonts w:ascii="宋体" w:hAnsi="宋体" w:cs="宋体" w:eastAsia="宋体" w:hint="default"/>
        </w:rPr>
        <w:t>4</w:t>
      </w:r>
      <w:r>
        <w:rPr/>
        <w:t>）侯菊艳女士，</w:t>
      </w:r>
      <w:r>
        <w:rPr>
          <w:rFonts w:ascii="宋体" w:hAnsi="宋体" w:cs="宋体" w:eastAsia="宋体" w:hint="default"/>
        </w:rPr>
        <w:t>52</w:t>
      </w:r>
      <w:r>
        <w:rPr>
          <w:rFonts w:ascii="宋体" w:hAnsi="宋体" w:cs="宋体" w:eastAsia="宋体" w:hint="default"/>
          <w:spacing w:val="-60"/>
        </w:rPr>
        <w:t> </w:t>
      </w:r>
      <w:r>
        <w:rPr/>
        <w:t>岁，本科学历，会计师。</w:t>
      </w:r>
      <w:r>
        <w:rPr>
          <w:rFonts w:ascii="宋体" w:hAnsi="宋体" w:cs="宋体" w:eastAsia="宋体" w:hint="default"/>
        </w:rPr>
        <w:t>2004</w:t>
      </w:r>
      <w:r>
        <w:rPr>
          <w:rFonts w:ascii="宋体" w:hAnsi="宋体" w:cs="宋体" w:eastAsia="宋体" w:hint="default"/>
          <w:spacing w:val="-60"/>
        </w:rPr>
        <w:t> </w:t>
      </w:r>
      <w:r>
        <w:rPr/>
        <w:t>年至今历任公司成本会计、财务主 管，</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月至今任公司财务总监。</w:t>
      </w:r>
    </w:p>
    <w:p>
      <w:pPr>
        <w:pStyle w:val="BodyText"/>
        <w:spacing w:line="240" w:lineRule="auto" w:before="35"/>
        <w:ind w:left="636" w:right="0"/>
        <w:jc w:val="left"/>
      </w:pPr>
      <w:r>
        <w:rPr/>
        <w:t>在股东单位任职情况</w:t>
      </w:r>
    </w:p>
    <w:p>
      <w:pPr>
        <w:pStyle w:val="BodyText"/>
        <w:spacing w:line="350" w:lineRule="auto" w:before="146"/>
        <w:ind w:left="636" w:right="8110"/>
        <w:jc w:val="left"/>
      </w:pPr>
      <w:r>
        <w:rPr/>
        <w:t>□ 适用 √ 不适用 在其他单位任职情况</w:t>
      </w:r>
    </w:p>
    <w:p>
      <w:pPr>
        <w:pStyle w:val="BodyText"/>
        <w:spacing w:line="240" w:lineRule="auto" w:before="35"/>
        <w:ind w:left="636" w:right="0"/>
        <w:jc w:val="left"/>
      </w:pPr>
      <w:r>
        <w:rPr/>
        <w:t>√ 适用 □ 不适用</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234"/>
        <w:gridCol w:w="2736"/>
        <w:gridCol w:w="1134"/>
        <w:gridCol w:w="1728"/>
        <w:gridCol w:w="1391"/>
        <w:gridCol w:w="1345"/>
      </w:tblGrid>
      <w:tr>
        <w:trPr>
          <w:trHeight w:val="63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1" w:right="11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北京七彩通达传媒股份有限公司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北京全路信通软件科技有限公司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河南辉煌信通软件有限公司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郑建彪</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康斌生</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中科天艺（北京）科技有限公司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康斌生</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清谊汇（北京）科技有限公司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董事长兼</w:t>
            </w:r>
          </w:p>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CEO</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张宇锋</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山东胜利股份有限公司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张宇锋</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德展大健康股份有限公司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张宇锋</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廊坊银行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张宇锋</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北京市华城律师事务所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3"/>
        <w:gridCol w:w="2737"/>
        <w:gridCol w:w="1134"/>
        <w:gridCol w:w="1728"/>
        <w:gridCol w:w="1391"/>
        <w:gridCol w:w="1345"/>
      </w:tblGrid>
      <w:tr>
        <w:trPr>
          <w:trHeight w:val="32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张奕敏</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河南辉煌城轨科技有限公司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郭治国</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北京国铁路阳技术有限公司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06"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6"/>
              <w:jc w:val="both"/>
              <w:rPr>
                <w:rFonts w:ascii="Times New Roman" w:hAnsi="Times New Roman" w:cs="Times New Roman" w:eastAsia="Times New Roman" w:hint="default"/>
                <w:sz w:val="18"/>
                <w:szCs w:val="18"/>
              </w:rPr>
            </w:pPr>
            <w:r>
              <w:rPr>
                <w:rFonts w:ascii="宋体" w:hAnsi="宋体" w:cs="宋体" w:eastAsia="宋体" w:hint="default"/>
                <w:sz w:val="18"/>
                <w:szCs w:val="18"/>
              </w:rPr>
              <w:t>郑建彪：</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年至今兼任中国证监会上市公司并购重组专家咨询委员会专家委员，</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年至今兼任南方 基金管理有限公司独立董事。张宇锋：</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月至今兼任中国保健协会常务理事、副秘书长，</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月至今兼任中国政法大学金融法研究中心研究员，</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月至今兼任广州仲裁委员会仲裁员，</w:t>
            </w:r>
            <w:r>
              <w:rPr>
                <w:rFonts w:ascii="Times New Roman" w:hAnsi="Times New Roman" w:cs="Times New Roman" w:eastAsia="Times New Roman" w:hint="default"/>
                <w:sz w:val="18"/>
                <w:szCs w:val="18"/>
              </w:rPr>
              <w:t>2010</w:t>
            </w:r>
          </w:p>
          <w:p>
            <w:pPr>
              <w:pStyle w:val="TableParagraph"/>
              <w:spacing w:line="300" w:lineRule="auto" w:before="13"/>
              <w:ind w:left="23"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月至今兼任无锡仲裁委员会仲裁员，</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月至今兼任中国政法大学国际银行法律实务研究中心研 究员。康斌生：</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年至今担任北京天艺创新科技有限公司执行董事，</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年至今担任中科天艺信息技 </w:t>
            </w:r>
            <w:r>
              <w:rPr>
                <w:rFonts w:ascii="宋体" w:hAnsi="宋体" w:cs="宋体" w:eastAsia="宋体" w:hint="default"/>
                <w:spacing w:val="-2"/>
                <w:sz w:val="18"/>
                <w:szCs w:val="18"/>
              </w:rPr>
              <w:t>术江苏有限公司董事长，</w:t>
            </w:r>
            <w:r>
              <w:rPr>
                <w:rFonts w:ascii="Times New Roman" w:hAnsi="Times New Roman" w:cs="Times New Roman" w:eastAsia="Times New Roman" w:hint="default"/>
                <w:spacing w:val="-2"/>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年至今江苏绿海物联科技有限责任公司、南通行车宝网络科技有限公司、江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苏中汇宏飞智能科技南通有限公司董事，</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年至今担任天飨（北京）网络科技有限公司董事，</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至今担任清谊惠（北京）网络科技有限公司执行董事。</w:t>
            </w:r>
          </w:p>
        </w:tc>
      </w:tr>
    </w:tbl>
    <w:p>
      <w:pPr>
        <w:spacing w:line="240" w:lineRule="auto" w:before="10"/>
        <w:rPr>
          <w:rFonts w:ascii="宋体" w:hAnsi="宋体" w:cs="宋体" w:eastAsia="宋体" w:hint="default"/>
          <w:sz w:val="4"/>
          <w:szCs w:val="4"/>
        </w:rPr>
      </w:pPr>
    </w:p>
    <w:p>
      <w:pPr>
        <w:pStyle w:val="BodyText"/>
        <w:spacing w:line="352" w:lineRule="auto" w:before="26"/>
        <w:ind w:left="636" w:right="1118"/>
        <w:jc w:val="left"/>
      </w:pPr>
      <w:r>
        <w:rPr/>
        <w:t>公司现任及报告期内离任董事、监事和高级管理人员近三年证券监管机构处罚的情况 深圳证券交易所</w:t>
      </w:r>
      <w:r>
        <w:rPr>
          <w:spacing w:val="-58"/>
        </w:rPr>
        <w:t> </w:t>
      </w:r>
      <w:r>
        <w:rPr>
          <w:rFonts w:ascii="宋体" w:hAnsi="宋体" w:cs="宋体" w:eastAsia="宋体" w:hint="default"/>
        </w:rPr>
        <w:t>2018</w:t>
      </w:r>
      <w:r>
        <w:rPr>
          <w:rFonts w:ascii="宋体" w:hAnsi="宋体" w:cs="宋体" w:eastAsia="宋体" w:hint="default"/>
          <w:spacing w:val="-58"/>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t>月</w:t>
      </w:r>
      <w:r>
        <w:rPr>
          <w:spacing w:val="-58"/>
        </w:rPr>
        <w:t> </w:t>
      </w:r>
      <w:r>
        <w:rPr>
          <w:rFonts w:ascii="宋体" w:hAnsi="宋体" w:cs="宋体" w:eastAsia="宋体" w:hint="default"/>
        </w:rPr>
        <w:t>7</w:t>
      </w:r>
      <w:r>
        <w:rPr>
          <w:rFonts w:ascii="宋体" w:hAnsi="宋体" w:cs="宋体" w:eastAsia="宋体" w:hint="default"/>
          <w:spacing w:val="-58"/>
        </w:rPr>
        <w:t> </w:t>
      </w:r>
      <w:r>
        <w:rPr>
          <w:spacing w:val="-4"/>
        </w:rPr>
        <w:t>日发布了《关于对河南辉煌科技股份有限公司董事长李海</w:t>
      </w:r>
    </w:p>
    <w:p>
      <w:pPr>
        <w:pStyle w:val="BodyText"/>
        <w:spacing w:line="350" w:lineRule="auto" w:before="32"/>
        <w:ind w:right="1117"/>
        <w:jc w:val="left"/>
      </w:pPr>
      <w:r>
        <w:rPr>
          <w:spacing w:val="-5"/>
        </w:rPr>
        <w:t>鹰给予通报批评处分的决定》，对于李海鹰先生减持行为发生在业绩预告公告前十日内，给予</w:t>
      </w:r>
      <w:r>
        <w:rPr>
          <w:spacing w:val="-117"/>
        </w:rPr>
        <w:t> </w:t>
      </w:r>
      <w:r>
        <w:rPr>
          <w:spacing w:val="-117"/>
        </w:rPr>
      </w:r>
      <w:r>
        <w:rPr/>
        <w:t>其通报批评的处分。</w:t>
      </w:r>
    </w:p>
    <w:p>
      <w:pPr>
        <w:pStyle w:val="Heading2"/>
        <w:spacing w:line="240" w:lineRule="auto" w:before="211"/>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5"/>
        <w:rPr>
          <w:rFonts w:ascii="宋体" w:hAnsi="宋体" w:cs="宋体" w:eastAsia="宋体" w:hint="default"/>
          <w:b/>
          <w:bCs/>
          <w:sz w:val="32"/>
          <w:szCs w:val="32"/>
        </w:rPr>
      </w:pPr>
    </w:p>
    <w:p>
      <w:pPr>
        <w:pStyle w:val="BodyText"/>
        <w:spacing w:line="350" w:lineRule="auto" w:before="0"/>
        <w:ind w:left="636" w:right="0"/>
        <w:jc w:val="left"/>
      </w:pPr>
      <w:r>
        <w:rPr/>
        <w:t>董事、监事、高级管理人员报酬的决策程序、确定依据、实际支付情况 </w:t>
      </w:r>
      <w:r>
        <w:rPr>
          <w:spacing w:val="-7"/>
        </w:rPr>
        <w:t>公司董事、监事、高级管理人员的报酬按照公司《薪酬体系管理规定》、《高级管理人员</w:t>
      </w:r>
    </w:p>
    <w:p>
      <w:pPr>
        <w:pStyle w:val="BodyText"/>
        <w:spacing w:line="352" w:lineRule="auto" w:before="35"/>
        <w:ind w:right="1152"/>
        <w:jc w:val="left"/>
      </w:pPr>
      <w:r>
        <w:rPr/>
        <w:t>薪酬管理制度》的规定进行考核，并由公司董事会审议后提交公司股东大会审议。公司根据 薪酬计划按月发放薪酬，报告期内共支付董事、监事、高级管理人员薪酬</w:t>
      </w:r>
      <w:r>
        <w:rPr>
          <w:spacing w:val="-59"/>
        </w:rPr>
        <w:t> </w:t>
      </w:r>
      <w:r>
        <w:rPr>
          <w:rFonts w:ascii="宋体" w:hAnsi="宋体" w:cs="宋体" w:eastAsia="宋体" w:hint="default"/>
        </w:rPr>
        <w:t>314.70</w:t>
      </w:r>
      <w:r>
        <w:rPr>
          <w:rFonts w:ascii="宋体" w:hAnsi="宋体" w:cs="宋体" w:eastAsia="宋体" w:hint="default"/>
          <w:spacing w:val="-60"/>
        </w:rPr>
        <w:t> </w:t>
      </w:r>
      <w:r>
        <w:rPr/>
        <w:t>万元。</w:t>
      </w:r>
    </w:p>
    <w:p>
      <w:pPr>
        <w:pStyle w:val="BodyText"/>
        <w:spacing w:line="240" w:lineRule="auto" w:before="32"/>
        <w:ind w:left="636" w:right="0"/>
        <w:jc w:val="left"/>
      </w:pPr>
      <w:r>
        <w:rPr/>
        <w:t>公司报告期内董事、监事和高级管理人员报酬情况</w:t>
      </w:r>
    </w:p>
    <w:p>
      <w:pPr>
        <w:spacing w:before="10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2033"/>
        <w:gridCol w:w="1134"/>
        <w:gridCol w:w="1134"/>
        <w:gridCol w:w="11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郑建彪</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康斌生</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张宇锋</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郭治国</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黄继军</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郝恩元</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杜旭升</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张奕敏</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侯菊艳</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2033"/>
        <w:gridCol w:w="1134"/>
        <w:gridCol w:w="1134"/>
        <w:gridCol w:w="11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韩瑞</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4"/>
          <w:szCs w:val="4"/>
        </w:rPr>
      </w:pPr>
    </w:p>
    <w:p>
      <w:pPr>
        <w:pStyle w:val="BodyText"/>
        <w:spacing w:line="240" w:lineRule="auto" w:before="26"/>
        <w:ind w:left="636" w:right="0"/>
        <w:jc w:val="left"/>
      </w:pPr>
      <w:r>
        <w:rPr/>
        <w:t>公司董事、高级管理人员报告期内被授予的股权激励情况</w:t>
      </w:r>
    </w:p>
    <w:p>
      <w:pPr>
        <w:spacing w:line="475" w:lineRule="auto" w:before="147"/>
        <w:ind w:left="154" w:right="6672" w:firstLine="482"/>
        <w:jc w:val="left"/>
        <w:rPr>
          <w:rFonts w:ascii="宋体" w:hAnsi="宋体" w:cs="宋体" w:eastAsia="宋体" w:hint="default"/>
          <w:sz w:val="24"/>
          <w:szCs w:val="24"/>
        </w:rPr>
      </w:pPr>
      <w:r>
        <w:rPr/>
        <w:pict>
          <v:shape style="position:absolute;margin-left:57.029999pt;margin-top:93.185638pt;width:478.6pt;height:382.4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52"/>
                    <w:gridCol w:w="3906"/>
                  </w:tblGrid>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39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399</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39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367</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39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766</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39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766</w:t>
                        </w:r>
                      </w:p>
                    </w:tc>
                  </w:tr>
                  <w:tr>
                    <w:trPr>
                      <w:trHeight w:val="407"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母公司及主要子公司需承担费用的离退休职工人数（人）</w:t>
                        </w:r>
                      </w:p>
                    </w:tc>
                    <w:tc>
                      <w:tcPr>
                        <w:tcW w:w="39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407"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4"/>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06" w:right="0"/>
                          <w:jc w:val="left"/>
                          <w:rPr>
                            <w:rFonts w:ascii="宋体" w:hAnsi="宋体" w:cs="宋体" w:eastAsia="宋体" w:hint="default"/>
                            <w:sz w:val="21"/>
                            <w:szCs w:val="21"/>
                          </w:rPr>
                        </w:pPr>
                        <w:r>
                          <w:rPr>
                            <w:rFonts w:ascii="宋体" w:hAnsi="宋体" w:cs="宋体" w:eastAsia="宋体" w:hint="default"/>
                            <w:sz w:val="21"/>
                            <w:szCs w:val="21"/>
                          </w:rPr>
                          <w:t>专业构成人数（人）</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39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126</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39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60</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39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488</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39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21</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39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71</w:t>
                        </w:r>
                      </w:p>
                    </w:tc>
                  </w:tr>
                  <w:tr>
                    <w:trPr>
                      <w:trHeight w:val="407"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9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766</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407"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left"/>
                          <w:rPr>
                            <w:rFonts w:ascii="宋体" w:hAnsi="宋体" w:cs="宋体" w:eastAsia="宋体" w:hint="default"/>
                            <w:sz w:val="21"/>
                            <w:szCs w:val="21"/>
                          </w:rPr>
                        </w:pPr>
                        <w:r>
                          <w:rPr>
                            <w:rFonts w:ascii="宋体" w:hAnsi="宋体" w:cs="宋体" w:eastAsia="宋体" w:hint="default"/>
                            <w:sz w:val="21"/>
                            <w:szCs w:val="21"/>
                          </w:rPr>
                          <w:t>教育程度类别</w:t>
                        </w:r>
                      </w:p>
                    </w:tc>
                    <w:tc>
                      <w:tcPr>
                        <w:tcW w:w="3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0" w:right="0"/>
                          <w:jc w:val="left"/>
                          <w:rPr>
                            <w:rFonts w:ascii="宋体" w:hAnsi="宋体" w:cs="宋体" w:eastAsia="宋体" w:hint="default"/>
                            <w:sz w:val="21"/>
                            <w:szCs w:val="21"/>
                          </w:rPr>
                        </w:pPr>
                        <w:r>
                          <w:rPr>
                            <w:rFonts w:ascii="宋体" w:hAnsi="宋体" w:cs="宋体" w:eastAsia="宋体" w:hint="default"/>
                            <w:sz w:val="21"/>
                            <w:szCs w:val="21"/>
                          </w:rPr>
                          <w:t>数量（人）</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53</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372</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专科及以下</w:t>
                        </w:r>
                      </w:p>
                    </w:tc>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341</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9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766</w:t>
                        </w:r>
                      </w:p>
                    </w:tc>
                  </w:tr>
                </w:tbl>
                <w:p>
                  <w:pPr/>
                </w:p>
              </w:txbxContent>
            </v:textbox>
            <w10:wrap type="none"/>
          </v:shape>
        </w:pict>
      </w:r>
      <w:r>
        <w:rPr>
          <w:rFonts w:ascii="宋体" w:hAnsi="宋体" w:cs="宋体" w:eastAsia="宋体" w:hint="default"/>
          <w:sz w:val="24"/>
          <w:szCs w:val="24"/>
        </w:rPr>
        <w:t>□ 适用 √ 不适用 </w:t>
      </w:r>
      <w:bookmarkStart w:name="五、公司员工情况" w:id="124"/>
      <w:bookmarkEnd w:id="124"/>
      <w:r>
        <w:rPr>
          <w:rFonts w:ascii="宋体" w:hAnsi="宋体" w:cs="宋体" w:eastAsia="宋体" w:hint="default"/>
          <w:sz w:val="24"/>
          <w:szCs w:val="24"/>
        </w:rPr>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bookmarkStart w:name="1、员工数量、专业构成及教育程度" w:id="125"/>
      <w:bookmarkEnd w:id="125"/>
      <w:r>
        <w:rPr>
          <w:rFonts w:ascii="宋体" w:hAnsi="宋体" w:cs="宋体" w:eastAsia="宋体" w:hint="default"/>
          <w:b/>
          <w:bCs/>
          <w:w w:val="99"/>
          <w:sz w:val="24"/>
          <w:szCs w:val="24"/>
        </w:rPr>
      </w: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、员工数量、专业构成及教育程度</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pStyle w:val="Heading2"/>
        <w:spacing w:line="240" w:lineRule="auto"/>
        <w:ind w:right="0"/>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pStyle w:val="BodyText"/>
        <w:spacing w:line="352" w:lineRule="auto" w:before="107"/>
        <w:ind w:right="995" w:firstLine="482"/>
        <w:jc w:val="left"/>
      </w:pPr>
      <w:r>
        <w:rPr>
          <w:rFonts w:ascii="宋体" w:hAnsi="宋体" w:cs="宋体" w:eastAsia="宋体" w:hint="default"/>
        </w:rPr>
        <w:t>2018</w:t>
      </w:r>
      <w:r>
        <w:rPr>
          <w:rFonts w:ascii="宋体" w:hAnsi="宋体" w:cs="宋体" w:eastAsia="宋体" w:hint="default"/>
          <w:spacing w:val="-57"/>
        </w:rPr>
        <w:t> </w:t>
      </w:r>
      <w:r>
        <w:rPr>
          <w:spacing w:val="-4"/>
        </w:rPr>
        <w:t>年度，公司严格执行国家用工制度、劳动保护制度、社会保障制度和医疗保障制度，</w:t>
      </w:r>
      <w:r>
        <w:rPr/>
        <w:t> 按照国家法律法规及时为员工缴纳医疗保险金、养老保险、失业保险、工伤保险、生育保险 和公积金。在此基础上，公司结合所处行业及经营特点，充分考虑公平性和竞争力，形成了</w:t>
      </w:r>
    </w:p>
    <w:p>
      <w:pPr>
        <w:pStyle w:val="BodyText"/>
        <w:spacing w:line="352" w:lineRule="auto" w:before="33"/>
        <w:ind w:right="1152"/>
        <w:jc w:val="left"/>
      </w:pPr>
      <w:r>
        <w:rPr>
          <w:spacing w:val="-6"/>
        </w:rPr>
        <w:t>《薪酬体系管理规定》、《高级管理人员薪酬管理规定》等一系列富有竞争力的薪酬考核制度</w:t>
      </w:r>
      <w:r>
        <w:rPr>
          <w:spacing w:val="-114"/>
        </w:rPr>
        <w:t> </w:t>
      </w:r>
      <w:r>
        <w:rPr>
          <w:spacing w:val="-114"/>
        </w:rPr>
      </w:r>
      <w:r>
        <w:rPr/>
        <w:t>及绩效考核制度。报告期内，公司向员工提供稳定而有竞争力的薪酬，实施了公平公正的绩</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52"/>
        <w:jc w:val="left"/>
      </w:pPr>
      <w:r>
        <w:rPr/>
        <w:t>效考核机制，充分调动员工的积极性和创造性，稳定公司人才队伍和吸引外部优秀人才，为 公司发展提供人力资源保障。</w:t>
      </w:r>
    </w:p>
    <w:p>
      <w:pPr>
        <w:pStyle w:val="BodyText"/>
        <w:spacing w:line="350" w:lineRule="auto"/>
        <w:ind w:right="1118" w:firstLine="482"/>
        <w:jc w:val="left"/>
        <w:rPr>
          <w:rFonts w:ascii="宋体" w:hAnsi="宋体" w:cs="宋体" w:eastAsia="宋体" w:hint="default"/>
        </w:rPr>
      </w:pPr>
      <w:r>
        <w:rPr/>
        <w:t>报告期内计入成本部分的职工薪酬总额</w:t>
      </w:r>
      <w:r>
        <w:rPr>
          <w:spacing w:val="-60"/>
        </w:rPr>
        <w:t> </w:t>
      </w:r>
      <w:r>
        <w:rPr>
          <w:rFonts w:ascii="宋体" w:hAnsi="宋体" w:cs="宋体" w:eastAsia="宋体" w:hint="default"/>
        </w:rPr>
        <w:t>1,358.80</w:t>
      </w:r>
      <w:r>
        <w:rPr>
          <w:rFonts w:ascii="宋体" w:hAnsi="宋体" w:cs="宋体" w:eastAsia="宋体" w:hint="default"/>
          <w:spacing w:val="-60"/>
        </w:rPr>
        <w:t> </w:t>
      </w:r>
      <w:r>
        <w:rPr/>
        <w:t>万元，占公司产品成本总额的比重 </w:t>
      </w:r>
      <w:r>
        <w:rPr>
          <w:rFonts w:ascii="宋体" w:hAnsi="宋体" w:cs="宋体" w:eastAsia="宋体" w:hint="default"/>
          <w:spacing w:val="-2"/>
        </w:rPr>
        <w:t>4.88%</w:t>
      </w:r>
      <w:r>
        <w:rPr>
          <w:spacing w:val="-2"/>
        </w:rPr>
        <w:t>；职工薪酬总额与上年同期基本持平，对公司利润的变化影响较小；报告期内核心技术</w:t>
      </w:r>
      <w:r>
        <w:rPr>
          <w:spacing w:val="-118"/>
        </w:rPr>
        <w:t> </w:t>
      </w:r>
      <w:r>
        <w:rPr>
          <w:spacing w:val="-118"/>
        </w:rPr>
      </w:r>
      <w:r>
        <w:rPr/>
        <w:t>人员数量占比</w:t>
      </w:r>
      <w:r>
        <w:rPr>
          <w:spacing w:val="-60"/>
        </w:rPr>
        <w:t> </w:t>
      </w:r>
      <w:r>
        <w:rPr>
          <w:rFonts w:ascii="宋体" w:hAnsi="宋体" w:cs="宋体" w:eastAsia="宋体" w:hint="default"/>
        </w:rPr>
        <w:t>6.29%</w:t>
      </w:r>
      <w:r>
        <w:rPr/>
        <w:t>；核心技术人员薪酬占比</w:t>
      </w:r>
      <w:r>
        <w:rPr>
          <w:spacing w:val="-60"/>
        </w:rPr>
        <w:t> </w:t>
      </w:r>
      <w:r>
        <w:rPr>
          <w:rFonts w:ascii="宋体" w:hAnsi="宋体" w:cs="宋体" w:eastAsia="宋体" w:hint="default"/>
        </w:rPr>
        <w:t>9.13%,</w:t>
      </w:r>
      <w:r>
        <w:rPr/>
        <w:t>与上年同期所占比例基本持平。 </w:t>
      </w:r>
      <w:bookmarkStart w:name="3、培训计划" w:id="127"/>
      <w:bookmarkEnd w:id="127"/>
      <w:r>
        <w:rPr/>
      </w:r>
      <w:r>
        <w:rPr>
          <w:rFonts w:ascii="Times New Roman" w:hAnsi="Times New Roman" w:cs="Times New Roman" w:eastAsia="Times New Roman" w:hint="default"/>
          <w:b/>
          <w:bCs/>
        </w:rPr>
        <w:t>3</w:t>
      </w:r>
      <w:r>
        <w:rPr>
          <w:rFonts w:ascii="宋体" w:hAnsi="宋体" w:cs="宋体" w:eastAsia="宋体" w:hint="default"/>
          <w:b/>
          <w:bCs/>
        </w:rPr>
        <w:t>、培训计划</w:t>
      </w:r>
      <w:r>
        <w:rPr>
          <w:rFonts w:ascii="宋体" w:hAnsi="宋体" w:cs="宋体" w:eastAsia="宋体" w:hint="default"/>
        </w:rPr>
      </w:r>
    </w:p>
    <w:p>
      <w:pPr>
        <w:pStyle w:val="BodyText"/>
        <w:spacing w:line="299" w:lineRule="exact" w:before="0"/>
        <w:ind w:right="0" w:firstLine="482"/>
        <w:jc w:val="left"/>
      </w:pPr>
      <w:r>
        <w:rPr/>
        <w:t>公司充分认识到对员工培训的重要性，根据公司的经营发展状况及员工个人发展需要而</w:t>
      </w:r>
    </w:p>
    <w:p>
      <w:pPr>
        <w:pStyle w:val="BodyText"/>
        <w:spacing w:line="350" w:lineRule="auto" w:before="145"/>
        <w:ind w:right="1152"/>
        <w:jc w:val="left"/>
      </w:pPr>
      <w:r>
        <w:rPr/>
        <w:t>选择合适培训方式进行培训，培训方式为外派和内训相结合。报告期内，公司持续建立学习 型组织，帮助员工制定职业生涯规划，制订科学有效的培训制度。</w:t>
      </w:r>
    </w:p>
    <w:p>
      <w:pPr>
        <w:pStyle w:val="BodyText"/>
        <w:spacing w:line="350" w:lineRule="auto"/>
        <w:ind w:right="1112" w:firstLine="482"/>
        <w:jc w:val="left"/>
      </w:pPr>
      <w:r>
        <w:rPr>
          <w:rFonts w:ascii="宋体" w:hAnsi="宋体" w:cs="宋体" w:eastAsia="宋体" w:hint="default"/>
        </w:rPr>
        <w:t>2019</w:t>
      </w:r>
      <w:r>
        <w:rPr>
          <w:rFonts w:ascii="宋体" w:hAnsi="宋体" w:cs="宋体" w:eastAsia="宋体" w:hint="default"/>
          <w:spacing w:val="-82"/>
        </w:rPr>
        <w:t> </w:t>
      </w:r>
      <w:r>
        <w:rPr/>
        <w:t>年公司将持续完善公司的培训体系，丰富培训的方式方法，满足各部门的业务需求 和公司发展的需要。</w:t>
      </w:r>
    </w:p>
    <w:p>
      <w:pPr>
        <w:pStyle w:val="Heading2"/>
        <w:spacing w:line="240" w:lineRule="auto" w:before="28"/>
        <w:ind w:right="0"/>
        <w:jc w:val="left"/>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17"/>
          <w:szCs w:val="17"/>
        </w:rPr>
      </w:pPr>
    </w:p>
    <w:p>
      <w:pPr>
        <w:pStyle w:val="BodyText"/>
        <w:spacing w:line="240" w:lineRule="auto" w:before="0"/>
        <w:ind w:left="636"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112"/>
        <w:jc w:val="center"/>
        <w:rPr>
          <w:b w:val="0"/>
          <w:bCs w:val="0"/>
        </w:rPr>
      </w:pPr>
      <w:bookmarkStart w:name="第九节 公司治理" w:id="129"/>
      <w:bookmarkEnd w:id="129"/>
      <w:r>
        <w:rPr>
          <w:b w:val="0"/>
          <w:bCs w:val="0"/>
        </w:rPr>
      </w:r>
      <w:bookmarkStart w:name="_bookmark8" w:id="130"/>
      <w:bookmarkEnd w:id="13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6"/>
        <w:rPr>
          <w:rFonts w:ascii="宋体" w:hAnsi="宋体" w:cs="宋体" w:eastAsia="宋体" w:hint="default"/>
          <w:b/>
          <w:bCs/>
          <w:sz w:val="32"/>
          <w:szCs w:val="32"/>
        </w:rPr>
      </w:pPr>
    </w:p>
    <w:p>
      <w:pPr>
        <w:pStyle w:val="BodyText"/>
        <w:spacing w:line="350" w:lineRule="auto" w:before="0"/>
        <w:ind w:right="1169" w:firstLine="482"/>
        <w:jc w:val="both"/>
      </w:pPr>
      <w:r>
        <w:rPr>
          <w:spacing w:val="-18"/>
        </w:rPr>
        <w:t>报告期内，公司严格按照《公司法》、《证券法》、《上市公司治理准则》、《深圳证券交易</w:t>
      </w:r>
      <w:r>
        <w:rPr/>
        <w:t> 所中小板上市公司规范运作指引》等相关法律、法规的要求，不断地完善公司治理结构，建 立健全公司法人治理结构及内部控制体系，持续深入开展公司治理活动，以进一步规范公司 运作，提高公司治理水平，充分维护公司及投资者的利益。</w:t>
      </w:r>
    </w:p>
    <w:p>
      <w:pPr>
        <w:pStyle w:val="BodyText"/>
        <w:spacing w:line="350" w:lineRule="auto" w:before="35"/>
        <w:ind w:right="1169" w:firstLine="482"/>
        <w:jc w:val="both"/>
      </w:pPr>
      <w:r>
        <w:rPr/>
        <w:t>报告期内，公司治理情况符合中国证监会、深圳证券交易所发布的有关上市公司治理的 规范性文件要求。</w:t>
      </w:r>
    </w:p>
    <w:p>
      <w:pPr>
        <w:pStyle w:val="BodyText"/>
        <w:spacing w:line="240" w:lineRule="auto"/>
        <w:ind w:left="636" w:right="0"/>
        <w:jc w:val="left"/>
      </w:pPr>
      <w:r>
        <w:rPr/>
        <w:t>公司治理的实际状况与中国证监会发布的有关上市公司治理的规范性文件是否存在重大</w:t>
      </w:r>
    </w:p>
    <w:p>
      <w:pPr>
        <w:spacing w:line="240" w:lineRule="auto" w:before="2"/>
        <w:rPr>
          <w:rFonts w:ascii="宋体" w:hAnsi="宋体" w:cs="宋体" w:eastAsia="宋体" w:hint="default"/>
          <w:sz w:val="9"/>
          <w:szCs w:val="9"/>
        </w:rPr>
      </w:pPr>
    </w:p>
    <w:p>
      <w:pPr>
        <w:pStyle w:val="BodyText"/>
        <w:spacing w:line="240" w:lineRule="auto" w:before="26"/>
        <w:ind w:right="0"/>
        <w:jc w:val="left"/>
      </w:pPr>
      <w:r>
        <w:rPr/>
        <w:t>差异</w:t>
      </w:r>
    </w:p>
    <w:p>
      <w:pPr>
        <w:pStyle w:val="BodyText"/>
        <w:spacing w:line="352" w:lineRule="auto" w:before="145"/>
        <w:ind w:left="636" w:right="1150"/>
        <w:jc w:val="left"/>
      </w:pPr>
      <w:r>
        <w:rPr/>
        <w:t>□ 是 √ 否 公司治理的实际状况与中国证监会发布的有关上市公司治理的规范性文件不存在重大差</w:t>
      </w:r>
    </w:p>
    <w:p>
      <w:pPr>
        <w:pStyle w:val="BodyText"/>
        <w:spacing w:line="240" w:lineRule="auto" w:before="33"/>
        <w:ind w:right="0"/>
        <w:jc w:val="left"/>
      </w:pPr>
      <w:r>
        <w:rPr/>
        <w:t>异。</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5"/>
        <w:rPr>
          <w:rFonts w:ascii="宋体" w:hAnsi="宋体" w:cs="宋体" w:eastAsia="宋体" w:hint="default"/>
          <w:b/>
          <w:bCs/>
          <w:sz w:val="32"/>
          <w:szCs w:val="32"/>
        </w:rPr>
      </w:pPr>
    </w:p>
    <w:p>
      <w:pPr>
        <w:pStyle w:val="BodyText"/>
        <w:spacing w:line="352" w:lineRule="auto" w:before="0"/>
        <w:ind w:right="1167" w:firstLine="482"/>
        <w:jc w:val="both"/>
      </w:pPr>
      <w:r>
        <w:rPr/>
        <w:t>公司不存在控股股东，公司在业务、人员、资产、机构、财务等方面与第一大股东之间 相互独立，具有独立完整的业务及面向市场自主经营的能力，具有完整的供应、生产和销售 系统。</w:t>
      </w:r>
    </w:p>
    <w:p>
      <w:pPr>
        <w:pStyle w:val="BodyText"/>
        <w:spacing w:line="240" w:lineRule="auto" w:before="32"/>
        <w:ind w:left="636" w:right="0"/>
        <w:jc w:val="left"/>
      </w:pPr>
      <w:r>
        <w:rPr>
          <w:rFonts w:ascii="宋体" w:hAnsi="宋体" w:cs="宋体" w:eastAsia="宋体" w:hint="default"/>
        </w:rPr>
        <w:t>1</w:t>
      </w:r>
      <w:r>
        <w:rPr/>
        <w:t>、业务独立</w:t>
      </w:r>
    </w:p>
    <w:p>
      <w:pPr>
        <w:pStyle w:val="BodyText"/>
        <w:spacing w:line="350" w:lineRule="auto" w:before="146"/>
        <w:ind w:right="1130" w:firstLine="482"/>
        <w:jc w:val="both"/>
      </w:pPr>
      <w:r>
        <w:rPr>
          <w:spacing w:val="-3"/>
        </w:rPr>
        <w:t>（</w:t>
      </w:r>
      <w:r>
        <w:rPr>
          <w:rFonts w:ascii="宋体" w:hAnsi="宋体" w:cs="宋体" w:eastAsia="宋体" w:hint="default"/>
          <w:spacing w:val="-3"/>
        </w:rPr>
        <w:t>1</w:t>
      </w:r>
      <w:r>
        <w:rPr>
          <w:spacing w:val="-3"/>
        </w:rPr>
        <w:t>）公司与第一大股东之间不存在同业竞争。公司第一大股东承诺：在持有辉煌科技股</w:t>
      </w:r>
      <w:r>
        <w:rPr/>
        <w:t> 权期间或担任辉煌科技董事、监事、高级管理人员或核心技术人员期间及法定期限内，不经 营或投资于任何与辉煌科技主营业务构成同业竞争的企业。第一大股东现除持有本公司股份 外，未拥有其他经营性资产，亦未从事其他经营业务。</w:t>
      </w:r>
    </w:p>
    <w:p>
      <w:pPr>
        <w:pStyle w:val="BodyText"/>
        <w:spacing w:line="350" w:lineRule="auto" w:before="35"/>
        <w:ind w:right="1132" w:firstLine="482"/>
        <w:jc w:val="both"/>
      </w:pPr>
      <w:r>
        <w:rPr>
          <w:spacing w:val="-3"/>
        </w:rPr>
        <w:t>（</w:t>
      </w:r>
      <w:r>
        <w:rPr>
          <w:rFonts w:ascii="宋体" w:hAnsi="宋体" w:cs="宋体" w:eastAsia="宋体" w:hint="default"/>
          <w:spacing w:val="-3"/>
        </w:rPr>
        <w:t>2</w:t>
      </w:r>
      <w:r>
        <w:rPr>
          <w:spacing w:val="-3"/>
        </w:rPr>
        <w:t>）公司拥有独立完整的研发、供应、生产和销售业务体系，具有直接面向市场独立经</w:t>
      </w:r>
      <w:r>
        <w:rPr/>
        <w:t> 营的能力。</w:t>
      </w:r>
    </w:p>
    <w:p>
      <w:pPr>
        <w:pStyle w:val="BodyText"/>
        <w:spacing w:line="240" w:lineRule="auto"/>
        <w:ind w:left="636" w:right="0"/>
        <w:jc w:val="left"/>
      </w:pPr>
      <w:r>
        <w:rPr>
          <w:rFonts w:ascii="宋体" w:hAnsi="宋体" w:cs="宋体" w:eastAsia="宋体" w:hint="default"/>
        </w:rPr>
        <w:t>2</w:t>
      </w:r>
      <w:r>
        <w:rPr/>
        <w:t>、人员独立</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174" w:right="0" w:firstLine="482"/>
        <w:jc w:val="left"/>
      </w:pPr>
      <w:r>
        <w:rPr>
          <w:spacing w:val="-3"/>
        </w:rPr>
        <w:t>（</w:t>
      </w:r>
      <w:r>
        <w:rPr>
          <w:rFonts w:ascii="宋体" w:hAnsi="宋体" w:cs="宋体" w:eastAsia="宋体" w:hint="default"/>
          <w:spacing w:val="-3"/>
        </w:rPr>
        <w:t>1</w:t>
      </w:r>
      <w:r>
        <w:rPr>
          <w:spacing w:val="-3"/>
        </w:rPr>
        <w:t>）公司董事、监事、高级管理人员均依合法程序选举或聘任，不存在第一大股东超越</w:t>
      </w:r>
      <w:r>
        <w:rPr/>
        <w:t> 本公司董事会和股东大会作出人事任免决定的情况。</w:t>
      </w:r>
    </w:p>
    <w:p>
      <w:pPr>
        <w:pStyle w:val="BodyText"/>
        <w:spacing w:line="350" w:lineRule="auto"/>
        <w:ind w:left="174" w:right="0" w:firstLine="482"/>
        <w:jc w:val="left"/>
      </w:pPr>
      <w:r>
        <w:rPr>
          <w:spacing w:val="-3"/>
        </w:rPr>
        <w:t>（</w:t>
      </w:r>
      <w:r>
        <w:rPr>
          <w:rFonts w:ascii="宋体" w:hAnsi="宋体" w:cs="宋体" w:eastAsia="宋体" w:hint="default"/>
          <w:spacing w:val="-3"/>
        </w:rPr>
        <w:t>2</w:t>
      </w:r>
      <w:r>
        <w:rPr>
          <w:spacing w:val="-3"/>
        </w:rPr>
        <w:t>）公司总经理、副总经理、财务负责人、董事会秘书等高级管理人员均在本公司工作</w:t>
      </w:r>
      <w:r>
        <w:rPr/>
        <w:t> 并领取报酬。</w:t>
      </w:r>
    </w:p>
    <w:p>
      <w:pPr>
        <w:pStyle w:val="BodyText"/>
        <w:spacing w:line="352" w:lineRule="auto" w:before="35"/>
        <w:ind w:left="656" w:right="2950"/>
        <w:jc w:val="left"/>
      </w:pPr>
      <w:r>
        <w:rPr/>
        <w:t>（</w:t>
      </w:r>
      <w:r>
        <w:rPr>
          <w:rFonts w:ascii="宋体" w:hAnsi="宋体" w:cs="宋体" w:eastAsia="宋体" w:hint="default"/>
        </w:rPr>
        <w:t>3</w:t>
      </w:r>
      <w:r>
        <w:rPr/>
        <w:t>）公司拥有独立完整的人事和劳资管理体系，完全独立于各股东。 </w:t>
      </w:r>
      <w:r>
        <w:rPr>
          <w:rFonts w:ascii="宋体" w:hAnsi="宋体" w:cs="宋体" w:eastAsia="宋体" w:hint="default"/>
        </w:rPr>
        <w:t>3</w:t>
      </w:r>
      <w:r>
        <w:rPr/>
        <w:t>、资产独立</w:t>
      </w:r>
    </w:p>
    <w:p>
      <w:pPr>
        <w:pStyle w:val="BodyText"/>
        <w:spacing w:line="352" w:lineRule="auto" w:before="32"/>
        <w:ind w:left="174" w:right="1169" w:firstLine="482"/>
        <w:jc w:val="both"/>
      </w:pPr>
      <w:r>
        <w:rPr/>
        <w:t>公司业务和生产经营必需的土地使用权、房产、机器设备、商标、专利和专有技术及其 他资产的权属完全由公司独立享有，不存在与第一大股东共用的情况，公司对所有资产拥有 完全的控制和支配权。</w:t>
      </w:r>
    </w:p>
    <w:p>
      <w:pPr>
        <w:pStyle w:val="BodyText"/>
        <w:spacing w:line="350" w:lineRule="auto" w:before="32"/>
        <w:ind w:left="656" w:right="1150"/>
        <w:jc w:val="left"/>
      </w:pPr>
      <w:r>
        <w:rPr>
          <w:rFonts w:ascii="宋体" w:hAnsi="宋体" w:cs="宋体" w:eastAsia="宋体" w:hint="default"/>
        </w:rPr>
        <w:t>4</w:t>
      </w:r>
      <w:r>
        <w:rPr/>
        <w:t>、机构独立 公司设有健全的组织结构体系，股东大会、董事会、监事会及董事会下设专业委员会等</w:t>
      </w:r>
    </w:p>
    <w:p>
      <w:pPr>
        <w:pStyle w:val="BodyText"/>
        <w:spacing w:line="350" w:lineRule="auto"/>
        <w:ind w:left="174" w:right="1152"/>
        <w:jc w:val="left"/>
      </w:pPr>
      <w:r>
        <w:rPr/>
        <w:t>决策监督机构独立运作，不存在股东及其他任何单位或个人干预公司机构设置及日常运作的 情形。</w:t>
      </w:r>
    </w:p>
    <w:p>
      <w:pPr>
        <w:pStyle w:val="BodyText"/>
        <w:spacing w:line="352" w:lineRule="auto" w:before="35"/>
        <w:ind w:left="656" w:right="1150"/>
        <w:jc w:val="left"/>
      </w:pPr>
      <w:r>
        <w:rPr>
          <w:rFonts w:ascii="宋体" w:hAnsi="宋体" w:cs="宋体" w:eastAsia="宋体" w:hint="default"/>
        </w:rPr>
        <w:t>5</w:t>
      </w:r>
      <w:r>
        <w:rPr/>
        <w:t>、财务独立 公司设有独立的财务部门、财务负责人和财务会计工作人员，有完整、独立的财务核算</w:t>
      </w:r>
    </w:p>
    <w:p>
      <w:pPr>
        <w:pStyle w:val="BodyText"/>
        <w:spacing w:line="484" w:lineRule="auto" w:before="33"/>
        <w:ind w:left="174" w:right="2592"/>
        <w:jc w:val="left"/>
        <w:rPr>
          <w:rFonts w:ascii="宋体" w:hAnsi="宋体" w:cs="宋体" w:eastAsia="宋体" w:hint="default"/>
        </w:rPr>
      </w:pPr>
      <w:r>
        <w:rPr/>
        <w:t>体系和财务管理制度，并独立开设银行账户、独立纳税、独立做出财务决策。 </w:t>
      </w:r>
      <w:bookmarkStart w:name="三、同业竞争情况" w:id="133"/>
      <w:bookmarkEnd w:id="133"/>
      <w:r>
        <w:rPr/>
      </w:r>
      <w:r>
        <w:rPr>
          <w:rFonts w:ascii="宋体" w:hAnsi="宋体" w:cs="宋体" w:eastAsia="宋体" w:hint="default"/>
          <w:b/>
          <w:bCs/>
        </w:rPr>
        <w:t>三、同业竞争情况</w:t>
      </w:r>
      <w:r>
        <w:rPr>
          <w:rFonts w:ascii="宋体" w:hAnsi="宋体" w:cs="宋体" w:eastAsia="宋体" w:hint="default"/>
        </w:rPr>
      </w:r>
    </w:p>
    <w:p>
      <w:pPr>
        <w:spacing w:line="487" w:lineRule="auto" w:before="179"/>
        <w:ind w:left="174" w:right="2953" w:firstLine="482"/>
        <w:jc w:val="left"/>
        <w:rPr>
          <w:rFonts w:ascii="宋体" w:hAnsi="宋体" w:cs="宋体" w:eastAsia="宋体" w:hint="default"/>
          <w:sz w:val="21"/>
          <w:szCs w:val="21"/>
        </w:rPr>
      </w:pPr>
      <w:r>
        <w:rPr>
          <w:rFonts w:ascii="宋体" w:hAnsi="宋体" w:cs="宋体" w:eastAsia="宋体" w:hint="default"/>
          <w:sz w:val="24"/>
          <w:szCs w:val="24"/>
        </w:rPr>
        <w:t>□ 适用 √ 不适用 </w:t>
      </w:r>
      <w:bookmarkStart w:name="四、报告期内召开的年度股东大会和临时股东大会的有关情况" w:id="134"/>
      <w:bookmarkEnd w:id="134"/>
      <w:r>
        <w:rPr>
          <w:rFonts w:ascii="宋体" w:hAnsi="宋体" w:cs="宋体" w:eastAsia="宋体" w:hint="default"/>
          <w:sz w:val="24"/>
          <w:szCs w:val="24"/>
        </w:rPr>
      </w:r>
      <w:r>
        <w:rPr>
          <w:rFonts w:ascii="宋体" w:hAnsi="宋体" w:cs="宋体" w:eastAsia="宋体" w:hint="default"/>
          <w:b/>
          <w:bCs/>
          <w:w w:val="95"/>
          <w:sz w:val="24"/>
          <w:szCs w:val="24"/>
        </w:rPr>
        <w:t>四、报告期内召开的年度股东大会和临时股东大会的有关情况</w:t>
      </w:r>
      <w:r>
        <w:rPr>
          <w:rFonts w:ascii="宋体" w:hAnsi="宋体" w:cs="宋体" w:eastAsia="宋体" w:hint="default"/>
          <w:b/>
          <w:bCs/>
          <w:spacing w:val="70"/>
          <w:w w:val="95"/>
          <w:sz w:val="24"/>
          <w:szCs w:val="24"/>
        </w:rPr>
        <w:t> </w:t>
      </w:r>
      <w:bookmarkStart w:name="1、本报告期股东大会情况" w:id="135"/>
      <w:bookmarkEnd w:id="135"/>
      <w:r>
        <w:rPr>
          <w:rFonts w:ascii="宋体" w:hAnsi="宋体" w:cs="宋体" w:eastAsia="宋体" w:hint="default"/>
          <w:b/>
          <w:bCs/>
          <w:spacing w:val="70"/>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6" w:type="dxa"/>
        <w:tblLayout w:type="fixed"/>
        <w:tblCellMar>
          <w:top w:w="0" w:type="dxa"/>
          <w:left w:w="0" w:type="dxa"/>
          <w:bottom w:w="0" w:type="dxa"/>
          <w:right w:w="0" w:type="dxa"/>
        </w:tblCellMar>
        <w:tblLook w:val="01E0"/>
      </w:tblPr>
      <w:tblGrid>
        <w:gridCol w:w="1738"/>
        <w:gridCol w:w="1417"/>
        <w:gridCol w:w="993"/>
        <w:gridCol w:w="1134"/>
        <w:gridCol w:w="1134"/>
        <w:gridCol w:w="3329"/>
      </w:tblGrid>
      <w:tr>
        <w:trPr>
          <w:trHeight w:val="714"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会议类型</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75" w:right="70" w:hanging="105"/>
              <w:jc w:val="left"/>
              <w:rPr>
                <w:rFonts w:ascii="宋体" w:hAnsi="宋体" w:cs="宋体" w:eastAsia="宋体" w:hint="default"/>
                <w:sz w:val="21"/>
                <w:szCs w:val="21"/>
              </w:rPr>
            </w:pPr>
            <w:r>
              <w:rPr>
                <w:rFonts w:ascii="宋体" w:hAnsi="宋体" w:cs="宋体" w:eastAsia="宋体" w:hint="default"/>
                <w:sz w:val="21"/>
                <w:szCs w:val="21"/>
              </w:rPr>
              <w:t>投资者参 与比例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1026"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59" w:lineRule="auto"/>
              <w:ind w:left="22" w:right="18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年年度股东 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年度股东大会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16.90%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05</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05</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6"/>
              <w:ind w:left="22" w:right="21"/>
              <w:jc w:val="both"/>
              <w:rPr>
                <w:rFonts w:ascii="宋体" w:hAnsi="宋体" w:cs="宋体" w:eastAsia="宋体" w:hint="default"/>
                <w:sz w:val="21"/>
                <w:szCs w:val="21"/>
              </w:rPr>
            </w:pPr>
            <w:r>
              <w:rPr>
                <w:rFonts w:ascii="宋体" w:hAnsi="宋体" w:cs="宋体" w:eastAsia="宋体" w:hint="default"/>
                <w:spacing w:val="-18"/>
                <w:sz w:val="21"/>
                <w:szCs w:val="21"/>
              </w:rPr>
              <w:t>详见刊登于《证券时报》、《中国证券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报》及巨潮资讯网上的《</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 </w:t>
            </w:r>
            <w:r>
              <w:rPr>
                <w:rFonts w:ascii="宋体" w:hAnsi="宋体" w:cs="宋体" w:eastAsia="宋体" w:hint="default"/>
                <w:spacing w:val="-6"/>
                <w:sz w:val="21"/>
                <w:szCs w:val="21"/>
              </w:rPr>
              <w:t>度股东大会决议公告》（</w:t>
            </w:r>
            <w:r>
              <w:rPr>
                <w:rFonts w:ascii="Times New Roman" w:hAnsi="Times New Roman" w:cs="Times New Roman" w:eastAsia="Times New Roman" w:hint="default"/>
                <w:spacing w:val="-6"/>
                <w:sz w:val="21"/>
                <w:szCs w:val="21"/>
              </w:rPr>
              <w:t>2018-037</w:t>
            </w:r>
            <w:r>
              <w:rPr>
                <w:rFonts w:ascii="宋体" w:hAnsi="宋体" w:cs="宋体" w:eastAsia="宋体" w:hint="default"/>
                <w:spacing w:val="-6"/>
                <w:sz w:val="21"/>
                <w:szCs w:val="21"/>
              </w:rPr>
              <w:t>）</w:t>
            </w:r>
          </w:p>
        </w:tc>
      </w:tr>
      <w:tr>
        <w:trPr>
          <w:trHeight w:val="1338"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59" w:lineRule="auto"/>
              <w:ind w:left="22" w:right="18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年第一次临 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20.73%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6"/>
              <w:ind w:left="22" w:right="21"/>
              <w:jc w:val="both"/>
              <w:rPr>
                <w:rFonts w:ascii="宋体" w:hAnsi="宋体" w:cs="宋体" w:eastAsia="宋体" w:hint="default"/>
                <w:sz w:val="21"/>
                <w:szCs w:val="21"/>
              </w:rPr>
            </w:pPr>
            <w:r>
              <w:rPr>
                <w:rFonts w:ascii="宋体" w:hAnsi="宋体" w:cs="宋体" w:eastAsia="宋体" w:hint="default"/>
                <w:spacing w:val="-18"/>
                <w:sz w:val="21"/>
                <w:szCs w:val="21"/>
              </w:rPr>
              <w:t>详见刊登于《证券时报》、《中国证券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报》及巨潮资讯网上的《</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 一次临时股东大会决议公告》</w:t>
            </w:r>
          </w:p>
          <w:p>
            <w:pPr>
              <w:pStyle w:val="TableParagraph"/>
              <w:spacing w:line="240" w:lineRule="auto" w:before="15"/>
              <w:ind w:left="22"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2018-060</w:t>
            </w:r>
            <w:r>
              <w:rPr>
                <w:rFonts w:ascii="宋体" w:hAnsi="宋体" w:cs="宋体" w:eastAsia="宋体" w:hint="default"/>
                <w:sz w:val="21"/>
                <w:szCs w:val="21"/>
              </w:rPr>
              <w:t>）</w:t>
            </w:r>
          </w:p>
        </w:tc>
      </w:tr>
    </w:tbl>
    <w:p>
      <w:pPr>
        <w:spacing w:after="0" w:line="240" w:lineRule="auto"/>
        <w:jc w:val="both"/>
        <w:rPr>
          <w:rFonts w:ascii="宋体" w:hAnsi="宋体" w:cs="宋体" w:eastAsia="宋体" w:hint="default"/>
          <w:sz w:val="21"/>
          <w:szCs w:val="21"/>
        </w:rPr>
        <w:sectPr>
          <w:pgSz w:w="11910" w:h="16840"/>
          <w:pgMar w:header="747" w:footer="979" w:top="1060" w:bottom="1160" w:left="960" w:right="0"/>
        </w:sectPr>
      </w:pPr>
    </w:p>
    <w:p>
      <w:pPr>
        <w:spacing w:line="240" w:lineRule="auto" w:before="10"/>
        <w:rPr>
          <w:rFonts w:ascii="宋体" w:hAnsi="宋体" w:cs="宋体" w:eastAsia="宋体" w:hint="default"/>
          <w:b/>
          <w:bCs/>
          <w:sz w:val="24"/>
          <w:szCs w:val="24"/>
        </w:rPr>
      </w:pPr>
    </w:p>
    <w:p>
      <w:pPr>
        <w:spacing w:before="35"/>
        <w:ind w:left="154" w:right="0" w:firstLine="0"/>
        <w:jc w:val="left"/>
        <w:rPr>
          <w:rFonts w:ascii="宋体" w:hAnsi="宋体" w:cs="宋体" w:eastAsia="宋体" w:hint="default"/>
          <w:sz w:val="21"/>
          <w:szCs w:val="21"/>
        </w:rPr>
      </w:pPr>
      <w:bookmarkStart w:name="2、表决权恢复的优先股股东请求召开临时股东大会" w:id="136"/>
      <w:bookmarkEnd w:id="13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6"/>
        <w:rPr>
          <w:rFonts w:ascii="宋体" w:hAnsi="宋体" w:cs="宋体" w:eastAsia="宋体" w:hint="default"/>
          <w:b/>
          <w:bCs/>
          <w:sz w:val="32"/>
          <w:szCs w:val="32"/>
        </w:rPr>
      </w:pPr>
    </w:p>
    <w:p>
      <w:pPr>
        <w:spacing w:line="475" w:lineRule="auto" w:before="0"/>
        <w:ind w:left="154" w:right="5952" w:firstLine="482"/>
        <w:jc w:val="left"/>
        <w:rPr>
          <w:rFonts w:ascii="宋体" w:hAnsi="宋体" w:cs="宋体" w:eastAsia="宋体" w:hint="default"/>
          <w:sz w:val="24"/>
          <w:szCs w:val="24"/>
        </w:rPr>
      </w:pPr>
      <w:r>
        <w:rPr/>
        <w:pict>
          <v:shape style="position:absolute;margin-left:56.459999pt;margin-top:85.885651pt;width:479.3pt;height:132.2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416"/>
                    <w:gridCol w:w="1134"/>
                    <w:gridCol w:w="1374"/>
                    <w:gridCol w:w="1164"/>
                    <w:gridCol w:w="1007"/>
                    <w:gridCol w:w="1417"/>
                    <w:gridCol w:w="1064"/>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994" w:right="0"/>
                          <w:jc w:val="left"/>
                          <w:rPr>
                            <w:rFonts w:ascii="宋体" w:hAnsi="宋体" w:cs="宋体" w:eastAsia="宋体" w:hint="default"/>
                            <w:sz w:val="21"/>
                            <w:szCs w:val="21"/>
                          </w:rPr>
                        </w:pPr>
                        <w:r>
                          <w:rPr>
                            <w:rFonts w:ascii="宋体" w:hAnsi="宋体" w:cs="宋体" w:eastAsia="宋体" w:hint="default"/>
                            <w:sz w:val="21"/>
                            <w:szCs w:val="21"/>
                          </w:rPr>
                          <w:t>独立董事出席董事会及股东大会的情况</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0" w:right="71" w:hanging="210"/>
                          <w:jc w:val="left"/>
                          <w:rPr>
                            <w:rFonts w:ascii="宋体" w:hAnsi="宋体" w:cs="宋体" w:eastAsia="宋体" w:hint="default"/>
                            <w:sz w:val="21"/>
                            <w:szCs w:val="21"/>
                          </w:rPr>
                        </w:pPr>
                        <w:r>
                          <w:rPr>
                            <w:rFonts w:ascii="宋体" w:hAnsi="宋体" w:cs="宋体" w:eastAsia="宋体" w:hint="default"/>
                            <w:sz w:val="21"/>
                            <w:szCs w:val="21"/>
                          </w:rPr>
                          <w:t>独立董事 姓名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73" w:right="71"/>
                          <w:jc w:val="left"/>
                          <w:rPr>
                            <w:rFonts w:ascii="宋体" w:hAnsi="宋体" w:cs="宋体" w:eastAsia="宋体" w:hint="default"/>
                            <w:sz w:val="21"/>
                            <w:szCs w:val="21"/>
                          </w:rPr>
                        </w:pPr>
                        <w:r>
                          <w:rPr>
                            <w:rFonts w:ascii="宋体" w:hAnsi="宋体" w:cs="宋体" w:eastAsia="宋体" w:hint="default"/>
                            <w:sz w:val="21"/>
                            <w:szCs w:val="21"/>
                          </w:rPr>
                          <w:t>本报告期应参 加董事会次数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42" w:right="35" w:hanging="106"/>
                          <w:jc w:val="left"/>
                          <w:rPr>
                            <w:rFonts w:ascii="宋体" w:hAnsi="宋体" w:cs="宋体" w:eastAsia="宋体" w:hint="default"/>
                            <w:sz w:val="21"/>
                            <w:szCs w:val="21"/>
                          </w:rPr>
                        </w:pPr>
                        <w:r>
                          <w:rPr>
                            <w:rFonts w:ascii="宋体" w:hAnsi="宋体" w:cs="宋体" w:eastAsia="宋体" w:hint="default"/>
                            <w:sz w:val="21"/>
                            <w:szCs w:val="21"/>
                          </w:rPr>
                          <w:t>现场出席董 事会次数</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52" w:right="51"/>
                          <w:jc w:val="left"/>
                          <w:rPr>
                            <w:rFonts w:ascii="宋体" w:hAnsi="宋体" w:cs="宋体" w:eastAsia="宋体" w:hint="default"/>
                            <w:sz w:val="21"/>
                            <w:szCs w:val="21"/>
                          </w:rPr>
                        </w:pPr>
                        <w:r>
                          <w:rPr>
                            <w:rFonts w:ascii="宋体" w:hAnsi="宋体" w:cs="宋体" w:eastAsia="宋体" w:hint="default"/>
                            <w:sz w:val="21"/>
                            <w:szCs w:val="21"/>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57" w:right="49" w:hanging="105"/>
                          <w:jc w:val="left"/>
                          <w:rPr>
                            <w:rFonts w:ascii="宋体" w:hAnsi="宋体" w:cs="宋体" w:eastAsia="宋体" w:hint="default"/>
                            <w:sz w:val="21"/>
                            <w:szCs w:val="21"/>
                          </w:rPr>
                        </w:pPr>
                        <w:r>
                          <w:rPr>
                            <w:rFonts w:ascii="宋体" w:hAnsi="宋体" w:cs="宋体" w:eastAsia="宋体" w:hint="default"/>
                            <w:sz w:val="21"/>
                            <w:szCs w:val="21"/>
                          </w:rPr>
                          <w:t>委托出席董 事会次数</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83" w:right="77" w:hanging="106"/>
                          <w:jc w:val="left"/>
                          <w:rPr>
                            <w:rFonts w:ascii="宋体" w:hAnsi="宋体" w:cs="宋体" w:eastAsia="宋体" w:hint="default"/>
                            <w:sz w:val="21"/>
                            <w:szCs w:val="21"/>
                          </w:rPr>
                        </w:pPr>
                        <w:r>
                          <w:rPr>
                            <w:rFonts w:ascii="宋体" w:hAnsi="宋体" w:cs="宋体" w:eastAsia="宋体" w:hint="default"/>
                            <w:sz w:val="21"/>
                            <w:szCs w:val="21"/>
                          </w:rPr>
                          <w:t>缺席董事 会次数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3" w:right="72"/>
                          <w:jc w:val="center"/>
                          <w:rPr>
                            <w:rFonts w:ascii="宋体" w:hAnsi="宋体" w:cs="宋体" w:eastAsia="宋体" w:hint="default"/>
                            <w:sz w:val="21"/>
                            <w:szCs w:val="21"/>
                          </w:rPr>
                        </w:pPr>
                        <w:r>
                          <w:rPr>
                            <w:rFonts w:ascii="宋体" w:hAnsi="宋体" w:cs="宋体" w:eastAsia="宋体" w:hint="default"/>
                            <w:sz w:val="21"/>
                            <w:szCs w:val="21"/>
                          </w:rPr>
                          <w:t>是否连续两次 未亲自参加董 事会会议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06" w:right="107"/>
                          <w:jc w:val="left"/>
                          <w:rPr>
                            <w:rFonts w:ascii="宋体" w:hAnsi="宋体" w:cs="宋体" w:eastAsia="宋体" w:hint="default"/>
                            <w:sz w:val="21"/>
                            <w:szCs w:val="21"/>
                          </w:rPr>
                        </w:pPr>
                        <w:r>
                          <w:rPr>
                            <w:rFonts w:ascii="宋体" w:hAnsi="宋体" w:cs="宋体" w:eastAsia="宋体" w:hint="default"/>
                            <w:sz w:val="21"/>
                            <w:szCs w:val="21"/>
                          </w:rPr>
                          <w:t>出席股东 大会次数</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郑建彪</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康斌生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张宇锋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r>
                </w:tbl>
                <w:p>
                  <w:pPr/>
                </w:p>
              </w:txbxContent>
            </v:textbox>
            <w10:wrap type="none"/>
          </v:shape>
        </w:pict>
      </w:r>
      <w:r>
        <w:rPr>
          <w:rFonts w:ascii="宋体" w:hAnsi="宋体" w:cs="宋体" w:eastAsia="宋体" w:hint="default"/>
          <w:sz w:val="24"/>
          <w:szCs w:val="24"/>
        </w:rPr>
        <w:t>□ 适用 √ 不适用 </w:t>
      </w:r>
      <w:bookmarkStart w:name="五、报告期内独立董事履行职责的情况" w:id="137"/>
      <w:bookmarkEnd w:id="137"/>
      <w:r>
        <w:rPr>
          <w:rFonts w:ascii="宋体" w:hAnsi="宋体" w:cs="宋体" w:eastAsia="宋体" w:hint="default"/>
          <w:sz w:val="24"/>
          <w:szCs w:val="24"/>
        </w:rPr>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bookmarkStart w:name="1、独立董事出席董事会及股东大会的情况" w:id="138"/>
      <w:bookmarkEnd w:id="138"/>
      <w:r>
        <w:rPr>
          <w:rFonts w:ascii="宋体" w:hAnsi="宋体" w:cs="宋体" w:eastAsia="宋体" w:hint="default"/>
          <w:b/>
          <w:bCs/>
          <w:w w:val="99"/>
          <w:sz w:val="24"/>
          <w:szCs w:val="24"/>
        </w:rPr>
      </w: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、独立董事出席董事会及股东大会的情况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350" w:lineRule="auto" w:before="26"/>
        <w:ind w:left="636" w:right="4270"/>
        <w:jc w:val="left"/>
      </w:pPr>
      <w:r>
        <w:rPr/>
        <w:t>连续两次未亲自出席董事会的说明 报告期内独立董事无连续两次未亲自出席董事会的情况。</w:t>
      </w:r>
    </w:p>
    <w:p>
      <w:pPr>
        <w:spacing w:line="316" w:lineRule="auto" w:before="28"/>
        <w:ind w:left="636" w:right="5952" w:hanging="483"/>
        <w:jc w:val="left"/>
        <w:rPr>
          <w:rFonts w:ascii="宋体" w:hAnsi="宋体" w:cs="宋体" w:eastAsia="宋体" w:hint="default"/>
          <w:sz w:val="24"/>
          <w:szCs w:val="24"/>
        </w:rPr>
      </w:pPr>
      <w:bookmarkStart w:name="2、独立董事对公司有关事项提出异议的情况" w:id="139"/>
      <w:bookmarkEnd w:id="139"/>
      <w:r>
        <w:rPr/>
      </w:r>
      <w:r>
        <w:rPr>
          <w:rFonts w:ascii="Times New Roman" w:hAnsi="Times New Roman" w:cs="Times New Roman" w:eastAsia="Times New Roman" w:hint="default"/>
          <w:b/>
          <w:bCs/>
          <w:w w:val="95"/>
          <w:sz w:val="24"/>
          <w:szCs w:val="24"/>
        </w:rPr>
        <w:t>2</w:t>
      </w:r>
      <w:r>
        <w:rPr>
          <w:rFonts w:ascii="宋体" w:hAnsi="宋体" w:cs="宋体" w:eastAsia="宋体" w:hint="default"/>
          <w:b/>
          <w:bCs/>
          <w:w w:val="95"/>
          <w:sz w:val="24"/>
          <w:szCs w:val="24"/>
        </w:rPr>
        <w:t>、独立董事对公司有关事项提出异议的情况</w:t>
      </w:r>
      <w:r>
        <w:rPr>
          <w:rFonts w:ascii="宋体" w:hAnsi="宋体" w:cs="宋体" w:eastAsia="宋体" w:hint="default"/>
          <w:b/>
          <w:bCs/>
          <w:spacing w:val="102"/>
          <w:w w:val="95"/>
          <w:sz w:val="24"/>
          <w:szCs w:val="24"/>
        </w:rPr>
        <w:t> </w:t>
      </w:r>
      <w:r>
        <w:rPr>
          <w:rFonts w:ascii="宋体" w:hAnsi="宋体" w:cs="宋体" w:eastAsia="宋体" w:hint="default"/>
          <w:sz w:val="24"/>
          <w:szCs w:val="24"/>
        </w:rPr>
        <w:t>独立董事对公司有关事项是否提出异议</w:t>
      </w:r>
    </w:p>
    <w:p>
      <w:pPr>
        <w:pStyle w:val="BodyText"/>
        <w:spacing w:line="350" w:lineRule="auto" w:before="70"/>
        <w:ind w:left="636" w:right="5230"/>
        <w:jc w:val="left"/>
      </w:pPr>
      <w:r>
        <w:rPr/>
        <w:t>□ 是 √ 否 报告期内独立董事对公司有关事项未提出异议。</w:t>
      </w:r>
    </w:p>
    <w:p>
      <w:pPr>
        <w:spacing w:line="316" w:lineRule="auto" w:before="28"/>
        <w:ind w:left="636" w:right="6430" w:hanging="483"/>
        <w:jc w:val="left"/>
        <w:rPr>
          <w:rFonts w:ascii="宋体" w:hAnsi="宋体" w:cs="宋体" w:eastAsia="宋体" w:hint="default"/>
          <w:sz w:val="24"/>
          <w:szCs w:val="24"/>
        </w:rPr>
      </w:pPr>
      <w:bookmarkStart w:name="3、独立董事履行职责的其他说明" w:id="140"/>
      <w:bookmarkEnd w:id="140"/>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、独立董事履行职责的其他说明</w:t>
      </w:r>
      <w:r>
        <w:rPr>
          <w:rFonts w:ascii="宋体" w:hAnsi="宋体" w:cs="宋体" w:eastAsia="宋体" w:hint="default"/>
          <w:b/>
          <w:bCs/>
          <w:w w:val="99"/>
          <w:sz w:val="24"/>
          <w:szCs w:val="24"/>
        </w:rPr>
        <w:t> </w:t>
      </w:r>
      <w:r>
        <w:rPr>
          <w:rFonts w:ascii="宋体" w:hAnsi="宋体" w:cs="宋体" w:eastAsia="宋体" w:hint="default"/>
          <w:sz w:val="24"/>
          <w:szCs w:val="24"/>
        </w:rPr>
        <w:t>独立董事对公司有关建议是否被采纳</w:t>
      </w:r>
    </w:p>
    <w:p>
      <w:pPr>
        <w:pStyle w:val="BodyText"/>
        <w:spacing w:line="350" w:lineRule="auto" w:before="70"/>
        <w:ind w:left="636" w:right="4990"/>
        <w:jc w:val="left"/>
      </w:pPr>
      <w:r>
        <w:rPr/>
        <w:t>√ 是 □ 否 独立董事对公司有关建议被采纳或未被采纳的说明</w:t>
      </w:r>
    </w:p>
    <w:p>
      <w:pPr>
        <w:pStyle w:val="BodyText"/>
        <w:spacing w:line="350" w:lineRule="auto" w:before="35"/>
        <w:ind w:right="1169" w:firstLine="482"/>
        <w:jc w:val="both"/>
      </w:pPr>
      <w:r>
        <w:rPr/>
        <w:t>报告期内，独立董事严格按照有关法律、法规的规定履行诚信和勤勉的职责，维护公司 和全体股东利益，尤其是中小股东的合法权益。积极参加历次董事会并认真审议各项议案， 对公司的相关重大事项进行事先审核并发表独立意见。同时通过电话或邮件等方式与公司的 董事、监事、高级管理人员保持密切的联系，深入了解公司生产经营情况、内部控制建设及 董事会各项议案执行情况，运用专业优势为公司管理、规范化运作等提出合理化的意见和建 议，对公司财务及生产经营活动进行了有效监督，提高了公司决策的科学性，为完善公司监 督机制，维护公司和全体股东的合法权益发挥了应有的作用。</w:t>
      </w:r>
    </w:p>
    <w:p>
      <w:pPr>
        <w:spacing w:after="0" w:line="350"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5"/>
        <w:rPr>
          <w:rFonts w:ascii="宋体" w:hAnsi="宋体" w:cs="宋体" w:eastAsia="宋体" w:hint="default"/>
          <w:b/>
          <w:bCs/>
          <w:sz w:val="32"/>
          <w:szCs w:val="32"/>
        </w:rPr>
      </w:pPr>
    </w:p>
    <w:p>
      <w:pPr>
        <w:pStyle w:val="BodyText"/>
        <w:spacing w:line="352" w:lineRule="auto" w:before="0"/>
        <w:ind w:right="1130" w:firstLine="482"/>
        <w:jc w:val="both"/>
      </w:pPr>
      <w:r>
        <w:rPr/>
        <w:t>公司董事会下设审计委员会、薪酬与考核委员会、提名委员会及战略决策委员会。报告 </w:t>
      </w:r>
      <w:r>
        <w:rPr>
          <w:spacing w:val="-3"/>
        </w:rPr>
        <w:t>期内，公司董事会各专门委员会充分发挥专业性作用，科学决策，审慎监督，为公司 </w:t>
      </w:r>
      <w:r>
        <w:rPr>
          <w:rFonts w:ascii="宋体" w:hAnsi="宋体" w:cs="宋体" w:eastAsia="宋体" w:hint="default"/>
        </w:rPr>
        <w:t>2018</w:t>
      </w:r>
      <w:r>
        <w:rPr>
          <w:rFonts w:ascii="宋体" w:hAnsi="宋体" w:cs="宋体" w:eastAsia="宋体" w:hint="default"/>
          <w:spacing w:val="-91"/>
        </w:rPr>
        <w:t> </w:t>
      </w:r>
      <w:r>
        <w:rPr/>
        <w:t>年 度的经营管理、组织建设做了大量的工作，有效提升了公司管理水平。</w:t>
      </w:r>
    </w:p>
    <w:p>
      <w:pPr>
        <w:pStyle w:val="BodyText"/>
        <w:spacing w:line="350" w:lineRule="auto" w:before="32"/>
        <w:ind w:left="636" w:right="1150"/>
        <w:jc w:val="left"/>
      </w:pPr>
      <w:r>
        <w:rPr>
          <w:rFonts w:ascii="宋体" w:hAnsi="宋体" w:cs="宋体" w:eastAsia="宋体" w:hint="default"/>
        </w:rPr>
        <w:t>1</w:t>
      </w:r>
      <w:r>
        <w:rPr/>
        <w:t>、董事会审计委员会的履职情况 报告期内，对公司内部控制情况进行了定期核查，监督并协助公司与外部审计机构的沟</w:t>
      </w:r>
    </w:p>
    <w:p>
      <w:pPr>
        <w:pStyle w:val="BodyText"/>
        <w:spacing w:line="350" w:lineRule="auto"/>
        <w:ind w:right="1170"/>
        <w:jc w:val="both"/>
      </w:pPr>
      <w:r>
        <w:rPr/>
        <w:t>通，确保公司内部控制体系依法合规，有效的控制了相关风险的产生。董事会审计委员会共 召开会议四次，重点对公司定期财务报告、募集资金使用情况、内部审计部门的工作计划及 总结等事项进行审议，并提出续聘会计师事务所的建议。</w:t>
      </w:r>
    </w:p>
    <w:p>
      <w:pPr>
        <w:pStyle w:val="BodyText"/>
        <w:spacing w:line="350" w:lineRule="auto"/>
        <w:ind w:left="636" w:right="1150"/>
        <w:jc w:val="left"/>
      </w:pPr>
      <w:r>
        <w:rPr>
          <w:rFonts w:ascii="宋体" w:hAnsi="宋体" w:cs="宋体" w:eastAsia="宋体" w:hint="default"/>
        </w:rPr>
        <w:t>2</w:t>
      </w:r>
      <w:r>
        <w:rPr/>
        <w:t>、董事会薪酬与考核委员会履职情况 报告期内，公司薪酬与考核委员会共召开一次会议，讨论审议了公司董事、监事及高级</w:t>
      </w:r>
    </w:p>
    <w:p>
      <w:pPr>
        <w:pStyle w:val="BodyText"/>
        <w:spacing w:line="352" w:lineRule="auto" w:before="35"/>
        <w:ind w:left="636" w:right="1150" w:hanging="483"/>
        <w:jc w:val="left"/>
      </w:pPr>
      <w:r>
        <w:rPr/>
        <w:t>管理人员</w:t>
      </w:r>
      <w:r>
        <w:rPr>
          <w:spacing w:val="-60"/>
        </w:rPr>
        <w:t> </w:t>
      </w:r>
      <w:r>
        <w:rPr>
          <w:rFonts w:ascii="宋体" w:hAnsi="宋体" w:cs="宋体" w:eastAsia="宋体" w:hint="default"/>
        </w:rPr>
        <w:t>2017</w:t>
      </w:r>
      <w:r>
        <w:rPr>
          <w:rFonts w:ascii="宋体" w:hAnsi="宋体" w:cs="宋体" w:eastAsia="宋体" w:hint="default"/>
          <w:spacing w:val="-60"/>
        </w:rPr>
        <w:t> </w:t>
      </w:r>
      <w:r>
        <w:rPr/>
        <w:t>年度薪酬事项，形成了相关的决议并提交公司董事会审议。 </w:t>
      </w:r>
      <w:r>
        <w:rPr>
          <w:rFonts w:ascii="宋体" w:hAnsi="宋体" w:cs="宋体" w:eastAsia="宋体" w:hint="default"/>
        </w:rPr>
        <w:t>3</w:t>
      </w:r>
      <w:r>
        <w:rPr/>
        <w:t>、董事会提名委员会履职情况 报告期内，公司董事会提名委员会共召开两次会议，对提名的董事会秘书及全资子公司</w:t>
      </w:r>
    </w:p>
    <w:p>
      <w:pPr>
        <w:pStyle w:val="BodyText"/>
        <w:spacing w:line="352" w:lineRule="auto" w:before="32"/>
        <w:ind w:left="636" w:right="6070" w:hanging="483"/>
        <w:jc w:val="left"/>
      </w:pPr>
      <w:r>
        <w:rPr/>
        <w:t>执行董事等进行了任职资格核查。 </w:t>
      </w:r>
      <w:r>
        <w:rPr>
          <w:rFonts w:ascii="宋体" w:hAnsi="宋体" w:cs="宋体" w:eastAsia="宋体" w:hint="default"/>
        </w:rPr>
        <w:t>4</w:t>
      </w:r>
      <w:r>
        <w:rPr/>
        <w:t>、董事会战略决策委员会履职工作情况</w:t>
      </w:r>
    </w:p>
    <w:p>
      <w:pPr>
        <w:pStyle w:val="BodyText"/>
        <w:spacing w:line="352" w:lineRule="auto" w:before="32"/>
        <w:ind w:right="1169" w:firstLine="482"/>
        <w:jc w:val="both"/>
      </w:pPr>
      <w:r>
        <w:rPr/>
        <w:t>报告期内，公司董事会战略决策委员会共召开两次会议，通过积极组织各委员开展相关 活动，认真听取管理层的工作汇报，就公司经营情况、行业发展动态、公司未来规划等内容 与公司高管进行沟通交流，对公司长期发展战略和重大决策事项进行研究并提出合理建议。</w:t>
      </w:r>
    </w:p>
    <w:p>
      <w:pPr>
        <w:pStyle w:val="Heading2"/>
        <w:spacing w:line="240" w:lineRule="auto" w:before="208"/>
        <w:ind w:right="0"/>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5"/>
        <w:rPr>
          <w:rFonts w:ascii="宋体" w:hAnsi="宋体" w:cs="宋体" w:eastAsia="宋体" w:hint="default"/>
          <w:b/>
          <w:bCs/>
          <w:sz w:val="32"/>
          <w:szCs w:val="32"/>
        </w:rPr>
      </w:pPr>
    </w:p>
    <w:p>
      <w:pPr>
        <w:pStyle w:val="BodyText"/>
        <w:spacing w:line="240" w:lineRule="auto" w:before="0"/>
        <w:ind w:left="636" w:right="0"/>
        <w:jc w:val="left"/>
      </w:pPr>
      <w:r>
        <w:rPr/>
        <w:t>监事会在报告期内的监督活动中发现公司是否存在风险</w:t>
      </w:r>
    </w:p>
    <w:p>
      <w:pPr>
        <w:pStyle w:val="BodyText"/>
        <w:spacing w:line="352" w:lineRule="auto" w:before="145"/>
        <w:ind w:left="636" w:right="6190"/>
        <w:jc w:val="left"/>
      </w:pPr>
      <w:r>
        <w:rPr/>
        <w:t>□ 是 √ 否 监事会对报告期内的监督事项无异议。</w:t>
      </w:r>
    </w:p>
    <w:p>
      <w:pPr>
        <w:pStyle w:val="Heading2"/>
        <w:spacing w:line="240" w:lineRule="auto" w:before="208"/>
        <w:ind w:right="0"/>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5"/>
        <w:rPr>
          <w:rFonts w:ascii="宋体" w:hAnsi="宋体" w:cs="宋体" w:eastAsia="宋体" w:hint="default"/>
          <w:b/>
          <w:bCs/>
          <w:sz w:val="32"/>
          <w:szCs w:val="32"/>
        </w:rPr>
      </w:pPr>
    </w:p>
    <w:p>
      <w:pPr>
        <w:pStyle w:val="BodyText"/>
        <w:spacing w:line="352" w:lineRule="auto" w:before="0"/>
        <w:ind w:right="1130" w:firstLine="482"/>
        <w:jc w:val="both"/>
      </w:pPr>
      <w:r>
        <w:rPr>
          <w:spacing w:val="-12"/>
        </w:rPr>
        <w:t>根据公司《薪酬体系管理规定》、《高级管理人员薪酬管理规定》，公司对高级管理人员的</w:t>
      </w:r>
      <w:r>
        <w:rPr/>
        <w:t> 考评实行基本薪酬与工作绩效挂钩的激励与约束机制。年末根据公司年度经营目标完成情况 以及高级管理人员的工作业绩，由董事会薪酬与考核委员会对高级管理人员进行年度绩效考 核，并监督薪酬制度执行情况。公司则根据绩效考核结果兑现其绩效年薪，并进行奖惩。</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994" w:firstLine="482"/>
        <w:jc w:val="left"/>
      </w:pPr>
      <w:r>
        <w:rPr>
          <w:spacing w:val="-3"/>
        </w:rPr>
        <w:t>公司董事会薪酬与考核委员会根据实际情况对公司高级管理人员进行考核后，一致认为：</w:t>
      </w:r>
      <w:r>
        <w:rPr/>
        <w:t> 公司</w:t>
      </w:r>
      <w:r>
        <w:rPr>
          <w:spacing w:val="-54"/>
        </w:rPr>
        <w:t> </w:t>
      </w:r>
      <w:r>
        <w:rPr>
          <w:rFonts w:ascii="宋体" w:hAnsi="宋体" w:cs="宋体" w:eastAsia="宋体" w:hint="default"/>
        </w:rPr>
        <w:t>2018</w:t>
      </w:r>
      <w:r>
        <w:rPr>
          <w:rFonts w:ascii="宋体" w:hAnsi="宋体" w:cs="宋体" w:eastAsia="宋体" w:hint="default"/>
          <w:spacing w:val="-54"/>
        </w:rPr>
        <w:t> </w:t>
      </w:r>
      <w:r>
        <w:rPr>
          <w:spacing w:val="-3"/>
        </w:rPr>
        <w:t>年度高级管理人员薪酬方案严格执行公司薪酬考核制度，薪酬方案合理，薪酬发放</w:t>
      </w:r>
      <w:r>
        <w:rPr>
          <w:spacing w:val="-107"/>
        </w:rPr>
        <w:t> </w:t>
      </w:r>
      <w:r>
        <w:rPr>
          <w:spacing w:val="-107"/>
        </w:rPr>
      </w:r>
      <w:r>
        <w:rPr/>
        <w:t>的程序符合有关法律、法规及公司制度的规定。</w:t>
      </w:r>
    </w:p>
    <w:p>
      <w:pPr>
        <w:pStyle w:val="Heading2"/>
        <w:spacing w:line="240" w:lineRule="auto" w:before="208"/>
        <w:ind w:right="0"/>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9"/>
        <w:rPr>
          <w:rFonts w:ascii="宋体" w:hAnsi="宋体" w:cs="宋体" w:eastAsia="宋体" w:hint="default"/>
          <w:b/>
          <w:bCs/>
          <w:sz w:val="22"/>
          <w:szCs w:val="22"/>
        </w:rPr>
      </w:pPr>
    </w:p>
    <w:p>
      <w:pPr>
        <w:pStyle w:val="Heading2"/>
        <w:spacing w:line="240" w:lineRule="auto" w:before="0"/>
        <w:ind w:right="0"/>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pStyle w:val="BodyText"/>
        <w:spacing w:line="240" w:lineRule="auto" w:before="107"/>
        <w:ind w:left="636" w:right="0"/>
        <w:jc w:val="left"/>
      </w:pPr>
      <w:r>
        <w:rPr/>
        <w:t>□ 是 √ 否</w:t>
      </w:r>
    </w:p>
    <w:p>
      <w:pPr>
        <w:pStyle w:val="Heading2"/>
        <w:spacing w:line="240" w:lineRule="auto" w:before="138"/>
        <w:ind w:right="0"/>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tbl>
      <w:tblPr>
        <w:tblW w:w="0" w:type="auto"/>
        <w:jc w:val="left"/>
        <w:tblInd w:w="137" w:type="dxa"/>
        <w:tblLayout w:type="fixed"/>
        <w:tblCellMar>
          <w:top w:w="0" w:type="dxa"/>
          <w:left w:w="0" w:type="dxa"/>
          <w:bottom w:w="0" w:type="dxa"/>
          <w:right w:w="0" w:type="dxa"/>
        </w:tblCellMar>
        <w:tblLook w:val="01E0"/>
      </w:tblPr>
      <w:tblGrid>
        <w:gridCol w:w="840"/>
        <w:gridCol w:w="2392"/>
        <w:gridCol w:w="3149"/>
        <w:gridCol w:w="3194"/>
      </w:tblGrid>
      <w:tr>
        <w:trPr>
          <w:trHeight w:val="402" w:hRule="exact"/>
        </w:trPr>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34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162" w:hRule="exact"/>
        </w:trPr>
        <w:tc>
          <w:tcPr>
            <w:tcW w:w="323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42" w:type="dxa"/>
            <w:gridSpan w:val="2"/>
            <w:vMerge w:val="restart"/>
            <w:tcBorders>
              <w:top w:val="single" w:sz="4" w:space="0" w:color="000000"/>
              <w:left w:val="single" w:sz="9" w:space="0" w:color="D2D2D2"/>
              <w:right w:val="single" w:sz="4" w:space="0" w:color="000000"/>
            </w:tcBorders>
          </w:tcPr>
          <w:p>
            <w:pPr>
              <w:pStyle w:val="TableParagraph"/>
              <w:spacing w:line="256" w:lineRule="auto" w:before="27"/>
              <w:ind w:left="46" w:right="82"/>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年度内部控制评价报告》刊登于 公司指定信息披露媒体巨潮资讯网（</w:t>
            </w:r>
            <w:r>
              <w:rPr>
                <w:rFonts w:ascii="Times New Roman" w:hAnsi="Times New Roman" w:cs="Times New Roman" w:eastAsia="Times New Roman" w:hint="default"/>
                <w:sz w:val="21"/>
                <w:szCs w:val="21"/>
              </w:rPr>
              <w:t>http://www.cninfo.com.cn)</w:t>
            </w:r>
            <w:r>
              <w:rPr>
                <w:rFonts w:ascii="宋体" w:hAnsi="宋体" w:cs="宋体" w:eastAsia="宋体" w:hint="default"/>
                <w:sz w:val="21"/>
                <w:szCs w:val="21"/>
              </w:rPr>
              <w:t>。</w:t>
            </w:r>
          </w:p>
        </w:tc>
      </w:tr>
      <w:tr>
        <w:trPr>
          <w:trHeight w:val="391" w:hRule="exact"/>
        </w:trPr>
        <w:tc>
          <w:tcPr>
            <w:tcW w:w="3231" w:type="dxa"/>
            <w:gridSpan w:val="2"/>
            <w:tcBorders>
              <w:top w:val="nil" w:sz="6" w:space="0" w:color="auto"/>
              <w:left w:val="single" w:sz="13" w:space="0" w:color="D2D2D2"/>
              <w:bottom w:val="nil" w:sz="6" w:space="0" w:color="auto"/>
              <w:right w:val="single" w:sz="13" w:space="0" w:color="D2D2D2"/>
            </w:tcBorders>
          </w:tcPr>
          <w:p>
            <w:pPr>
              <w:pStyle w:val="TableParagraph"/>
              <w:tabs>
                <w:tab w:pos="3216" w:val="left" w:leader="none"/>
              </w:tabs>
              <w:spacing w:line="240" w:lineRule="auto" w:before="26"/>
              <w:ind w:left="11" w:right="-19"/>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内部控制评价报告全文披露索引</w:t>
              <w:tab/>
            </w:r>
            <w:r>
              <w:rPr>
                <w:rFonts w:ascii="宋体" w:hAnsi="宋体" w:cs="宋体" w:eastAsia="宋体" w:hint="default"/>
                <w:sz w:val="21"/>
                <w:szCs w:val="21"/>
              </w:rPr>
            </w:r>
          </w:p>
        </w:tc>
        <w:tc>
          <w:tcPr>
            <w:tcW w:w="6342" w:type="dxa"/>
            <w:gridSpan w:val="2"/>
            <w:vMerge/>
            <w:tcBorders>
              <w:left w:val="single" w:sz="9" w:space="0" w:color="D2D2D2"/>
              <w:right w:val="single" w:sz="4" w:space="0" w:color="000000"/>
            </w:tcBorders>
          </w:tcPr>
          <w:p>
            <w:pPr/>
          </w:p>
        </w:tc>
      </w:tr>
      <w:tr>
        <w:trPr>
          <w:trHeight w:val="161" w:hRule="exact"/>
        </w:trPr>
        <w:tc>
          <w:tcPr>
            <w:tcW w:w="323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42" w:type="dxa"/>
            <w:gridSpan w:val="2"/>
            <w:vMerge/>
            <w:tcBorders>
              <w:left w:val="single" w:sz="9" w:space="0" w:color="D2D2D2"/>
              <w:bottom w:val="single" w:sz="4" w:space="0" w:color="000000"/>
              <w:right w:val="single" w:sz="4" w:space="0" w:color="000000"/>
            </w:tcBorders>
          </w:tcPr>
          <w:p>
            <w:pPr/>
          </w:p>
        </w:tc>
      </w:tr>
      <w:tr>
        <w:trPr>
          <w:trHeight w:val="714" w:hRule="exact"/>
        </w:trPr>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46"/>
              <w:jc w:val="left"/>
              <w:rPr>
                <w:rFonts w:ascii="宋体" w:hAnsi="宋体" w:cs="宋体" w:eastAsia="宋体" w:hint="default"/>
                <w:sz w:val="21"/>
                <w:szCs w:val="21"/>
              </w:rPr>
            </w:pPr>
            <w:r>
              <w:rPr>
                <w:rFonts w:ascii="宋体" w:hAnsi="宋体" w:cs="宋体" w:eastAsia="宋体" w:hint="default"/>
                <w:sz w:val="21"/>
                <w:szCs w:val="21"/>
              </w:rPr>
              <w:t>纳入评价范围单位资产总额占公司 合并财务报表资产总额的比例</w:t>
            </w:r>
          </w:p>
        </w:tc>
        <w:tc>
          <w:tcPr>
            <w:tcW w:w="634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96.00%</w:t>
            </w:r>
          </w:p>
        </w:tc>
      </w:tr>
      <w:tr>
        <w:trPr>
          <w:trHeight w:val="715" w:hRule="exact"/>
        </w:trPr>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48"/>
              <w:jc w:val="left"/>
              <w:rPr>
                <w:rFonts w:ascii="宋体" w:hAnsi="宋体" w:cs="宋体" w:eastAsia="宋体" w:hint="default"/>
                <w:sz w:val="21"/>
                <w:szCs w:val="21"/>
              </w:rPr>
            </w:pPr>
            <w:r>
              <w:rPr>
                <w:rFonts w:ascii="宋体" w:hAnsi="宋体" w:cs="宋体" w:eastAsia="宋体" w:hint="default"/>
                <w:sz w:val="21"/>
                <w:szCs w:val="21"/>
              </w:rPr>
              <w:t>纳入评价范围单位营业收入占公司 合并财务报表营业收入的比例</w:t>
            </w:r>
          </w:p>
        </w:tc>
        <w:tc>
          <w:tcPr>
            <w:tcW w:w="634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76.00%</w:t>
            </w:r>
          </w:p>
        </w:tc>
      </w:tr>
      <w:tr>
        <w:trPr>
          <w:trHeight w:val="402" w:hRule="exact"/>
        </w:trPr>
        <w:tc>
          <w:tcPr>
            <w:tcW w:w="957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401" w:hRule="exact"/>
        </w:trPr>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8"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1" w:right="0"/>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1722" w:hRule="exact"/>
        </w:trPr>
        <w:tc>
          <w:tcPr>
            <w:tcW w:w="84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40" w:type="dxa"/>
            <w:gridSpan w:val="2"/>
            <w:vMerge w:val="restart"/>
            <w:tcBorders>
              <w:top w:val="single" w:sz="4" w:space="0" w:color="000000"/>
              <w:left w:val="single" w:sz="9" w:space="0" w:color="D2D2D2"/>
              <w:right w:val="single" w:sz="4" w:space="0" w:color="000000"/>
            </w:tcBorders>
          </w:tcPr>
          <w:p>
            <w:pPr>
              <w:pStyle w:val="TableParagraph"/>
              <w:spacing w:line="261" w:lineRule="auto" w:before="27"/>
              <w:ind w:left="27" w:right="35"/>
              <w:jc w:val="both"/>
              <w:rPr>
                <w:rFonts w:ascii="宋体" w:hAnsi="宋体" w:cs="宋体" w:eastAsia="宋体" w:hint="default"/>
                <w:sz w:val="21"/>
                <w:szCs w:val="21"/>
              </w:rPr>
            </w:pPr>
            <w:r>
              <w:rPr>
                <w:rFonts w:ascii="宋体" w:hAnsi="宋体" w:cs="宋体" w:eastAsia="宋体" w:hint="default"/>
                <w:sz w:val="21"/>
                <w:szCs w:val="21"/>
              </w:rPr>
              <w:t>①如公司具备以下特征之一的缺陷，应定义为重大缺陷：</w:t>
            </w:r>
            <w:r>
              <w:rPr>
                <w:rFonts w:ascii="Times New Roman" w:hAnsi="Times New Roman" w:cs="Times New Roman" w:eastAsia="Times New Roman" w:hint="default"/>
                <w:sz w:val="21"/>
                <w:szCs w:val="21"/>
              </w:rPr>
              <w:t>a. </w:t>
            </w:r>
            <w:r>
              <w:rPr>
                <w:rFonts w:ascii="宋体" w:hAnsi="宋体" w:cs="宋体" w:eastAsia="宋体" w:hint="default"/>
                <w:sz w:val="21"/>
                <w:szCs w:val="21"/>
              </w:rPr>
              <w:t>上市公司组织架构设置严重缺失；</w:t>
            </w:r>
            <w:r>
              <w:rPr>
                <w:rFonts w:ascii="Times New Roman" w:hAnsi="Times New Roman" w:cs="Times New Roman" w:eastAsia="Times New Roman" w:hint="default"/>
                <w:sz w:val="21"/>
                <w:szCs w:val="21"/>
              </w:rPr>
              <w:t>b.</w:t>
            </w:r>
            <w:r>
              <w:rPr>
                <w:rFonts w:ascii="宋体" w:hAnsi="宋体" w:cs="宋体" w:eastAsia="宋体" w:hint="default"/>
                <w:sz w:val="21"/>
                <w:szCs w:val="21"/>
              </w:rPr>
              <w:t>公司董事、监事和高级 管理人员滥用职权、发生重大舞弊行为；</w:t>
            </w:r>
            <w:r>
              <w:rPr>
                <w:rFonts w:ascii="Times New Roman" w:hAnsi="Times New Roman" w:cs="Times New Roman" w:eastAsia="Times New Roman" w:hint="default"/>
                <w:sz w:val="21"/>
                <w:szCs w:val="21"/>
              </w:rPr>
              <w:t>c.</w:t>
            </w:r>
            <w:r>
              <w:rPr>
                <w:rFonts w:ascii="宋体" w:hAnsi="宋体" w:cs="宋体" w:eastAsia="宋体" w:hint="default"/>
                <w:sz w:val="21"/>
                <w:szCs w:val="21"/>
              </w:rPr>
              <w:t>公司因发现以前 年度存在重大会计差错，更正已披露的财务报告；</w:t>
            </w:r>
            <w:r>
              <w:rPr>
                <w:rFonts w:ascii="Times New Roman" w:hAnsi="Times New Roman" w:cs="Times New Roman" w:eastAsia="Times New Roman" w:hint="default"/>
                <w:sz w:val="21"/>
                <w:szCs w:val="21"/>
              </w:rPr>
              <w:t>d.</w:t>
            </w:r>
            <w:r>
              <w:rPr>
                <w:rFonts w:ascii="宋体" w:hAnsi="宋体" w:cs="宋体" w:eastAsia="宋体" w:hint="default"/>
                <w:sz w:val="21"/>
                <w:szCs w:val="21"/>
              </w:rPr>
              <w:t>外部审 计发现当期财务报表存在重大错报，而内控在运行过程中未 能发现该错报；</w:t>
            </w:r>
            <w:r>
              <w:rPr>
                <w:rFonts w:ascii="Times New Roman" w:hAnsi="Times New Roman" w:cs="Times New Roman" w:eastAsia="Times New Roman" w:hint="default"/>
                <w:sz w:val="21"/>
                <w:szCs w:val="21"/>
              </w:rPr>
              <w:t>e.</w:t>
            </w:r>
            <w:r>
              <w:rPr>
                <w:rFonts w:ascii="宋体" w:hAnsi="宋体" w:cs="宋体" w:eastAsia="宋体" w:hint="default"/>
                <w:sz w:val="21"/>
                <w:szCs w:val="21"/>
              </w:rPr>
              <w:t>公司运营管理上存在严重违反法律法规的 行为。②如公司具备以下特征之一的缺陷，应定义为重要缺 陷：</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未依照公认会计准则选择和应用会计政策；</w:t>
            </w:r>
            <w:r>
              <w:rPr>
                <w:rFonts w:ascii="Times New Roman" w:hAnsi="Times New Roman" w:cs="Times New Roman" w:eastAsia="Times New Roman" w:hint="default"/>
                <w:sz w:val="21"/>
                <w:szCs w:val="21"/>
              </w:rPr>
              <w:t>b.</w:t>
            </w:r>
            <w:r>
              <w:rPr>
                <w:rFonts w:ascii="宋体" w:hAnsi="宋体" w:cs="宋体" w:eastAsia="宋体" w:hint="default"/>
                <w:sz w:val="21"/>
                <w:szCs w:val="21"/>
              </w:rPr>
              <w:t>未建立 反舞弊程序和控制措施；</w:t>
            </w:r>
            <w:r>
              <w:rPr>
                <w:rFonts w:ascii="Times New Roman" w:hAnsi="Times New Roman" w:cs="Times New Roman" w:eastAsia="Times New Roman" w:hint="default"/>
                <w:sz w:val="21"/>
                <w:szCs w:val="21"/>
              </w:rPr>
              <w:t>c.</w:t>
            </w:r>
            <w:r>
              <w:rPr>
                <w:rFonts w:ascii="宋体" w:hAnsi="宋体" w:cs="宋体" w:eastAsia="宋体" w:hint="default"/>
                <w:sz w:val="21"/>
                <w:szCs w:val="21"/>
              </w:rPr>
              <w:t>对于非常规和特殊交易的账务处 理没有建立相应的控制机制或没有实施且没有相应的补偿措 施；</w:t>
            </w:r>
            <w:r>
              <w:rPr>
                <w:rFonts w:ascii="Times New Roman" w:hAnsi="Times New Roman" w:cs="Times New Roman" w:eastAsia="Times New Roman" w:hint="default"/>
                <w:sz w:val="21"/>
                <w:szCs w:val="21"/>
              </w:rPr>
              <w:t>d.</w:t>
            </w:r>
            <w:r>
              <w:rPr>
                <w:rFonts w:ascii="宋体" w:hAnsi="宋体" w:cs="宋体" w:eastAsia="宋体" w:hint="default"/>
                <w:sz w:val="21"/>
                <w:szCs w:val="21"/>
              </w:rPr>
              <w:t>对于财务报告过程的控制存在一项或多项缺陷且不能 合理保证编制的财务报表达到真实、准确的目标。③除上述 重大缺陷、重要缺陷之外的其他控制缺陷定义为一般缺陷。</w:t>
            </w:r>
          </w:p>
        </w:tc>
        <w:tc>
          <w:tcPr>
            <w:tcW w:w="3194" w:type="dxa"/>
            <w:vMerge w:val="restart"/>
            <w:tcBorders>
              <w:top w:val="single" w:sz="4" w:space="0" w:color="000000"/>
              <w:left w:val="single" w:sz="4" w:space="0" w:color="000000"/>
              <w:right w:val="single" w:sz="4" w:space="0" w:color="000000"/>
            </w:tcBorders>
          </w:tcPr>
          <w:p>
            <w:pPr>
              <w:pStyle w:val="TableParagraph"/>
              <w:spacing w:line="264" w:lineRule="auto" w:before="27"/>
              <w:ind w:left="22" w:right="9"/>
              <w:jc w:val="left"/>
              <w:rPr>
                <w:rFonts w:ascii="宋体" w:hAnsi="宋体" w:cs="宋体" w:eastAsia="宋体" w:hint="default"/>
                <w:sz w:val="21"/>
                <w:szCs w:val="21"/>
              </w:rPr>
            </w:pPr>
            <w:r>
              <w:rPr>
                <w:rFonts w:ascii="宋体" w:hAnsi="宋体" w:cs="宋体" w:eastAsia="宋体" w:hint="default"/>
                <w:sz w:val="21"/>
                <w:szCs w:val="21"/>
              </w:rPr>
              <w:t>①如公司具备以下特征之一的缺 陷，应定义为重大缺陷：</w:t>
            </w:r>
            <w:r>
              <w:rPr>
                <w:rFonts w:ascii="Times New Roman" w:hAnsi="Times New Roman" w:cs="Times New Roman" w:eastAsia="Times New Roman" w:hint="default"/>
                <w:sz w:val="21"/>
                <w:szCs w:val="21"/>
              </w:rPr>
              <w:t>a.</w:t>
            </w:r>
            <w:r>
              <w:rPr>
                <w:rFonts w:ascii="宋体" w:hAnsi="宋体" w:cs="宋体" w:eastAsia="宋体" w:hint="default"/>
                <w:sz w:val="21"/>
                <w:szCs w:val="21"/>
              </w:rPr>
              <w:t>公司缺 乏民主决策程序；</w:t>
            </w:r>
            <w:r>
              <w:rPr>
                <w:rFonts w:ascii="Times New Roman" w:hAnsi="Times New Roman" w:cs="Times New Roman" w:eastAsia="Times New Roman" w:hint="default"/>
                <w:sz w:val="21"/>
                <w:szCs w:val="21"/>
              </w:rPr>
              <w:t>b.</w:t>
            </w:r>
            <w:r>
              <w:rPr>
                <w:rFonts w:ascii="宋体" w:hAnsi="宋体" w:cs="宋体" w:eastAsia="宋体" w:hint="default"/>
                <w:sz w:val="21"/>
                <w:szCs w:val="21"/>
              </w:rPr>
              <w:t>公司决策程序 导致重大失误；</w:t>
            </w:r>
            <w:r>
              <w:rPr>
                <w:rFonts w:ascii="Times New Roman" w:hAnsi="Times New Roman" w:cs="Times New Roman" w:eastAsia="Times New Roman" w:hint="default"/>
                <w:sz w:val="21"/>
                <w:szCs w:val="21"/>
              </w:rPr>
              <w:t>c.</w:t>
            </w:r>
            <w:r>
              <w:rPr>
                <w:rFonts w:ascii="宋体" w:hAnsi="宋体" w:cs="宋体" w:eastAsia="宋体" w:hint="default"/>
                <w:sz w:val="21"/>
                <w:szCs w:val="21"/>
              </w:rPr>
              <w:t>公司高级管理人 员和高级技术人员流失严重；</w:t>
            </w:r>
            <w:r>
              <w:rPr>
                <w:rFonts w:ascii="Times New Roman" w:hAnsi="Times New Roman" w:cs="Times New Roman" w:eastAsia="Times New Roman" w:hint="default"/>
                <w:sz w:val="21"/>
                <w:szCs w:val="21"/>
              </w:rPr>
              <w:t>d.</w:t>
            </w:r>
            <w:r>
              <w:rPr>
                <w:rFonts w:ascii="宋体" w:hAnsi="宋体" w:cs="宋体" w:eastAsia="宋体" w:hint="default"/>
                <w:sz w:val="21"/>
                <w:szCs w:val="21"/>
              </w:rPr>
              <w:t>媒 体频现负面新闻，涉及面广且负面 影响一直未能消除；</w:t>
            </w:r>
            <w:r>
              <w:rPr>
                <w:rFonts w:ascii="Times New Roman" w:hAnsi="Times New Roman" w:cs="Times New Roman" w:eastAsia="Times New Roman" w:hint="default"/>
                <w:sz w:val="21"/>
                <w:szCs w:val="21"/>
              </w:rPr>
              <w:t>e.</w:t>
            </w:r>
            <w:r>
              <w:rPr>
                <w:rFonts w:ascii="宋体" w:hAnsi="宋体" w:cs="宋体" w:eastAsia="宋体" w:hint="default"/>
                <w:sz w:val="21"/>
                <w:szCs w:val="21"/>
              </w:rPr>
              <w:t>公司重要业 务缺乏制度控制或制度体系失效； </w:t>
            </w:r>
            <w:r>
              <w:rPr>
                <w:rFonts w:ascii="Times New Roman" w:hAnsi="Times New Roman" w:cs="Times New Roman" w:eastAsia="Times New Roman" w:hint="default"/>
                <w:sz w:val="21"/>
                <w:szCs w:val="21"/>
              </w:rPr>
              <w:t>f.</w:t>
            </w:r>
            <w:r>
              <w:rPr>
                <w:rFonts w:ascii="宋体" w:hAnsi="宋体" w:cs="宋体" w:eastAsia="宋体" w:hint="default"/>
                <w:sz w:val="21"/>
                <w:szCs w:val="21"/>
              </w:rPr>
              <w:t>公司内部控制重大或重要缺陷未 得到整改；</w:t>
            </w:r>
            <w:r>
              <w:rPr>
                <w:rFonts w:ascii="Times New Roman" w:hAnsi="Times New Roman" w:cs="Times New Roman" w:eastAsia="Times New Roman" w:hint="default"/>
                <w:sz w:val="21"/>
                <w:szCs w:val="21"/>
              </w:rPr>
              <w:t>g.</w:t>
            </w:r>
            <w:r>
              <w:rPr>
                <w:rFonts w:ascii="宋体" w:hAnsi="宋体" w:cs="宋体" w:eastAsia="宋体" w:hint="default"/>
                <w:sz w:val="21"/>
                <w:szCs w:val="21"/>
              </w:rPr>
              <w:t>公司遭受证监会处罚 或证券交易所警告。②其他情形按 照影响程度分别确定重要缺陷或 一般缺陷。</w:t>
            </w:r>
          </w:p>
        </w:tc>
      </w:tr>
      <w:tr>
        <w:trPr>
          <w:trHeight w:val="703" w:hRule="exact"/>
        </w:trPr>
        <w:tc>
          <w:tcPr>
            <w:tcW w:w="8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22" w:right="175"/>
              <w:jc w:val="left"/>
              <w:rPr>
                <w:rFonts w:ascii="宋体" w:hAnsi="宋体" w:cs="宋体" w:eastAsia="宋体" w:hint="default"/>
                <w:sz w:val="21"/>
                <w:szCs w:val="21"/>
              </w:rPr>
            </w:pPr>
            <w:r>
              <w:rPr>
                <w:rFonts w:ascii="宋体" w:hAnsi="宋体" w:cs="宋体" w:eastAsia="宋体" w:hint="default"/>
                <w:sz w:val="21"/>
                <w:szCs w:val="21"/>
              </w:rPr>
              <w:t>定性标 准</w:t>
            </w:r>
          </w:p>
        </w:tc>
        <w:tc>
          <w:tcPr>
            <w:tcW w:w="5540" w:type="dxa"/>
            <w:gridSpan w:val="2"/>
            <w:vMerge/>
            <w:tcBorders>
              <w:left w:val="single" w:sz="9" w:space="0" w:color="D2D2D2"/>
              <w:right w:val="single" w:sz="4" w:space="0" w:color="000000"/>
            </w:tcBorders>
          </w:tcPr>
          <w:p>
            <w:pPr/>
          </w:p>
        </w:tc>
        <w:tc>
          <w:tcPr>
            <w:tcW w:w="3194" w:type="dxa"/>
            <w:vMerge/>
            <w:tcBorders>
              <w:left w:val="single" w:sz="4" w:space="0" w:color="000000"/>
              <w:right w:val="single" w:sz="4" w:space="0" w:color="000000"/>
            </w:tcBorders>
          </w:tcPr>
          <w:p>
            <w:pPr/>
          </w:p>
        </w:tc>
      </w:tr>
      <w:tr>
        <w:trPr>
          <w:trHeight w:val="1721" w:hRule="exact"/>
        </w:trPr>
        <w:tc>
          <w:tcPr>
            <w:tcW w:w="84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40" w:type="dxa"/>
            <w:gridSpan w:val="2"/>
            <w:vMerge/>
            <w:tcBorders>
              <w:left w:val="single" w:sz="9" w:space="0" w:color="D2D2D2"/>
              <w:bottom w:val="single" w:sz="4" w:space="0" w:color="000000"/>
              <w:right w:val="single" w:sz="4" w:space="0" w:color="000000"/>
            </w:tcBorders>
          </w:tcPr>
          <w:p>
            <w:pPr/>
          </w:p>
        </w:tc>
        <w:tc>
          <w:tcPr>
            <w:tcW w:w="3194" w:type="dxa"/>
            <w:vMerge/>
            <w:tcBorders>
              <w:left w:val="single" w:sz="4" w:space="0" w:color="000000"/>
              <w:bottom w:val="single" w:sz="4" w:space="0" w:color="000000"/>
              <w:right w:val="single" w:sz="4" w:space="0" w:color="000000"/>
            </w:tcBorders>
          </w:tcPr>
          <w:p>
            <w:pPr/>
          </w:p>
        </w:tc>
      </w:tr>
      <w:tr>
        <w:trPr>
          <w:trHeight w:val="786" w:hRule="exact"/>
        </w:trPr>
        <w:tc>
          <w:tcPr>
            <w:tcW w:w="84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40" w:type="dxa"/>
            <w:gridSpan w:val="2"/>
            <w:vMerge w:val="restart"/>
            <w:tcBorders>
              <w:top w:val="single" w:sz="4" w:space="0" w:color="000000"/>
              <w:left w:val="single" w:sz="9" w:space="0" w:color="D2D2D2"/>
              <w:right w:val="single" w:sz="9" w:space="0" w:color="FFFFFF"/>
            </w:tcBorders>
          </w:tcPr>
          <w:p>
            <w:pPr>
              <w:pStyle w:val="TableParagraph"/>
              <w:spacing w:line="256" w:lineRule="auto" w:before="27"/>
              <w:ind w:left="27" w:right="-51"/>
              <w:jc w:val="left"/>
              <w:rPr>
                <w:rFonts w:ascii="宋体" w:hAnsi="宋体" w:cs="宋体" w:eastAsia="宋体" w:hint="default"/>
                <w:sz w:val="21"/>
                <w:szCs w:val="21"/>
              </w:rPr>
            </w:pPr>
            <w:r>
              <w:rPr>
                <w:rFonts w:ascii="宋体" w:hAnsi="宋体" w:cs="宋体" w:eastAsia="宋体" w:hint="default"/>
                <w:sz w:val="21"/>
                <w:szCs w:val="21"/>
              </w:rPr>
              <w:t>①一般缺陷：失控金额＜资产总额的</w:t>
            </w:r>
            <w:r>
              <w:rPr>
                <w:rFonts w:ascii="宋体" w:hAnsi="宋体" w:cs="宋体" w:eastAsia="宋体" w:hint="default"/>
                <w:spacing w:val="-61"/>
                <w:sz w:val="21"/>
                <w:szCs w:val="21"/>
              </w:rPr>
              <w:t> </w:t>
            </w:r>
            <w:r>
              <w:rPr>
                <w:rFonts w:ascii="Times New Roman" w:hAnsi="Times New Roman" w:cs="Times New Roman" w:eastAsia="Times New Roman" w:hint="default"/>
                <w:spacing w:val="-3"/>
                <w:sz w:val="21"/>
                <w:szCs w:val="21"/>
              </w:rPr>
              <w:t>0.1%</w:t>
            </w:r>
            <w:r>
              <w:rPr>
                <w:rFonts w:ascii="宋体" w:hAnsi="宋体" w:cs="宋体" w:eastAsia="宋体" w:hint="default"/>
                <w:spacing w:val="-3"/>
                <w:sz w:val="21"/>
                <w:szCs w:val="21"/>
              </w:rPr>
              <w:t>；失控金额＜主营</w:t>
            </w:r>
            <w:r>
              <w:rPr>
                <w:rFonts w:ascii="宋体" w:hAnsi="宋体" w:cs="宋体" w:eastAsia="宋体" w:hint="default"/>
                <w:sz w:val="21"/>
                <w:szCs w:val="21"/>
              </w:rPr>
              <w:t> 业务收入总额的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宋体" w:hAnsi="宋体" w:cs="宋体" w:eastAsia="宋体" w:hint="default"/>
                <w:sz w:val="21"/>
                <w:szCs w:val="21"/>
              </w:rPr>
              <w:t>；失控金额＜净利润总额的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。②重 </w:t>
            </w:r>
            <w:r>
              <w:rPr>
                <w:rFonts w:ascii="宋体" w:hAnsi="宋体" w:cs="宋体" w:eastAsia="宋体" w:hint="default"/>
                <w:spacing w:val="-4"/>
                <w:sz w:val="21"/>
                <w:szCs w:val="21"/>
              </w:rPr>
              <w:t>要缺陷：资产总额的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z w:val="21"/>
                <w:szCs w:val="21"/>
              </w:rPr>
              <w:t>≤</w:t>
            </w:r>
            <w:r>
              <w:rPr>
                <w:rFonts w:ascii="宋体" w:hAnsi="宋体" w:cs="宋体" w:eastAsia="宋体" w:hint="default"/>
                <w:sz w:val="21"/>
                <w:szCs w:val="21"/>
              </w:rPr>
              <w:t>失控金额＜资产总额的</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0.5%</w:t>
            </w:r>
            <w:r>
              <w:rPr>
                <w:rFonts w:ascii="宋体" w:hAnsi="宋体" w:cs="宋体" w:eastAsia="宋体" w:hint="default"/>
                <w:spacing w:val="-5"/>
                <w:sz w:val="21"/>
                <w:szCs w:val="21"/>
              </w:rPr>
              <w:t>；主营</w:t>
            </w:r>
            <w:r>
              <w:rPr>
                <w:rFonts w:ascii="宋体" w:hAnsi="宋体" w:cs="宋体" w:eastAsia="宋体" w:hint="default"/>
                <w:sz w:val="21"/>
                <w:szCs w:val="21"/>
              </w:rPr>
              <w:t> 业务收入总额的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z w:val="21"/>
                <w:szCs w:val="21"/>
              </w:rPr>
              <w:t>≤</w:t>
            </w:r>
            <w:r>
              <w:rPr>
                <w:rFonts w:ascii="宋体" w:hAnsi="宋体" w:cs="宋体" w:eastAsia="宋体" w:hint="default"/>
                <w:sz w:val="21"/>
                <w:szCs w:val="21"/>
              </w:rPr>
              <w:t>失控金额＜主营业务收入总额的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w:t>
            </w:r>
            <w:r>
              <w:rPr>
                <w:rFonts w:ascii="宋体" w:hAnsi="宋体" w:cs="宋体" w:eastAsia="宋体" w:hint="default"/>
                <w:sz w:val="21"/>
                <w:szCs w:val="21"/>
              </w:rPr>
              <w:t>； 净利润总额的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z w:val="21"/>
                <w:szCs w:val="21"/>
              </w:rPr>
              <w:t>≤</w:t>
            </w:r>
            <w:r>
              <w:rPr>
                <w:rFonts w:ascii="宋体" w:hAnsi="宋体" w:cs="宋体" w:eastAsia="宋体" w:hint="default"/>
                <w:sz w:val="21"/>
                <w:szCs w:val="21"/>
              </w:rPr>
              <w:t>失控金额＜净利润总额的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。③重大缺 </w:t>
            </w:r>
            <w:r>
              <w:rPr>
                <w:rFonts w:ascii="宋体" w:hAnsi="宋体" w:cs="宋体" w:eastAsia="宋体" w:hint="default"/>
                <w:spacing w:val="-4"/>
                <w:sz w:val="21"/>
                <w:szCs w:val="21"/>
              </w:rPr>
              <w:t>陷：失控金额</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资产总额的</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0.5%</w:t>
            </w:r>
            <w:r>
              <w:rPr>
                <w:rFonts w:ascii="宋体" w:hAnsi="宋体" w:cs="宋体" w:eastAsia="宋体" w:hint="default"/>
                <w:spacing w:val="-3"/>
                <w:sz w:val="21"/>
                <w:szCs w:val="21"/>
              </w:rPr>
              <w:t>；失控金额</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主营业务收入总</w:t>
            </w:r>
            <w:r>
              <w:rPr>
                <w:rFonts w:ascii="宋体" w:hAnsi="宋体" w:cs="宋体" w:eastAsia="宋体" w:hint="default"/>
                <w:spacing w:val="-95"/>
                <w:sz w:val="21"/>
                <w:szCs w:val="21"/>
              </w:rPr>
              <w:t> </w:t>
            </w:r>
            <w:r>
              <w:rPr>
                <w:rFonts w:ascii="宋体" w:hAnsi="宋体" w:cs="宋体" w:eastAsia="宋体" w:hint="default"/>
                <w:sz w:val="21"/>
                <w:szCs w:val="21"/>
              </w:rPr>
              <w:t>额的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0.5%</w:t>
            </w:r>
            <w:r>
              <w:rPr>
                <w:rFonts w:ascii="宋体" w:hAnsi="宋体" w:cs="宋体" w:eastAsia="宋体" w:hint="default"/>
                <w:sz w:val="21"/>
                <w:szCs w:val="21"/>
              </w:rPr>
              <w:t>；失控金额</w:t>
            </w:r>
            <w:r>
              <w:rPr>
                <w:rFonts w:ascii="Times New Roman" w:hAnsi="Times New Roman" w:cs="Times New Roman" w:eastAsia="Times New Roman" w:hint="default"/>
                <w:sz w:val="21"/>
                <w:szCs w:val="21"/>
              </w:rPr>
              <w:t>≥</w:t>
            </w:r>
            <w:r>
              <w:rPr>
                <w:rFonts w:ascii="宋体" w:hAnsi="宋体" w:cs="宋体" w:eastAsia="宋体" w:hint="default"/>
                <w:sz w:val="21"/>
                <w:szCs w:val="21"/>
              </w:rPr>
              <w:t>净利润总额的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3194" w:type="dxa"/>
            <w:vMerge w:val="restart"/>
            <w:tcBorders>
              <w:top w:val="single" w:sz="4" w:space="0" w:color="000000"/>
              <w:left w:val="single" w:sz="9" w:space="0" w:color="FFFFFF"/>
              <w:right w:val="single" w:sz="4" w:space="0" w:color="000000"/>
            </w:tcBorders>
          </w:tcPr>
          <w:p>
            <w:pPr>
              <w:pStyle w:val="TableParagraph"/>
              <w:spacing w:line="264" w:lineRule="auto" w:before="183"/>
              <w:ind w:left="16" w:right="23"/>
              <w:jc w:val="left"/>
              <w:rPr>
                <w:rFonts w:ascii="宋体" w:hAnsi="宋体" w:cs="宋体" w:eastAsia="宋体" w:hint="default"/>
                <w:sz w:val="21"/>
                <w:szCs w:val="21"/>
              </w:rPr>
            </w:pPr>
            <w:r>
              <w:rPr>
                <w:rFonts w:ascii="宋体" w:hAnsi="宋体" w:cs="宋体" w:eastAsia="宋体" w:hint="default"/>
                <w:spacing w:val="-1"/>
                <w:sz w:val="21"/>
                <w:szCs w:val="21"/>
              </w:rPr>
              <w:t>①一般缺陷：直接财产损失的绝对</w:t>
            </w:r>
            <w:r>
              <w:rPr>
                <w:rFonts w:ascii="宋体" w:hAnsi="宋体" w:cs="宋体" w:eastAsia="宋体" w:hint="default"/>
                <w:sz w:val="21"/>
                <w:szCs w:val="21"/>
              </w:rPr>
              <w:t> 金额＜净利润总额的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；②重要 </w:t>
            </w:r>
            <w:r>
              <w:rPr>
                <w:rFonts w:ascii="宋体" w:hAnsi="宋体" w:cs="宋体" w:eastAsia="宋体" w:hint="default"/>
                <w:spacing w:val="-5"/>
                <w:sz w:val="21"/>
                <w:szCs w:val="21"/>
              </w:rPr>
              <w:t>缺陷：净利润总额的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z w:val="21"/>
                <w:szCs w:val="21"/>
              </w:rPr>
              <w:t>≤</w:t>
            </w:r>
            <w:r>
              <w:rPr>
                <w:rFonts w:ascii="宋体" w:hAnsi="宋体" w:cs="宋体" w:eastAsia="宋体" w:hint="default"/>
                <w:sz w:val="21"/>
                <w:szCs w:val="21"/>
              </w:rPr>
              <w:t>直接财产 损失的绝对金额＜净利润总额的 </w:t>
            </w:r>
            <w:r>
              <w:rPr>
                <w:rFonts w:ascii="Times New Roman" w:hAnsi="Times New Roman" w:cs="Times New Roman" w:eastAsia="Times New Roman" w:hint="default"/>
                <w:spacing w:val="-6"/>
                <w:sz w:val="21"/>
                <w:szCs w:val="21"/>
              </w:rPr>
              <w:t>4%</w:t>
            </w:r>
            <w:r>
              <w:rPr>
                <w:rFonts w:ascii="宋体" w:hAnsi="宋体" w:cs="宋体" w:eastAsia="宋体" w:hint="default"/>
                <w:spacing w:val="-6"/>
                <w:sz w:val="21"/>
                <w:szCs w:val="21"/>
              </w:rPr>
              <w:t>；③重大缺陷：直接财产损失的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绝对金额</w:t>
            </w:r>
            <w:r>
              <w:rPr>
                <w:rFonts w:ascii="Times New Roman" w:hAnsi="Times New Roman" w:cs="Times New Roman" w:eastAsia="Times New Roman" w:hint="default"/>
                <w:sz w:val="21"/>
                <w:szCs w:val="21"/>
              </w:rPr>
              <w:t>≥</w:t>
            </w:r>
            <w:r>
              <w:rPr>
                <w:rFonts w:ascii="宋体" w:hAnsi="宋体" w:cs="宋体" w:eastAsia="宋体" w:hint="default"/>
                <w:sz w:val="21"/>
                <w:szCs w:val="21"/>
              </w:rPr>
              <w:t>净利润总额的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r>
      <w:tr>
        <w:trPr>
          <w:trHeight w:val="703" w:hRule="exact"/>
        </w:trPr>
        <w:tc>
          <w:tcPr>
            <w:tcW w:w="8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22" w:right="175"/>
              <w:jc w:val="left"/>
              <w:rPr>
                <w:rFonts w:ascii="宋体" w:hAnsi="宋体" w:cs="宋体" w:eastAsia="宋体" w:hint="default"/>
                <w:sz w:val="21"/>
                <w:szCs w:val="21"/>
              </w:rPr>
            </w:pPr>
            <w:r>
              <w:rPr>
                <w:rFonts w:ascii="宋体" w:hAnsi="宋体" w:cs="宋体" w:eastAsia="宋体" w:hint="default"/>
                <w:sz w:val="21"/>
                <w:szCs w:val="21"/>
              </w:rPr>
              <w:t>定量标 准</w:t>
            </w:r>
          </w:p>
        </w:tc>
        <w:tc>
          <w:tcPr>
            <w:tcW w:w="5540" w:type="dxa"/>
            <w:gridSpan w:val="2"/>
            <w:vMerge/>
            <w:tcBorders>
              <w:left w:val="single" w:sz="9" w:space="0" w:color="D2D2D2"/>
              <w:right w:val="single" w:sz="9" w:space="0" w:color="FFFFFF"/>
            </w:tcBorders>
          </w:tcPr>
          <w:p>
            <w:pPr/>
          </w:p>
        </w:tc>
        <w:tc>
          <w:tcPr>
            <w:tcW w:w="3194" w:type="dxa"/>
            <w:vMerge/>
            <w:tcBorders>
              <w:left w:val="single" w:sz="9" w:space="0" w:color="FFFFFF"/>
              <w:right w:val="single" w:sz="4" w:space="0" w:color="000000"/>
            </w:tcBorders>
          </w:tcPr>
          <w:p>
            <w:pPr/>
          </w:p>
        </w:tc>
      </w:tr>
      <w:tr>
        <w:trPr>
          <w:trHeight w:val="785" w:hRule="exact"/>
        </w:trPr>
        <w:tc>
          <w:tcPr>
            <w:tcW w:w="84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40" w:type="dxa"/>
            <w:gridSpan w:val="2"/>
            <w:vMerge/>
            <w:tcBorders>
              <w:left w:val="single" w:sz="9" w:space="0" w:color="D2D2D2"/>
              <w:bottom w:val="single" w:sz="4" w:space="0" w:color="000000"/>
              <w:right w:val="single" w:sz="9" w:space="0" w:color="FFFFFF"/>
            </w:tcBorders>
          </w:tcPr>
          <w:p>
            <w:pPr/>
          </w:p>
        </w:tc>
        <w:tc>
          <w:tcPr>
            <w:tcW w:w="3194" w:type="dxa"/>
            <w:vMerge/>
            <w:tcBorders>
              <w:left w:val="single" w:sz="9" w:space="0" w:color="FFFFFF"/>
              <w:bottom w:val="single" w:sz="4" w:space="0" w:color="000000"/>
              <w:right w:val="single" w:sz="4" w:space="0" w:color="000000"/>
            </w:tcBorders>
          </w:tcPr>
          <w:p>
            <w:pPr/>
          </w:p>
        </w:tc>
      </w:tr>
      <w:tr>
        <w:trPr>
          <w:trHeight w:val="403" w:hRule="exact"/>
        </w:trPr>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财务报告重大缺陷数量（个）</w:t>
            </w:r>
          </w:p>
        </w:tc>
        <w:tc>
          <w:tcPr>
            <w:tcW w:w="634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9"/>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非财务报告重大缺陷数量（个）</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财务报告重要缺陷数量（个）</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非财务报告重要缺陷数量（个）</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2"/>
        <w:rPr>
          <w:rFonts w:ascii="宋体" w:hAnsi="宋体" w:cs="宋体" w:eastAsia="宋体" w:hint="default"/>
          <w:b/>
          <w:bCs/>
          <w:sz w:val="18"/>
          <w:szCs w:val="18"/>
        </w:rPr>
      </w:pPr>
    </w:p>
    <w:p>
      <w:pPr>
        <w:spacing w:line="564" w:lineRule="auto" w:before="26"/>
        <w:ind w:left="636" w:right="5952" w:hanging="483"/>
        <w:jc w:val="left"/>
        <w:rPr>
          <w:rFonts w:ascii="宋体" w:hAnsi="宋体" w:cs="宋体" w:eastAsia="宋体" w:hint="default"/>
          <w:sz w:val="24"/>
          <w:szCs w:val="24"/>
        </w:rPr>
      </w:pPr>
      <w:r>
        <w:rPr/>
        <w:pict>
          <v:shape style="position:absolute;margin-left:56.459999pt;margin-top:56.835629pt;width:479.2pt;height:172.4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2"/>
                    <w:gridCol w:w="6166"/>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2" w:firstLine="420"/>
                          <w:jc w:val="left"/>
                          <w:rPr>
                            <w:rFonts w:ascii="宋体" w:hAnsi="宋体" w:cs="宋体" w:eastAsia="宋体" w:hint="default"/>
                            <w:sz w:val="21"/>
                            <w:szCs w:val="21"/>
                          </w:rPr>
                        </w:pPr>
                        <w:r>
                          <w:rPr>
                            <w:rFonts w:ascii="宋体" w:hAnsi="宋体" w:cs="宋体" w:eastAsia="宋体" w:hint="default"/>
                            <w:sz w:val="21"/>
                            <w:szCs w:val="21"/>
                          </w:rPr>
                          <w:t>辉煌科技于</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日按照《企业内部控制基本规范》和相关规定在所有重大方面保持了有 效的财务报告内部控制。</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内控审计报告披露情况</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披露</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内部控制审计报告全文披露日期</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内部控制审计报告全文披露索引</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pacing w:val="-7"/>
                            <w:sz w:val="21"/>
                            <w:szCs w:val="21"/>
                          </w:rPr>
                          <w:t>年度内部控制审计报告》刊登于</w:t>
                        </w:r>
                        <w:r>
                          <w:rPr>
                            <w:rFonts w:ascii="宋体" w:hAnsi="宋体" w:cs="宋体" w:eastAsia="宋体" w:hint="default"/>
                            <w:sz w:val="21"/>
                            <w:szCs w:val="21"/>
                          </w:rPr>
                          <w:t> 公司指定信息披露媒体巨潮资讯网（</w:t>
                        </w:r>
                        <w:r>
                          <w:rPr>
                            <w:rFonts w:ascii="Times New Roman" w:hAnsi="Times New Roman" w:cs="Times New Roman" w:eastAsia="Times New Roman" w:hint="default"/>
                            <w:sz w:val="21"/>
                            <w:szCs w:val="21"/>
                          </w:rPr>
                          <w:t>http://www.cninfo.com.cn)</w:t>
                        </w:r>
                        <w:r>
                          <w:rPr>
                            <w:rFonts w:ascii="宋体" w:hAnsi="宋体" w:cs="宋体" w:eastAsia="宋体" w:hint="default"/>
                            <w:sz w:val="21"/>
                            <w:szCs w:val="21"/>
                          </w:rPr>
                          <w:t>。</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内控审计报告意见类型</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标准无保留意见</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非财务报告是否存在重大缺陷</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
              </w:txbxContent>
            </v:textbox>
            <w10:wrap type="none"/>
          </v:shape>
        </w:pict>
      </w:r>
      <w:bookmarkStart w:name="十、内部控制审计报告或鉴证报告" w:id="147"/>
      <w:bookmarkEnd w:id="147"/>
      <w:r>
        <w:rPr/>
      </w:r>
      <w:r>
        <w:rPr>
          <w:rFonts w:ascii="宋体" w:hAnsi="宋体" w:cs="宋体" w:eastAsia="宋体" w:hint="default"/>
          <w:b/>
          <w:bCs/>
          <w:w w:val="95"/>
          <w:sz w:val="24"/>
          <w:szCs w:val="24"/>
        </w:rPr>
        <w:t>十、内部控制审计报告或鉴证报告</w:t>
      </w:r>
      <w:r>
        <w:rPr>
          <w:rFonts w:ascii="宋体" w:hAnsi="宋体" w:cs="宋体" w:eastAsia="宋体" w:hint="default"/>
          <w:b/>
          <w:bCs/>
          <w:spacing w:val="51"/>
          <w:w w:val="95"/>
          <w:sz w:val="24"/>
          <w:szCs w:val="24"/>
        </w:rPr>
        <w:t> </w:t>
      </w:r>
      <w:r>
        <w:rPr>
          <w:rFonts w:ascii="宋体" w:hAnsi="宋体" w:cs="宋体" w:eastAsia="宋体" w:hint="default"/>
          <w:sz w:val="24"/>
          <w:szCs w:val="24"/>
        </w:rPr>
        <w:t>内部控制审计报告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26"/>
        <w:ind w:left="636" w:right="0"/>
        <w:jc w:val="left"/>
      </w:pPr>
      <w:r>
        <w:rPr/>
        <w:t>会计师事务所是否出具非标准意见的内部控制审计报告</w:t>
      </w:r>
    </w:p>
    <w:p>
      <w:pPr>
        <w:pStyle w:val="BodyText"/>
        <w:spacing w:line="352" w:lineRule="auto" w:before="145"/>
        <w:ind w:left="636" w:right="2110"/>
        <w:jc w:val="left"/>
      </w:pPr>
      <w:r>
        <w:rPr/>
        <w:t>□ 是 √ 否 会计师事务所出具的内部控制审计报告与董事会的自我评价报告意见是否一致</w:t>
      </w:r>
    </w:p>
    <w:p>
      <w:pPr>
        <w:pStyle w:val="BodyText"/>
        <w:spacing w:line="240" w:lineRule="auto" w:before="32"/>
        <w:ind w:left="636" w:right="0"/>
        <w:jc w:val="left"/>
      </w:pPr>
      <w:r>
        <w:rPr/>
        <w:t>√ 是 □ 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第十节 公司债券相关情况" w:id="148"/>
      <w:bookmarkEnd w:id="148"/>
      <w:r>
        <w:rPr>
          <w:b w:val="0"/>
          <w:bCs w:val="0"/>
        </w:rPr>
      </w:r>
      <w:bookmarkStart w:name="_bookmark9" w:id="149"/>
      <w:bookmarkEnd w:id="149"/>
      <w:r>
        <w:rPr>
          <w:b w:val="0"/>
          <w:bCs w:val="0"/>
        </w:rPr>
      </w:r>
      <w:r>
        <w:rPr/>
        <w:t>第十节</w:t>
      </w:r>
      <w:r>
        <w:rPr>
          <w:spacing w:val="-9"/>
        </w:rPr>
        <w:t> </w:t>
      </w:r>
      <w:r>
        <w:rPr/>
        <w:t>公司债券相关情况</w:t>
      </w:r>
      <w:r>
        <w:rPr>
          <w:b w:val="0"/>
          <w:bCs w:val="0"/>
        </w:rPr>
      </w:r>
    </w:p>
    <w:p>
      <w:pPr>
        <w:spacing w:line="240" w:lineRule="auto" w:before="0"/>
        <w:rPr>
          <w:rFonts w:ascii="宋体" w:hAnsi="宋体" w:cs="宋体" w:eastAsia="宋体" w:hint="default"/>
          <w:b/>
          <w:bCs/>
          <w:sz w:val="32"/>
          <w:szCs w:val="32"/>
        </w:rPr>
      </w:pPr>
    </w:p>
    <w:p>
      <w:pPr>
        <w:pStyle w:val="BodyText"/>
        <w:spacing w:line="352" w:lineRule="auto" w:before="215"/>
        <w:ind w:right="1150" w:firstLine="482"/>
        <w:jc w:val="left"/>
      </w:pPr>
      <w:r>
        <w:rPr/>
        <w:t>公司是否存在公开发行并在证券交易所上市，且在年度报告批准报出日未到期或到期未 能全额兑付的公司债券</w:t>
      </w:r>
    </w:p>
    <w:p>
      <w:pPr>
        <w:pStyle w:val="Heading2"/>
        <w:spacing w:line="240" w:lineRule="auto" w:before="208"/>
        <w:ind w:right="0"/>
        <w:jc w:val="left"/>
        <w:rPr>
          <w:b w:val="0"/>
          <w:bCs w:val="0"/>
        </w:rPr>
      </w:pPr>
      <w:bookmarkStart w:name="一、公司债券基本信息" w:id="150"/>
      <w:bookmarkEnd w:id="150"/>
      <w:r>
        <w:rPr>
          <w:b w:val="0"/>
          <w:bCs w:val="0"/>
        </w:rPr>
      </w:r>
      <w:r>
        <w:rPr/>
        <w:t>一、公司债券基本信息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before="0"/>
        <w:ind w:left="0" w:right="1128" w:firstLine="0"/>
        <w:jc w:val="right"/>
        <w:rPr>
          <w:rFonts w:ascii="宋体" w:hAnsi="宋体" w:cs="宋体" w:eastAsia="宋体" w:hint="default"/>
          <w:sz w:val="21"/>
          <w:szCs w:val="21"/>
        </w:rPr>
      </w:pPr>
      <w:r>
        <w:rPr/>
        <w:pict>
          <v:shape style="position:absolute;margin-left:55.889999pt;margin-top:-97.146347pt;width:479.75pt;height:255.1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709"/>
                    <w:gridCol w:w="708"/>
                    <w:gridCol w:w="1383"/>
                    <w:gridCol w:w="1177"/>
                    <w:gridCol w:w="843"/>
                    <w:gridCol w:w="710"/>
                    <w:gridCol w:w="2054"/>
                  </w:tblGrid>
                  <w:tr>
                    <w:trPr>
                      <w:trHeight w:val="102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43" w:right="35" w:hanging="210"/>
                          <w:jc w:val="left"/>
                          <w:rPr>
                            <w:rFonts w:ascii="宋体" w:hAnsi="宋体" w:cs="宋体" w:eastAsia="宋体" w:hint="default"/>
                            <w:sz w:val="21"/>
                            <w:szCs w:val="21"/>
                          </w:rPr>
                        </w:pPr>
                        <w:r>
                          <w:rPr>
                            <w:rFonts w:ascii="宋体" w:hAnsi="宋体" w:cs="宋体" w:eastAsia="宋体" w:hint="default"/>
                            <w:sz w:val="21"/>
                            <w:szCs w:val="21"/>
                          </w:rPr>
                          <w:t>债券简 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43" w:right="32" w:hanging="210"/>
                          <w:jc w:val="left"/>
                          <w:rPr>
                            <w:rFonts w:ascii="宋体" w:hAnsi="宋体" w:cs="宋体" w:eastAsia="宋体" w:hint="default"/>
                            <w:sz w:val="21"/>
                            <w:szCs w:val="21"/>
                          </w:rPr>
                        </w:pPr>
                        <w:r>
                          <w:rPr>
                            <w:rFonts w:ascii="宋体" w:hAnsi="宋体" w:cs="宋体" w:eastAsia="宋体" w:hint="default"/>
                            <w:sz w:val="21"/>
                            <w:szCs w:val="21"/>
                          </w:rPr>
                          <w:t>债券代 码</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发行日</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77"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0" w:right="90"/>
                          <w:jc w:val="both"/>
                          <w:rPr>
                            <w:rFonts w:ascii="宋体" w:hAnsi="宋体" w:cs="宋体" w:eastAsia="宋体" w:hint="default"/>
                            <w:sz w:val="21"/>
                            <w:szCs w:val="21"/>
                          </w:rPr>
                        </w:pPr>
                        <w:r>
                          <w:rPr>
                            <w:rFonts w:ascii="宋体" w:hAnsi="宋体" w:cs="宋体" w:eastAsia="宋体" w:hint="default"/>
                            <w:sz w:val="21"/>
                            <w:szCs w:val="21"/>
                          </w:rPr>
                          <w:t>债券余 额（万 元）</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还本付息方式</w:t>
                        </w:r>
                      </w:p>
                    </w:tc>
                  </w:tr>
                  <w:tr>
                    <w:trPr>
                      <w:trHeight w:val="121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exact"/>
                          <w:ind w:left="22" w:right="60"/>
                          <w:jc w:val="left"/>
                          <w:rPr>
                            <w:rFonts w:ascii="宋体" w:hAnsi="宋体" w:cs="宋体" w:eastAsia="宋体" w:hint="default"/>
                            <w:sz w:val="21"/>
                            <w:szCs w:val="21"/>
                          </w:rPr>
                        </w:pPr>
                        <w:r>
                          <w:rPr>
                            <w:rFonts w:ascii="宋体" w:hAnsi="宋体" w:cs="宋体" w:eastAsia="宋体" w:hint="default"/>
                            <w:sz w:val="21"/>
                            <w:szCs w:val="21"/>
                          </w:rPr>
                          <w:t>河南辉煌科技股份有 限公司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 债券（第一期）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 </w:t>
                        </w:r>
                        <w:r>
                          <w:rPr>
                            <w:rFonts w:ascii="宋体" w:hAnsi="宋体" w:cs="宋体" w:eastAsia="宋体" w:hint="default"/>
                            <w:sz w:val="21"/>
                            <w:szCs w:val="21"/>
                          </w:rPr>
                          <w:t>辉</w:t>
                        </w:r>
                      </w:p>
                      <w:p>
                        <w:pPr>
                          <w:pStyle w:val="TableParagraph"/>
                          <w:spacing w:line="265"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112237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日</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日</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33" w:right="0"/>
                          <w:jc w:val="left"/>
                          <w:rPr>
                            <w:rFonts w:ascii="Times New Roman" w:hAnsi="Times New Roman" w:cs="Times New Roman" w:eastAsia="Times New Roman" w:hint="default"/>
                            <w:sz w:val="21"/>
                            <w:szCs w:val="21"/>
                          </w:rPr>
                        </w:pPr>
                        <w:r>
                          <w:rPr>
                            <w:rFonts w:ascii="Times New Roman"/>
                            <w:sz w:val="21"/>
                          </w:rPr>
                          <w:t>9.00%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0"/>
                          <w:jc w:val="left"/>
                          <w:rPr>
                            <w:rFonts w:ascii="宋体" w:hAnsi="宋体" w:cs="宋体" w:eastAsia="宋体" w:hint="default"/>
                            <w:sz w:val="21"/>
                            <w:szCs w:val="21"/>
                          </w:rPr>
                        </w:pPr>
                        <w:r>
                          <w:rPr>
                            <w:rFonts w:ascii="宋体" w:hAnsi="宋体" w:cs="宋体" w:eastAsia="宋体" w:hint="default"/>
                            <w:sz w:val="21"/>
                            <w:szCs w:val="21"/>
                          </w:rPr>
                          <w:t>本期债券采用单利按 </w:t>
                        </w:r>
                        <w:r>
                          <w:rPr>
                            <w:rFonts w:ascii="宋体" w:hAnsi="宋体" w:cs="宋体" w:eastAsia="宋体" w:hint="default"/>
                            <w:spacing w:val="-11"/>
                            <w:sz w:val="21"/>
                            <w:szCs w:val="21"/>
                          </w:rPr>
                          <w:t>年计息，不计复利。每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1"/>
                            <w:sz w:val="21"/>
                            <w:szCs w:val="21"/>
                          </w:rPr>
                          <w:t>年付息一次，到期一次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还本，最后一期利息随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本金的兑付一起支付</w:t>
                        </w:r>
                      </w:p>
                    </w:tc>
                  </w:tr>
                  <w:tr>
                    <w:trPr>
                      <w:trHeight w:val="402" w:hRule="exact"/>
                    </w:trPr>
                    <w:tc>
                      <w:tcPr>
                        <w:tcW w:w="3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公司债券上市或转让的交易场所</w:t>
                        </w:r>
                      </w:p>
                    </w:tc>
                    <w:tc>
                      <w:tcPr>
                        <w:tcW w:w="616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深圳证券交易所综合协议交易平台</w:t>
                        </w:r>
                      </w:p>
                    </w:tc>
                  </w:tr>
                  <w:tr>
                    <w:trPr>
                      <w:trHeight w:val="402" w:hRule="exact"/>
                    </w:trPr>
                    <w:tc>
                      <w:tcPr>
                        <w:tcW w:w="3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投资者适当性安排</w:t>
                        </w:r>
                      </w:p>
                    </w:tc>
                    <w:tc>
                      <w:tcPr>
                        <w:tcW w:w="616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辉煌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r>
                          <w:rPr>
                            <w:rFonts w:ascii="宋体" w:hAnsi="宋体" w:cs="宋体" w:eastAsia="宋体" w:hint="default"/>
                            <w:sz w:val="21"/>
                            <w:szCs w:val="21"/>
                          </w:rPr>
                          <w:t>附第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年末投资者回售选择权</w:t>
                        </w:r>
                      </w:p>
                    </w:tc>
                  </w:tr>
                  <w:tr>
                    <w:trPr>
                      <w:trHeight w:val="473" w:hRule="exact"/>
                    </w:trPr>
                    <w:tc>
                      <w:tcPr>
                        <w:tcW w:w="340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166" w:type="dxa"/>
                        <w:gridSpan w:val="5"/>
                        <w:vMerge w:val="restart"/>
                        <w:tcBorders>
                          <w:top w:val="single" w:sz="4" w:space="0" w:color="000000"/>
                          <w:left w:val="single" w:sz="9" w:space="0" w:color="D2D2D2"/>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公司已于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日前支付完毕</w:t>
                        </w:r>
                        <w:r>
                          <w:rPr>
                            <w:rFonts w:ascii="Times New Roman" w:hAnsi="Times New Roman" w:cs="Times New Roman" w:eastAsia="Times New Roman" w:hint="default"/>
                            <w:sz w:val="21"/>
                            <w:szCs w:val="21"/>
                          </w:rPr>
                          <w:t>"15 </w:t>
                        </w:r>
                        <w:r>
                          <w:rPr>
                            <w:rFonts w:ascii="宋体" w:hAnsi="宋体" w:cs="宋体" w:eastAsia="宋体" w:hint="default"/>
                            <w:sz w:val="21"/>
                            <w:szCs w:val="21"/>
                          </w:rPr>
                          <w:t>辉煌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宋体" w:hAnsi="宋体" w:cs="宋体" w:eastAsia="宋体" w:hint="default"/>
                            <w:sz w:val="21"/>
                            <w:szCs w:val="21"/>
                          </w:rPr>
                          <w:t>债券本金</w:t>
                        </w:r>
                      </w:p>
                      <w:p>
                        <w:pPr>
                          <w:pStyle w:val="TableParagraph"/>
                          <w:spacing w:line="240" w:lineRule="auto" w:before="20"/>
                          <w:ind w:left="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214,000,000.00</w:t>
                        </w:r>
                        <w:r>
                          <w:rPr>
                            <w:rFonts w:ascii="Times New Roman" w:hAnsi="Times New Roman" w:cs="Times New Roman" w:eastAsia="Times New Roman" w:hint="default"/>
                            <w:spacing w:val="-1"/>
                            <w:sz w:val="21"/>
                            <w:szCs w:val="21"/>
                          </w:rPr>
                          <w:t> </w:t>
                        </w:r>
                        <w:r>
                          <w:rPr>
                            <w:rFonts w:ascii="宋体" w:hAnsi="宋体" w:cs="宋体" w:eastAsia="宋体" w:hint="default"/>
                            <w:spacing w:val="-10"/>
                            <w:sz w:val="21"/>
                            <w:szCs w:val="21"/>
                          </w:rPr>
                          <w:t>元、利息</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19,260,000.00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元及手续费</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11,663.00</w:t>
                        </w:r>
                        <w:r>
                          <w:rPr>
                            <w:rFonts w:ascii="Times New Roman" w:hAnsi="Times New Roman" w:cs="Times New Roman" w:eastAsia="Times New Roman" w:hint="default"/>
                            <w:spacing w:val="50"/>
                            <w:sz w:val="21"/>
                            <w:szCs w:val="21"/>
                          </w:rPr>
                          <w:t> </w:t>
                        </w:r>
                        <w:r>
                          <w:rPr>
                            <w:rFonts w:ascii="宋体" w:hAnsi="宋体" w:cs="宋体" w:eastAsia="宋体" w:hint="default"/>
                            <w:spacing w:val="-27"/>
                            <w:sz w:val="21"/>
                            <w:szCs w:val="21"/>
                          </w:rPr>
                          <w:t>元，且</w:t>
                        </w:r>
                        <w:r>
                          <w:rPr>
                            <w:rFonts w:ascii="宋体" w:hAnsi="宋体" w:cs="宋体" w:eastAsia="宋体" w:hint="default"/>
                            <w:sz w:val="21"/>
                            <w:szCs w:val="21"/>
                          </w:rPr>
                        </w:r>
                      </w:p>
                      <w:p>
                        <w:pPr>
                          <w:pStyle w:val="TableParagraph"/>
                          <w:spacing w:line="259" w:lineRule="auto" w:before="21"/>
                          <w:ind w:left="16" w:right="20"/>
                          <w:jc w:val="left"/>
                          <w:rPr>
                            <w:rFonts w:ascii="宋体" w:hAnsi="宋体" w:cs="宋体" w:eastAsia="宋体" w:hint="default"/>
                            <w:sz w:val="21"/>
                            <w:szCs w:val="21"/>
                          </w:rPr>
                        </w:pPr>
                        <w:r>
                          <w:rPr>
                            <w:rFonts w:ascii="宋体" w:hAnsi="宋体" w:cs="宋体" w:eastAsia="宋体" w:hint="default"/>
                            <w:spacing w:val="-3"/>
                            <w:sz w:val="21"/>
                            <w:szCs w:val="21"/>
                          </w:rPr>
                          <w:t>已摘牌。详见巨潮资讯网《</w:t>
                        </w:r>
                        <w:r>
                          <w:rPr>
                            <w:rFonts w:ascii="Times New Roman" w:hAnsi="Times New Roman" w:cs="Times New Roman" w:eastAsia="Times New Roman" w:hint="default"/>
                            <w:spacing w:val="-3"/>
                            <w:sz w:val="21"/>
                            <w:szCs w:val="21"/>
                          </w:rPr>
                          <w:t>2015</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年公司债券（第一期）</w:t>
                        </w:r>
                        <w:r>
                          <w:rPr>
                            <w:rFonts w:ascii="Times New Roman" w:hAnsi="Times New Roman" w:cs="Times New Roman" w:eastAsia="Times New Roman" w:hint="default"/>
                            <w:spacing w:val="-4"/>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年兑付</w:t>
                        </w:r>
                        <w:r>
                          <w:rPr>
                            <w:rFonts w:ascii="宋体" w:hAnsi="宋体" w:cs="宋体" w:eastAsia="宋体" w:hint="default"/>
                            <w:spacing w:val="-103"/>
                            <w:sz w:val="21"/>
                            <w:szCs w:val="21"/>
                          </w:rPr>
                          <w:t> </w:t>
                        </w:r>
                        <w:r>
                          <w:rPr>
                            <w:rFonts w:ascii="宋体" w:hAnsi="宋体" w:cs="宋体" w:eastAsia="宋体" w:hint="default"/>
                            <w:spacing w:val="-16"/>
                            <w:sz w:val="21"/>
                            <w:szCs w:val="21"/>
                          </w:rPr>
                          <w:t>兑息公告暨摘牌公告》（</w:t>
                        </w:r>
                        <w:r>
                          <w:rPr>
                            <w:rFonts w:ascii="Times New Roman" w:hAnsi="Times New Roman" w:cs="Times New Roman" w:eastAsia="Times New Roman" w:hint="default"/>
                            <w:spacing w:val="-16"/>
                            <w:sz w:val="21"/>
                            <w:szCs w:val="21"/>
                          </w:rPr>
                          <w:t>2018-012</w:t>
                        </w:r>
                        <w:r>
                          <w:rPr>
                            <w:rFonts w:ascii="宋体" w:hAnsi="宋体" w:cs="宋体" w:eastAsia="宋体" w:hint="default"/>
                            <w:spacing w:val="-16"/>
                            <w:sz w:val="21"/>
                            <w:szCs w:val="21"/>
                          </w:rPr>
                          <w:t>）。</w:t>
                        </w:r>
                        <w:r>
                          <w:rPr>
                            <w:rFonts w:ascii="宋体" w:hAnsi="宋体" w:cs="宋体" w:eastAsia="宋体" w:hint="default"/>
                            <w:sz w:val="21"/>
                            <w:szCs w:val="21"/>
                          </w:rPr>
                        </w:r>
                      </w:p>
                    </w:tc>
                  </w:tr>
                  <w:tr>
                    <w:trPr>
                      <w:trHeight w:val="393" w:hRule="exact"/>
                    </w:trPr>
                    <w:tc>
                      <w:tcPr>
                        <w:tcW w:w="3402" w:type="dxa"/>
                        <w:gridSpan w:val="3"/>
                        <w:tcBorders>
                          <w:top w:val="nil" w:sz="6" w:space="0" w:color="auto"/>
                          <w:left w:val="single" w:sz="13" w:space="0" w:color="D2D2D2"/>
                          <w:bottom w:val="nil" w:sz="6" w:space="0" w:color="auto"/>
                          <w:right w:val="single" w:sz="13" w:space="0" w:color="D2D2D2"/>
                        </w:tcBorders>
                      </w:tcPr>
                      <w:p>
                        <w:pPr>
                          <w:pStyle w:val="TableParagraph"/>
                          <w:tabs>
                            <w:tab w:pos="3358" w:val="left" w:leader="none"/>
                          </w:tabs>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报告期内公司债券的付息兑付情况</w:t>
                          <w:tab/>
                        </w:r>
                        <w:r>
                          <w:rPr>
                            <w:rFonts w:ascii="宋体" w:hAnsi="宋体" w:cs="宋体" w:eastAsia="宋体" w:hint="default"/>
                            <w:sz w:val="21"/>
                            <w:szCs w:val="21"/>
                          </w:rPr>
                        </w:r>
                      </w:p>
                    </w:tc>
                    <w:tc>
                      <w:tcPr>
                        <w:tcW w:w="6166" w:type="dxa"/>
                        <w:gridSpan w:val="5"/>
                        <w:vMerge/>
                        <w:tcBorders>
                          <w:left w:val="single" w:sz="9" w:space="0" w:color="D2D2D2"/>
                          <w:right w:val="single" w:sz="4" w:space="0" w:color="000000"/>
                        </w:tcBorders>
                      </w:tcPr>
                      <w:p>
                        <w:pPr/>
                      </w:p>
                    </w:tc>
                  </w:tr>
                  <w:tr>
                    <w:trPr>
                      <w:trHeight w:val="473" w:hRule="exact"/>
                    </w:trPr>
                    <w:tc>
                      <w:tcPr>
                        <w:tcW w:w="340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166" w:type="dxa"/>
                        <w:gridSpan w:val="5"/>
                        <w:vMerge/>
                        <w:tcBorders>
                          <w:left w:val="single" w:sz="9" w:space="0" w:color="D2D2D2"/>
                          <w:bottom w:val="single" w:sz="4" w:space="0" w:color="000000"/>
                          <w:right w:val="single" w:sz="4" w:space="0" w:color="000000"/>
                        </w:tcBorders>
                      </w:tcPr>
                      <w:p>
                        <w:pPr/>
                      </w:p>
                    </w:tc>
                  </w:tr>
                  <w:tr>
                    <w:trPr>
                      <w:trHeight w:val="714" w:hRule="exact"/>
                    </w:trPr>
                    <w:tc>
                      <w:tcPr>
                        <w:tcW w:w="596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公司债券附发行人或投资者选择权条款、可交换条款等特殊条款 </w:t>
                        </w:r>
                        <w:r>
                          <w:rPr>
                            <w:rFonts w:ascii="宋体" w:hAnsi="宋体" w:cs="宋体" w:eastAsia="宋体" w:hint="default"/>
                            <w:spacing w:val="-5"/>
                            <w:sz w:val="21"/>
                            <w:szCs w:val="21"/>
                          </w:rPr>
                          <w:t>的，报告期内相关条款的执行情况（如适用）。</w:t>
                        </w:r>
                      </w:p>
                    </w:tc>
                    <w:tc>
                      <w:tcPr>
                        <w:tcW w:w="360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bookmarkStart w:name="二、债券受托管理人和资信评级机构信息" w:id="151"/>
      <w:bookmarkEnd w:id="151"/>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557"/>
        <w:gridCol w:w="635"/>
        <w:gridCol w:w="794"/>
        <w:gridCol w:w="544"/>
        <w:gridCol w:w="1713"/>
        <w:gridCol w:w="992"/>
        <w:gridCol w:w="284"/>
        <w:gridCol w:w="844"/>
        <w:gridCol w:w="819"/>
        <w:gridCol w:w="734"/>
        <w:gridCol w:w="1647"/>
      </w:tblGrid>
      <w:tr>
        <w:trPr>
          <w:trHeight w:val="397" w:hRule="exact"/>
        </w:trPr>
        <w:tc>
          <w:tcPr>
            <w:tcW w:w="956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r>
      <w:tr>
        <w:trPr>
          <w:trHeight w:val="166" w:hRule="exact"/>
        </w:trPr>
        <w:tc>
          <w:tcPr>
            <w:tcW w:w="5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9" w:type="dxa"/>
            <w:gridSpan w:val="2"/>
            <w:vMerge w:val="restart"/>
            <w:tcBorders>
              <w:top w:val="single" w:sz="4" w:space="0" w:color="000000"/>
              <w:left w:val="single" w:sz="9" w:space="0" w:color="D2D2D2"/>
              <w:right w:val="single" w:sz="13" w:space="0" w:color="D2D2D2"/>
            </w:tcBorders>
          </w:tcPr>
          <w:p>
            <w:pPr>
              <w:pStyle w:val="TableParagraph"/>
              <w:spacing w:line="273" w:lineRule="auto" w:before="30"/>
              <w:ind w:left="16" w:right="122"/>
              <w:jc w:val="left"/>
              <w:rPr>
                <w:rFonts w:ascii="宋体" w:hAnsi="宋体" w:cs="宋体" w:eastAsia="宋体" w:hint="default"/>
                <w:sz w:val="21"/>
                <w:szCs w:val="21"/>
              </w:rPr>
            </w:pPr>
            <w:r>
              <w:rPr>
                <w:rFonts w:ascii="宋体" w:hAnsi="宋体" w:cs="宋体" w:eastAsia="宋体" w:hint="default"/>
                <w:sz w:val="21"/>
                <w:szCs w:val="21"/>
              </w:rPr>
              <w:t>中原证券股份 有限公司</w:t>
            </w:r>
          </w:p>
        </w:tc>
        <w:tc>
          <w:tcPr>
            <w:tcW w:w="54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11" w:right="101"/>
              <w:jc w:val="left"/>
              <w:rPr>
                <w:rFonts w:ascii="宋体" w:hAnsi="宋体" w:cs="宋体" w:eastAsia="宋体" w:hint="default"/>
                <w:sz w:val="21"/>
                <w:szCs w:val="21"/>
              </w:rPr>
            </w:pPr>
            <w:r>
              <w:rPr>
                <w:rFonts w:ascii="宋体" w:hAnsi="宋体" w:cs="宋体" w:eastAsia="宋体" w:hint="default"/>
                <w:sz w:val="21"/>
                <w:szCs w:val="21"/>
              </w:rPr>
              <w:t>办公 地址</w:t>
            </w:r>
          </w:p>
        </w:tc>
        <w:tc>
          <w:tcPr>
            <w:tcW w:w="2990" w:type="dxa"/>
            <w:gridSpan w:val="3"/>
            <w:vMerge w:val="restart"/>
            <w:tcBorders>
              <w:top w:val="single" w:sz="4" w:space="0" w:color="000000"/>
              <w:left w:val="single" w:sz="13" w:space="0" w:color="D2D2D2"/>
              <w:right w:val="single" w:sz="9" w:space="0" w:color="D2D2D2"/>
            </w:tcBorders>
          </w:tcPr>
          <w:p>
            <w:pPr>
              <w:pStyle w:val="TableParagraph"/>
              <w:spacing w:line="273" w:lineRule="auto" w:before="30"/>
              <w:ind w:left="22" w:right="206"/>
              <w:jc w:val="left"/>
              <w:rPr>
                <w:rFonts w:ascii="宋体" w:hAnsi="宋体" w:cs="宋体" w:eastAsia="宋体" w:hint="default"/>
                <w:sz w:val="21"/>
                <w:szCs w:val="21"/>
              </w:rPr>
            </w:pPr>
            <w:r>
              <w:rPr>
                <w:rFonts w:ascii="宋体" w:hAnsi="宋体" w:cs="宋体" w:eastAsia="宋体" w:hint="default"/>
                <w:sz w:val="21"/>
                <w:szCs w:val="21"/>
              </w:rPr>
              <w:t>河南省郑州市郑东新区商务外 环路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号中原广发金融大厦</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9" w:type="dxa"/>
            <w:vMerge w:val="restart"/>
            <w:tcBorders>
              <w:top w:val="single" w:sz="4" w:space="0" w:color="000000"/>
              <w:left w:val="single" w:sz="10" w:space="0" w:color="D2D2D2"/>
              <w:right w:val="single" w:sz="13" w:space="0" w:color="D2D2D2"/>
            </w:tcBorders>
          </w:tcPr>
          <w:p>
            <w:pPr>
              <w:pStyle w:val="TableParagraph"/>
              <w:spacing w:line="273" w:lineRule="auto" w:before="30"/>
              <w:ind w:left="21" w:right="-33"/>
              <w:jc w:val="left"/>
              <w:rPr>
                <w:rFonts w:ascii="宋体" w:hAnsi="宋体" w:cs="宋体" w:eastAsia="宋体" w:hint="default"/>
                <w:sz w:val="21"/>
                <w:szCs w:val="21"/>
              </w:rPr>
            </w:pPr>
            <w:r>
              <w:rPr>
                <w:rFonts w:ascii="宋体" w:hAnsi="宋体" w:cs="宋体" w:eastAsia="宋体" w:hint="default"/>
                <w:spacing w:val="-10"/>
                <w:sz w:val="21"/>
                <w:szCs w:val="21"/>
              </w:rPr>
              <w:t>王风雷、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韩佳</w:t>
            </w:r>
          </w:p>
        </w:tc>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11" w:right="81"/>
              <w:jc w:val="left"/>
              <w:rPr>
                <w:rFonts w:ascii="宋体" w:hAnsi="宋体" w:cs="宋体" w:eastAsia="宋体" w:hint="default"/>
                <w:sz w:val="21"/>
                <w:szCs w:val="21"/>
              </w:rPr>
            </w:pPr>
            <w:r>
              <w:rPr>
                <w:rFonts w:ascii="宋体" w:hAnsi="宋体" w:cs="宋体" w:eastAsia="宋体" w:hint="default"/>
                <w:sz w:val="21"/>
                <w:szCs w:val="21"/>
              </w:rPr>
              <w:t>联系人 电话</w:t>
            </w:r>
          </w:p>
        </w:tc>
        <w:tc>
          <w:tcPr>
            <w:tcW w:w="1647" w:type="dxa"/>
            <w:vMerge w:val="restart"/>
            <w:tcBorders>
              <w:top w:val="single" w:sz="4" w:space="0" w:color="000000"/>
              <w:left w:val="single" w:sz="13" w:space="0" w:color="D2D2D2"/>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0371-65585033</w:t>
            </w:r>
          </w:p>
        </w:tc>
      </w:tr>
      <w:tr>
        <w:trPr>
          <w:trHeight w:val="392" w:hRule="exact"/>
        </w:trPr>
        <w:tc>
          <w:tcPr>
            <w:tcW w:w="5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429" w:type="dxa"/>
            <w:gridSpan w:val="2"/>
            <w:vMerge/>
            <w:tcBorders>
              <w:left w:val="single" w:sz="9" w:space="0" w:color="D2D2D2"/>
              <w:right w:val="single" w:sz="13" w:space="0" w:color="D2D2D2"/>
            </w:tcBorders>
          </w:tcPr>
          <w:p>
            <w:pPr/>
          </w:p>
        </w:tc>
        <w:tc>
          <w:tcPr>
            <w:tcW w:w="544" w:type="dxa"/>
            <w:vMerge/>
            <w:tcBorders>
              <w:left w:val="single" w:sz="4" w:space="0" w:color="000000"/>
              <w:right w:val="single" w:sz="4" w:space="0" w:color="000000"/>
            </w:tcBorders>
            <w:shd w:val="clear" w:color="auto" w:fill="D2D2D2"/>
          </w:tcPr>
          <w:p>
            <w:pPr/>
          </w:p>
        </w:tc>
        <w:tc>
          <w:tcPr>
            <w:tcW w:w="2990" w:type="dxa"/>
            <w:gridSpan w:val="3"/>
            <w:vMerge/>
            <w:tcBorders>
              <w:left w:val="single" w:sz="13" w:space="0" w:color="D2D2D2"/>
              <w:right w:val="single" w:sz="9" w:space="0" w:color="D2D2D2"/>
            </w:tcBorders>
          </w:tcPr>
          <w:p>
            <w:pPr/>
          </w:p>
        </w:tc>
        <w:tc>
          <w:tcPr>
            <w:tcW w:w="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819" w:type="dxa"/>
            <w:vMerge/>
            <w:tcBorders>
              <w:left w:val="single" w:sz="10" w:space="0" w:color="D2D2D2"/>
              <w:right w:val="single" w:sz="13" w:space="0" w:color="D2D2D2"/>
            </w:tcBorders>
          </w:tcPr>
          <w:p>
            <w:pPr/>
          </w:p>
        </w:tc>
        <w:tc>
          <w:tcPr>
            <w:tcW w:w="734" w:type="dxa"/>
            <w:vMerge/>
            <w:tcBorders>
              <w:left w:val="single" w:sz="4" w:space="0" w:color="000000"/>
              <w:right w:val="single" w:sz="4" w:space="0" w:color="000000"/>
            </w:tcBorders>
            <w:shd w:val="clear" w:color="auto" w:fill="D2D2D2"/>
          </w:tcPr>
          <w:p>
            <w:pPr/>
          </w:p>
        </w:tc>
        <w:tc>
          <w:tcPr>
            <w:tcW w:w="1647" w:type="dxa"/>
            <w:vMerge/>
            <w:tcBorders>
              <w:left w:val="single" w:sz="13" w:space="0" w:color="D2D2D2"/>
              <w:right w:val="single" w:sz="4" w:space="0" w:color="000000"/>
            </w:tcBorders>
          </w:tcPr>
          <w:p>
            <w:pPr/>
          </w:p>
        </w:tc>
      </w:tr>
      <w:tr>
        <w:trPr>
          <w:trHeight w:val="166" w:hRule="exact"/>
        </w:trPr>
        <w:tc>
          <w:tcPr>
            <w:tcW w:w="5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gridSpan w:val="2"/>
            <w:vMerge/>
            <w:tcBorders>
              <w:left w:val="single" w:sz="9" w:space="0" w:color="D2D2D2"/>
              <w:bottom w:val="single" w:sz="4" w:space="0" w:color="000000"/>
              <w:right w:val="single" w:sz="13" w:space="0" w:color="D2D2D2"/>
            </w:tcBorders>
          </w:tcPr>
          <w:p>
            <w:pPr/>
          </w:p>
        </w:tc>
        <w:tc>
          <w:tcPr>
            <w:tcW w:w="544" w:type="dxa"/>
            <w:vMerge/>
            <w:tcBorders>
              <w:left w:val="single" w:sz="4" w:space="0" w:color="000000"/>
              <w:bottom w:val="single" w:sz="4" w:space="0" w:color="000000"/>
              <w:right w:val="single" w:sz="4" w:space="0" w:color="000000"/>
            </w:tcBorders>
            <w:shd w:val="clear" w:color="auto" w:fill="D2D2D2"/>
          </w:tcPr>
          <w:p>
            <w:pPr/>
          </w:p>
        </w:tc>
        <w:tc>
          <w:tcPr>
            <w:tcW w:w="2990" w:type="dxa"/>
            <w:gridSpan w:val="3"/>
            <w:vMerge/>
            <w:tcBorders>
              <w:left w:val="single" w:sz="13" w:space="0" w:color="D2D2D2"/>
              <w:bottom w:val="single" w:sz="4" w:space="0" w:color="000000"/>
              <w:right w:val="single" w:sz="9" w:space="0" w:color="D2D2D2"/>
            </w:tcBorders>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9" w:type="dxa"/>
            <w:vMerge/>
            <w:tcBorders>
              <w:left w:val="single" w:sz="10" w:space="0" w:color="D2D2D2"/>
              <w:bottom w:val="single" w:sz="4" w:space="0" w:color="000000"/>
              <w:right w:val="single" w:sz="13" w:space="0" w:color="D2D2D2"/>
            </w:tcBorders>
          </w:tcPr>
          <w:p>
            <w:pPr/>
          </w:p>
        </w:tc>
        <w:tc>
          <w:tcPr>
            <w:tcW w:w="734" w:type="dxa"/>
            <w:vMerge/>
            <w:tcBorders>
              <w:left w:val="single" w:sz="4" w:space="0" w:color="000000"/>
              <w:bottom w:val="single" w:sz="4" w:space="0" w:color="000000"/>
              <w:right w:val="single" w:sz="4" w:space="0" w:color="000000"/>
            </w:tcBorders>
            <w:shd w:val="clear" w:color="auto" w:fill="D2D2D2"/>
          </w:tcPr>
          <w:p>
            <w:pPr/>
          </w:p>
        </w:tc>
        <w:tc>
          <w:tcPr>
            <w:tcW w:w="1647" w:type="dxa"/>
            <w:vMerge/>
            <w:tcBorders>
              <w:left w:val="single" w:sz="13" w:space="0" w:color="D2D2D2"/>
              <w:bottom w:val="single" w:sz="4" w:space="0" w:color="000000"/>
              <w:right w:val="single" w:sz="4" w:space="0" w:color="000000"/>
            </w:tcBorders>
          </w:tcPr>
          <w:p>
            <w:pPr/>
          </w:p>
        </w:tc>
      </w:tr>
      <w:tr>
        <w:trPr>
          <w:trHeight w:val="392" w:hRule="exact"/>
        </w:trPr>
        <w:tc>
          <w:tcPr>
            <w:tcW w:w="956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报告期内对公司债券进行跟踪评级的资信评级机构：</w:t>
            </w:r>
          </w:p>
        </w:tc>
      </w:tr>
      <w:tr>
        <w:trPr>
          <w:trHeight w:val="166" w:hRule="exact"/>
        </w:trPr>
        <w:tc>
          <w:tcPr>
            <w:tcW w:w="11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051" w:type="dxa"/>
            <w:gridSpan w:val="3"/>
            <w:vMerge w:val="restart"/>
            <w:tcBorders>
              <w:top w:val="single" w:sz="4" w:space="0" w:color="000000"/>
              <w:left w:val="single" w:sz="10" w:space="0" w:color="D2D2D2"/>
              <w:right w:val="single" w:sz="9" w:space="0" w:color="D2D2D2"/>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联合信用评级有限公司</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329" w:type="dxa"/>
            <w:gridSpan w:val="5"/>
            <w:vMerge w:val="restart"/>
            <w:tcBorders>
              <w:top w:val="single" w:sz="4" w:space="0" w:color="000000"/>
              <w:left w:val="single" w:sz="10" w:space="0" w:color="D2D2D2"/>
              <w:right w:val="single" w:sz="4" w:space="0" w:color="000000"/>
            </w:tcBorders>
          </w:tcPr>
          <w:p>
            <w:pPr>
              <w:pStyle w:val="TableParagraph"/>
              <w:spacing w:line="240" w:lineRule="auto" w:before="30"/>
              <w:ind w:left="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PICC</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p>
          <w:p>
            <w:pPr>
              <w:pStyle w:val="TableParagraph"/>
              <w:spacing w:line="240" w:lineRule="auto" w:before="22"/>
              <w:ind w:left="15" w:right="0"/>
              <w:jc w:val="left"/>
              <w:rPr>
                <w:rFonts w:ascii="宋体" w:hAnsi="宋体" w:cs="宋体" w:eastAsia="宋体" w:hint="default"/>
                <w:sz w:val="21"/>
                <w:szCs w:val="21"/>
              </w:rPr>
            </w:pPr>
            <w:r>
              <w:rPr>
                <w:rFonts w:ascii="宋体" w:hAnsi="宋体" w:cs="宋体" w:eastAsia="宋体" w:hint="default"/>
                <w:sz w:val="21"/>
                <w:szCs w:val="21"/>
              </w:rPr>
              <w:t>层</w:t>
            </w:r>
          </w:p>
        </w:tc>
      </w:tr>
      <w:tr>
        <w:trPr>
          <w:trHeight w:val="392" w:hRule="exact"/>
        </w:trPr>
        <w:tc>
          <w:tcPr>
            <w:tcW w:w="119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51" w:type="dxa"/>
            <w:gridSpan w:val="3"/>
            <w:vMerge/>
            <w:tcBorders>
              <w:left w:val="single" w:sz="10" w:space="0" w:color="D2D2D2"/>
              <w:right w:val="single" w:sz="9" w:space="0" w:color="D2D2D2"/>
            </w:tcBorders>
          </w:tcPr>
          <w:p>
            <w:pPr/>
          </w:p>
        </w:tc>
        <w:tc>
          <w:tcPr>
            <w:tcW w:w="992" w:type="dxa"/>
            <w:tcBorders>
              <w:top w:val="nil" w:sz="6" w:space="0" w:color="auto"/>
              <w:left w:val="single" w:sz="9" w:space="0" w:color="D2D2D2"/>
              <w:bottom w:val="nil" w:sz="6" w:space="0" w:color="auto"/>
              <w:right w:val="single" w:sz="13" w:space="0" w:color="D2D2D2"/>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办公地址</w:t>
            </w:r>
            <w:r>
              <w:rPr>
                <w:rFonts w:ascii="宋体" w:hAnsi="宋体" w:cs="宋体" w:eastAsia="宋体" w:hint="default"/>
                <w:sz w:val="21"/>
                <w:szCs w:val="21"/>
              </w:rPr>
            </w:r>
          </w:p>
        </w:tc>
        <w:tc>
          <w:tcPr>
            <w:tcW w:w="4329" w:type="dxa"/>
            <w:gridSpan w:val="5"/>
            <w:vMerge/>
            <w:tcBorders>
              <w:left w:val="single" w:sz="10" w:space="0" w:color="D2D2D2"/>
              <w:right w:val="single" w:sz="4" w:space="0" w:color="000000"/>
            </w:tcBorders>
          </w:tcPr>
          <w:p>
            <w:pPr/>
          </w:p>
        </w:tc>
      </w:tr>
      <w:tr>
        <w:trPr>
          <w:trHeight w:val="161" w:hRule="exact"/>
        </w:trPr>
        <w:tc>
          <w:tcPr>
            <w:tcW w:w="11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051" w:type="dxa"/>
            <w:gridSpan w:val="3"/>
            <w:vMerge/>
            <w:tcBorders>
              <w:left w:val="single" w:sz="10" w:space="0" w:color="D2D2D2"/>
              <w:bottom w:val="single" w:sz="4" w:space="0" w:color="000000"/>
              <w:right w:val="single" w:sz="9" w:space="0" w:color="D2D2D2"/>
            </w:tcBorders>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4329" w:type="dxa"/>
            <w:gridSpan w:val="5"/>
            <w:vMerge/>
            <w:tcBorders>
              <w:left w:val="single" w:sz="10" w:space="0" w:color="D2D2D2"/>
              <w:bottom w:val="single" w:sz="4" w:space="0" w:color="000000"/>
              <w:right w:val="single" w:sz="4" w:space="0" w:color="000000"/>
            </w:tcBorders>
          </w:tcPr>
          <w:p>
            <w:pPr/>
          </w:p>
        </w:tc>
      </w:tr>
      <w:tr>
        <w:trPr>
          <w:trHeight w:val="714" w:hRule="exact"/>
        </w:trPr>
        <w:tc>
          <w:tcPr>
            <w:tcW w:w="636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39"/>
              <w:jc w:val="left"/>
              <w:rPr>
                <w:rFonts w:ascii="宋体" w:hAnsi="宋体" w:cs="宋体" w:eastAsia="宋体" w:hint="default"/>
                <w:sz w:val="21"/>
                <w:szCs w:val="21"/>
              </w:rPr>
            </w:pPr>
            <w:r>
              <w:rPr>
                <w:rFonts w:ascii="宋体" w:hAnsi="宋体" w:cs="宋体" w:eastAsia="宋体" w:hint="default"/>
                <w:sz w:val="21"/>
                <w:szCs w:val="21"/>
              </w:rPr>
              <w:t>报告期内公司聘请的债券受托管理人、资信评级机构发生变更的，变 更的原因、履行的程序、对投资者利益的影响等（如适用）</w:t>
            </w:r>
          </w:p>
        </w:tc>
        <w:tc>
          <w:tcPr>
            <w:tcW w:w="320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bookmarkStart w:name="三、公司债券募集资金使用情况" w:id="152"/>
      <w:bookmarkEnd w:id="152"/>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74"/>
        <w:gridCol w:w="7595"/>
      </w:tblGrid>
      <w:tr>
        <w:trPr>
          <w:trHeight w:val="715"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49"/>
              <w:jc w:val="left"/>
              <w:rPr>
                <w:rFonts w:ascii="宋体" w:hAnsi="宋体" w:cs="宋体" w:eastAsia="宋体" w:hint="default"/>
                <w:sz w:val="21"/>
                <w:szCs w:val="21"/>
              </w:rPr>
            </w:pPr>
            <w:r>
              <w:rPr>
                <w:rFonts w:ascii="宋体" w:hAnsi="宋体" w:cs="宋体" w:eastAsia="宋体" w:hint="default"/>
                <w:sz w:val="21"/>
                <w:szCs w:val="21"/>
              </w:rPr>
              <w:t>公司债券募集资金使 用情况及履行的程序</w:t>
            </w:r>
          </w:p>
        </w:tc>
        <w:tc>
          <w:tcPr>
            <w:tcW w:w="7595" w:type="dxa"/>
            <w:tcBorders>
              <w:top w:val="single" w:sz="4" w:space="0" w:color="000000"/>
              <w:left w:val="single" w:sz="9" w:space="0" w:color="D2D2D2"/>
              <w:bottom w:val="single" w:sz="4" w:space="0" w:color="000000"/>
              <w:right w:val="single" w:sz="4" w:space="0" w:color="000000"/>
            </w:tcBorders>
          </w:tcPr>
          <w:p>
            <w:pPr>
              <w:pStyle w:val="TableParagraph"/>
              <w:spacing w:line="273" w:lineRule="auto" w:before="27"/>
              <w:ind w:left="27" w:right="-9"/>
              <w:jc w:val="left"/>
              <w:rPr>
                <w:rFonts w:ascii="宋体" w:hAnsi="宋体" w:cs="宋体" w:eastAsia="宋体" w:hint="default"/>
                <w:sz w:val="21"/>
                <w:szCs w:val="21"/>
              </w:rPr>
            </w:pPr>
            <w:r>
              <w:rPr>
                <w:rFonts w:ascii="宋体" w:hAnsi="宋体" w:cs="宋体" w:eastAsia="宋体" w:hint="default"/>
                <w:spacing w:val="-1"/>
                <w:sz w:val="21"/>
                <w:szCs w:val="21"/>
              </w:rPr>
              <w:t>根据《募集说明书》约定，本期公司债券募集资金用于补充流动资金。本期募集资</w:t>
            </w:r>
            <w:r>
              <w:rPr>
                <w:rFonts w:ascii="宋体" w:hAnsi="宋体" w:cs="宋体" w:eastAsia="宋体" w:hint="default"/>
                <w:sz w:val="21"/>
                <w:szCs w:val="21"/>
              </w:rPr>
              <w:t> 金的使用严格按照《募集说明书》约定的用途使用资金，并履行相应的审批程序。</w:t>
            </w:r>
          </w:p>
        </w:tc>
      </w:tr>
    </w:tbl>
    <w:p>
      <w:pPr>
        <w:spacing w:after="0" w:line="273"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1962"/>
        <w:gridCol w:w="4679"/>
        <w:gridCol w:w="2916"/>
      </w:tblGrid>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年末余额（万元）</w:t>
            </w:r>
          </w:p>
        </w:tc>
        <w:tc>
          <w:tcPr>
            <w:tcW w:w="759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473"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95" w:type="dxa"/>
            <w:gridSpan w:val="2"/>
            <w:vMerge w:val="restart"/>
            <w:tcBorders>
              <w:top w:val="single" w:sz="4" w:space="0" w:color="000000"/>
              <w:left w:val="single" w:sz="9" w:space="0" w:color="D2D2D2"/>
              <w:right w:val="single" w:sz="4" w:space="0" w:color="000000"/>
            </w:tcBorders>
          </w:tcPr>
          <w:p>
            <w:pPr>
              <w:pStyle w:val="TableParagraph"/>
              <w:spacing w:line="261" w:lineRule="auto" w:before="26"/>
              <w:ind w:left="27" w:right="22"/>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日开立公司债募集资金专户（平安银行郑州分行，账户 </w:t>
            </w:r>
            <w:r>
              <w:rPr>
                <w:rFonts w:ascii="Times New Roman" w:hAnsi="Times New Roman" w:cs="Times New Roman" w:eastAsia="Times New Roman" w:hint="default"/>
                <w:spacing w:val="-3"/>
                <w:sz w:val="21"/>
                <w:szCs w:val="21"/>
              </w:rPr>
              <w:t>11014740715777</w:t>
            </w:r>
            <w:r>
              <w:rPr>
                <w:rFonts w:ascii="宋体" w:hAnsi="宋体" w:cs="宋体" w:eastAsia="宋体" w:hint="default"/>
                <w:spacing w:val="-3"/>
                <w:sz w:val="21"/>
                <w:szCs w:val="21"/>
              </w:rPr>
              <w:t>）。根据相关规定，公司连同债券事务管理人中原证券股份有限公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司与平安银行股份有限公司郑州分行，于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日签订《募集资金三方监 </w:t>
            </w:r>
            <w:r>
              <w:rPr>
                <w:rFonts w:ascii="宋体" w:hAnsi="宋体" w:cs="宋体" w:eastAsia="宋体" w:hint="default"/>
                <w:spacing w:val="-3"/>
                <w:sz w:val="21"/>
                <w:szCs w:val="21"/>
              </w:rPr>
              <w:t>管协议》，明确了各方的权利和义务。三方监管协议与深圳证券交易所三方监管协</w:t>
            </w:r>
            <w:r>
              <w:rPr>
                <w:rFonts w:ascii="宋体" w:hAnsi="宋体" w:cs="宋体" w:eastAsia="宋体" w:hint="default"/>
                <w:sz w:val="21"/>
                <w:szCs w:val="21"/>
              </w:rPr>
              <w:t> 议范本不存在重大差异，各方均严格履行三方监管协议。</w:t>
            </w:r>
          </w:p>
        </w:tc>
      </w:tr>
      <w:tr>
        <w:trPr>
          <w:trHeight w:val="705" w:hRule="exact"/>
        </w:trPr>
        <w:tc>
          <w:tcPr>
            <w:tcW w:w="19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11" w:right="49"/>
              <w:jc w:val="left"/>
              <w:rPr>
                <w:rFonts w:ascii="宋体" w:hAnsi="宋体" w:cs="宋体" w:eastAsia="宋体" w:hint="default"/>
                <w:sz w:val="21"/>
                <w:szCs w:val="21"/>
              </w:rPr>
            </w:pPr>
            <w:r>
              <w:rPr>
                <w:rFonts w:ascii="宋体" w:hAnsi="宋体" w:cs="宋体" w:eastAsia="宋体" w:hint="default"/>
                <w:sz w:val="21"/>
                <w:szCs w:val="21"/>
              </w:rPr>
              <w:t>募集资金专项账户运 作情况</w:t>
            </w:r>
          </w:p>
        </w:tc>
        <w:tc>
          <w:tcPr>
            <w:tcW w:w="7595" w:type="dxa"/>
            <w:gridSpan w:val="2"/>
            <w:vMerge/>
            <w:tcBorders>
              <w:left w:val="single" w:sz="9" w:space="0" w:color="D2D2D2"/>
              <w:right w:val="single" w:sz="4" w:space="0" w:color="000000"/>
            </w:tcBorders>
          </w:tcPr>
          <w:p>
            <w:pPr/>
          </w:p>
        </w:tc>
      </w:tr>
      <w:tr>
        <w:trPr>
          <w:trHeight w:val="473"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95" w:type="dxa"/>
            <w:gridSpan w:val="2"/>
            <w:vMerge/>
            <w:tcBorders>
              <w:left w:val="single" w:sz="9" w:space="0" w:color="D2D2D2"/>
              <w:bottom w:val="single" w:sz="4" w:space="0" w:color="000000"/>
              <w:right w:val="single" w:sz="4" w:space="0" w:color="000000"/>
            </w:tcBorders>
          </w:tcPr>
          <w:p>
            <w:pPr/>
          </w:p>
        </w:tc>
      </w:tr>
      <w:tr>
        <w:trPr>
          <w:trHeight w:val="402" w:hRule="exact"/>
        </w:trPr>
        <w:tc>
          <w:tcPr>
            <w:tcW w:w="66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募集资金使用是否与募集说明书承诺的用途、使用计划及其他约定一致</w:t>
            </w:r>
          </w:p>
        </w:tc>
        <w:tc>
          <w:tcPr>
            <w:tcW w:w="2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2"/>
        <w:rPr>
          <w:rFonts w:ascii="宋体" w:hAnsi="宋体" w:cs="宋体" w:eastAsia="宋体" w:hint="default"/>
          <w:b/>
          <w:bCs/>
          <w:sz w:val="18"/>
          <w:szCs w:val="18"/>
        </w:rPr>
      </w:pPr>
    </w:p>
    <w:p>
      <w:pPr>
        <w:spacing w:line="564" w:lineRule="auto" w:before="26"/>
        <w:ind w:left="636" w:right="6190" w:hanging="483"/>
        <w:jc w:val="left"/>
        <w:rPr>
          <w:rFonts w:ascii="宋体" w:hAnsi="宋体" w:cs="宋体" w:eastAsia="宋体" w:hint="default"/>
          <w:sz w:val="24"/>
          <w:szCs w:val="24"/>
        </w:rPr>
      </w:pPr>
      <w:bookmarkStart w:name="四、公司债券信息评级情况" w:id="153"/>
      <w:bookmarkEnd w:id="153"/>
      <w:r>
        <w:rPr/>
      </w:r>
      <w:r>
        <w:rPr>
          <w:rFonts w:ascii="宋体" w:hAnsi="宋体" w:cs="宋体" w:eastAsia="宋体" w:hint="default"/>
          <w:b/>
          <w:bCs/>
          <w:sz w:val="24"/>
          <w:szCs w:val="24"/>
        </w:rPr>
        <w:t>四、公司债券信息评级情况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报告期内，公司无债券信息评级情况。</w:t>
      </w:r>
    </w:p>
    <w:p>
      <w:pPr>
        <w:pStyle w:val="Heading2"/>
        <w:spacing w:line="312" w:lineRule="exact" w:before="0"/>
        <w:ind w:right="0"/>
        <w:jc w:val="left"/>
        <w:rPr>
          <w:b w:val="0"/>
          <w:bCs w:val="0"/>
        </w:rPr>
      </w:pPr>
      <w:bookmarkStart w:name="五、 公司债券增信机制、偿债计划及其他偿债保障措施" w:id="154"/>
      <w:bookmarkEnd w:id="154"/>
      <w:r>
        <w:rPr>
          <w:b w:val="0"/>
          <w:bCs w:val="0"/>
        </w:rPr>
      </w:r>
      <w:r>
        <w:rPr/>
        <w:t>五、</w:t>
      </w:r>
      <w:r>
        <w:rPr>
          <w:spacing w:val="-22"/>
        </w:rPr>
        <w:t> </w:t>
      </w:r>
      <w:r>
        <w:rPr/>
        <w:t>公司债券增信机制、偿债计划及其他偿债保障措施</w:t>
      </w:r>
      <w:r>
        <w:rPr>
          <w:b w:val="0"/>
          <w:bCs w:val="0"/>
        </w:rPr>
      </w:r>
    </w:p>
    <w:p>
      <w:pPr>
        <w:spacing w:line="240" w:lineRule="auto" w:before="5"/>
        <w:rPr>
          <w:rFonts w:ascii="宋体" w:hAnsi="宋体" w:cs="宋体" w:eastAsia="宋体" w:hint="default"/>
          <w:b/>
          <w:bCs/>
          <w:sz w:val="32"/>
          <w:szCs w:val="32"/>
        </w:rPr>
      </w:pPr>
    </w:p>
    <w:p>
      <w:pPr>
        <w:pStyle w:val="BodyText"/>
        <w:spacing w:line="350" w:lineRule="auto" w:before="0"/>
        <w:ind w:right="1150" w:firstLine="482"/>
        <w:jc w:val="left"/>
      </w:pPr>
      <w:r>
        <w:rPr/>
        <w:t>公司本期债券不存在增信机制，本期债券偿债计划及其他偿债保障措施在报告期内未发 生变更。</w:t>
      </w:r>
    </w:p>
    <w:p>
      <w:pPr>
        <w:pStyle w:val="BodyText"/>
        <w:spacing w:line="240" w:lineRule="auto" w:before="35"/>
        <w:ind w:left="636" w:right="0"/>
        <w:jc w:val="left"/>
      </w:pPr>
      <w:r>
        <w:rPr/>
        <w:t>（</w:t>
      </w:r>
      <w:r>
        <w:rPr>
          <w:rFonts w:ascii="宋体" w:hAnsi="宋体" w:cs="宋体" w:eastAsia="宋体" w:hint="default"/>
        </w:rPr>
        <w:t>1</w:t>
      </w:r>
      <w:r>
        <w:rPr/>
        <w:t>）偿债计划</w:t>
      </w:r>
    </w:p>
    <w:p>
      <w:pPr>
        <w:pStyle w:val="BodyText"/>
        <w:spacing w:line="240" w:lineRule="auto" w:before="146"/>
        <w:ind w:left="636" w:right="0"/>
        <w:jc w:val="left"/>
      </w:pPr>
      <w:r>
        <w:rPr/>
        <w:t>① 利息的支付</w:t>
      </w:r>
    </w:p>
    <w:p>
      <w:pPr>
        <w:pStyle w:val="BodyText"/>
        <w:spacing w:line="240" w:lineRule="auto" w:before="145"/>
        <w:ind w:left="636" w:right="0"/>
        <w:jc w:val="left"/>
      </w:pPr>
      <w:r>
        <w:rPr>
          <w:rFonts w:ascii="宋体" w:hAnsi="宋体" w:cs="宋体" w:eastAsia="宋体" w:hint="default"/>
          <w:spacing w:val="-3"/>
        </w:rPr>
        <w:t>a</w:t>
      </w:r>
      <w:r>
        <w:rPr>
          <w:spacing w:val="-3"/>
        </w:rPr>
        <w:t>、本次债券在存续期内每年付息</w:t>
      </w:r>
      <w:r>
        <w:rPr>
          <w:spacing w:val="-59"/>
        </w:rPr>
        <w:t> </w:t>
      </w:r>
      <w:r>
        <w:rPr>
          <w:rFonts w:ascii="宋体" w:hAnsi="宋体" w:cs="宋体" w:eastAsia="宋体" w:hint="default"/>
        </w:rPr>
        <w:t>1</w:t>
      </w:r>
      <w:r>
        <w:rPr>
          <w:rFonts w:ascii="宋体" w:hAnsi="宋体" w:cs="宋体" w:eastAsia="宋体" w:hint="default"/>
          <w:spacing w:val="-59"/>
        </w:rPr>
        <w:t> </w:t>
      </w:r>
      <w:r>
        <w:rPr>
          <w:spacing w:val="-4"/>
        </w:rPr>
        <w:t>次，本期债券的付息日期为</w:t>
      </w:r>
      <w:r>
        <w:rPr>
          <w:spacing w:val="-59"/>
        </w:rPr>
        <w:t> </w:t>
      </w:r>
      <w:r>
        <w:rPr>
          <w:rFonts w:ascii="宋体" w:hAnsi="宋体" w:cs="宋体" w:eastAsia="宋体" w:hint="default"/>
        </w:rPr>
        <w:t>2016</w:t>
      </w:r>
      <w:r>
        <w:rPr>
          <w:rFonts w:ascii="宋体" w:hAnsi="宋体" w:cs="宋体" w:eastAsia="宋体" w:hint="default"/>
          <w:spacing w:val="-59"/>
        </w:rPr>
        <w:t> </w:t>
      </w:r>
      <w:r>
        <w:rPr/>
        <w:t>年至</w:t>
      </w:r>
      <w:r>
        <w:rPr>
          <w:spacing w:val="-59"/>
        </w:rPr>
        <w:t> </w:t>
      </w:r>
      <w:r>
        <w:rPr>
          <w:rFonts w:ascii="宋体" w:hAnsi="宋体" w:cs="宋体" w:eastAsia="宋体" w:hint="default"/>
        </w:rPr>
        <w:t>2018</w:t>
      </w:r>
      <w:r>
        <w:rPr>
          <w:rFonts w:ascii="宋体" w:hAnsi="宋体" w:cs="宋体" w:eastAsia="宋体" w:hint="default"/>
          <w:spacing w:val="-59"/>
        </w:rPr>
        <w:t> </w:t>
      </w:r>
      <w:r>
        <w:rPr/>
        <w:t>年每年的</w:t>
      </w:r>
    </w:p>
    <w:p>
      <w:pPr>
        <w:pStyle w:val="BodyText"/>
        <w:spacing w:line="240" w:lineRule="auto" w:before="146"/>
        <w:ind w:right="0"/>
        <w:jc w:val="left"/>
      </w:pP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日，如遇法定节假日或休息日，则顺延至其后的第</w:t>
      </w:r>
      <w:r>
        <w:rPr>
          <w:spacing w:val="-60"/>
        </w:rPr>
        <w:t> </w:t>
      </w:r>
      <w:r>
        <w:rPr>
          <w:rFonts w:ascii="宋体" w:hAnsi="宋体" w:cs="宋体" w:eastAsia="宋体" w:hint="default"/>
        </w:rPr>
        <w:t>1</w:t>
      </w:r>
      <w:r>
        <w:rPr>
          <w:rFonts w:ascii="宋体" w:hAnsi="宋体" w:cs="宋体" w:eastAsia="宋体" w:hint="default"/>
          <w:spacing w:val="-60"/>
        </w:rPr>
        <w:t> </w:t>
      </w:r>
      <w:r>
        <w:rPr/>
        <w:t>个工作日；每次付息款项不另计</w:t>
      </w:r>
    </w:p>
    <w:p>
      <w:pPr>
        <w:pStyle w:val="BodyText"/>
        <w:spacing w:line="240" w:lineRule="auto" w:before="146"/>
        <w:ind w:right="0"/>
        <w:jc w:val="left"/>
      </w:pPr>
      <w:r>
        <w:rPr/>
        <w:t>利息。如投资者行使回售选择权，则其回售部分债券的付息日为 </w:t>
      </w:r>
      <w:r>
        <w:rPr>
          <w:rFonts w:ascii="宋体" w:hAnsi="宋体" w:cs="宋体" w:eastAsia="宋体" w:hint="default"/>
        </w:rPr>
        <w:t>2016 </w:t>
      </w:r>
      <w:r>
        <w:rPr/>
        <w:t>年至 </w:t>
      </w:r>
      <w:r>
        <w:rPr>
          <w:rFonts w:ascii="宋体" w:hAnsi="宋体" w:cs="宋体" w:eastAsia="宋体" w:hint="default"/>
        </w:rPr>
        <w:t>2017 </w:t>
      </w:r>
      <w:r>
        <w:rPr/>
        <w:t>年每年的</w:t>
      </w:r>
    </w:p>
    <w:p>
      <w:pPr>
        <w:pStyle w:val="BodyText"/>
        <w:spacing w:line="350" w:lineRule="auto" w:before="145"/>
        <w:ind w:right="1118"/>
        <w:jc w:val="left"/>
      </w:pPr>
      <w:r>
        <w:rPr>
          <w:rFonts w:ascii="宋体" w:hAnsi="宋体" w:cs="宋体" w:eastAsia="宋体" w:hint="default"/>
        </w:rPr>
        <w:t>3</w:t>
      </w:r>
      <w:r>
        <w:rPr>
          <w:rFonts w:ascii="宋体" w:hAnsi="宋体" w:cs="宋体" w:eastAsia="宋体" w:hint="default"/>
          <w:spacing w:val="-64"/>
        </w:rPr>
        <w:t> </w:t>
      </w:r>
      <w:r>
        <w:rPr/>
        <w:t>月</w:t>
      </w:r>
      <w:r>
        <w:rPr>
          <w:spacing w:val="-64"/>
        </w:rPr>
        <w:t> </w:t>
      </w:r>
      <w:r>
        <w:rPr>
          <w:rFonts w:ascii="宋体" w:hAnsi="宋体" w:cs="宋体" w:eastAsia="宋体" w:hint="default"/>
        </w:rPr>
        <w:t>4</w:t>
      </w:r>
      <w:r>
        <w:rPr>
          <w:rFonts w:ascii="宋体" w:hAnsi="宋体" w:cs="宋体" w:eastAsia="宋体" w:hint="default"/>
          <w:spacing w:val="-64"/>
        </w:rPr>
        <w:t> </w:t>
      </w:r>
      <w:r>
        <w:rPr/>
        <w:t>日（如遇法定及政府指定节假日或休息日，则顺延至其后的第</w:t>
      </w:r>
      <w:r>
        <w:rPr>
          <w:spacing w:val="-7"/>
        </w:rPr>
        <w:t> </w:t>
      </w:r>
      <w:r>
        <w:rPr>
          <w:rFonts w:ascii="宋体" w:hAnsi="宋体" w:cs="宋体" w:eastAsia="宋体" w:hint="default"/>
        </w:rPr>
        <w:t>1</w:t>
      </w:r>
      <w:r>
        <w:rPr>
          <w:rFonts w:ascii="宋体" w:hAnsi="宋体" w:cs="宋体" w:eastAsia="宋体" w:hint="default"/>
          <w:spacing w:val="-7"/>
        </w:rPr>
        <w:t> </w:t>
      </w:r>
      <w:r>
        <w:rPr/>
        <w:t>个工作日；顺延期间 </w:t>
      </w:r>
      <w:r>
        <w:rPr>
          <w:spacing w:val="-11"/>
        </w:rPr>
        <w:t>付息款项不另计利息）。</w:t>
      </w:r>
    </w:p>
    <w:p>
      <w:pPr>
        <w:pStyle w:val="BodyText"/>
        <w:spacing w:line="350" w:lineRule="auto"/>
        <w:ind w:right="0" w:firstLine="482"/>
        <w:jc w:val="left"/>
      </w:pPr>
      <w:r>
        <w:rPr>
          <w:rFonts w:ascii="宋体" w:hAnsi="宋体" w:cs="宋体" w:eastAsia="宋体" w:hint="default"/>
          <w:spacing w:val="-3"/>
        </w:rPr>
        <w:t>b</w:t>
      </w:r>
      <w:r>
        <w:rPr>
          <w:spacing w:val="-3"/>
        </w:rPr>
        <w:t>、债券利息的支付通过登记机构和有关机构办理。利息支付的具体事项将按照国家有关</w:t>
      </w:r>
      <w:r>
        <w:rPr/>
        <w:t> 规定，由发行人在中国证监会指定媒体上发布的付息公告中加以说明。</w:t>
      </w:r>
    </w:p>
    <w:p>
      <w:pPr>
        <w:pStyle w:val="BodyText"/>
        <w:spacing w:line="352" w:lineRule="auto" w:before="35"/>
        <w:ind w:left="636" w:right="1115"/>
        <w:jc w:val="left"/>
        <w:rPr>
          <w:rFonts w:ascii="宋体" w:hAnsi="宋体" w:cs="宋体" w:eastAsia="宋体" w:hint="default"/>
        </w:rPr>
      </w:pPr>
      <w:r>
        <w:rPr>
          <w:rFonts w:ascii="宋体" w:hAnsi="宋体" w:cs="宋体" w:eastAsia="宋体" w:hint="default"/>
        </w:rPr>
        <w:t>c</w:t>
      </w:r>
      <w:r>
        <w:rPr/>
        <w:t>、根据国家税收法律、法规，投资者投资本期债券应缴纳的有关税金由其自行承担。 </w:t>
      </w:r>
      <w:r>
        <w:rPr>
          <w:rFonts w:ascii="宋体" w:hAnsi="宋体" w:cs="宋体" w:eastAsia="宋体" w:hint="default"/>
        </w:rPr>
        <w:t>2016</w:t>
      </w:r>
      <w:r>
        <w:rPr>
          <w:rFonts w:ascii="宋体" w:hAnsi="宋体" w:cs="宋体" w:eastAsia="宋体" w:hint="default"/>
          <w:spacing w:val="-58"/>
        </w:rPr>
        <w:t> </w:t>
      </w:r>
      <w:r>
        <w:rPr/>
        <w:t>年</w:t>
      </w:r>
      <w:r>
        <w:rPr>
          <w:spacing w:val="-58"/>
        </w:rPr>
        <w:t> </w:t>
      </w:r>
      <w:r>
        <w:rPr>
          <w:rFonts w:ascii="宋体" w:hAnsi="宋体" w:cs="宋体" w:eastAsia="宋体" w:hint="default"/>
        </w:rPr>
        <w:t>2</w:t>
      </w:r>
      <w:r>
        <w:rPr>
          <w:rFonts w:ascii="宋体" w:hAnsi="宋体" w:cs="宋体" w:eastAsia="宋体" w:hint="default"/>
          <w:spacing w:val="-58"/>
        </w:rPr>
        <w:t> </w:t>
      </w:r>
      <w:r>
        <w:rPr/>
        <w:t>月</w:t>
      </w:r>
      <w:r>
        <w:rPr>
          <w:spacing w:val="-58"/>
        </w:rPr>
        <w:t> </w:t>
      </w:r>
      <w:r>
        <w:rPr>
          <w:rFonts w:ascii="宋体" w:hAnsi="宋体" w:cs="宋体" w:eastAsia="宋体" w:hint="default"/>
        </w:rPr>
        <w:t>27</w:t>
      </w:r>
      <w:r>
        <w:rPr>
          <w:rFonts w:ascii="宋体" w:hAnsi="宋体" w:cs="宋体" w:eastAsia="宋体" w:hint="default"/>
          <w:spacing w:val="-58"/>
        </w:rPr>
        <w:t> </w:t>
      </w:r>
      <w:r>
        <w:rPr>
          <w:spacing w:val="-13"/>
        </w:rPr>
        <w:t>日，公司发布《“</w:t>
      </w:r>
      <w:r>
        <w:rPr>
          <w:rFonts w:ascii="宋体" w:hAnsi="宋体" w:cs="宋体" w:eastAsia="宋体" w:hint="default"/>
          <w:spacing w:val="-13"/>
        </w:rPr>
        <w:t>15</w:t>
      </w:r>
      <w:r>
        <w:rPr>
          <w:rFonts w:ascii="宋体" w:hAnsi="宋体" w:cs="宋体" w:eastAsia="宋体" w:hint="default"/>
          <w:spacing w:val="-58"/>
        </w:rPr>
        <w:t> </w:t>
      </w:r>
      <w:r>
        <w:rPr/>
        <w:t>辉煌</w:t>
      </w:r>
      <w:r>
        <w:rPr>
          <w:spacing w:val="-58"/>
        </w:rPr>
        <w:t> </w:t>
      </w:r>
      <w:r>
        <w:rPr>
          <w:rFonts w:ascii="宋体" w:hAnsi="宋体" w:cs="宋体" w:eastAsia="宋体" w:hint="default"/>
          <w:spacing w:val="-1"/>
        </w:rPr>
        <w:t>01</w:t>
      </w:r>
      <w:r>
        <w:rPr>
          <w:spacing w:val="-1"/>
        </w:rPr>
        <w:t>”</w:t>
      </w:r>
      <w:r>
        <w:rPr>
          <w:rFonts w:ascii="宋体" w:hAnsi="宋体" w:cs="宋体" w:eastAsia="宋体" w:hint="default"/>
          <w:spacing w:val="-1"/>
        </w:rPr>
        <w:t>2016</w:t>
      </w:r>
      <w:r>
        <w:rPr>
          <w:rFonts w:ascii="宋体" w:hAnsi="宋体" w:cs="宋体" w:eastAsia="宋体" w:hint="default"/>
          <w:spacing w:val="-58"/>
        </w:rPr>
        <w:t> </w:t>
      </w:r>
      <w:r>
        <w:rPr>
          <w:spacing w:val="-14"/>
        </w:rPr>
        <w:t>年付息公告》（</w:t>
      </w:r>
      <w:r>
        <w:rPr>
          <w:rFonts w:ascii="宋体" w:hAnsi="宋体" w:cs="宋体" w:eastAsia="宋体" w:hint="default"/>
          <w:spacing w:val="-14"/>
        </w:rPr>
        <w:t>2016-010</w:t>
      </w:r>
      <w:r>
        <w:rPr>
          <w:spacing w:val="-14"/>
        </w:rPr>
        <w:t>），并于</w:t>
      </w:r>
      <w:r>
        <w:rPr>
          <w:spacing w:val="-58"/>
        </w:rPr>
        <w:t> </w:t>
      </w:r>
      <w:r>
        <w:rPr>
          <w:rFonts w:ascii="宋体" w:hAnsi="宋体" w:cs="宋体" w:eastAsia="宋体" w:hint="default"/>
        </w:rPr>
        <w:t>2016</w:t>
      </w:r>
    </w:p>
    <w:p>
      <w:pPr>
        <w:pStyle w:val="BodyText"/>
        <w:spacing w:line="240" w:lineRule="auto" w:before="32"/>
        <w:ind w:right="0"/>
        <w:jc w:val="left"/>
      </w:pP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日支付完毕“</w:t>
      </w:r>
      <w:r>
        <w:rPr>
          <w:rFonts w:ascii="宋体" w:hAnsi="宋体" w:cs="宋体" w:eastAsia="宋体" w:hint="default"/>
        </w:rPr>
        <w:t>15</w:t>
      </w:r>
      <w:r>
        <w:rPr>
          <w:rFonts w:ascii="宋体" w:hAnsi="宋体" w:cs="宋体" w:eastAsia="宋体" w:hint="default"/>
          <w:spacing w:val="-60"/>
        </w:rPr>
        <w:t> </w:t>
      </w:r>
      <w:r>
        <w:rPr/>
        <w:t>辉煌</w:t>
      </w:r>
      <w:r>
        <w:rPr>
          <w:spacing w:val="-60"/>
        </w:rPr>
        <w:t> </w:t>
      </w:r>
      <w:r>
        <w:rPr>
          <w:rFonts w:ascii="宋体" w:hAnsi="宋体" w:cs="宋体" w:eastAsia="宋体" w:hint="default"/>
        </w:rPr>
        <w:t>01</w:t>
      </w:r>
      <w:r>
        <w:rPr/>
        <w:t>”当期利息</w:t>
      </w:r>
      <w:r>
        <w:rPr>
          <w:spacing w:val="-60"/>
        </w:rPr>
        <w:t> </w:t>
      </w:r>
      <w:r>
        <w:rPr>
          <w:rFonts w:ascii="宋体" w:hAnsi="宋体" w:cs="宋体" w:eastAsia="宋体" w:hint="default"/>
        </w:rPr>
        <w:t>22,500,000</w:t>
      </w:r>
      <w:r>
        <w:rPr>
          <w:rFonts w:ascii="宋体" w:hAnsi="宋体" w:cs="宋体" w:eastAsia="宋体" w:hint="default"/>
          <w:spacing w:val="-60"/>
        </w:rPr>
        <w:t> </w:t>
      </w:r>
      <w:r>
        <w:rPr/>
        <w:t>元。</w:t>
      </w:r>
    </w:p>
    <w:p>
      <w:pPr>
        <w:pStyle w:val="BodyText"/>
        <w:spacing w:line="240" w:lineRule="auto" w:before="145"/>
        <w:ind w:left="636" w:right="0"/>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w:t>
      </w:r>
      <w:r>
        <w:rPr>
          <w:spacing w:val="-5"/>
        </w:rPr>
        <w:t>，</w:t>
      </w:r>
      <w:r>
        <w:rPr/>
        <w:t>公司发</w:t>
      </w:r>
      <w:r>
        <w:rPr>
          <w:spacing w:val="-5"/>
        </w:rPr>
        <w:t>布</w:t>
      </w:r>
      <w:r>
        <w:rPr>
          <w:spacing w:val="-120"/>
        </w:rPr>
        <w:t>《</w:t>
      </w:r>
      <w:r>
        <w:rPr/>
        <w:t>“</w:t>
      </w:r>
      <w:r>
        <w:rPr>
          <w:rFonts w:ascii="宋体" w:hAnsi="宋体" w:cs="宋体" w:eastAsia="宋体" w:hint="default"/>
        </w:rPr>
        <w:t>15</w:t>
      </w:r>
      <w:r>
        <w:rPr>
          <w:rFonts w:ascii="宋体" w:hAnsi="宋体" w:cs="宋体" w:eastAsia="宋体" w:hint="default"/>
          <w:spacing w:val="-60"/>
        </w:rPr>
        <w:t> </w:t>
      </w:r>
      <w:r>
        <w:rPr/>
        <w:t>辉煌</w:t>
      </w:r>
      <w:r>
        <w:rPr>
          <w:spacing w:val="-60"/>
        </w:rPr>
        <w:t> </w:t>
      </w:r>
      <w:r>
        <w:rPr>
          <w:rFonts w:ascii="宋体" w:hAnsi="宋体" w:cs="宋体" w:eastAsia="宋体" w:hint="default"/>
        </w:rPr>
        <w:t>01</w:t>
      </w:r>
      <w:r>
        <w:rPr>
          <w:spacing w:val="-5"/>
        </w:rPr>
        <w:t>”</w:t>
      </w:r>
      <w:r>
        <w:rPr>
          <w:rFonts w:ascii="宋体" w:hAnsi="宋体" w:cs="宋体" w:eastAsia="宋体" w:hint="default"/>
        </w:rPr>
        <w:t>2017</w:t>
      </w:r>
      <w:r>
        <w:rPr>
          <w:rFonts w:ascii="宋体" w:hAnsi="宋体" w:cs="宋体" w:eastAsia="宋体" w:hint="default"/>
          <w:spacing w:val="-60"/>
        </w:rPr>
        <w:t> </w:t>
      </w:r>
      <w:r>
        <w:rPr/>
        <w:t>年付息公告</w:t>
      </w:r>
      <w:r>
        <w:rPr>
          <w:spacing w:val="-125"/>
        </w:rPr>
        <w:t>》</w:t>
      </w:r>
      <w:r>
        <w:rPr/>
        <w:t>（</w:t>
      </w:r>
      <w:r>
        <w:rPr>
          <w:rFonts w:ascii="宋体" w:hAnsi="宋体" w:cs="宋体" w:eastAsia="宋体" w:hint="default"/>
        </w:rPr>
        <w:t>2017-015</w:t>
      </w:r>
      <w:r>
        <w:rPr>
          <w:spacing w:val="-120"/>
        </w:rPr>
        <w:t>）</w:t>
      </w:r>
      <w:r>
        <w:rPr>
          <w:spacing w:val="-5"/>
        </w:rPr>
        <w:t>，</w:t>
      </w:r>
      <w:r>
        <w:rPr/>
        <w:t>并于</w:t>
      </w:r>
      <w:r>
        <w:rPr>
          <w:spacing w:val="-60"/>
        </w:rPr>
        <w:t> </w:t>
      </w:r>
      <w:r>
        <w:rPr>
          <w:rFonts w:ascii="宋体" w:hAnsi="宋体" w:cs="宋体" w:eastAsia="宋体" w:hint="default"/>
        </w:rPr>
        <w:t>2017</w:t>
      </w:r>
    </w:p>
    <w:p>
      <w:pPr>
        <w:pStyle w:val="BodyText"/>
        <w:spacing w:line="240" w:lineRule="auto" w:before="146"/>
        <w:ind w:right="0"/>
        <w:jc w:val="left"/>
      </w:pP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日支付完毕“</w:t>
      </w:r>
      <w:r>
        <w:rPr>
          <w:rFonts w:ascii="宋体" w:hAnsi="宋体" w:cs="宋体" w:eastAsia="宋体" w:hint="default"/>
        </w:rPr>
        <w:t>15</w:t>
      </w:r>
      <w:r>
        <w:rPr>
          <w:rFonts w:ascii="宋体" w:hAnsi="宋体" w:cs="宋体" w:eastAsia="宋体" w:hint="default"/>
          <w:spacing w:val="-60"/>
        </w:rPr>
        <w:t> </w:t>
      </w:r>
      <w:r>
        <w:rPr/>
        <w:t>辉煌</w:t>
      </w:r>
      <w:r>
        <w:rPr>
          <w:spacing w:val="-60"/>
        </w:rPr>
        <w:t> </w:t>
      </w:r>
      <w:r>
        <w:rPr>
          <w:rFonts w:ascii="宋体" w:hAnsi="宋体" w:cs="宋体" w:eastAsia="宋体" w:hint="default"/>
        </w:rPr>
        <w:t>01</w:t>
      </w:r>
      <w:r>
        <w:rPr/>
        <w:t>”当期利息</w:t>
      </w:r>
      <w:r>
        <w:rPr>
          <w:spacing w:val="-60"/>
        </w:rPr>
        <w:t> </w:t>
      </w:r>
      <w:r>
        <w:rPr>
          <w:rFonts w:ascii="宋体" w:hAnsi="宋体" w:cs="宋体" w:eastAsia="宋体" w:hint="default"/>
        </w:rPr>
        <w:t>22,500,000</w:t>
      </w:r>
      <w:r>
        <w:rPr>
          <w:rFonts w:ascii="宋体" w:hAnsi="宋体" w:cs="宋体" w:eastAsia="宋体" w:hint="default"/>
          <w:spacing w:val="-60"/>
        </w:rPr>
        <w:t> </w:t>
      </w:r>
      <w:r>
        <w:rPr/>
        <w:t>元。</w:t>
      </w:r>
    </w:p>
    <w:p>
      <w:pPr>
        <w:pStyle w:val="BodyText"/>
        <w:spacing w:line="240" w:lineRule="auto" w:before="145"/>
        <w:ind w:left="636" w:right="0"/>
        <w:jc w:val="left"/>
      </w:pPr>
      <w:r>
        <w:rPr>
          <w:rFonts w:ascii="宋体" w:hAnsi="宋体" w:cs="宋体" w:eastAsia="宋体" w:hint="default"/>
        </w:rPr>
        <w:t>2018</w:t>
      </w:r>
      <w:r>
        <w:rPr>
          <w:rFonts w:ascii="宋体" w:hAnsi="宋体" w:cs="宋体" w:eastAsia="宋体" w:hint="default"/>
          <w:spacing w:val="-64"/>
        </w:rPr>
        <w:t> </w:t>
      </w:r>
      <w:r>
        <w:rPr/>
        <w:t>年</w:t>
      </w:r>
      <w:r>
        <w:rPr>
          <w:spacing w:val="-64"/>
        </w:rPr>
        <w:t> </w:t>
      </w:r>
      <w:r>
        <w:rPr>
          <w:rFonts w:ascii="宋体" w:hAnsi="宋体" w:cs="宋体" w:eastAsia="宋体" w:hint="default"/>
        </w:rPr>
        <w:t>2</w:t>
      </w:r>
      <w:r>
        <w:rPr>
          <w:rFonts w:ascii="宋体" w:hAnsi="宋体" w:cs="宋体" w:eastAsia="宋体" w:hint="default"/>
          <w:spacing w:val="-64"/>
        </w:rPr>
        <w:t> </w:t>
      </w:r>
      <w:r>
        <w:rPr/>
        <w:t>月</w:t>
      </w:r>
      <w:r>
        <w:rPr>
          <w:spacing w:val="-64"/>
        </w:rPr>
        <w:t> </w:t>
      </w:r>
      <w:r>
        <w:rPr>
          <w:rFonts w:ascii="宋体" w:hAnsi="宋体" w:cs="宋体" w:eastAsia="宋体" w:hint="default"/>
        </w:rPr>
        <w:t>27</w:t>
      </w:r>
      <w:r>
        <w:rPr>
          <w:rFonts w:ascii="宋体" w:hAnsi="宋体" w:cs="宋体" w:eastAsia="宋体" w:hint="default"/>
          <w:spacing w:val="-64"/>
        </w:rPr>
        <w:t> </w:t>
      </w:r>
      <w:r>
        <w:rPr/>
        <w:t>日，公司发布《</w:t>
      </w:r>
      <w:r>
        <w:rPr>
          <w:rFonts w:ascii="宋体" w:hAnsi="宋体" w:cs="宋体" w:eastAsia="宋体" w:hint="default"/>
        </w:rPr>
        <w:t>2015</w:t>
      </w:r>
      <w:r>
        <w:rPr>
          <w:rFonts w:ascii="宋体" w:hAnsi="宋体" w:cs="宋体" w:eastAsia="宋体" w:hint="default"/>
          <w:spacing w:val="-64"/>
        </w:rPr>
        <w:t> </w:t>
      </w:r>
      <w:r>
        <w:rPr/>
        <w:t>年公司债券（第一期）</w:t>
      </w:r>
      <w:r>
        <w:rPr>
          <w:rFonts w:ascii="宋体" w:hAnsi="宋体" w:cs="宋体" w:eastAsia="宋体" w:hint="default"/>
        </w:rPr>
        <w:t>2018</w:t>
      </w:r>
      <w:r>
        <w:rPr>
          <w:rFonts w:ascii="宋体" w:hAnsi="宋体" w:cs="宋体" w:eastAsia="宋体" w:hint="default"/>
          <w:spacing w:val="-64"/>
        </w:rPr>
        <w:t> </w:t>
      </w:r>
      <w:r>
        <w:rPr/>
        <w:t>年兑付兑息公告暨摘牌</w:t>
      </w:r>
    </w:p>
    <w:p>
      <w:pPr>
        <w:pStyle w:val="BodyText"/>
        <w:spacing w:line="352" w:lineRule="auto" w:before="146"/>
        <w:ind w:right="1122"/>
        <w:jc w:val="left"/>
      </w:pPr>
      <w:r>
        <w:rPr>
          <w:spacing w:val="-26"/>
        </w:rPr>
        <w:t>公告》（</w:t>
      </w:r>
      <w:r>
        <w:rPr>
          <w:rFonts w:ascii="宋体" w:hAnsi="宋体" w:cs="宋体" w:eastAsia="宋体" w:hint="default"/>
          <w:spacing w:val="-26"/>
        </w:rPr>
        <w:t>2018-012</w:t>
      </w:r>
      <w:r>
        <w:rPr>
          <w:spacing w:val="-26"/>
        </w:rPr>
        <w:t>），并已于</w:t>
      </w:r>
      <w:r>
        <w:rPr>
          <w:spacing w:val="-59"/>
        </w:rPr>
        <w:t> </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5</w:t>
      </w:r>
      <w:r>
        <w:rPr>
          <w:rFonts w:ascii="宋体" w:hAnsi="宋体" w:cs="宋体" w:eastAsia="宋体" w:hint="default"/>
          <w:spacing w:val="-59"/>
        </w:rPr>
        <w:t> </w:t>
      </w:r>
      <w:r>
        <w:rPr>
          <w:spacing w:val="-11"/>
        </w:rPr>
        <w:t>日前支付完毕“</w:t>
      </w:r>
      <w:r>
        <w:rPr>
          <w:rFonts w:ascii="宋体" w:hAnsi="宋体" w:cs="宋体" w:eastAsia="宋体" w:hint="default"/>
          <w:spacing w:val="-11"/>
        </w:rPr>
        <w:t>15</w:t>
      </w:r>
      <w:r>
        <w:rPr>
          <w:rFonts w:ascii="宋体" w:hAnsi="宋体" w:cs="宋体" w:eastAsia="宋体" w:hint="default"/>
          <w:spacing w:val="-59"/>
        </w:rPr>
        <w:t> </w:t>
      </w:r>
      <w:r>
        <w:rPr/>
        <w:t>辉煌</w:t>
      </w:r>
      <w:r>
        <w:rPr>
          <w:spacing w:val="-59"/>
        </w:rPr>
        <w:t> </w:t>
      </w:r>
      <w:r>
        <w:rPr>
          <w:rFonts w:ascii="宋体" w:hAnsi="宋体" w:cs="宋体" w:eastAsia="宋体" w:hint="default"/>
          <w:spacing w:val="-14"/>
        </w:rPr>
        <w:t>01</w:t>
      </w:r>
      <w:r>
        <w:rPr>
          <w:spacing w:val="-14"/>
        </w:rPr>
        <w:t>”当期利息</w:t>
      </w:r>
      <w:r>
        <w:rPr>
          <w:spacing w:val="-59"/>
        </w:rPr>
        <w:t> </w:t>
      </w:r>
      <w:r>
        <w:rPr>
          <w:rFonts w:ascii="宋体" w:hAnsi="宋体" w:cs="宋体" w:eastAsia="宋体" w:hint="default"/>
        </w:rPr>
        <w:t>19,260,000.00 </w:t>
      </w:r>
      <w:r>
        <w:rPr/>
        <w:t>元。</w:t>
      </w:r>
    </w:p>
    <w:p>
      <w:pPr>
        <w:pStyle w:val="BodyText"/>
        <w:spacing w:line="240" w:lineRule="auto" w:before="32"/>
        <w:ind w:left="636" w:right="0"/>
        <w:jc w:val="left"/>
      </w:pPr>
      <w:r>
        <w:rPr/>
        <w:t>② 本金的兑付</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636" w:right="0"/>
        <w:jc w:val="left"/>
      </w:pPr>
      <w:r>
        <w:rPr>
          <w:rFonts w:ascii="宋体" w:hAnsi="宋体" w:cs="宋体" w:eastAsia="宋体" w:hint="default"/>
        </w:rPr>
        <w:t>a</w:t>
      </w:r>
      <w:r>
        <w:rPr/>
        <w:t>、本次债券到期一次还本，本期债券的兑付日期为</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日，如遇法定节假日</w:t>
      </w:r>
    </w:p>
    <w:p>
      <w:pPr>
        <w:pStyle w:val="BodyText"/>
        <w:spacing w:line="240" w:lineRule="auto" w:before="145"/>
        <w:ind w:right="0"/>
        <w:jc w:val="left"/>
      </w:pPr>
      <w:r>
        <w:rPr/>
        <w:t>或休息日，则顺延至其后的第</w:t>
      </w:r>
      <w:r>
        <w:rPr>
          <w:spacing w:val="-60"/>
        </w:rPr>
        <w:t> </w:t>
      </w:r>
      <w:r>
        <w:rPr>
          <w:rFonts w:ascii="宋体" w:hAnsi="宋体" w:cs="宋体" w:eastAsia="宋体" w:hint="default"/>
        </w:rPr>
        <w:t>1</w:t>
      </w:r>
      <w:r>
        <w:rPr>
          <w:rFonts w:ascii="宋体" w:hAnsi="宋体" w:cs="宋体" w:eastAsia="宋体" w:hint="default"/>
          <w:spacing w:val="-60"/>
        </w:rPr>
        <w:t> </w:t>
      </w:r>
      <w:r>
        <w:rPr/>
        <w:t>个工作日；顺延期间兑付款项不另计利息。如投资者行使回</w:t>
      </w:r>
    </w:p>
    <w:p>
      <w:pPr>
        <w:pStyle w:val="BodyText"/>
        <w:spacing w:line="240" w:lineRule="auto" w:before="146"/>
        <w:ind w:right="0"/>
        <w:jc w:val="left"/>
      </w:pPr>
      <w:r>
        <w:rPr/>
        <w:t>售选择权，则其回售部分债券的兑付日为 </w:t>
      </w:r>
      <w:r>
        <w:rPr>
          <w:rFonts w:ascii="宋体" w:hAnsi="宋体" w:cs="宋体" w:eastAsia="宋体" w:hint="default"/>
        </w:rPr>
        <w:t>2017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日（如遇法定及政府指定节假日或</w:t>
      </w:r>
    </w:p>
    <w:p>
      <w:pPr>
        <w:pStyle w:val="BodyText"/>
        <w:spacing w:line="350" w:lineRule="auto" w:before="146"/>
        <w:ind w:left="636" w:right="0" w:hanging="483"/>
        <w:jc w:val="left"/>
      </w:pPr>
      <w:r>
        <w:rPr/>
        <w:t>休息日，则顺延至其后的第 </w:t>
      </w:r>
      <w:r>
        <w:rPr>
          <w:rFonts w:ascii="宋体" w:hAnsi="宋体" w:cs="宋体" w:eastAsia="宋体" w:hint="default"/>
        </w:rPr>
        <w:t>1 </w:t>
      </w:r>
      <w:r>
        <w:rPr>
          <w:spacing w:val="-6"/>
        </w:rPr>
        <w:t>个工作日；顺延期间兑付款项不另计利息）。</w:t>
      </w:r>
      <w:r>
        <w:rPr/>
        <w:t> </w:t>
      </w:r>
      <w:r>
        <w:rPr>
          <w:rFonts w:ascii="宋体" w:hAnsi="宋体" w:cs="宋体" w:eastAsia="宋体" w:hint="default"/>
          <w:spacing w:val="-3"/>
        </w:rPr>
        <w:t>b</w:t>
      </w:r>
      <w:r>
        <w:rPr>
          <w:spacing w:val="-3"/>
        </w:rPr>
        <w:t>、本期债券的本金兑付通过登记机构和有关机构办理。本金兑付的具体事项将按照国家</w:t>
      </w:r>
    </w:p>
    <w:p>
      <w:pPr>
        <w:pStyle w:val="BodyText"/>
        <w:spacing w:line="240" w:lineRule="auto"/>
        <w:ind w:right="0"/>
        <w:jc w:val="left"/>
      </w:pPr>
      <w:r>
        <w:rPr/>
        <w:t>有关规定，由发行人在中国证监会指定媒体上发布的兑付公告中加以说明。</w:t>
      </w:r>
    </w:p>
    <w:p>
      <w:pPr>
        <w:pStyle w:val="BodyText"/>
        <w:spacing w:line="240" w:lineRule="auto" w:before="145"/>
        <w:ind w:left="636" w:right="0"/>
        <w:jc w:val="left"/>
      </w:pPr>
      <w:r>
        <w:rPr>
          <w:rFonts w:ascii="宋体" w:hAnsi="宋体" w:cs="宋体" w:eastAsia="宋体" w:hint="default"/>
        </w:rPr>
        <w:t>2017</w:t>
      </w:r>
      <w:r>
        <w:rPr>
          <w:rFonts w:ascii="宋体" w:hAnsi="宋体" w:cs="宋体" w:eastAsia="宋体" w:hint="default"/>
          <w:spacing w:val="-80"/>
        </w:rPr>
        <w:t> </w:t>
      </w:r>
      <w:r>
        <w:rPr/>
        <w:t>年</w:t>
      </w:r>
      <w:r>
        <w:rPr>
          <w:spacing w:val="-81"/>
        </w:rPr>
        <w:t> </w:t>
      </w:r>
      <w:r>
        <w:rPr>
          <w:rFonts w:ascii="宋体" w:hAnsi="宋体" w:cs="宋体" w:eastAsia="宋体" w:hint="default"/>
        </w:rPr>
        <w:t>2</w:t>
      </w:r>
      <w:r>
        <w:rPr>
          <w:rFonts w:ascii="宋体" w:hAnsi="宋体" w:cs="宋体" w:eastAsia="宋体" w:hint="default"/>
          <w:spacing w:val="-81"/>
        </w:rPr>
        <w:t> </w:t>
      </w:r>
      <w:r>
        <w:rPr/>
        <w:t>月</w:t>
      </w:r>
      <w:r>
        <w:rPr>
          <w:spacing w:val="-81"/>
        </w:rPr>
        <w:t> </w:t>
      </w:r>
      <w:r>
        <w:rPr>
          <w:rFonts w:ascii="宋体" w:hAnsi="宋体" w:cs="宋体" w:eastAsia="宋体" w:hint="default"/>
        </w:rPr>
        <w:t>9</w:t>
      </w:r>
      <w:r>
        <w:rPr>
          <w:rFonts w:ascii="宋体" w:hAnsi="宋体" w:cs="宋体" w:eastAsia="宋体" w:hint="default"/>
          <w:spacing w:val="-81"/>
        </w:rPr>
        <w:t> </w:t>
      </w:r>
      <w:r>
        <w:rPr/>
        <w:t>日</w:t>
      </w:r>
      <w:r>
        <w:rPr>
          <w:spacing w:val="-120"/>
        </w:rPr>
        <w:t>，</w:t>
      </w:r>
      <w:r>
        <w:rPr/>
        <w:t>公司发</w:t>
      </w:r>
      <w:r>
        <w:rPr>
          <w:spacing w:val="-120"/>
        </w:rPr>
        <w:t>布</w:t>
      </w:r>
      <w:r>
        <w:rPr/>
        <w:t>《关</w:t>
      </w:r>
      <w:r>
        <w:rPr>
          <w:spacing w:val="-120"/>
        </w:rPr>
        <w:t>于</w:t>
      </w:r>
      <w:r>
        <w:rPr/>
        <w:t>“</w:t>
      </w:r>
      <w:r>
        <w:rPr>
          <w:rFonts w:ascii="宋体" w:hAnsi="宋体" w:cs="宋体" w:eastAsia="宋体" w:hint="default"/>
        </w:rPr>
        <w:t>15</w:t>
      </w:r>
      <w:r>
        <w:rPr>
          <w:rFonts w:ascii="宋体" w:hAnsi="宋体" w:cs="宋体" w:eastAsia="宋体" w:hint="default"/>
          <w:spacing w:val="-81"/>
        </w:rPr>
        <w:t> </w:t>
      </w:r>
      <w:r>
        <w:rPr/>
        <w:t>辉煌</w:t>
      </w:r>
      <w:r>
        <w:rPr>
          <w:spacing w:val="-81"/>
        </w:rPr>
        <w:t> </w:t>
      </w:r>
      <w:r>
        <w:rPr>
          <w:rFonts w:ascii="宋体" w:hAnsi="宋体" w:cs="宋体" w:eastAsia="宋体" w:hint="default"/>
        </w:rPr>
        <w:t>01</w:t>
      </w:r>
      <w:r>
        <w:rPr>
          <w:spacing w:val="-120"/>
        </w:rPr>
        <w:t>”</w:t>
      </w:r>
      <w:r>
        <w:rPr/>
        <w:t>公司债券回售申报情况的公告</w:t>
      </w:r>
      <w:r>
        <w:rPr>
          <w:spacing w:val="-240"/>
        </w:rPr>
        <w:t>》</w:t>
      </w:r>
      <w:r>
        <w:rPr/>
        <w:t>（</w:t>
      </w:r>
      <w:r>
        <w:rPr>
          <w:rFonts w:ascii="宋体" w:hAnsi="宋体" w:cs="宋体" w:eastAsia="宋体" w:hint="default"/>
        </w:rPr>
        <w:t>2017-010</w:t>
      </w:r>
      <w:r>
        <w:rPr>
          <w:spacing w:val="-120"/>
        </w:rPr>
        <w:t>），</w:t>
      </w:r>
      <w:r>
        <w:rPr/>
      </w:r>
    </w:p>
    <w:p>
      <w:pPr>
        <w:pStyle w:val="BodyText"/>
        <w:spacing w:line="352" w:lineRule="auto" w:before="145"/>
        <w:ind w:right="1152"/>
        <w:jc w:val="left"/>
      </w:pPr>
      <w:r>
        <w:rPr/>
        <w:t>并于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日支付完毕“</w:t>
      </w:r>
      <w:r>
        <w:rPr>
          <w:rFonts w:ascii="宋体" w:hAnsi="宋体" w:cs="宋体" w:eastAsia="宋体" w:hint="default"/>
        </w:rPr>
        <w:t>15</w:t>
      </w:r>
      <w:r>
        <w:rPr>
          <w:rFonts w:ascii="宋体" w:hAnsi="宋体" w:cs="宋体" w:eastAsia="宋体" w:hint="default"/>
          <w:spacing w:val="-60"/>
        </w:rPr>
        <w:t> </w:t>
      </w:r>
      <w:r>
        <w:rPr/>
        <w:t>辉煌</w:t>
      </w:r>
      <w:r>
        <w:rPr>
          <w:spacing w:val="-60"/>
        </w:rPr>
        <w:t> </w:t>
      </w:r>
      <w:r>
        <w:rPr>
          <w:rFonts w:ascii="宋体" w:hAnsi="宋体" w:cs="宋体" w:eastAsia="宋体" w:hint="default"/>
        </w:rPr>
        <w:t>01</w:t>
      </w:r>
      <w:r>
        <w:rPr/>
        <w:t>”发行</w:t>
      </w:r>
      <w:r>
        <w:rPr>
          <w:spacing w:val="-60"/>
        </w:rPr>
        <w:t> </w:t>
      </w:r>
      <w:r>
        <w:rPr>
          <w:rFonts w:ascii="宋体" w:hAnsi="宋体" w:cs="宋体" w:eastAsia="宋体" w:hint="default"/>
        </w:rPr>
        <w:t>2</w:t>
      </w:r>
      <w:r>
        <w:rPr>
          <w:rFonts w:ascii="宋体" w:hAnsi="宋体" w:cs="宋体" w:eastAsia="宋体" w:hint="default"/>
          <w:spacing w:val="-60"/>
        </w:rPr>
        <w:t> </w:t>
      </w:r>
      <w:r>
        <w:rPr/>
        <w:t>年末投资者的回售款</w:t>
      </w:r>
      <w:r>
        <w:rPr>
          <w:spacing w:val="-60"/>
        </w:rPr>
        <w:t> </w:t>
      </w:r>
      <w:r>
        <w:rPr>
          <w:rFonts w:ascii="宋体" w:hAnsi="宋体" w:cs="宋体" w:eastAsia="宋体" w:hint="default"/>
        </w:rPr>
        <w:t>3,600</w:t>
      </w:r>
      <w:r>
        <w:rPr>
          <w:rFonts w:ascii="宋体" w:hAnsi="宋体" w:cs="宋体" w:eastAsia="宋体" w:hint="default"/>
          <w:spacing w:val="-60"/>
        </w:rPr>
        <w:t> </w:t>
      </w:r>
      <w:r>
        <w:rPr/>
        <w:t>万元。</w:t>
      </w:r>
      <w:r>
        <w:rPr>
          <w:rFonts w:ascii="宋体" w:hAnsi="宋体" w:cs="宋体" w:eastAsia="宋体" w:hint="default"/>
        </w:rPr>
        <w:t>2017 </w:t>
      </w:r>
      <w:r>
        <w:rPr/>
        <w:t>年</w:t>
      </w:r>
      <w:r>
        <w:rPr>
          <w:spacing w:val="-57"/>
        </w:rPr>
        <w:t> </w:t>
      </w:r>
      <w:r>
        <w:rPr>
          <w:rFonts w:ascii="宋体" w:hAnsi="宋体" w:cs="宋体" w:eastAsia="宋体" w:hint="default"/>
        </w:rPr>
        <w:t>3</w:t>
      </w:r>
      <w:r>
        <w:rPr>
          <w:rFonts w:ascii="宋体" w:hAnsi="宋体" w:cs="宋体" w:eastAsia="宋体" w:hint="default"/>
          <w:spacing w:val="-57"/>
        </w:rPr>
        <w:t> </w:t>
      </w:r>
      <w:r>
        <w:rPr/>
        <w:t>月</w:t>
      </w:r>
      <w:r>
        <w:rPr>
          <w:spacing w:val="-57"/>
        </w:rPr>
        <w:t> </w:t>
      </w:r>
      <w:r>
        <w:rPr>
          <w:rFonts w:ascii="宋体" w:hAnsi="宋体" w:cs="宋体" w:eastAsia="宋体" w:hint="default"/>
        </w:rPr>
        <w:t>3</w:t>
      </w:r>
      <w:r>
        <w:rPr>
          <w:rFonts w:ascii="宋体" w:hAnsi="宋体" w:cs="宋体" w:eastAsia="宋体" w:hint="default"/>
          <w:spacing w:val="-57"/>
        </w:rPr>
        <w:t> </w:t>
      </w:r>
      <w:r>
        <w:rPr/>
        <w:t>日，公司发布《关于“</w:t>
      </w:r>
      <w:r>
        <w:rPr>
          <w:rFonts w:ascii="宋体" w:hAnsi="宋体" w:cs="宋体" w:eastAsia="宋体" w:hint="default"/>
        </w:rPr>
        <w:t>15</w:t>
      </w:r>
      <w:r>
        <w:rPr>
          <w:rFonts w:ascii="宋体" w:hAnsi="宋体" w:cs="宋体" w:eastAsia="宋体" w:hint="default"/>
          <w:spacing w:val="-57"/>
        </w:rPr>
        <w:t> </w:t>
      </w:r>
      <w:r>
        <w:rPr/>
        <w:t>辉煌</w:t>
      </w:r>
      <w:r>
        <w:rPr>
          <w:spacing w:val="-57"/>
        </w:rPr>
        <w:t> </w:t>
      </w:r>
      <w:r>
        <w:rPr>
          <w:rFonts w:ascii="宋体" w:hAnsi="宋体" w:cs="宋体" w:eastAsia="宋体" w:hint="default"/>
          <w:spacing w:val="-10"/>
        </w:rPr>
        <w:t>01</w:t>
      </w:r>
      <w:r>
        <w:rPr>
          <w:spacing w:val="-10"/>
        </w:rPr>
        <w:t>”公司债券回售结果的公告》</w:t>
      </w:r>
      <w:r>
        <w:rPr>
          <w:rFonts w:ascii="宋体" w:hAnsi="宋体" w:cs="宋体" w:eastAsia="宋体" w:hint="default"/>
          <w:spacing w:val="-10"/>
        </w:rPr>
        <w:t>(2017-018</w:t>
      </w:r>
      <w:r>
        <w:rPr>
          <w:spacing w:val="-10"/>
        </w:rPr>
        <w:t>）。</w:t>
      </w:r>
      <w:r>
        <w:rPr/>
      </w:r>
    </w:p>
    <w:p>
      <w:pPr>
        <w:pStyle w:val="BodyText"/>
        <w:spacing w:line="240" w:lineRule="auto" w:before="32"/>
        <w:ind w:left="636" w:right="0"/>
        <w:jc w:val="left"/>
      </w:pPr>
      <w:r>
        <w:rPr>
          <w:rFonts w:ascii="宋体" w:hAnsi="宋体" w:cs="宋体" w:eastAsia="宋体" w:hint="default"/>
        </w:rPr>
        <w:t>2018</w:t>
      </w:r>
      <w:r>
        <w:rPr>
          <w:rFonts w:ascii="宋体" w:hAnsi="宋体" w:cs="宋体" w:eastAsia="宋体" w:hint="default"/>
          <w:spacing w:val="-64"/>
        </w:rPr>
        <w:t> </w:t>
      </w:r>
      <w:r>
        <w:rPr/>
        <w:t>年</w:t>
      </w:r>
      <w:r>
        <w:rPr>
          <w:spacing w:val="-64"/>
        </w:rPr>
        <w:t> </w:t>
      </w:r>
      <w:r>
        <w:rPr>
          <w:rFonts w:ascii="宋体" w:hAnsi="宋体" w:cs="宋体" w:eastAsia="宋体" w:hint="default"/>
        </w:rPr>
        <w:t>2</w:t>
      </w:r>
      <w:r>
        <w:rPr>
          <w:rFonts w:ascii="宋体" w:hAnsi="宋体" w:cs="宋体" w:eastAsia="宋体" w:hint="default"/>
          <w:spacing w:val="-64"/>
        </w:rPr>
        <w:t> </w:t>
      </w:r>
      <w:r>
        <w:rPr/>
        <w:t>月</w:t>
      </w:r>
      <w:r>
        <w:rPr>
          <w:spacing w:val="-64"/>
        </w:rPr>
        <w:t> </w:t>
      </w:r>
      <w:r>
        <w:rPr>
          <w:rFonts w:ascii="宋体" w:hAnsi="宋体" w:cs="宋体" w:eastAsia="宋体" w:hint="default"/>
        </w:rPr>
        <w:t>27</w:t>
      </w:r>
      <w:r>
        <w:rPr>
          <w:rFonts w:ascii="宋体" w:hAnsi="宋体" w:cs="宋体" w:eastAsia="宋体" w:hint="default"/>
          <w:spacing w:val="-64"/>
        </w:rPr>
        <w:t> </w:t>
      </w:r>
      <w:r>
        <w:rPr/>
        <w:t>日，公司发布《</w:t>
      </w:r>
      <w:r>
        <w:rPr>
          <w:rFonts w:ascii="宋体" w:hAnsi="宋体" w:cs="宋体" w:eastAsia="宋体" w:hint="default"/>
        </w:rPr>
        <w:t>2015</w:t>
      </w:r>
      <w:r>
        <w:rPr>
          <w:rFonts w:ascii="宋体" w:hAnsi="宋体" w:cs="宋体" w:eastAsia="宋体" w:hint="default"/>
          <w:spacing w:val="-64"/>
        </w:rPr>
        <w:t> </w:t>
      </w:r>
      <w:r>
        <w:rPr/>
        <w:t>年公司债券（第一期）</w:t>
      </w:r>
      <w:r>
        <w:rPr>
          <w:rFonts w:ascii="宋体" w:hAnsi="宋体" w:cs="宋体" w:eastAsia="宋体" w:hint="default"/>
        </w:rPr>
        <w:t>2018</w:t>
      </w:r>
      <w:r>
        <w:rPr>
          <w:rFonts w:ascii="宋体" w:hAnsi="宋体" w:cs="宋体" w:eastAsia="宋体" w:hint="default"/>
          <w:spacing w:val="-64"/>
        </w:rPr>
        <w:t> </w:t>
      </w:r>
      <w:r>
        <w:rPr/>
        <w:t>年兑付兑息公告暨摘牌</w:t>
      </w:r>
    </w:p>
    <w:p>
      <w:pPr>
        <w:pStyle w:val="BodyText"/>
        <w:spacing w:line="352" w:lineRule="auto" w:before="145"/>
        <w:ind w:right="1117"/>
        <w:jc w:val="left"/>
      </w:pPr>
      <w:r>
        <w:rPr>
          <w:spacing w:val="-15"/>
        </w:rPr>
        <w:t>公告》（</w:t>
      </w:r>
      <w:r>
        <w:rPr>
          <w:rFonts w:ascii="宋体" w:hAnsi="宋体" w:cs="宋体" w:eastAsia="宋体" w:hint="default"/>
          <w:spacing w:val="-15"/>
        </w:rPr>
        <w:t>2018-012</w:t>
      </w:r>
      <w:r>
        <w:rPr>
          <w:spacing w:val="-15"/>
        </w:rPr>
        <w:t>），并已于</w:t>
      </w:r>
      <w:r>
        <w:rPr>
          <w:spacing w:val="-59"/>
        </w:rPr>
        <w:t> </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5</w:t>
      </w:r>
      <w:r>
        <w:rPr>
          <w:rFonts w:ascii="宋体" w:hAnsi="宋体" w:cs="宋体" w:eastAsia="宋体" w:hint="default"/>
          <w:spacing w:val="-59"/>
        </w:rPr>
        <w:t> </w:t>
      </w:r>
      <w:r>
        <w:rPr>
          <w:spacing w:val="-1"/>
        </w:rPr>
        <w:t>日前支付完毕“</w:t>
      </w:r>
      <w:r>
        <w:rPr>
          <w:rFonts w:ascii="宋体" w:hAnsi="宋体" w:cs="宋体" w:eastAsia="宋体" w:hint="default"/>
          <w:spacing w:val="-1"/>
        </w:rPr>
        <w:t>15</w:t>
      </w:r>
      <w:r>
        <w:rPr>
          <w:rFonts w:ascii="宋体" w:hAnsi="宋体" w:cs="宋体" w:eastAsia="宋体" w:hint="default"/>
          <w:spacing w:val="-59"/>
        </w:rPr>
        <w:t> </w:t>
      </w:r>
      <w:r>
        <w:rPr/>
        <w:t>辉煌</w:t>
      </w:r>
      <w:r>
        <w:rPr>
          <w:spacing w:val="-59"/>
        </w:rPr>
        <w:t> </w:t>
      </w:r>
      <w:r>
        <w:rPr>
          <w:rFonts w:ascii="宋体" w:hAnsi="宋体" w:cs="宋体" w:eastAsia="宋体" w:hint="default"/>
          <w:spacing w:val="-2"/>
        </w:rPr>
        <w:t>01</w:t>
      </w:r>
      <w:r>
        <w:rPr>
          <w:spacing w:val="-2"/>
        </w:rPr>
        <w:t>”本金</w:t>
      </w:r>
      <w:r>
        <w:rPr>
          <w:spacing w:val="-59"/>
        </w:rPr>
        <w:t> </w:t>
      </w:r>
      <w:r>
        <w:rPr>
          <w:rFonts w:ascii="宋体" w:hAnsi="宋体" w:cs="宋体" w:eastAsia="宋体" w:hint="default"/>
        </w:rPr>
        <w:t>214,000,000.00 </w:t>
      </w:r>
      <w:r>
        <w:rPr/>
        <w:t>元。</w:t>
      </w:r>
    </w:p>
    <w:p>
      <w:pPr>
        <w:pStyle w:val="BodyText"/>
        <w:spacing w:line="240" w:lineRule="auto" w:before="32"/>
        <w:ind w:left="636" w:right="0"/>
        <w:jc w:val="left"/>
      </w:pPr>
      <w:r>
        <w:rPr/>
        <w:t>报告期内，公司已完成“</w:t>
      </w:r>
      <w:r>
        <w:rPr>
          <w:rFonts w:ascii="宋体" w:hAnsi="宋体" w:cs="宋体" w:eastAsia="宋体" w:hint="default"/>
        </w:rPr>
        <w:t>15</w:t>
      </w:r>
      <w:r>
        <w:rPr>
          <w:rFonts w:ascii="宋体" w:hAnsi="宋体" w:cs="宋体" w:eastAsia="宋体" w:hint="default"/>
          <w:spacing w:val="-60"/>
        </w:rPr>
        <w:t> </w:t>
      </w:r>
      <w:r>
        <w:rPr/>
        <w:t>辉煌</w:t>
      </w:r>
      <w:r>
        <w:rPr>
          <w:spacing w:val="-60"/>
        </w:rPr>
        <w:t> </w:t>
      </w:r>
      <w:r>
        <w:rPr>
          <w:rFonts w:ascii="宋体" w:hAnsi="宋体" w:cs="宋体" w:eastAsia="宋体" w:hint="default"/>
        </w:rPr>
        <w:t>01</w:t>
      </w:r>
      <w:r>
        <w:rPr/>
        <w:t>”债券的兑付兑息及摘牌工作。</w:t>
      </w:r>
    </w:p>
    <w:p>
      <w:pPr>
        <w:pStyle w:val="BodyText"/>
        <w:spacing w:line="352" w:lineRule="auto" w:before="145"/>
        <w:ind w:left="636" w:right="1150"/>
        <w:jc w:val="left"/>
      </w:pPr>
      <w:r>
        <w:rPr/>
        <w:t>（</w:t>
      </w:r>
      <w:r>
        <w:rPr>
          <w:rFonts w:ascii="宋体" w:hAnsi="宋体" w:cs="宋体" w:eastAsia="宋体" w:hint="default"/>
        </w:rPr>
        <w:t>2</w:t>
      </w:r>
      <w:r>
        <w:rPr/>
        <w:t>）偿债基础 公司偿付本期公司债券本息的资金主要来源于公司经营活动产生的现金流。若未来经济</w:t>
      </w:r>
    </w:p>
    <w:p>
      <w:pPr>
        <w:pStyle w:val="BodyText"/>
        <w:spacing w:line="352" w:lineRule="auto" w:before="33"/>
        <w:ind w:right="1170"/>
        <w:jc w:val="both"/>
      </w:pPr>
      <w:r>
        <w:rPr/>
        <w:t>环境发生重大不利变化或其他因素致使公司未来主营业务的经营情况未达到预期水平，或由 于不可预见的原因使公司不能按期偿还本期债券本息时，公司可以通过变现流动资产来补充 偿债资金。</w:t>
      </w:r>
    </w:p>
    <w:p>
      <w:pPr>
        <w:pStyle w:val="BodyText"/>
        <w:spacing w:line="240" w:lineRule="auto" w:before="32"/>
        <w:ind w:left="636" w:right="0"/>
        <w:jc w:val="left"/>
      </w:pPr>
      <w:r>
        <w:rPr/>
        <w:t>（</w:t>
      </w:r>
      <w:r>
        <w:rPr>
          <w:rFonts w:ascii="宋体" w:hAnsi="宋体" w:cs="宋体" w:eastAsia="宋体" w:hint="default"/>
        </w:rPr>
        <w:t>3</w:t>
      </w:r>
      <w:r>
        <w:rPr/>
        <w:t>）偿债保障措施</w:t>
      </w:r>
    </w:p>
    <w:p>
      <w:pPr>
        <w:pStyle w:val="BodyText"/>
        <w:spacing w:line="352" w:lineRule="auto" w:before="145"/>
        <w:ind w:right="1116" w:firstLine="482"/>
        <w:jc w:val="left"/>
      </w:pPr>
      <w:r>
        <w:rPr/>
        <w:t>为维护本次债券持有人的合法权益，公司在《公开发行</w:t>
      </w:r>
      <w:r>
        <w:rPr>
          <w:spacing w:val="-79"/>
        </w:rPr>
        <w:t> </w:t>
      </w:r>
      <w:r>
        <w:rPr>
          <w:rFonts w:ascii="宋体" w:hAnsi="宋体" w:cs="宋体" w:eastAsia="宋体" w:hint="default"/>
        </w:rPr>
        <w:t>2015</w:t>
      </w:r>
      <w:r>
        <w:rPr>
          <w:rFonts w:ascii="宋体" w:hAnsi="宋体" w:cs="宋体" w:eastAsia="宋体" w:hint="default"/>
          <w:spacing w:val="-79"/>
        </w:rPr>
        <w:t> </w:t>
      </w:r>
      <w:r>
        <w:rPr>
          <w:spacing w:val="-4"/>
        </w:rPr>
        <w:t>年公司债券（第一期）募集</w:t>
      </w:r>
      <w:r>
        <w:rPr/>
        <w:t> 说明书》中为本次债券偿债保障措施做了如下约定：</w:t>
      </w:r>
    </w:p>
    <w:p>
      <w:pPr>
        <w:pStyle w:val="BodyText"/>
        <w:spacing w:line="350" w:lineRule="auto" w:before="32"/>
        <w:ind w:left="636" w:right="1150"/>
        <w:jc w:val="left"/>
      </w:pPr>
      <w:r>
        <w:rPr/>
        <w:t>① 设立专门的偿付工作小组 本公司指定计划财务部牵头负责协调本次债券的偿付工作，并通过公司其他相关部门，</w:t>
      </w:r>
    </w:p>
    <w:p>
      <w:pPr>
        <w:pStyle w:val="BodyText"/>
        <w:spacing w:line="350" w:lineRule="auto"/>
        <w:ind w:right="1170"/>
        <w:jc w:val="both"/>
      </w:pPr>
      <w:r>
        <w:rPr/>
        <w:t>在每年的财务预算中落实安排本次债券本息的兑付资金，保证本息的如期偿付，保证债券持 有人的利益。</w:t>
      </w:r>
    </w:p>
    <w:p>
      <w:pPr>
        <w:pStyle w:val="BodyText"/>
        <w:spacing w:line="352" w:lineRule="auto" w:before="35"/>
        <w:ind w:left="636" w:right="1150"/>
        <w:jc w:val="left"/>
      </w:pPr>
      <w:r>
        <w:rPr/>
        <w:t>② 切实做到专款专用 本公司将制定专门的债券募集资金使用计划，相关业务部门对资金使用情况将进行严格</w:t>
      </w:r>
    </w:p>
    <w:p>
      <w:pPr>
        <w:pStyle w:val="BodyText"/>
        <w:spacing w:line="350" w:lineRule="auto" w:before="33"/>
        <w:ind w:right="1170"/>
        <w:jc w:val="both"/>
      </w:pPr>
      <w:r>
        <w:rPr/>
        <w:t>检查，切实做到专款专用，保证募集资金在投入、运用、稽核等方面的顺畅运作，确保本次 债券募集资金根据股东大会决议及按照募集说明书披露的用途使用。</w:t>
      </w:r>
    </w:p>
    <w:p>
      <w:pPr>
        <w:pStyle w:val="BodyText"/>
        <w:spacing w:line="240" w:lineRule="auto"/>
        <w:ind w:left="636" w:right="0"/>
        <w:jc w:val="left"/>
      </w:pPr>
      <w:r>
        <w:rPr/>
        <w:t>③ 充分发挥债券受托管理人的作用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1131" w:firstLine="482"/>
        <w:jc w:val="both"/>
      </w:pPr>
      <w:r>
        <w:rPr/>
        <w:t>本公司已按照《公司债券发行试点办法</w:t>
      </w:r>
      <w:r>
        <w:rPr>
          <w:spacing w:val="-120"/>
        </w:rPr>
        <w:t>》</w:t>
      </w:r>
      <w:r>
        <w:rPr/>
        <w:t>（以下简称</w:t>
      </w:r>
      <w:r>
        <w:rPr>
          <w:spacing w:val="-120"/>
        </w:rPr>
        <w:t>“</w:t>
      </w:r>
      <w:r>
        <w:rPr/>
        <w:t>《试点办法</w:t>
      </w:r>
      <w:r>
        <w:rPr>
          <w:spacing w:val="-120"/>
        </w:rPr>
        <w:t>》”</w:t>
      </w:r>
      <w:r>
        <w:rPr/>
        <w:t>）的规定，聘请中原</w:t>
      </w:r>
      <w:r>
        <w:rPr/>
        <w:t> 证券股份有限公</w:t>
      </w:r>
      <w:r>
        <w:rPr>
          <w:spacing w:val="-21"/>
        </w:rPr>
        <w:t>司</w:t>
      </w:r>
      <w:r>
        <w:rPr/>
        <w:t>（以下简</w:t>
      </w:r>
      <w:r>
        <w:rPr>
          <w:spacing w:val="-20"/>
        </w:rPr>
        <w:t>称</w:t>
      </w:r>
      <w:r>
        <w:rPr/>
        <w:t>“中原证券</w:t>
      </w:r>
      <w:r>
        <w:rPr>
          <w:spacing w:val="-120"/>
        </w:rPr>
        <w:t>”</w:t>
      </w:r>
      <w:r>
        <w:rPr>
          <w:spacing w:val="-21"/>
        </w:rPr>
        <w:t>）</w:t>
      </w:r>
      <w:r>
        <w:rPr/>
        <w:t>担任本次债券的债券受托管理人</w:t>
      </w:r>
      <w:r>
        <w:rPr>
          <w:spacing w:val="-21"/>
        </w:rPr>
        <w:t>，</w:t>
      </w:r>
      <w:r>
        <w:rPr/>
        <w:t>并与中原证券</w:t>
      </w:r>
      <w:r>
        <w:rPr/>
        <w:t> 订立了《债券受托管理协议</w:t>
      </w:r>
      <w:r>
        <w:rPr>
          <w:spacing w:val="-120"/>
        </w:rPr>
        <w:t>》</w:t>
      </w:r>
      <w:r>
        <w:rPr/>
        <w:t>，从制度上保障本次债券本金和利息的按时、足额偿付。</w:t>
      </w:r>
    </w:p>
    <w:p>
      <w:pPr>
        <w:pStyle w:val="BodyText"/>
        <w:spacing w:line="350" w:lineRule="auto" w:before="33"/>
        <w:ind w:right="1169" w:firstLine="482"/>
        <w:jc w:val="both"/>
      </w:pPr>
      <w:r>
        <w:rPr/>
        <w:t>本公司将严格按照《债券受托管理协议》的规定，配合债券受托管理人履行职责，在本 公司可能出现债券违约时及时通知债券受托管理人并以公告方式通知债券持有人，便于启动 相应违约事件处理程序，或根据债券受托管理协议采取其他必要的措施。在本次债券存续期 限内，中原证券依照债券受托管理协议的约定维护本次债券持有人的利益。</w:t>
      </w:r>
    </w:p>
    <w:p>
      <w:pPr>
        <w:pStyle w:val="BodyText"/>
        <w:spacing w:line="352" w:lineRule="auto" w:before="35"/>
        <w:ind w:left="636" w:right="0"/>
        <w:jc w:val="left"/>
      </w:pPr>
      <w:r>
        <w:rPr/>
        <w:t>④ 制定债券持有人会议规则 </w:t>
      </w:r>
      <w:r>
        <w:rPr>
          <w:spacing w:val="-9"/>
        </w:rPr>
        <w:t>本公司已按照《试点办法》第二十六条之规定为本次债券制定了《债券持有人会议规则》。</w:t>
      </w:r>
    </w:p>
    <w:p>
      <w:pPr>
        <w:pStyle w:val="BodyText"/>
        <w:spacing w:line="350" w:lineRule="auto" w:before="32"/>
        <w:ind w:right="1170"/>
        <w:jc w:val="both"/>
      </w:pPr>
      <w:r>
        <w:rPr/>
        <w:t>《债券持有人会议规则》约定了本次债券持有人通过债券持有人会议行使权利的范围、程序 和其他重要事项，为保障本次债券本息及时足额偿付做出了合理的制度安排。</w:t>
      </w:r>
    </w:p>
    <w:p>
      <w:pPr>
        <w:pStyle w:val="BodyText"/>
        <w:spacing w:line="350" w:lineRule="auto"/>
        <w:ind w:left="636" w:right="1150"/>
        <w:jc w:val="left"/>
      </w:pPr>
      <w:r>
        <w:rPr/>
        <w:t>⑤ 严格的信息披露 本公司将遵循真实、准确、完整的信息披露原则，使公司偿债能力、募集资金使用等情</w:t>
      </w:r>
    </w:p>
    <w:p>
      <w:pPr>
        <w:pStyle w:val="BodyText"/>
        <w:spacing w:line="350" w:lineRule="auto" w:before="35"/>
        <w:ind w:right="1169"/>
        <w:jc w:val="both"/>
      </w:pPr>
      <w:r>
        <w:rPr>
          <w:spacing w:val="-6"/>
        </w:rPr>
        <w:t>况受到债券持有人、债券受托管理人的监督，防范偿债风险。本公司将根据《证券法》、《试</w:t>
      </w:r>
      <w:r>
        <w:rPr>
          <w:spacing w:val="-114"/>
        </w:rPr>
        <w:t> </w:t>
      </w:r>
      <w:r>
        <w:rPr>
          <w:spacing w:val="-114"/>
        </w:rPr>
      </w:r>
      <w:r>
        <w:rPr/>
        <w:t>点办法》等其他相关法律、法规、规章及《公司章程》规定，履行信息披露的义务，至少包 括但不限于以下内容：预计到期难以偿付本次债券利息或本金；订立可能对发行人还本付息 能力产生重大影响的担保及其他重要合同；发生重大亏损或者遭受超过净资产</w:t>
      </w:r>
      <w:r>
        <w:rPr>
          <w:spacing w:val="-59"/>
        </w:rPr>
        <w:t> </w:t>
      </w:r>
      <w:r>
        <w:rPr>
          <w:rFonts w:ascii="宋体" w:hAnsi="宋体" w:cs="宋体" w:eastAsia="宋体" w:hint="default"/>
        </w:rPr>
        <w:t>10%</w:t>
      </w:r>
      <w:r>
        <w:rPr/>
        <w:t>以上的重 大损失；发生减资、合并、分立、解散及申请破产；发生对发行人还本付息能力产生实质不 利影响的重大仲裁和诉讼；已经进行的重大债务重组可能对发行人还本付息能力产生重大实 质不利影响；本次债券被证券交易所暂停转让交易；以及中国证监会规定的其他情形。</w:t>
      </w:r>
    </w:p>
    <w:p>
      <w:pPr>
        <w:pStyle w:val="BodyText"/>
        <w:spacing w:line="240" w:lineRule="auto"/>
        <w:ind w:left="636" w:right="0"/>
        <w:jc w:val="left"/>
      </w:pPr>
      <w:r>
        <w:rPr/>
        <w:t>⑥ 公司承诺</w:t>
      </w:r>
    </w:p>
    <w:p>
      <w:pPr>
        <w:pStyle w:val="BodyText"/>
        <w:spacing w:line="352" w:lineRule="auto" w:before="145"/>
        <w:ind w:right="1130" w:firstLine="482"/>
        <w:jc w:val="both"/>
      </w:pPr>
      <w:r>
        <w:rPr/>
        <w:t>公司</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26</w:t>
      </w:r>
      <w:r>
        <w:rPr>
          <w:rFonts w:ascii="宋体" w:hAnsi="宋体" w:cs="宋体" w:eastAsia="宋体" w:hint="default"/>
          <w:spacing w:val="-59"/>
        </w:rPr>
        <w:t> </w:t>
      </w:r>
      <w:r>
        <w:rPr>
          <w:spacing w:val="-5"/>
        </w:rPr>
        <w:t>日第五届董事会第二次会议通过决议，并经</w:t>
      </w:r>
      <w:r>
        <w:rPr>
          <w:spacing w:val="-59"/>
        </w:rPr>
        <w:t> </w:t>
      </w:r>
      <w:r>
        <w:rPr>
          <w:rFonts w:ascii="宋体" w:hAnsi="宋体" w:cs="宋体" w:eastAsia="宋体" w:hint="default"/>
        </w:rPr>
        <w:t>2013</w:t>
      </w:r>
      <w:r>
        <w:rPr>
          <w:rFonts w:ascii="宋体" w:hAnsi="宋体" w:cs="宋体" w:eastAsia="宋体" w:hint="default"/>
          <w:spacing w:val="-59"/>
        </w:rPr>
        <w:t> </w:t>
      </w:r>
      <w:r>
        <w:rPr/>
        <w:t>年年度股东大会审 议通过，在出现预计不能按期偿付债券本息或者到期未能按期偿付债券本息时，将至少采取 如下措施：</w:t>
      </w:r>
    </w:p>
    <w:p>
      <w:pPr>
        <w:pStyle w:val="BodyText"/>
        <w:spacing w:line="350" w:lineRule="auto" w:before="32"/>
        <w:ind w:left="636" w:right="3910"/>
        <w:jc w:val="left"/>
      </w:pPr>
      <w:r>
        <w:rPr>
          <w:rFonts w:ascii="宋体" w:hAnsi="宋体" w:cs="宋体" w:eastAsia="宋体" w:hint="default"/>
        </w:rPr>
        <w:t>a</w:t>
      </w:r>
      <w:r>
        <w:rPr/>
        <w:t>、不向股东分配利润； </w:t>
      </w:r>
      <w:r>
        <w:rPr>
          <w:rFonts w:ascii="宋体" w:hAnsi="宋体" w:cs="宋体" w:eastAsia="宋体" w:hint="default"/>
        </w:rPr>
        <w:t>b</w:t>
      </w:r>
      <w:r>
        <w:rPr/>
        <w:t>、暂缓重大对外投资、收购兼并等资本性支出项目的实施； </w:t>
      </w:r>
      <w:r>
        <w:rPr>
          <w:rFonts w:ascii="宋体" w:hAnsi="宋体" w:cs="宋体" w:eastAsia="宋体" w:hint="default"/>
        </w:rPr>
        <w:t>c</w:t>
      </w:r>
      <w:r>
        <w:rPr/>
        <w:t>、调减或停发董事和高级管理人员的工资和奖金； </w:t>
      </w:r>
      <w:r>
        <w:rPr>
          <w:rFonts w:ascii="宋体" w:hAnsi="宋体" w:cs="宋体" w:eastAsia="宋体" w:hint="default"/>
        </w:rPr>
        <w:t>d</w:t>
      </w:r>
      <w:r>
        <w:rPr/>
        <w:t>、主要责任人不得调离。 本报告期内，公司严格按照上述约定的措施执行。</w:t>
      </w:r>
    </w:p>
    <w:p>
      <w:pPr>
        <w:spacing w:after="0" w:line="35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spacing w:line="564" w:lineRule="auto" w:before="26"/>
        <w:ind w:left="636" w:right="5950" w:hanging="483"/>
        <w:jc w:val="left"/>
        <w:rPr>
          <w:rFonts w:ascii="宋体" w:hAnsi="宋体" w:cs="宋体" w:eastAsia="宋体" w:hint="default"/>
          <w:sz w:val="24"/>
          <w:szCs w:val="24"/>
        </w:rPr>
      </w:pPr>
      <w:bookmarkStart w:name="六、报告期内债券持有人会议的召开情况" w:id="155"/>
      <w:bookmarkEnd w:id="155"/>
      <w:r>
        <w:rPr/>
      </w:r>
      <w:r>
        <w:rPr>
          <w:rFonts w:ascii="宋体" w:hAnsi="宋体" w:cs="宋体" w:eastAsia="宋体" w:hint="default"/>
          <w:b/>
          <w:bCs/>
          <w:sz w:val="24"/>
          <w:szCs w:val="24"/>
        </w:rPr>
        <w:t>六、报告期内债券持有人会议的召开情况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报告期内，公司未召开债券持有人会议。</w:t>
      </w:r>
    </w:p>
    <w:p>
      <w:pPr>
        <w:pStyle w:val="Heading2"/>
        <w:spacing w:line="311" w:lineRule="exact" w:before="0"/>
        <w:ind w:right="0"/>
        <w:jc w:val="left"/>
        <w:rPr>
          <w:b w:val="0"/>
          <w:bCs w:val="0"/>
        </w:rPr>
      </w:pPr>
      <w:bookmarkStart w:name="七、报告期内债券受托管理人履行职责的情况" w:id="156"/>
      <w:bookmarkEnd w:id="156"/>
      <w:r>
        <w:rPr>
          <w:b w:val="0"/>
          <w:bCs w:val="0"/>
        </w:rPr>
      </w:r>
      <w:r>
        <w:rPr/>
        <w:t>七、报告期内债券受托管理人履行职责的情况</w:t>
      </w:r>
      <w:r>
        <w:rPr>
          <w:b w:val="0"/>
          <w:bCs w:val="0"/>
        </w:rPr>
      </w:r>
    </w:p>
    <w:p>
      <w:pPr>
        <w:spacing w:line="240" w:lineRule="auto" w:before="5"/>
        <w:rPr>
          <w:rFonts w:ascii="宋体" w:hAnsi="宋体" w:cs="宋体" w:eastAsia="宋体" w:hint="default"/>
          <w:b/>
          <w:bCs/>
          <w:sz w:val="32"/>
          <w:szCs w:val="32"/>
        </w:rPr>
      </w:pPr>
    </w:p>
    <w:p>
      <w:pPr>
        <w:pStyle w:val="BodyText"/>
        <w:spacing w:line="352" w:lineRule="auto" w:before="0"/>
        <w:ind w:right="1167" w:firstLine="482"/>
        <w:jc w:val="both"/>
      </w:pPr>
      <w:r>
        <w:rPr/>
        <w:t>报告期内，债券受托管理人中原证券依据《公司债券受托管理人执业行为准则》行使受 托管理人职责，包括监督公司债券募集资金使用情况、持续关注发行人资信状况、债券增信 机构的资信状况、兑付兑息及摘牌情况等。</w:t>
      </w:r>
    </w:p>
    <w:p>
      <w:pPr>
        <w:pStyle w:val="Heading2"/>
        <w:spacing w:line="240" w:lineRule="auto" w:before="208"/>
        <w:ind w:right="0"/>
        <w:jc w:val="left"/>
        <w:rPr>
          <w:b w:val="0"/>
          <w:bCs w:val="0"/>
        </w:rPr>
      </w:pPr>
      <w:bookmarkStart w:name="八、截至报告期末公司近2年的主要会计数据和财务指标" w:id="157"/>
      <w:bookmarkEnd w:id="157"/>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4"/>
        <w:rPr>
          <w:rFonts w:ascii="宋体" w:hAnsi="宋体" w:cs="宋体" w:eastAsia="宋体" w:hint="default"/>
          <w:b/>
          <w:bCs/>
          <w:sz w:val="25"/>
          <w:szCs w:val="2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65" w:right="0"/>
              <w:jc w:val="left"/>
              <w:rPr>
                <w:rFonts w:ascii="宋体" w:hAnsi="宋体" w:cs="宋体" w:eastAsia="宋体" w:hint="default"/>
                <w:sz w:val="21"/>
                <w:szCs w:val="21"/>
              </w:rPr>
            </w:pPr>
            <w:r>
              <w:rPr>
                <w:rFonts w:ascii="宋体" w:hAnsi="宋体" w:cs="宋体" w:eastAsia="宋体" w:hint="default"/>
                <w:sz w:val="21"/>
                <w:szCs w:val="21"/>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8,102.99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-8,322.69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197.36%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54.99%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-8.42%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219.28%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全部债务比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23.69%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185.93%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-26.88%</w:t>
            </w:r>
            <w:r>
              <w:rPr>
                <w:rFonts w:ascii="Times New Roman"/>
                <w:sz w:val="21"/>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225.58%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贷款偿还率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利息偿付率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10"/>
        <w:rPr>
          <w:rFonts w:ascii="宋体" w:hAnsi="宋体" w:cs="宋体" w:eastAsia="宋体" w:hint="default"/>
          <w:sz w:val="4"/>
          <w:szCs w:val="4"/>
        </w:rPr>
      </w:pPr>
    </w:p>
    <w:p>
      <w:pPr>
        <w:pStyle w:val="BodyText"/>
        <w:spacing w:line="240" w:lineRule="auto" w:before="26"/>
        <w:ind w:left="636" w:right="0"/>
        <w:jc w:val="left"/>
      </w:pPr>
      <w:r>
        <w:rPr/>
        <w:t>上述会计数据和财务指标同比变动超过</w:t>
      </w:r>
      <w:r>
        <w:rPr>
          <w:spacing w:val="-60"/>
        </w:rPr>
        <w:t> </w:t>
      </w:r>
      <w:r>
        <w:rPr>
          <w:rFonts w:ascii="宋体" w:hAnsi="宋体" w:cs="宋体" w:eastAsia="宋体" w:hint="default"/>
        </w:rPr>
        <w:t>30%</w:t>
      </w:r>
      <w:r>
        <w:rPr/>
        <w:t>的主要原因</w:t>
      </w:r>
    </w:p>
    <w:p>
      <w:pPr>
        <w:pStyle w:val="BodyText"/>
        <w:spacing w:line="240" w:lineRule="auto" w:before="146"/>
        <w:ind w:left="636" w:right="0"/>
        <w:jc w:val="left"/>
      </w:pPr>
      <w:r>
        <w:rPr/>
        <w:t>√ 适用 □ 不适用</w:t>
      </w:r>
    </w:p>
    <w:p>
      <w:pPr>
        <w:pStyle w:val="BodyText"/>
        <w:spacing w:line="350" w:lineRule="auto" w:before="145"/>
        <w:ind w:right="1112" w:firstLine="482"/>
        <w:jc w:val="left"/>
      </w:pPr>
      <w:r>
        <w:rPr>
          <w:rFonts w:ascii="宋体" w:hAnsi="宋体" w:cs="宋体" w:eastAsia="宋体" w:hint="default"/>
        </w:rPr>
        <w:t>1</w:t>
      </w:r>
      <w:r>
        <w:rPr/>
        <w:t>、息税折旧摊销前利润同比增长</w:t>
      </w:r>
      <w:r>
        <w:rPr>
          <w:spacing w:val="-82"/>
        </w:rPr>
        <w:t> </w:t>
      </w:r>
      <w:r>
        <w:rPr>
          <w:rFonts w:ascii="宋体" w:hAnsi="宋体" w:cs="宋体" w:eastAsia="宋体" w:hint="default"/>
        </w:rPr>
        <w:t>197.36%</w:t>
      </w:r>
      <w:r>
        <w:rPr/>
        <w:t>，主要原因系报告期内资产减值损失大幅减少 所致。</w:t>
      </w:r>
    </w:p>
    <w:p>
      <w:pPr>
        <w:pStyle w:val="BodyText"/>
        <w:spacing w:line="240" w:lineRule="auto"/>
        <w:ind w:left="636" w:right="0"/>
        <w:jc w:val="left"/>
      </w:pPr>
      <w:r>
        <w:rPr>
          <w:rFonts w:ascii="宋体" w:hAnsi="宋体" w:cs="宋体" w:eastAsia="宋体" w:hint="default"/>
        </w:rPr>
        <w:t>2</w:t>
      </w:r>
      <w:r>
        <w:rPr/>
        <w:t>、流动比率同比增长</w:t>
      </w:r>
      <w:r>
        <w:rPr>
          <w:spacing w:val="-84"/>
        </w:rPr>
        <w:t> </w:t>
      </w:r>
      <w:r>
        <w:rPr>
          <w:rFonts w:ascii="宋体" w:hAnsi="宋体" w:cs="宋体" w:eastAsia="宋体" w:hint="default"/>
        </w:rPr>
        <w:t>54.99%</w:t>
      </w:r>
      <w:r>
        <w:rPr/>
        <w:t>，主要原因系报告期内一年内到期的非流动负债减少所致。</w:t>
      </w:r>
    </w:p>
    <w:p>
      <w:pPr>
        <w:pStyle w:val="BodyText"/>
        <w:spacing w:line="240" w:lineRule="auto" w:before="145"/>
        <w:ind w:left="636" w:right="0"/>
        <w:jc w:val="left"/>
      </w:pPr>
      <w:r>
        <w:rPr>
          <w:rFonts w:ascii="宋体" w:hAnsi="宋体" w:cs="宋体" w:eastAsia="宋体" w:hint="default"/>
        </w:rPr>
        <w:t>3</w:t>
      </w:r>
      <w:r>
        <w:rPr/>
        <w:t>、利息保障倍数同比增长</w:t>
      </w:r>
      <w:r>
        <w:rPr>
          <w:spacing w:val="-60"/>
        </w:rPr>
        <w:t> </w:t>
      </w:r>
      <w:r>
        <w:rPr>
          <w:rFonts w:ascii="宋体" w:hAnsi="宋体" w:cs="宋体" w:eastAsia="宋体" w:hint="default"/>
        </w:rPr>
        <w:t>185.93%</w:t>
      </w:r>
      <w:r>
        <w:rPr/>
        <w:t>，主要原因系报告期内资产减值损失大幅减少所致。</w:t>
      </w:r>
    </w:p>
    <w:p>
      <w:pPr>
        <w:pStyle w:val="BodyText"/>
        <w:spacing w:line="352" w:lineRule="auto" w:before="145"/>
        <w:ind w:right="1112" w:firstLine="482"/>
        <w:jc w:val="left"/>
      </w:pPr>
      <w:r>
        <w:rPr>
          <w:rFonts w:ascii="宋体" w:hAnsi="宋体" w:cs="宋体" w:eastAsia="宋体" w:hint="default"/>
          <w:spacing w:val="-6"/>
        </w:rPr>
        <w:t>4</w:t>
      </w:r>
      <w:r>
        <w:rPr>
          <w:spacing w:val="-6"/>
        </w:rPr>
        <w:t>、</w:t>
      </w:r>
      <w:r>
        <w:rPr>
          <w:rFonts w:ascii="宋体" w:hAnsi="宋体" w:cs="宋体" w:eastAsia="宋体" w:hint="default"/>
          <w:spacing w:val="-6"/>
        </w:rPr>
        <w:t>EBITDA</w:t>
      </w:r>
      <w:r>
        <w:rPr>
          <w:rFonts w:ascii="宋体" w:hAnsi="宋体" w:cs="宋体" w:eastAsia="宋体" w:hint="default"/>
          <w:spacing w:val="-77"/>
        </w:rPr>
        <w:t> </w:t>
      </w:r>
      <w:r>
        <w:rPr/>
        <w:t>利息保障倍数同比增长</w:t>
      </w:r>
      <w:r>
        <w:rPr>
          <w:spacing w:val="-77"/>
        </w:rPr>
        <w:t> </w:t>
      </w:r>
      <w:r>
        <w:rPr>
          <w:rFonts w:ascii="宋体" w:hAnsi="宋体" w:cs="宋体" w:eastAsia="宋体" w:hint="default"/>
        </w:rPr>
        <w:t>225.58%</w:t>
      </w:r>
      <w:r>
        <w:rPr/>
        <w:t>，主要原因系报告期内息税折旧摊销前利润减 少所致。</w:t>
      </w:r>
    </w:p>
    <w:p>
      <w:pPr>
        <w:spacing w:after="0" w:line="352"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spacing w:line="564" w:lineRule="auto" w:before="26"/>
        <w:ind w:left="636" w:right="2350" w:hanging="483"/>
        <w:jc w:val="left"/>
        <w:rPr>
          <w:rFonts w:ascii="宋体" w:hAnsi="宋体" w:cs="宋体" w:eastAsia="宋体" w:hint="default"/>
          <w:sz w:val="24"/>
          <w:szCs w:val="24"/>
        </w:rPr>
      </w:pPr>
      <w:bookmarkStart w:name="九、报告期内对其他债券和债务融资工具的付息兑付情况" w:id="158"/>
      <w:bookmarkEnd w:id="158"/>
      <w:r>
        <w:rPr/>
      </w:r>
      <w:r>
        <w:rPr>
          <w:rFonts w:ascii="宋体" w:hAnsi="宋体" w:cs="宋体" w:eastAsia="宋体" w:hint="default"/>
          <w:b/>
          <w:bCs/>
          <w:sz w:val="24"/>
          <w:szCs w:val="24"/>
        </w:rPr>
        <w:t>九、报告期内对其他债券和债务融资工具的付息兑付情况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报告期内，公司未发行其他债券和债务融资工具、不存在逾期未偿还债项。</w:t>
      </w:r>
    </w:p>
    <w:p>
      <w:pPr>
        <w:pStyle w:val="Heading2"/>
        <w:spacing w:line="311" w:lineRule="exact" w:before="0"/>
        <w:ind w:right="0"/>
        <w:jc w:val="left"/>
        <w:rPr>
          <w:b w:val="0"/>
          <w:bCs w:val="0"/>
        </w:rPr>
      </w:pPr>
      <w:bookmarkStart w:name="十、报告期内获得的银行授信情况、使用情况以及偿还银行贷款的情况" w:id="159"/>
      <w:bookmarkEnd w:id="159"/>
      <w:r>
        <w:rPr>
          <w:b w:val="0"/>
          <w:bCs w:val="0"/>
        </w:rPr>
      </w:r>
      <w:r>
        <w:rPr/>
        <w:t>十、报告期内获得的银行授信情况、使用情况以及偿还银行贷款的情况</w:t>
      </w:r>
      <w:r>
        <w:rPr>
          <w:b w:val="0"/>
          <w:bCs w:val="0"/>
        </w:rPr>
      </w:r>
    </w:p>
    <w:p>
      <w:pPr>
        <w:spacing w:line="240" w:lineRule="auto" w:before="5"/>
        <w:rPr>
          <w:rFonts w:ascii="宋体" w:hAnsi="宋体" w:cs="宋体" w:eastAsia="宋体" w:hint="default"/>
          <w:b/>
          <w:bCs/>
          <w:sz w:val="32"/>
          <w:szCs w:val="32"/>
        </w:rPr>
      </w:pPr>
    </w:p>
    <w:p>
      <w:pPr>
        <w:pStyle w:val="BodyText"/>
        <w:spacing w:line="240" w:lineRule="auto" w:before="0"/>
        <w:ind w:left="636" w:right="0"/>
        <w:jc w:val="left"/>
      </w:pPr>
      <w:r>
        <w:rPr>
          <w:spacing w:val="-3"/>
        </w:rPr>
        <w:t>报告期内，公司共获得银行授信总额度 </w:t>
      </w:r>
      <w:r>
        <w:rPr>
          <w:rFonts w:ascii="宋体" w:hAnsi="宋体" w:cs="宋体" w:eastAsia="宋体" w:hint="default"/>
        </w:rPr>
        <w:t>187,000.00 </w:t>
      </w:r>
      <w:r>
        <w:rPr>
          <w:spacing w:val="-5"/>
        </w:rPr>
        <w:t>万元，偿还银行贷款 </w:t>
      </w:r>
      <w:r>
        <w:rPr>
          <w:rFonts w:ascii="宋体" w:hAnsi="宋体" w:cs="宋体" w:eastAsia="宋体" w:hint="default"/>
        </w:rPr>
        <w:t>24,617.54</w:t>
      </w:r>
      <w:r>
        <w:rPr>
          <w:rFonts w:ascii="宋体" w:hAnsi="宋体" w:cs="宋体" w:eastAsia="宋体" w:hint="default"/>
          <w:spacing w:val="20"/>
        </w:rPr>
        <w:t> </w:t>
      </w:r>
      <w:r>
        <w:rPr/>
        <w:t>万</w:t>
      </w:r>
    </w:p>
    <w:p>
      <w:pPr>
        <w:spacing w:line="484" w:lineRule="auto" w:before="146"/>
        <w:ind w:left="154" w:right="0" w:firstLine="0"/>
        <w:jc w:val="left"/>
        <w:rPr>
          <w:rFonts w:ascii="宋体" w:hAnsi="宋体" w:cs="宋体" w:eastAsia="宋体" w:hint="default"/>
          <w:sz w:val="24"/>
          <w:szCs w:val="24"/>
        </w:rPr>
      </w:pPr>
      <w:r>
        <w:rPr>
          <w:rFonts w:ascii="宋体" w:hAnsi="宋体" w:cs="宋体" w:eastAsia="宋体" w:hint="default"/>
          <w:sz w:val="24"/>
          <w:szCs w:val="24"/>
        </w:rPr>
        <w:t>元。截止到本报告期末，授信额度已使用 </w:t>
      </w:r>
      <w:r>
        <w:rPr>
          <w:rFonts w:ascii="宋体" w:hAnsi="宋体" w:cs="宋体" w:eastAsia="宋体" w:hint="default"/>
          <w:sz w:val="24"/>
          <w:szCs w:val="24"/>
        </w:rPr>
        <w:t>44,100.31 </w:t>
      </w:r>
      <w:r>
        <w:rPr>
          <w:rFonts w:ascii="宋体" w:hAnsi="宋体" w:cs="宋体" w:eastAsia="宋体" w:hint="default"/>
          <w:sz w:val="24"/>
          <w:szCs w:val="24"/>
        </w:rPr>
        <w:t>万元。 </w:t>
      </w:r>
      <w:bookmarkStart w:name="十一、报告期内执行公司债券募集说明书相关约定或承诺的情况" w:id="160"/>
      <w:bookmarkEnd w:id="160"/>
      <w:r>
        <w:rPr>
          <w:rFonts w:ascii="宋体" w:hAnsi="宋体" w:cs="宋体" w:eastAsia="宋体" w:hint="default"/>
          <w:sz w:val="24"/>
          <w:szCs w:val="24"/>
        </w:rPr>
      </w:r>
      <w:r>
        <w:rPr>
          <w:rFonts w:ascii="宋体" w:hAnsi="宋体" w:cs="宋体" w:eastAsia="宋体" w:hint="default"/>
          <w:b/>
          <w:bCs/>
          <w:w w:val="95"/>
          <w:sz w:val="24"/>
          <w:szCs w:val="24"/>
        </w:rPr>
        <w:t>十一、报告期内执行公司债券募集说明书相关约定或承诺的情况</w:t>
      </w:r>
      <w:r>
        <w:rPr>
          <w:rFonts w:ascii="宋体" w:hAnsi="宋体" w:cs="宋体" w:eastAsia="宋体" w:hint="default"/>
          <w:sz w:val="24"/>
          <w:szCs w:val="24"/>
        </w:rPr>
      </w:r>
    </w:p>
    <w:p>
      <w:pPr>
        <w:pStyle w:val="BodyText"/>
        <w:spacing w:line="350" w:lineRule="auto" w:before="179"/>
        <w:ind w:right="1170" w:firstLine="480"/>
        <w:jc w:val="both"/>
      </w:pPr>
      <w:r>
        <w:rPr/>
        <w:t>报告期内，公司严格按照公司债券募集说明书的相关约定或承诺执行。在公司债券发行 完毕后，公司债券募集的资金不直接或间接投资设立产业并购基金及其投资的项目，不直接 或间接投资其他风险投资，不用于对外财务资助或委托贷款等非生产经营性支出，对债券投 资者利益无重大影响。</w:t>
      </w:r>
    </w:p>
    <w:p>
      <w:pPr>
        <w:spacing w:line="465" w:lineRule="auto" w:before="211"/>
        <w:ind w:left="634" w:right="1152" w:hanging="480"/>
        <w:jc w:val="left"/>
        <w:rPr>
          <w:rFonts w:ascii="宋体" w:hAnsi="宋体" w:cs="宋体" w:eastAsia="宋体" w:hint="default"/>
          <w:sz w:val="24"/>
          <w:szCs w:val="24"/>
        </w:rPr>
      </w:pPr>
      <w:bookmarkStart w:name="十二、报告期内发生的重大事项" w:id="161"/>
      <w:bookmarkEnd w:id="161"/>
      <w:r>
        <w:rPr/>
      </w:r>
      <w:r>
        <w:rPr>
          <w:rFonts w:ascii="宋体" w:hAnsi="宋体" w:cs="宋体" w:eastAsia="宋体" w:hint="default"/>
          <w:b/>
          <w:bCs/>
          <w:sz w:val="24"/>
          <w:szCs w:val="24"/>
        </w:rPr>
        <w:t>十二、报告期内发生的重大事项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报告期内，公司无《公司债券发行与交易管理办法》第四十五条列示的重大事项发生。</w:t>
      </w:r>
    </w:p>
    <w:p>
      <w:pPr>
        <w:pStyle w:val="Heading2"/>
        <w:spacing w:line="240" w:lineRule="auto" w:before="75"/>
        <w:ind w:right="0"/>
        <w:jc w:val="left"/>
        <w:rPr>
          <w:b w:val="0"/>
          <w:bCs w:val="0"/>
        </w:rPr>
      </w:pPr>
      <w:bookmarkStart w:name="十三、公司债券是否存在保证人" w:id="162"/>
      <w:bookmarkEnd w:id="162"/>
      <w:r>
        <w:rPr>
          <w:b w:val="0"/>
          <w:bCs w:val="0"/>
        </w:rPr>
      </w:r>
      <w:r>
        <w:rPr/>
        <w:t>十三、公司债券是否存在保证人</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0"/>
        <w:ind w:left="634" w:right="0"/>
        <w:jc w:val="left"/>
      </w:pPr>
      <w:r>
        <w:rPr/>
        <w:t>□ 是 √ 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8" w:right="0"/>
        <w:jc w:val="left"/>
        <w:rPr>
          <w:b w:val="0"/>
          <w:bCs w:val="0"/>
        </w:rPr>
      </w:pPr>
      <w:bookmarkStart w:name="第十一节 财务报告" w:id="163"/>
      <w:bookmarkEnd w:id="163"/>
      <w:r>
        <w:rPr>
          <w:b w:val="0"/>
          <w:bCs w:val="0"/>
        </w:rPr>
      </w:r>
      <w:bookmarkStart w:name="_bookmark10" w:id="164"/>
      <w:bookmarkEnd w:id="164"/>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审计报告" w:id="165"/>
      <w:bookmarkEnd w:id="165"/>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[2019]001989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吕勇军 胡丽娟</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spacing w:before="1"/>
        <w:ind w:left="134" w:right="1110" w:firstLine="0"/>
        <w:jc w:val="center"/>
        <w:rPr>
          <w:rFonts w:ascii="宋体" w:hAnsi="宋体" w:cs="宋体" w:eastAsia="宋体" w:hint="default"/>
          <w:sz w:val="32"/>
          <w:szCs w:val="32"/>
        </w:rPr>
      </w:pPr>
      <w:r>
        <w:rPr>
          <w:rFonts w:ascii="宋体" w:hAnsi="宋体" w:cs="宋体" w:eastAsia="宋体" w:hint="default"/>
          <w:b/>
          <w:bCs/>
          <w:sz w:val="32"/>
          <w:szCs w:val="32"/>
        </w:rPr>
        <w:t>审 计 报</w:t>
      </w:r>
      <w:r>
        <w:rPr>
          <w:rFonts w:ascii="宋体" w:hAnsi="宋体" w:cs="宋体" w:eastAsia="宋体" w:hint="default"/>
          <w:b/>
          <w:bCs/>
          <w:spacing w:val="-5"/>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spacing w:before="35"/>
        <w:ind w:left="0" w:right="1130" w:firstLine="0"/>
        <w:jc w:val="right"/>
        <w:rPr>
          <w:rFonts w:ascii="宋体" w:hAnsi="宋体" w:cs="宋体" w:eastAsia="宋体" w:hint="default"/>
          <w:sz w:val="21"/>
          <w:szCs w:val="21"/>
        </w:rPr>
      </w:pPr>
      <w:r>
        <w:rPr>
          <w:rFonts w:ascii="宋体" w:hAnsi="宋体" w:cs="宋体" w:eastAsia="宋体" w:hint="default"/>
          <w:b/>
          <w:bCs/>
          <w:w w:val="95"/>
          <w:sz w:val="21"/>
          <w:szCs w:val="21"/>
        </w:rPr>
        <w:t>大华审字</w:t>
      </w:r>
      <w:r>
        <w:rPr>
          <w:rFonts w:ascii="Times New Roman" w:hAnsi="Times New Roman" w:cs="Times New Roman" w:eastAsia="Times New Roman" w:hint="default"/>
          <w:b/>
          <w:bCs/>
          <w:w w:val="95"/>
          <w:sz w:val="21"/>
          <w:szCs w:val="21"/>
        </w:rPr>
        <w:t>[2019]001989</w:t>
      </w:r>
      <w:r>
        <w:rPr>
          <w:rFonts w:ascii="宋体" w:hAnsi="宋体" w:cs="宋体" w:eastAsia="宋体" w:hint="default"/>
          <w:b/>
          <w:bCs/>
          <w:w w:val="95"/>
          <w:sz w:val="21"/>
          <w:szCs w:val="21"/>
        </w:rPr>
        <w:t>号</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38"/>
        <w:ind w:left="154" w:right="0" w:firstLine="0"/>
        <w:jc w:val="left"/>
        <w:rPr>
          <w:rFonts w:ascii="宋体" w:hAnsi="宋体" w:cs="宋体" w:eastAsia="宋体" w:hint="default"/>
          <w:sz w:val="28"/>
          <w:szCs w:val="28"/>
        </w:rPr>
      </w:pPr>
      <w:r>
        <w:rPr>
          <w:rFonts w:ascii="宋体" w:hAnsi="宋体" w:cs="宋体" w:eastAsia="宋体" w:hint="default"/>
          <w:b/>
          <w:bCs/>
          <w:sz w:val="32"/>
          <w:szCs w:val="32"/>
        </w:rPr>
        <w:t>河南辉煌科技股份有限公司</w:t>
      </w:r>
      <w:r>
        <w:rPr>
          <w:rFonts w:ascii="宋体" w:hAnsi="宋体" w:cs="宋体" w:eastAsia="宋体" w:hint="default"/>
          <w:b/>
          <w:bCs/>
          <w:sz w:val="28"/>
          <w:szCs w:val="28"/>
        </w:rPr>
        <w:t>全体股东：</w:t>
      </w:r>
      <w:r>
        <w:rPr>
          <w:rFonts w:ascii="宋体" w:hAnsi="宋体" w:cs="宋体" w:eastAsia="宋体" w:hint="default"/>
          <w:sz w:val="28"/>
          <w:szCs w:val="28"/>
        </w:rPr>
      </w:r>
    </w:p>
    <w:p>
      <w:pPr>
        <w:spacing w:line="240" w:lineRule="auto" w:before="1"/>
        <w:rPr>
          <w:rFonts w:ascii="宋体" w:hAnsi="宋体" w:cs="宋体" w:eastAsia="宋体" w:hint="default"/>
          <w:b/>
          <w:bCs/>
          <w:sz w:val="27"/>
          <w:szCs w:val="27"/>
        </w:rPr>
      </w:pPr>
    </w:p>
    <w:p>
      <w:pPr>
        <w:pStyle w:val="Heading2"/>
        <w:spacing w:line="240" w:lineRule="auto" w:before="0"/>
        <w:ind w:right="0"/>
        <w:jc w:val="left"/>
        <w:rPr>
          <w:b w:val="0"/>
          <w:bCs w:val="0"/>
        </w:rPr>
      </w:pPr>
      <w:r>
        <w:rPr/>
        <w:t>一、审计意见</w:t>
      </w:r>
      <w:r>
        <w:rPr>
          <w:b w:val="0"/>
          <w:bCs w:val="0"/>
        </w:rPr>
      </w:r>
    </w:p>
    <w:p>
      <w:pPr>
        <w:spacing w:line="240" w:lineRule="auto" w:before="12"/>
        <w:rPr>
          <w:rFonts w:ascii="宋体" w:hAnsi="宋体" w:cs="宋体" w:eastAsia="宋体" w:hint="default"/>
          <w:b/>
          <w:bCs/>
          <w:sz w:val="27"/>
          <w:szCs w:val="27"/>
        </w:rPr>
      </w:pPr>
    </w:p>
    <w:p>
      <w:pPr>
        <w:pStyle w:val="BodyText"/>
        <w:spacing w:line="352" w:lineRule="auto" w:before="0"/>
        <w:ind w:right="1132" w:firstLine="480"/>
        <w:jc w:val="both"/>
      </w:pPr>
      <w:r>
        <w:rPr/>
        <w:t>我们审计了河南辉煌科技股份有限公司</w:t>
      </w:r>
      <w:r>
        <w:rPr>
          <w:rFonts w:ascii="宋体" w:hAnsi="宋体" w:cs="宋体" w:eastAsia="宋体" w:hint="default"/>
        </w:rPr>
        <w:t>(</w:t>
      </w:r>
      <w:r>
        <w:rPr/>
        <w:t>以下简称辉煌科技</w:t>
      </w:r>
      <w:r>
        <w:rPr>
          <w:rFonts w:ascii="宋体" w:hAnsi="宋体" w:cs="宋体" w:eastAsia="宋体" w:hint="default"/>
        </w:rPr>
        <w:t>)</w:t>
      </w:r>
      <w:r>
        <w:rPr/>
        <w:t>财务报表，包括 </w:t>
      </w:r>
      <w:r>
        <w:rPr>
          <w:rFonts w:ascii="宋体" w:hAnsi="宋体" w:cs="宋体" w:eastAsia="宋体" w:hint="default"/>
        </w:rPr>
        <w:t>2018 </w:t>
      </w:r>
      <w:r>
        <w:rPr/>
        <w:t>年</w:t>
      </w:r>
      <w:r>
        <w:rPr>
          <w:spacing w:val="-84"/>
        </w:rPr>
        <w:t> </w:t>
      </w:r>
      <w:r>
        <w:rPr>
          <w:rFonts w:ascii="宋体" w:hAnsi="宋体" w:cs="宋体" w:eastAsia="宋体" w:hint="default"/>
        </w:rPr>
        <w:t>12 </w:t>
      </w:r>
      <w:r>
        <w:rPr/>
        <w:t>月 </w:t>
      </w:r>
      <w:r>
        <w:rPr>
          <w:rFonts w:ascii="宋体" w:hAnsi="宋体" w:cs="宋体" w:eastAsia="宋体" w:hint="default"/>
        </w:rPr>
        <w:t>31 </w:t>
      </w:r>
      <w:r>
        <w:rPr/>
        <w:t>日的合并及母公司资产负债表，</w:t>
      </w:r>
      <w:r>
        <w:rPr>
          <w:rFonts w:ascii="宋体" w:hAnsi="宋体" w:cs="宋体" w:eastAsia="宋体" w:hint="default"/>
        </w:rPr>
        <w:t>2018</w:t>
      </w:r>
      <w:r>
        <w:rPr>
          <w:rFonts w:ascii="宋体" w:hAnsi="宋体" w:cs="宋体" w:eastAsia="宋体" w:hint="default"/>
          <w:spacing w:val="-84"/>
        </w:rPr>
        <w:t> </w:t>
      </w:r>
      <w:r>
        <w:rPr/>
        <w:t>年度的合并及母公司利润表、合并及母公司现金 流量表、合并及母公司股东权益变动表以及相关财务报表附注。</w:t>
      </w:r>
    </w:p>
    <w:p>
      <w:pPr>
        <w:pStyle w:val="BodyText"/>
        <w:spacing w:line="352" w:lineRule="auto" w:before="32"/>
        <w:ind w:right="1131" w:firstLine="480"/>
        <w:jc w:val="both"/>
      </w:pPr>
      <w:r>
        <w:rPr/>
        <w:t>我们认为，后附的财务报表在所有重大方面按照企业会计准则的规定编制，公允反映了 辉煌科技</w:t>
      </w:r>
      <w:r>
        <w:rPr>
          <w:spacing w:val="-55"/>
        </w:rPr>
        <w:t> </w:t>
      </w:r>
      <w:r>
        <w:rPr>
          <w:rFonts w:ascii="宋体" w:hAnsi="宋体" w:cs="宋体" w:eastAsia="宋体" w:hint="default"/>
        </w:rPr>
        <w:t>2018</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日的合并及母公司财务状况以及</w:t>
      </w:r>
      <w:r>
        <w:rPr>
          <w:spacing w:val="-55"/>
        </w:rPr>
        <w:t> </w:t>
      </w:r>
      <w:r>
        <w:rPr>
          <w:rFonts w:ascii="宋体" w:hAnsi="宋体" w:cs="宋体" w:eastAsia="宋体" w:hint="default"/>
        </w:rPr>
        <w:t>2018</w:t>
      </w:r>
      <w:r>
        <w:rPr>
          <w:rFonts w:ascii="宋体" w:hAnsi="宋体" w:cs="宋体" w:eastAsia="宋体" w:hint="default"/>
          <w:spacing w:val="-56"/>
        </w:rPr>
        <w:t> </w:t>
      </w:r>
      <w:r>
        <w:rPr/>
        <w:t>年度的合并及母公司经营成 果和现金流量。</w:t>
      </w:r>
    </w:p>
    <w:p>
      <w:pPr>
        <w:pStyle w:val="Heading2"/>
        <w:spacing w:line="240" w:lineRule="auto" w:before="145"/>
        <w:ind w:right="0"/>
        <w:jc w:val="left"/>
        <w:rPr>
          <w:b w:val="0"/>
          <w:bCs w:val="0"/>
        </w:rPr>
      </w:pPr>
      <w:r>
        <w:rPr/>
        <w:t>二、形成审计意见的基础</w:t>
      </w:r>
      <w:r>
        <w:rPr>
          <w:b w:val="0"/>
          <w:bCs w:val="0"/>
        </w:rPr>
      </w:r>
    </w:p>
    <w:p>
      <w:pPr>
        <w:spacing w:line="240" w:lineRule="auto" w:before="12"/>
        <w:rPr>
          <w:rFonts w:ascii="宋体" w:hAnsi="宋体" w:cs="宋体" w:eastAsia="宋体" w:hint="default"/>
          <w:b/>
          <w:bCs/>
          <w:sz w:val="27"/>
          <w:szCs w:val="27"/>
        </w:rPr>
      </w:pPr>
    </w:p>
    <w:p>
      <w:pPr>
        <w:pStyle w:val="BodyText"/>
        <w:spacing w:line="352" w:lineRule="auto" w:before="0"/>
        <w:ind w:right="1132" w:firstLine="480"/>
        <w:jc w:val="both"/>
      </w:pPr>
      <w:r>
        <w:rPr/>
        <w:t>我们按照中国注册会计师审计准则的规定执行了审计工作。审计报告的“注册会计师对 财务报表审计的责任”部分进一步阐述了我们在这些准则下的责任。按照中国注册会计师职</w:t>
      </w:r>
      <w:r>
        <w:rPr>
          <w:spacing w:val="-117"/>
        </w:rPr>
        <w:t> </w:t>
      </w:r>
      <w:r>
        <w:rPr>
          <w:spacing w:val="-117"/>
        </w:rPr>
      </w:r>
      <w:r>
        <w:rPr/>
        <w:t>业道德守则，我们独立于辉煌科技，并履行了职业道德方面的其他责任。我们相信，我们获 取的审计证据是充分、适当的，为发表审计意见提供了基础。</w:t>
      </w:r>
    </w:p>
    <w:p>
      <w:pPr>
        <w:pStyle w:val="Heading2"/>
        <w:spacing w:line="240" w:lineRule="auto" w:before="145"/>
        <w:ind w:right="0"/>
        <w:jc w:val="left"/>
        <w:rPr>
          <w:b w:val="0"/>
          <w:bCs w:val="0"/>
        </w:rPr>
      </w:pPr>
      <w:r>
        <w:rPr/>
        <w:t>三、关键审计事项</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352" w:lineRule="auto" w:before="199"/>
        <w:ind w:right="1139" w:firstLine="480"/>
        <w:jc w:val="both"/>
      </w:pPr>
      <w:r>
        <w:rPr/>
        <w:t>关键审计事项是我们根据职业判断，认为对本期财务报表审计最为重要的事项。这些事 项的应对以对财务报表整体进行审计并形成审计意见为背景，我们不对这些事项单独发表意 见。</w:t>
      </w:r>
    </w:p>
    <w:p>
      <w:pPr>
        <w:pStyle w:val="BodyText"/>
        <w:spacing w:line="350" w:lineRule="auto" w:before="33"/>
        <w:ind w:left="634" w:right="3912"/>
        <w:jc w:val="left"/>
      </w:pPr>
      <w:r>
        <w:rPr/>
        <w:t>我们确定下列事项是需要在审计报告中沟通的关键审计事项</w:t>
      </w:r>
      <w:r>
        <w:rPr>
          <w:rFonts w:ascii="宋体" w:hAnsi="宋体" w:cs="宋体" w:eastAsia="宋体" w:hint="default"/>
        </w:rPr>
        <w:t>: 1.</w:t>
      </w:r>
      <w:r>
        <w:rPr/>
        <w:t>应收账款坏账准备事项。</w:t>
      </w:r>
    </w:p>
    <w:p>
      <w:pPr>
        <w:pStyle w:val="BodyText"/>
        <w:spacing w:line="240" w:lineRule="auto"/>
        <w:ind w:left="634" w:right="0"/>
        <w:jc w:val="left"/>
      </w:pPr>
      <w:r>
        <w:rPr>
          <w:rFonts w:ascii="宋体" w:hAnsi="宋体" w:cs="宋体" w:eastAsia="宋体" w:hint="default"/>
        </w:rPr>
        <w:t>2.</w:t>
      </w:r>
      <w:r>
        <w:rPr/>
        <w:t>商誉减值准备事项。</w:t>
      </w:r>
    </w:p>
    <w:p>
      <w:pPr>
        <w:pStyle w:val="BodyText"/>
        <w:spacing w:line="350" w:lineRule="auto" w:before="145"/>
        <w:ind w:left="634" w:right="6912"/>
        <w:jc w:val="left"/>
      </w:pPr>
      <w:r>
        <w:rPr/>
        <w:t>（一）应收账款坏账准备的计提 </w:t>
      </w:r>
      <w:r>
        <w:rPr>
          <w:rFonts w:ascii="宋体" w:hAnsi="宋体" w:cs="宋体" w:eastAsia="宋体" w:hint="default"/>
        </w:rPr>
        <w:t>1.</w:t>
      </w:r>
      <w:r>
        <w:rPr/>
        <w:t>事项描述</w:t>
      </w:r>
    </w:p>
    <w:p>
      <w:pPr>
        <w:pStyle w:val="BodyText"/>
        <w:spacing w:line="240" w:lineRule="auto"/>
        <w:ind w:left="634" w:right="0"/>
        <w:jc w:val="left"/>
      </w:pPr>
      <w:r>
        <w:rPr>
          <w:spacing w:val="-3"/>
        </w:rPr>
        <w:t>如财务报表附注六、注释</w:t>
      </w:r>
      <w:r>
        <w:rPr>
          <w:spacing w:val="-63"/>
        </w:rPr>
        <w:t> </w:t>
      </w:r>
      <w:r>
        <w:rPr>
          <w:rFonts w:ascii="宋体" w:hAnsi="宋体" w:cs="宋体" w:eastAsia="宋体" w:hint="default"/>
        </w:rPr>
        <w:t>2</w:t>
      </w:r>
      <w:r>
        <w:rPr>
          <w:rFonts w:ascii="宋体" w:hAnsi="宋体" w:cs="宋体" w:eastAsia="宋体" w:hint="default"/>
          <w:spacing w:val="-63"/>
        </w:rPr>
        <w:t> </w:t>
      </w:r>
      <w:r>
        <w:rPr>
          <w:spacing w:val="-6"/>
        </w:rPr>
        <w:t>所示，截止</w:t>
      </w:r>
      <w:r>
        <w:rPr>
          <w:spacing w:val="-63"/>
        </w:rPr>
        <w:t> </w:t>
      </w:r>
      <w:r>
        <w:rPr>
          <w:rFonts w:ascii="宋体" w:hAnsi="宋体" w:cs="宋体" w:eastAsia="宋体" w:hint="default"/>
        </w:rPr>
        <w:t>2018</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日，辉煌科技应收账款账面原值</w:t>
      </w:r>
    </w:p>
    <w:p>
      <w:pPr>
        <w:pStyle w:val="BodyText"/>
        <w:spacing w:line="240" w:lineRule="auto" w:before="145"/>
        <w:ind w:right="0"/>
        <w:jc w:val="left"/>
      </w:pPr>
      <w:r>
        <w:rPr>
          <w:rFonts w:ascii="宋体" w:hAnsi="宋体" w:cs="宋体" w:eastAsia="宋体" w:hint="default"/>
        </w:rPr>
        <w:t>64,403.59 </w:t>
      </w:r>
      <w:r>
        <w:rPr/>
        <w:t>万元，已计提坏账准备 </w:t>
      </w:r>
      <w:r>
        <w:rPr>
          <w:rFonts w:ascii="宋体" w:hAnsi="宋体" w:cs="宋体" w:eastAsia="宋体" w:hint="default"/>
        </w:rPr>
        <w:t>11,587.94</w:t>
      </w:r>
      <w:r>
        <w:rPr>
          <w:rFonts w:ascii="宋体" w:hAnsi="宋体" w:cs="宋体" w:eastAsia="宋体" w:hint="default"/>
          <w:spacing w:val="-84"/>
        </w:rPr>
        <w:t> </w:t>
      </w:r>
      <w:r>
        <w:rPr/>
        <w:t>万元，应收账款账面价值占资产总额的比例为</w:t>
      </w:r>
    </w:p>
    <w:p>
      <w:pPr>
        <w:pStyle w:val="BodyText"/>
        <w:spacing w:line="352" w:lineRule="auto" w:before="145"/>
        <w:ind w:right="0"/>
        <w:jc w:val="left"/>
      </w:pPr>
      <w:r>
        <w:rPr>
          <w:rFonts w:ascii="宋体" w:hAnsi="宋体" w:cs="宋体" w:eastAsia="宋体" w:hint="default"/>
        </w:rPr>
        <w:t>25.78%</w:t>
      </w:r>
      <w:r>
        <w:rPr/>
        <w:t>，对财务报表具有重要性，而应收账款的坏账准备的计提需要管理层作出重大会计估</w:t>
      </w:r>
      <w:r>
        <w:rPr>
          <w:spacing w:val="-117"/>
        </w:rPr>
        <w:t> </w:t>
      </w:r>
      <w:r>
        <w:rPr>
          <w:spacing w:val="-117"/>
        </w:rPr>
      </w:r>
      <w:r>
        <w:rPr/>
        <w:t>计和判断，因此我们将应收账款坏账准备的计提确定为关键审计事项。</w:t>
      </w:r>
    </w:p>
    <w:p>
      <w:pPr>
        <w:pStyle w:val="BodyText"/>
        <w:spacing w:line="350" w:lineRule="auto" w:before="32"/>
        <w:ind w:left="634" w:right="3792"/>
        <w:jc w:val="left"/>
      </w:pPr>
      <w:r>
        <w:rPr>
          <w:rFonts w:ascii="宋体" w:hAnsi="宋体" w:cs="宋体" w:eastAsia="宋体" w:hint="default"/>
        </w:rPr>
        <w:t>2.</w:t>
      </w:r>
      <w:r>
        <w:rPr/>
        <w:t>审计应对 我们针对应收账款坏账准备的计提执行的审计程序主要包括：</w:t>
      </w:r>
    </w:p>
    <w:p>
      <w:pPr>
        <w:pStyle w:val="BodyText"/>
        <w:spacing w:line="350" w:lineRule="auto"/>
        <w:ind w:right="0" w:firstLine="480"/>
        <w:jc w:val="left"/>
      </w:pPr>
      <w:r>
        <w:rPr>
          <w:spacing w:val="3"/>
        </w:rPr>
        <w:t>（</w:t>
      </w:r>
      <w:r>
        <w:rPr>
          <w:rFonts w:ascii="宋体" w:hAnsi="宋体" w:cs="宋体" w:eastAsia="宋体" w:hint="default"/>
          <w:spacing w:val="3"/>
        </w:rPr>
        <w:t>1</w:t>
      </w:r>
      <w:r>
        <w:rPr>
          <w:spacing w:val="3"/>
        </w:rPr>
        <w:t>）了解管理层与应收账款日常管理及期末可回收性评估相关的内部控制设计的有效</w:t>
      </w:r>
      <w:r>
        <w:rPr/>
        <w:t> 性，并对关键控制制度运行的有效性进行测试。</w:t>
      </w:r>
    </w:p>
    <w:p>
      <w:pPr>
        <w:pStyle w:val="BodyText"/>
        <w:spacing w:line="352" w:lineRule="auto" w:before="35"/>
        <w:ind w:right="0" w:firstLine="480"/>
        <w:jc w:val="left"/>
      </w:pPr>
      <w:r>
        <w:rPr>
          <w:spacing w:val="-3"/>
        </w:rPr>
        <w:t>（</w:t>
      </w:r>
      <w:r>
        <w:rPr>
          <w:rFonts w:ascii="宋体" w:hAnsi="宋体" w:cs="宋体" w:eastAsia="宋体" w:hint="default"/>
          <w:spacing w:val="-3"/>
        </w:rPr>
        <w:t>2</w:t>
      </w:r>
      <w:r>
        <w:rPr>
          <w:spacing w:val="-3"/>
        </w:rPr>
        <w:t>）对年末余额重大及本期发生额重大的应收账款执行函证程序，将函证结果与辉煌科</w:t>
      </w:r>
      <w:r>
        <w:rPr/>
        <w:t> 技账面记录进行核对，以核实应收账款的存在性及准确性。</w:t>
      </w:r>
    </w:p>
    <w:p>
      <w:pPr>
        <w:pStyle w:val="BodyText"/>
        <w:spacing w:line="350" w:lineRule="auto" w:before="32"/>
        <w:ind w:right="0" w:firstLine="480"/>
        <w:jc w:val="left"/>
      </w:pPr>
      <w:r>
        <w:rPr>
          <w:spacing w:val="-6"/>
        </w:rPr>
        <w:t>（</w:t>
      </w:r>
      <w:r>
        <w:rPr>
          <w:rFonts w:ascii="宋体" w:hAnsi="宋体" w:cs="宋体" w:eastAsia="宋体" w:hint="default"/>
          <w:spacing w:val="-6"/>
        </w:rPr>
        <w:t>3</w:t>
      </w:r>
      <w:r>
        <w:rPr>
          <w:spacing w:val="-6"/>
        </w:rPr>
        <w:t>）对于按照账龄分析法计提坏账准备的应收账款，检查应收账款的账龄划分是否正确，</w:t>
      </w:r>
      <w:r>
        <w:rPr/>
        <w:t> 按辉煌科技的会计政策重新计算坏账准备计提金额是否准确。</w:t>
      </w:r>
    </w:p>
    <w:p>
      <w:pPr>
        <w:pStyle w:val="BodyText"/>
        <w:spacing w:line="350" w:lineRule="auto"/>
        <w:ind w:right="0" w:firstLine="480"/>
        <w:jc w:val="left"/>
      </w:pPr>
      <w:r>
        <w:rPr>
          <w:spacing w:val="-3"/>
        </w:rPr>
        <w:t>（</w:t>
      </w:r>
      <w:r>
        <w:rPr>
          <w:rFonts w:ascii="宋体" w:hAnsi="宋体" w:cs="宋体" w:eastAsia="宋体" w:hint="default"/>
          <w:spacing w:val="-3"/>
        </w:rPr>
        <w:t>4</w:t>
      </w:r>
      <w:r>
        <w:rPr>
          <w:spacing w:val="-3"/>
        </w:rPr>
        <w:t>）根据辉煌科技客户特点、以往年度实际的坏账损失情况、与同行业坏账准备计提政</w:t>
      </w:r>
      <w:r>
        <w:rPr/>
        <w:t> 策的比较、期后回款情况检查等，评估应收账款坏账准备计提政策的合理性。</w:t>
      </w:r>
    </w:p>
    <w:p>
      <w:pPr>
        <w:pStyle w:val="BodyText"/>
        <w:spacing w:line="352" w:lineRule="auto" w:before="35"/>
        <w:ind w:left="634" w:right="0"/>
        <w:jc w:val="left"/>
      </w:pPr>
      <w:r>
        <w:rPr/>
        <w:t>（</w:t>
      </w:r>
      <w:r>
        <w:rPr>
          <w:rFonts w:ascii="宋体" w:hAnsi="宋体" w:cs="宋体" w:eastAsia="宋体" w:hint="default"/>
        </w:rPr>
        <w:t>5</w:t>
      </w:r>
      <w:r>
        <w:rPr/>
        <w:t>）评估管理层对应收账款坏账准备的财务报表披露是否恰当。 基于已执行的审计工作，我们认为辉煌科技应收账款坏账准备的计提符合公司的会计政</w:t>
      </w:r>
    </w:p>
    <w:p>
      <w:pPr>
        <w:pStyle w:val="BodyText"/>
        <w:spacing w:line="240" w:lineRule="auto" w:before="32"/>
        <w:ind w:right="0"/>
        <w:jc w:val="left"/>
      </w:pPr>
      <w:r>
        <w:rPr/>
        <w:t>策。</w:t>
      </w:r>
    </w:p>
    <w:p>
      <w:pPr>
        <w:pStyle w:val="BodyText"/>
        <w:spacing w:line="352" w:lineRule="auto" w:before="145"/>
        <w:ind w:left="634" w:right="8592"/>
        <w:jc w:val="left"/>
      </w:pPr>
      <w:r>
        <w:rPr/>
        <w:t>（二）商誉减值 </w:t>
      </w:r>
      <w:r>
        <w:rPr>
          <w:rFonts w:ascii="宋体" w:hAnsi="宋体" w:cs="宋体" w:eastAsia="宋体" w:hint="default"/>
        </w:rPr>
        <w:t>1.</w:t>
      </w:r>
      <w:r>
        <w:rPr/>
        <w:t>事项描述</w:t>
      </w:r>
    </w:p>
    <w:p>
      <w:pPr>
        <w:pStyle w:val="BodyText"/>
        <w:spacing w:line="240" w:lineRule="auto" w:before="33"/>
        <w:ind w:left="634" w:right="0"/>
        <w:jc w:val="left"/>
      </w:pPr>
      <w:r>
        <w:rPr>
          <w:spacing w:val="7"/>
        </w:rPr>
        <w:t>如财务报表附注六、注释 </w:t>
      </w:r>
      <w:r>
        <w:rPr>
          <w:rFonts w:ascii="宋体" w:hAnsi="宋体" w:cs="宋体" w:eastAsia="宋体" w:hint="default"/>
        </w:rPr>
        <w:t>12 </w:t>
      </w:r>
      <w:r>
        <w:rPr>
          <w:spacing w:val="6"/>
        </w:rPr>
        <w:t>所述，辉煌科技 </w:t>
      </w:r>
      <w:r>
        <w:rPr>
          <w:rFonts w:ascii="宋体" w:hAnsi="宋体" w:cs="宋体" w:eastAsia="宋体" w:hint="default"/>
        </w:rPr>
        <w:t>2018</w:t>
      </w:r>
      <w:r>
        <w:rPr>
          <w:rFonts w:ascii="宋体" w:hAnsi="宋体" w:cs="宋体" w:eastAsia="宋体" w:hint="default"/>
          <w:spacing w:val="27"/>
        </w:rPr>
        <w:t> </w:t>
      </w:r>
      <w:r>
        <w:rPr>
          <w:spacing w:val="8"/>
        </w:rPr>
        <w:t>年末合并报表的商誉账面原值为</w:t>
      </w:r>
      <w:r>
        <w:rPr/>
      </w:r>
    </w:p>
    <w:p>
      <w:pPr>
        <w:pStyle w:val="BodyText"/>
        <w:spacing w:line="352" w:lineRule="auto" w:before="145"/>
        <w:ind w:right="1116"/>
        <w:jc w:val="left"/>
      </w:pPr>
      <w:r>
        <w:rPr>
          <w:rFonts w:ascii="宋体" w:hAnsi="宋体" w:cs="宋体" w:eastAsia="宋体" w:hint="default"/>
        </w:rPr>
        <w:t>14,200.43 </w:t>
      </w:r>
      <w:r>
        <w:rPr/>
        <w:t>万元，已计提减值准备 </w:t>
      </w:r>
      <w:r>
        <w:rPr>
          <w:rFonts w:ascii="宋体" w:hAnsi="宋体" w:cs="宋体" w:eastAsia="宋体" w:hint="default"/>
        </w:rPr>
        <w:t>13,276.66</w:t>
      </w:r>
      <w:r>
        <w:rPr>
          <w:rFonts w:ascii="宋体" w:hAnsi="宋体" w:cs="宋体" w:eastAsia="宋体" w:hint="default"/>
          <w:spacing w:val="-84"/>
        </w:rPr>
        <w:t> </w:t>
      </w:r>
      <w:r>
        <w:rPr/>
        <w:t>万元，管理层对商誉至少每年进行减值测试。 商誉的减值测试涉及大量的管理层判断和估计，尤其是对于预计未来现金流量和使用的折现</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032"/>
        <w:jc w:val="left"/>
      </w:pPr>
      <w:r>
        <w:rPr/>
        <w:t>率的判断和估计。因本期商誉减值准备计提的金额对辉煌科技</w:t>
      </w:r>
      <w:r>
        <w:rPr>
          <w:spacing w:val="-60"/>
        </w:rPr>
        <w:t> </w:t>
      </w:r>
      <w:r>
        <w:rPr>
          <w:rFonts w:ascii="宋体" w:hAnsi="宋体" w:cs="宋体" w:eastAsia="宋体" w:hint="default"/>
        </w:rPr>
        <w:t>2018</w:t>
      </w:r>
      <w:r>
        <w:rPr>
          <w:rFonts w:ascii="宋体" w:hAnsi="宋体" w:cs="宋体" w:eastAsia="宋体" w:hint="default"/>
          <w:spacing w:val="-60"/>
        </w:rPr>
        <w:t> </w:t>
      </w:r>
      <w:r>
        <w:rPr/>
        <w:t>年度经营业绩影响较大， 故我们将商誉减值事项作为关键审计事项。</w:t>
      </w:r>
    </w:p>
    <w:p>
      <w:pPr>
        <w:pStyle w:val="BodyText"/>
        <w:spacing w:line="350" w:lineRule="auto"/>
        <w:ind w:left="634" w:right="4752"/>
        <w:jc w:val="left"/>
      </w:pPr>
      <w:r>
        <w:rPr>
          <w:rFonts w:ascii="宋体" w:hAnsi="宋体" w:cs="宋体" w:eastAsia="宋体" w:hint="default"/>
        </w:rPr>
        <w:t>2.</w:t>
      </w:r>
      <w:r>
        <w:rPr/>
        <w:t>审计应对 我们针对商誉减值测试所实施的重要审计程序包括：</w:t>
      </w:r>
    </w:p>
    <w:p>
      <w:pPr>
        <w:pStyle w:val="BodyText"/>
        <w:spacing w:line="352" w:lineRule="auto" w:before="35"/>
        <w:ind w:right="0" w:firstLine="480"/>
        <w:jc w:val="left"/>
      </w:pPr>
      <w:r>
        <w:rPr>
          <w:spacing w:val="-3"/>
        </w:rPr>
        <w:t>（</w:t>
      </w:r>
      <w:r>
        <w:rPr>
          <w:rFonts w:ascii="宋体" w:hAnsi="宋体" w:cs="宋体" w:eastAsia="宋体" w:hint="default"/>
          <w:spacing w:val="-3"/>
        </w:rPr>
        <w:t>1</w:t>
      </w:r>
      <w:r>
        <w:rPr>
          <w:spacing w:val="-3"/>
        </w:rPr>
        <w:t>）了解管理层商誉减值评估的方法，包括预测未来收入、现金流折现率等假设的合理</w:t>
      </w:r>
      <w:r>
        <w:rPr/>
        <w:t> 性及盈利状况的判断和评估。</w:t>
      </w:r>
    </w:p>
    <w:p>
      <w:pPr>
        <w:pStyle w:val="BodyText"/>
        <w:spacing w:line="350" w:lineRule="auto" w:before="32"/>
        <w:ind w:right="0" w:firstLine="480"/>
        <w:jc w:val="left"/>
      </w:pPr>
      <w:r>
        <w:rPr>
          <w:spacing w:val="-3"/>
        </w:rPr>
        <w:t>（</w:t>
      </w:r>
      <w:r>
        <w:rPr>
          <w:rFonts w:ascii="宋体" w:hAnsi="宋体" w:cs="宋体" w:eastAsia="宋体" w:hint="default"/>
          <w:spacing w:val="-3"/>
        </w:rPr>
        <w:t>2</w:t>
      </w:r>
      <w:r>
        <w:rPr>
          <w:spacing w:val="-3"/>
        </w:rPr>
        <w:t>）将未来现金流量预测期间的收入增长率和毛利率等与历史数据、所属行业的发展趋</w:t>
      </w:r>
      <w:r>
        <w:rPr/>
        <w:t> 势进行比较。</w:t>
      </w:r>
    </w:p>
    <w:p>
      <w:pPr>
        <w:pStyle w:val="BodyText"/>
        <w:spacing w:line="350" w:lineRule="auto"/>
        <w:ind w:right="0" w:firstLine="480"/>
        <w:jc w:val="left"/>
      </w:pPr>
      <w:r>
        <w:rPr>
          <w:spacing w:val="-3"/>
        </w:rPr>
        <w:t>（</w:t>
      </w:r>
      <w:r>
        <w:rPr>
          <w:rFonts w:ascii="宋体" w:hAnsi="宋体" w:cs="宋体" w:eastAsia="宋体" w:hint="default"/>
          <w:spacing w:val="-3"/>
        </w:rPr>
        <w:t>3</w:t>
      </w:r>
      <w:r>
        <w:rPr>
          <w:spacing w:val="-3"/>
        </w:rPr>
        <w:t>）评价管理层在商誉减值测试中运用的假设、估值方法、现金流量预测及所使用的其</w:t>
      </w:r>
      <w:r>
        <w:rPr/>
        <w:t> 他数据和参数的合理性。</w:t>
      </w:r>
    </w:p>
    <w:p>
      <w:pPr>
        <w:pStyle w:val="BodyText"/>
        <w:spacing w:line="352" w:lineRule="auto" w:before="35"/>
        <w:ind w:right="0" w:firstLine="480"/>
        <w:jc w:val="left"/>
      </w:pPr>
      <w:r>
        <w:rPr>
          <w:spacing w:val="-6"/>
        </w:rPr>
        <w:t>（</w:t>
      </w:r>
      <w:r>
        <w:rPr>
          <w:rFonts w:ascii="宋体" w:hAnsi="宋体" w:cs="宋体" w:eastAsia="宋体" w:hint="default"/>
          <w:spacing w:val="-6"/>
        </w:rPr>
        <w:t>4</w:t>
      </w:r>
      <w:r>
        <w:rPr>
          <w:spacing w:val="-6"/>
        </w:rPr>
        <w:t>）利用了外部评估专家工作，评价由辉煌科技管理层聘请的外部评估专家的胜任能力、</w:t>
      </w:r>
      <w:r>
        <w:rPr/>
        <w:t> 专业素质和客观性。</w:t>
      </w:r>
    </w:p>
    <w:p>
      <w:pPr>
        <w:pStyle w:val="BodyText"/>
        <w:spacing w:line="240" w:lineRule="auto" w:before="32"/>
        <w:ind w:left="634" w:right="0"/>
        <w:jc w:val="left"/>
      </w:pPr>
      <w:r>
        <w:rPr/>
        <w:t>（</w:t>
      </w:r>
      <w:r>
        <w:rPr>
          <w:rFonts w:ascii="宋体" w:hAnsi="宋体" w:cs="宋体" w:eastAsia="宋体" w:hint="default"/>
        </w:rPr>
        <w:t>5</w:t>
      </w:r>
      <w:r>
        <w:rPr/>
        <w:t>）测算折现现金流量模型计算的准确性。</w:t>
      </w:r>
    </w:p>
    <w:p>
      <w:pPr>
        <w:pStyle w:val="BodyText"/>
        <w:spacing w:line="352" w:lineRule="auto" w:before="145"/>
        <w:ind w:left="634" w:right="1632"/>
        <w:jc w:val="left"/>
      </w:pPr>
      <w:r>
        <w:rPr/>
        <w:t>（</w:t>
      </w:r>
      <w:r>
        <w:rPr>
          <w:rFonts w:ascii="宋体" w:hAnsi="宋体" w:cs="宋体" w:eastAsia="宋体" w:hint="default"/>
        </w:rPr>
        <w:t>6</w:t>
      </w:r>
      <w:r>
        <w:rPr/>
        <w:t>）评估管理层对商誉减值的财务报表披露是否恰当。 根据已执行的审计工作，我们认为商誉减值准备的确认符合辉煌科技的会计政策。</w:t>
      </w:r>
    </w:p>
    <w:p>
      <w:pPr>
        <w:pStyle w:val="Heading2"/>
        <w:spacing w:line="240" w:lineRule="auto" w:before="146"/>
        <w:ind w:right="0"/>
        <w:jc w:val="left"/>
        <w:rPr>
          <w:b w:val="0"/>
          <w:bCs w:val="0"/>
        </w:rPr>
      </w:pPr>
      <w:r>
        <w:rPr/>
        <w:t>四、其他信息</w:t>
      </w:r>
      <w:r>
        <w:rPr>
          <w:b w:val="0"/>
          <w:bCs w:val="0"/>
        </w:rPr>
      </w:r>
    </w:p>
    <w:p>
      <w:pPr>
        <w:spacing w:line="240" w:lineRule="auto" w:before="12"/>
        <w:rPr>
          <w:rFonts w:ascii="宋体" w:hAnsi="宋体" w:cs="宋体" w:eastAsia="宋体" w:hint="default"/>
          <w:b/>
          <w:bCs/>
          <w:sz w:val="27"/>
          <w:szCs w:val="27"/>
        </w:rPr>
      </w:pPr>
    </w:p>
    <w:p>
      <w:pPr>
        <w:pStyle w:val="BodyText"/>
        <w:spacing w:line="350" w:lineRule="auto" w:before="0"/>
        <w:ind w:right="1113" w:firstLine="480"/>
        <w:jc w:val="left"/>
      </w:pPr>
      <w:r>
        <w:rPr/>
        <w:t>辉煌科技管理层对其他信息负责。其他信息包括</w:t>
      </w:r>
      <w:r>
        <w:rPr>
          <w:spacing w:val="-78"/>
        </w:rPr>
        <w:t> </w:t>
      </w:r>
      <w:r>
        <w:rPr>
          <w:rFonts w:ascii="宋体" w:hAnsi="宋体" w:cs="宋体" w:eastAsia="宋体" w:hint="default"/>
        </w:rPr>
        <w:t>2018</w:t>
      </w:r>
      <w:r>
        <w:rPr>
          <w:rFonts w:ascii="宋体" w:hAnsi="宋体" w:cs="宋体" w:eastAsia="宋体" w:hint="default"/>
          <w:spacing w:val="-78"/>
        </w:rPr>
        <w:t> </w:t>
      </w:r>
      <w:r>
        <w:rPr>
          <w:spacing w:val="-3"/>
        </w:rPr>
        <w:t>年度报告中涵盖的信息，但不包括</w:t>
      </w:r>
      <w:r>
        <w:rPr/>
        <w:t> 财务报表和我们的审计报告。</w:t>
      </w:r>
    </w:p>
    <w:p>
      <w:pPr>
        <w:pStyle w:val="BodyText"/>
        <w:spacing w:line="350" w:lineRule="auto"/>
        <w:ind w:right="0" w:firstLine="480"/>
        <w:jc w:val="left"/>
      </w:pPr>
      <w:r>
        <w:rPr/>
        <w:t>我们对财务报表发表的审计意见不涵盖其他信息，我们也不对其他信息发表任何形式的 鉴证结论。</w:t>
      </w:r>
    </w:p>
    <w:p>
      <w:pPr>
        <w:pStyle w:val="BodyText"/>
        <w:spacing w:line="352" w:lineRule="auto" w:before="35"/>
        <w:ind w:right="0" w:firstLine="480"/>
        <w:jc w:val="left"/>
      </w:pPr>
      <w:r>
        <w:rPr/>
        <w:t>结合我们对财务报表的审计，我们的责任是阅读其他信息，在此过程中，考虑其他信息 是否与财务报表或我们在审计过程中了解的情况存在重大不一致或者似乎存在重大错报。</w:t>
      </w:r>
    </w:p>
    <w:p>
      <w:pPr>
        <w:pStyle w:val="BodyText"/>
        <w:spacing w:line="350" w:lineRule="auto" w:before="32"/>
        <w:ind w:right="0" w:firstLine="480"/>
        <w:jc w:val="left"/>
      </w:pPr>
      <w:r>
        <w:rPr/>
        <w:t>基于我们已执行的工作，如果我们确定其他信息存在重大错报，我们应当报告该事实。 在这方面，我们无任何事项需要报告。</w:t>
      </w:r>
    </w:p>
    <w:p>
      <w:pPr>
        <w:pStyle w:val="Heading2"/>
        <w:spacing w:line="240" w:lineRule="auto" w:before="149"/>
        <w:ind w:right="0"/>
        <w:jc w:val="left"/>
        <w:rPr>
          <w:b w:val="0"/>
          <w:bCs w:val="0"/>
        </w:rPr>
      </w:pPr>
      <w:r>
        <w:rPr/>
        <w:t>五、管理层和治理层对财务报表的责任</w:t>
      </w:r>
      <w:r>
        <w:rPr>
          <w:b w:val="0"/>
          <w:bCs w:val="0"/>
        </w:rPr>
      </w:r>
    </w:p>
    <w:p>
      <w:pPr>
        <w:spacing w:line="240" w:lineRule="auto" w:before="12"/>
        <w:rPr>
          <w:rFonts w:ascii="宋体" w:hAnsi="宋体" w:cs="宋体" w:eastAsia="宋体" w:hint="default"/>
          <w:b/>
          <w:bCs/>
          <w:sz w:val="27"/>
          <w:szCs w:val="27"/>
        </w:rPr>
      </w:pPr>
    </w:p>
    <w:p>
      <w:pPr>
        <w:pStyle w:val="BodyText"/>
        <w:spacing w:line="350" w:lineRule="auto" w:before="0"/>
        <w:ind w:right="0" w:firstLine="480"/>
        <w:jc w:val="left"/>
      </w:pPr>
      <w:r>
        <w:rPr/>
        <w:t>辉煌科技管理层负责按照企业会计准则的规定编制财务报表，使其实现公允反映，并设 计、执行和维护必要的内部控制，以使财务报表不存在由于舞弊或错误导致的重大错报。</w:t>
      </w:r>
    </w:p>
    <w:p>
      <w:pPr>
        <w:pStyle w:val="BodyText"/>
        <w:spacing w:line="240" w:lineRule="auto" w:before="35"/>
        <w:ind w:left="634" w:right="0"/>
        <w:jc w:val="left"/>
      </w:pPr>
      <w:r>
        <w:rPr/>
        <w:t>在编制财务报表时，辉煌科技管理层负责评估辉煌科技的持续经营能力，披露与持续经</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17"/>
        <w:jc w:val="left"/>
      </w:pPr>
      <w:r>
        <w:rPr>
          <w:spacing w:val="-5"/>
        </w:rPr>
        <w:t>营相关的事项（如适用），并运用持续经营假设，除非管理层计划清算辉煌科技、终止运营或</w:t>
      </w:r>
      <w:r>
        <w:rPr/>
        <w:t> 别无其他现实的选择。</w:t>
      </w:r>
    </w:p>
    <w:p>
      <w:pPr>
        <w:spacing w:line="436" w:lineRule="auto" w:before="36"/>
        <w:ind w:left="154" w:right="5712" w:firstLine="480"/>
        <w:jc w:val="left"/>
        <w:rPr>
          <w:rFonts w:ascii="宋体" w:hAnsi="宋体" w:cs="宋体" w:eastAsia="宋体" w:hint="default"/>
          <w:sz w:val="24"/>
          <w:szCs w:val="24"/>
        </w:rPr>
      </w:pPr>
      <w:r>
        <w:rPr>
          <w:rFonts w:ascii="宋体" w:hAnsi="宋体" w:cs="宋体" w:eastAsia="宋体" w:hint="default"/>
          <w:sz w:val="24"/>
          <w:szCs w:val="24"/>
        </w:rPr>
        <w:t>治理层负责监督辉煌科技的财务报告过程。 </w:t>
      </w:r>
      <w:r>
        <w:rPr>
          <w:rFonts w:ascii="宋体" w:hAnsi="宋体" w:cs="宋体" w:eastAsia="宋体" w:hint="default"/>
          <w:b/>
          <w:bCs/>
          <w:sz w:val="24"/>
          <w:szCs w:val="24"/>
        </w:rPr>
        <w:t>六、注册会计师对财务报表审计的责任</w:t>
      </w:r>
      <w:r>
        <w:rPr>
          <w:rFonts w:ascii="宋体" w:hAnsi="宋体" w:cs="宋体" w:eastAsia="宋体" w:hint="default"/>
          <w:sz w:val="24"/>
          <w:szCs w:val="24"/>
        </w:rPr>
      </w:r>
    </w:p>
    <w:p>
      <w:pPr>
        <w:pStyle w:val="BodyText"/>
        <w:spacing w:line="350" w:lineRule="auto" w:before="168"/>
        <w:ind w:right="1139" w:firstLine="480"/>
        <w:jc w:val="both"/>
      </w:pPr>
      <w:r>
        <w:rPr>
          <w:spacing w:val="6"/>
        </w:rPr>
        <w:t>我们的目标是对财务报表整体是否不存在由于舞弊或错误导致的重大错报获取合理保</w:t>
      </w:r>
      <w:r>
        <w:rPr/>
        <w:t>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BodyText"/>
        <w:spacing w:line="350" w:lineRule="auto"/>
        <w:ind w:right="1140" w:firstLine="480"/>
        <w:jc w:val="both"/>
      </w:pPr>
      <w:r>
        <w:rPr/>
        <w:t>在按照审计准则执行审计工作的过程中，我们运用职业判断，并保持职业怀疑。同时， 我们也执行以下工作：</w:t>
      </w:r>
    </w:p>
    <w:p>
      <w:pPr>
        <w:pStyle w:val="BodyText"/>
        <w:spacing w:line="352" w:lineRule="auto" w:before="35"/>
        <w:ind w:right="1139" w:firstLine="480"/>
        <w:jc w:val="both"/>
      </w:pPr>
      <w:r>
        <w:rPr>
          <w:rFonts w:ascii="宋体" w:hAnsi="宋体" w:cs="宋体" w:eastAsia="宋体" w:hint="default"/>
        </w:rPr>
        <w:t>1.</w:t>
      </w:r>
      <w:r>
        <w:rPr/>
        <w:t>识别和评估由于舞弊或错误导致的财务报表重大错报风险，设计和实施审计程序以应 对这些风险，并获取充分、适当的审计证据，作为发表审计意见的基础。由于舞弊可能涉及 串通、伪造、故意遗漏、虚假陈述或凌驾于内部控制之上，未能发现由于舞弊导致的重大错 报的风险高于未能发现由于错误导致的重大错报的风险。</w:t>
      </w:r>
    </w:p>
    <w:p>
      <w:pPr>
        <w:pStyle w:val="BodyText"/>
        <w:spacing w:line="240" w:lineRule="auto" w:before="34"/>
        <w:ind w:left="634" w:right="0"/>
        <w:jc w:val="left"/>
      </w:pPr>
      <w:r>
        <w:rPr>
          <w:rFonts w:ascii="宋体" w:hAnsi="宋体" w:cs="宋体" w:eastAsia="宋体" w:hint="default"/>
        </w:rPr>
        <w:t>2.</w:t>
      </w:r>
      <w:r>
        <w:rPr/>
        <w:t>了解与审计相关的内部控制，以设计恰当的审计程序。</w:t>
      </w:r>
    </w:p>
    <w:p>
      <w:pPr>
        <w:pStyle w:val="BodyText"/>
        <w:spacing w:line="240" w:lineRule="auto" w:before="145"/>
        <w:ind w:left="634" w:right="0"/>
        <w:jc w:val="left"/>
      </w:pPr>
      <w:r>
        <w:rPr>
          <w:rFonts w:ascii="宋体" w:hAnsi="宋体" w:cs="宋体" w:eastAsia="宋体" w:hint="default"/>
        </w:rPr>
        <w:t>3.</w:t>
      </w:r>
      <w:r>
        <w:rPr/>
        <w:t>评价管理层选用会计政策的恰当性和作出会计估计及相关披露的合理性。</w:t>
      </w:r>
    </w:p>
    <w:p>
      <w:pPr>
        <w:pStyle w:val="BodyText"/>
        <w:spacing w:line="352" w:lineRule="auto" w:before="145"/>
        <w:ind w:right="1013" w:firstLine="480"/>
        <w:jc w:val="both"/>
      </w:pPr>
      <w:r>
        <w:rPr>
          <w:rFonts w:ascii="宋体" w:hAnsi="宋体" w:cs="宋体" w:eastAsia="宋体" w:hint="default"/>
        </w:rPr>
        <w:t>4.</w:t>
      </w:r>
      <w:r>
        <w:rPr/>
        <w:t>对管理层使用持续经营假设的恰当性得出结论。同时，根据获取的审计证据，就可能 导致对辉煌科技持续经营能力产生重大疑虑的事项或情况是否存在重大不确定性得出结论。</w:t>
      </w:r>
      <w:r>
        <w:rPr>
          <w:spacing w:val="-117"/>
        </w:rPr>
        <w:t> </w:t>
      </w:r>
      <w:r>
        <w:rPr>
          <w:spacing w:val="-117"/>
        </w:rPr>
      </w:r>
      <w:r>
        <w:rPr/>
        <w:t>如果我们得出结论认为存在重大不确定性，审计准则要求我们在审计报告中提请报告使用者 注意财务报表中的相关披露；如果披露不充分，我们应当发表非无保留意见。我们的结论基 </w:t>
      </w:r>
      <w:r>
        <w:rPr>
          <w:spacing w:val="-2"/>
        </w:rPr>
        <w:t>于截至审计报告日可获得的信息。然而，未来的事项或情况可能导致辉煌科技不能持续经营。</w:t>
      </w:r>
    </w:p>
    <w:p>
      <w:pPr>
        <w:pStyle w:val="BodyText"/>
        <w:spacing w:line="350" w:lineRule="auto" w:before="32"/>
        <w:ind w:right="1132" w:firstLine="480"/>
        <w:jc w:val="both"/>
      </w:pPr>
      <w:r>
        <w:rPr>
          <w:rFonts w:ascii="宋体" w:hAnsi="宋体" w:cs="宋体" w:eastAsia="宋体" w:hint="default"/>
          <w:spacing w:val="-6"/>
        </w:rPr>
        <w:t>5.</w:t>
      </w:r>
      <w:r>
        <w:rPr>
          <w:spacing w:val="-6"/>
        </w:rPr>
        <w:t>评价财务报表的总体列报、结构和内容（包括披露），并评价财务报表是否公允反映相</w:t>
      </w:r>
      <w:r>
        <w:rPr/>
        <w:t> 关交易和事项。</w:t>
      </w:r>
    </w:p>
    <w:p>
      <w:pPr>
        <w:pStyle w:val="BodyText"/>
        <w:spacing w:line="350" w:lineRule="auto"/>
        <w:ind w:right="1139" w:firstLine="480"/>
        <w:jc w:val="both"/>
      </w:pPr>
      <w:r>
        <w:rPr>
          <w:rFonts w:ascii="宋体" w:hAnsi="宋体" w:cs="宋体" w:eastAsia="宋体" w:hint="default"/>
        </w:rPr>
        <w:t>6.</w:t>
      </w:r>
      <w:r>
        <w:rPr/>
        <w:t>就辉煌科技中实体或业务活动的财务信息获取充分、适当的审计证据，以对财务报表 发表意见。我们负责指导、监督和执行集团审计。我们对审计意见承担全部责任。</w:t>
      </w:r>
    </w:p>
    <w:p>
      <w:pPr>
        <w:pStyle w:val="BodyText"/>
        <w:spacing w:line="352" w:lineRule="auto" w:before="35"/>
        <w:ind w:right="1140" w:firstLine="480"/>
        <w:jc w:val="both"/>
      </w:pPr>
      <w:r>
        <w:rPr/>
        <w:t>我们与治理层就计划的审计范围、时间安排和重大审计发现等事项进行沟通，包括沟通 我们在审计中识别出的值得关注的内部控制缺陷。</w:t>
      </w:r>
    </w:p>
    <w:p>
      <w:pPr>
        <w:pStyle w:val="BodyText"/>
        <w:spacing w:line="240" w:lineRule="auto" w:before="32"/>
        <w:ind w:left="634" w:right="0"/>
        <w:jc w:val="left"/>
      </w:pPr>
      <w:r>
        <w:rPr/>
        <w:t>我们还就已遵守与独立性相关的职业道德要求向治理层提供声明，并与治理层沟通可能</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4" w:right="0" w:hanging="480"/>
        <w:jc w:val="left"/>
      </w:pPr>
      <w:r>
        <w:rPr>
          <w:spacing w:val="-4"/>
        </w:rPr>
        <w:t>被合理认为影响我们独立性的所有关系和其他事项，以及相关的防范措施（如适用）。</w:t>
      </w:r>
      <w:r>
        <w:rPr>
          <w:spacing w:val="-88"/>
        </w:rPr>
        <w:t> </w:t>
      </w:r>
      <w:r>
        <w:rPr>
          <w:spacing w:val="-88"/>
        </w:rPr>
      </w:r>
      <w:r>
        <w:rPr/>
        <w:t>从与治理层沟通过的事项中，我们确定哪些事项对本期财务报表审计最为重要，因而构</w:t>
      </w:r>
    </w:p>
    <w:p>
      <w:pPr>
        <w:pStyle w:val="BodyText"/>
        <w:spacing w:line="350" w:lineRule="auto"/>
        <w:ind w:right="1134"/>
        <w:jc w:val="both"/>
      </w:pPr>
      <w:r>
        <w:rPr/>
        <w:t>成关键审计事项。我们在审计报告中描述这些事项，除非法律法规禁止公开披露这些事项， 或在极少数情形下，如果合理预期在审计报告中沟通某事项造成的负面后果超过在公众利益</w:t>
      </w:r>
      <w:r>
        <w:rPr>
          <w:spacing w:val="-115"/>
        </w:rPr>
        <w:t> </w:t>
      </w:r>
      <w:r>
        <w:rPr>
          <w:spacing w:val="-115"/>
        </w:rPr>
      </w:r>
      <w:r>
        <w:rPr/>
        <w:t>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tbl>
      <w:tblPr>
        <w:tblW w:w="0" w:type="auto"/>
        <w:jc w:val="left"/>
        <w:tblInd w:w="850" w:type="dxa"/>
        <w:tblLayout w:type="fixed"/>
        <w:tblCellMar>
          <w:top w:w="0" w:type="dxa"/>
          <w:left w:w="0" w:type="dxa"/>
          <w:bottom w:w="0" w:type="dxa"/>
          <w:right w:w="0" w:type="dxa"/>
        </w:tblCellMar>
        <w:tblLook w:val="01E0"/>
      </w:tblPr>
      <w:tblGrid>
        <w:gridCol w:w="4316"/>
        <w:gridCol w:w="3596"/>
      </w:tblGrid>
      <w:tr>
        <w:trPr>
          <w:trHeight w:val="403" w:hRule="exact"/>
        </w:trPr>
        <w:tc>
          <w:tcPr>
            <w:tcW w:w="4316" w:type="dxa"/>
            <w:tcBorders>
              <w:top w:val="nil" w:sz="6" w:space="0" w:color="auto"/>
              <w:left w:val="nil" w:sz="6" w:space="0" w:color="auto"/>
              <w:bottom w:val="nil" w:sz="6" w:space="0" w:color="auto"/>
              <w:right w:val="nil" w:sz="6" w:space="0" w:color="auto"/>
            </w:tcBorders>
          </w:tcPr>
          <w:p>
            <w:pPr>
              <w:pStyle w:val="TableParagraph"/>
              <w:spacing w:line="240" w:lineRule="exact"/>
              <w:ind w:right="315"/>
              <w:jc w:val="center"/>
              <w:rPr>
                <w:rFonts w:ascii="宋体" w:hAnsi="宋体" w:cs="宋体" w:eastAsia="宋体" w:hint="default"/>
                <w:sz w:val="24"/>
                <w:szCs w:val="24"/>
              </w:rPr>
            </w:pPr>
            <w:r>
              <w:rPr>
                <w:rFonts w:ascii="宋体" w:hAnsi="宋体" w:cs="宋体" w:eastAsia="宋体" w:hint="default"/>
                <w:sz w:val="24"/>
                <w:szCs w:val="24"/>
              </w:rPr>
              <w:t>大华会计师事务所</w:t>
            </w:r>
            <w:r>
              <w:rPr>
                <w:rFonts w:ascii="宋体" w:hAnsi="宋体" w:cs="宋体" w:eastAsia="宋体" w:hint="default"/>
                <w:sz w:val="24"/>
                <w:szCs w:val="24"/>
              </w:rPr>
              <w:t>(</w:t>
            </w:r>
            <w:r>
              <w:rPr>
                <w:rFonts w:ascii="宋体" w:hAnsi="宋体" w:cs="宋体" w:eastAsia="宋体" w:hint="default"/>
                <w:sz w:val="24"/>
                <w:szCs w:val="24"/>
              </w:rPr>
              <w:t>特殊普通合伙</w:t>
            </w:r>
            <w:r>
              <w:rPr>
                <w:rFonts w:ascii="宋体" w:hAnsi="宋体" w:cs="宋体" w:eastAsia="宋体" w:hint="default"/>
                <w:sz w:val="24"/>
                <w:szCs w:val="24"/>
              </w:rPr>
              <w:t>)</w:t>
            </w:r>
          </w:p>
        </w:tc>
        <w:tc>
          <w:tcPr>
            <w:tcW w:w="3596" w:type="dxa"/>
            <w:tcBorders>
              <w:top w:val="nil" w:sz="6" w:space="0" w:color="auto"/>
              <w:left w:val="nil" w:sz="6" w:space="0" w:color="auto"/>
              <w:bottom w:val="nil" w:sz="6" w:space="0" w:color="auto"/>
              <w:right w:val="nil" w:sz="6" w:space="0" w:color="auto"/>
            </w:tcBorders>
          </w:tcPr>
          <w:p>
            <w:pPr>
              <w:pStyle w:val="TableParagraph"/>
              <w:spacing w:line="240" w:lineRule="exact"/>
              <w:ind w:left="515" w:right="0"/>
              <w:jc w:val="left"/>
              <w:rPr>
                <w:rFonts w:ascii="宋体" w:hAnsi="宋体" w:cs="宋体" w:eastAsia="宋体" w:hint="default"/>
                <w:sz w:val="24"/>
                <w:szCs w:val="24"/>
              </w:rPr>
            </w:pPr>
            <w:r>
              <w:rPr>
                <w:rFonts w:ascii="宋体" w:hAnsi="宋体" w:cs="宋体" w:eastAsia="宋体" w:hint="default"/>
                <w:sz w:val="24"/>
                <w:szCs w:val="24"/>
              </w:rPr>
              <w:t>中国注册会计师：吕勇军</w:t>
            </w:r>
          </w:p>
        </w:tc>
      </w:tr>
      <w:tr>
        <w:trPr>
          <w:trHeight w:val="709" w:hRule="exact"/>
        </w:trPr>
        <w:tc>
          <w:tcPr>
            <w:tcW w:w="4316"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28" w:right="0"/>
              <w:jc w:val="left"/>
              <w:rPr>
                <w:rFonts w:ascii="宋体" w:hAnsi="宋体" w:cs="宋体" w:eastAsia="宋体" w:hint="default"/>
                <w:sz w:val="24"/>
                <w:szCs w:val="24"/>
              </w:rPr>
            </w:pPr>
            <w:r>
              <w:rPr>
                <w:rFonts w:ascii="宋体" w:hAnsi="宋体" w:cs="宋体" w:eastAsia="宋体" w:hint="default"/>
                <w:sz w:val="24"/>
                <w:szCs w:val="24"/>
              </w:rPr>
              <w:t>（项目合伙人）</w:t>
            </w:r>
          </w:p>
        </w:tc>
      </w:tr>
      <w:tr>
        <w:trPr>
          <w:trHeight w:val="567" w:hRule="exact"/>
        </w:trPr>
        <w:tc>
          <w:tcPr>
            <w:tcW w:w="43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15"/>
              <w:jc w:val="center"/>
              <w:rPr>
                <w:rFonts w:ascii="宋体" w:hAnsi="宋体" w:cs="宋体" w:eastAsia="宋体" w:hint="default"/>
                <w:sz w:val="24"/>
                <w:szCs w:val="24"/>
              </w:rPr>
            </w:pPr>
            <w:r>
              <w:rPr>
                <w:rFonts w:ascii="宋体" w:hAnsi="宋体" w:cs="宋体" w:eastAsia="宋体" w:hint="default"/>
                <w:sz w:val="24"/>
                <w:szCs w:val="24"/>
              </w:rPr>
              <w:t>中国</w:t>
            </w:r>
            <w:r>
              <w:rPr>
                <w:rFonts w:ascii="宋体" w:hAnsi="宋体" w:cs="宋体" w:eastAsia="宋体" w:hint="default"/>
                <w:b/>
                <w:bCs/>
                <w:sz w:val="24"/>
                <w:szCs w:val="24"/>
              </w:rPr>
              <w:t>·</w:t>
            </w:r>
            <w:r>
              <w:rPr>
                <w:rFonts w:ascii="宋体" w:hAnsi="宋体" w:cs="宋体" w:eastAsia="宋体" w:hint="default"/>
                <w:sz w:val="24"/>
                <w:szCs w:val="24"/>
              </w:rPr>
              <w:t>北京</w:t>
            </w:r>
          </w:p>
        </w:tc>
        <w:tc>
          <w:tcPr>
            <w:tcW w:w="3596" w:type="dxa"/>
            <w:tcBorders>
              <w:top w:val="nil" w:sz="6" w:space="0" w:color="auto"/>
              <w:left w:val="nil" w:sz="6" w:space="0" w:color="auto"/>
              <w:bottom w:val="nil" w:sz="6" w:space="0" w:color="auto"/>
              <w:right w:val="nil" w:sz="6" w:space="0" w:color="auto"/>
            </w:tcBorders>
          </w:tcPr>
          <w:p>
            <w:pPr/>
          </w:p>
        </w:tc>
      </w:tr>
      <w:tr>
        <w:trPr>
          <w:trHeight w:val="709" w:hRule="exact"/>
        </w:trPr>
        <w:tc>
          <w:tcPr>
            <w:tcW w:w="4316"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Style w:val="TableParagraph"/>
              <w:spacing w:line="262" w:lineRule="exact"/>
              <w:ind w:left="515" w:right="0"/>
              <w:jc w:val="left"/>
              <w:rPr>
                <w:rFonts w:ascii="宋体" w:hAnsi="宋体" w:cs="宋体" w:eastAsia="宋体" w:hint="default"/>
                <w:sz w:val="24"/>
                <w:szCs w:val="24"/>
              </w:rPr>
            </w:pPr>
            <w:r>
              <w:rPr>
                <w:rFonts w:ascii="宋体" w:hAnsi="宋体" w:cs="宋体" w:eastAsia="宋体" w:hint="default"/>
                <w:sz w:val="24"/>
                <w:szCs w:val="24"/>
              </w:rPr>
              <w:t>中国注册会计师：胡丽娟</w:t>
            </w:r>
          </w:p>
        </w:tc>
      </w:tr>
      <w:tr>
        <w:trPr>
          <w:trHeight w:val="687" w:hRule="exact"/>
        </w:trPr>
        <w:tc>
          <w:tcPr>
            <w:tcW w:w="4316"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995" w:right="0"/>
              <w:jc w:val="left"/>
              <w:rPr>
                <w:rFonts w:ascii="宋体" w:hAnsi="宋体" w:cs="宋体" w:eastAsia="宋体" w:hint="default"/>
                <w:sz w:val="24"/>
                <w:szCs w:val="24"/>
              </w:rPr>
            </w:pPr>
            <w:r>
              <w:rPr>
                <w:rFonts w:ascii="宋体" w:hAnsi="宋体" w:cs="宋体" w:eastAsia="宋体" w:hint="default"/>
                <w:sz w:val="24"/>
                <w:szCs w:val="24"/>
              </w:rPr>
              <w:t>二〇一九年三月十九日</w:t>
            </w:r>
          </w:p>
        </w:tc>
      </w:tr>
    </w:tbl>
    <w:p>
      <w:pPr>
        <w:spacing w:line="240" w:lineRule="auto" w:before="10"/>
        <w:rPr>
          <w:rFonts w:ascii="宋体" w:hAnsi="宋体" w:cs="宋体" w:eastAsia="宋体" w:hint="default"/>
          <w:sz w:val="32"/>
          <w:szCs w:val="32"/>
        </w:rPr>
      </w:pPr>
    </w:p>
    <w:p>
      <w:pPr>
        <w:pStyle w:val="Heading2"/>
        <w:spacing w:line="240" w:lineRule="auto" w:before="0"/>
        <w:ind w:right="0"/>
        <w:jc w:val="both"/>
        <w:rPr>
          <w:b w:val="0"/>
          <w:bCs w:val="0"/>
        </w:rPr>
      </w:pPr>
      <w:bookmarkStart w:name="二、财务报表" w:id="166"/>
      <w:bookmarkEnd w:id="166"/>
      <w:r>
        <w:rPr>
          <w:b w:val="0"/>
          <w:bCs w:val="0"/>
        </w:rPr>
      </w:r>
      <w:r>
        <w:rPr/>
        <w:t>二、财务报表</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634" w:right="0"/>
        <w:jc w:val="left"/>
      </w:pPr>
      <w:r>
        <w:rPr/>
        <w:t>财务附注中报表的单位为：人民币元</w:t>
      </w:r>
    </w:p>
    <w:p>
      <w:pPr>
        <w:pStyle w:val="Heading2"/>
        <w:spacing w:line="240" w:lineRule="auto" w:before="138"/>
        <w:ind w:right="0"/>
        <w:jc w:val="both"/>
        <w:rPr>
          <w:b w:val="0"/>
          <w:bCs w:val="0"/>
        </w:rPr>
      </w:pPr>
      <w:bookmarkStart w:name="1、合并资产负债表" w:id="167"/>
      <w:bookmarkEnd w:id="16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5"/>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747" w:footer="979" w:top="1060" w:bottom="1160" w:left="980" w:right="0"/>
        </w:sectPr>
      </w:pPr>
    </w:p>
    <w:p>
      <w:pPr>
        <w:pStyle w:val="BodyText"/>
        <w:spacing w:line="350" w:lineRule="auto" w:before="26"/>
        <w:ind w:left="634" w:right="-20"/>
        <w:jc w:val="left"/>
      </w:pPr>
      <w:r>
        <w:rPr/>
        <w:t>编制单位：河南辉煌科技股份有限公司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715" w:space="3725"/>
            <w:col w:w="249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71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60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489,058,726.56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888,934,246.92</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578,439,535.12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598,132,352.49</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641"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50,283,048.28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30,643,134.07</w:t>
            </w: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27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21"/>
                <w:szCs w:val="21"/>
              </w:rPr>
            </w:pPr>
            <w:r>
              <w:rPr>
                <w:rFonts w:ascii="Times New Roman"/>
                <w:spacing w:val="-1"/>
                <w:sz w:val="21"/>
              </w:rPr>
              <w:t>528,156,486.84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21"/>
                <w:szCs w:val="21"/>
              </w:rPr>
            </w:pPr>
            <w:r>
              <w:rPr>
                <w:rFonts w:ascii="Times New Roman"/>
                <w:spacing w:val="-1"/>
                <w:sz w:val="21"/>
              </w:rPr>
              <w:t>567,489,218.42</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36,841,266.41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6,629,576.52</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27,706,647.14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23,550,638.98</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641"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27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43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21"/>
                <w:szCs w:val="21"/>
              </w:rPr>
            </w:pPr>
            <w:r>
              <w:rPr>
                <w:rFonts w:ascii="Times New Roman"/>
                <w:spacing w:val="-1"/>
                <w:sz w:val="21"/>
              </w:rPr>
              <w:t>218,431,989.91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spacing w:val="-1"/>
                <w:sz w:val="21"/>
              </w:rPr>
              <w:t>193,818,869.11</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161,069,921.21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4,642,668.02</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1,511,548,086.35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1,715,708,352.04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35,365,900.00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35,365,900.00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88,101,676.30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83,471,427.52</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99,753,841.47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102,475,593.67</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196,734,387.43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141,627,602.21</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51,341,037.10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50,570,030.22</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43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21"/>
                <w:szCs w:val="21"/>
              </w:rPr>
            </w:pPr>
            <w:r>
              <w:rPr>
                <w:rFonts w:ascii="Times New Roman"/>
                <w:spacing w:val="-1"/>
                <w:sz w:val="21"/>
              </w:rPr>
              <w:t>9,237,785.95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sz w:val="21"/>
              </w:rPr>
              <w:t>70,066,591.93</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5,332,456.13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6,065,443.27</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47,719,267.46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43,233,410.33</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3,865,709.39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306,130.99</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537,452,061.23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533,182,130.14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2,049,000,147.58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2,248,890,482.18</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178,056,443.14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99,563,440.79</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174,622,824.67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208,504,797.03</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50,962,655.46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53,676,402.52</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12,082,788.40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9,372,441.94</w:t>
            </w: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43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21"/>
                <w:szCs w:val="21"/>
              </w:rPr>
            </w:pPr>
            <w:r>
              <w:rPr>
                <w:rFonts w:ascii="Times New Roman"/>
                <w:sz w:val="21"/>
              </w:rPr>
              <w:t>22,167,469.75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sz w:val="21"/>
              </w:rPr>
              <w:t>31,525,625.64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9,255,533.14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22,403,153.83</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641"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15,889,500.00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27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43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50,000,000.00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263,859,109.30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497,147,714.56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688,904,971.05</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77,000,000.00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127,000,000.00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27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2,000,000.00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7,000,000.00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13,404,051.87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13,477,683.61</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92,404,051.87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147,477,683.61</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589,551,766.43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836,382,654.66</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43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21"/>
                <w:szCs w:val="21"/>
              </w:rPr>
            </w:pPr>
            <w:r>
              <w:rPr>
                <w:rFonts w:ascii="Times New Roman"/>
                <w:spacing w:val="-1"/>
                <w:sz w:val="21"/>
              </w:rPr>
              <w:t>376,656,420.00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21"/>
                <w:szCs w:val="21"/>
              </w:rPr>
            </w:pPr>
            <w:r>
              <w:rPr>
                <w:rFonts w:ascii="Times New Roman"/>
                <w:spacing w:val="-1"/>
                <w:sz w:val="21"/>
              </w:rPr>
              <w:t>376,656,420.00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27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666,258,719.72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653,527,634.23</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68,270,222.97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64,909,865.84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317,047,183.23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292,674,542.28</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1,428,232,545.92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1,387,768,462.35</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31,215,835.23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24,739,365.17</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1,459,448,381.15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1,412,507,827.52</w:t>
            </w: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2,049,000,147.58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2,248,890,482.18</w:t>
            </w:r>
          </w:p>
        </w:tc>
      </w:tr>
    </w:tbl>
    <w:p>
      <w:pPr>
        <w:spacing w:line="240" w:lineRule="auto" w:before="10"/>
        <w:rPr>
          <w:rFonts w:ascii="Times New Roman" w:hAnsi="Times New Roman" w:cs="Times New Roman" w:eastAsia="Times New Roman" w:hint="default"/>
          <w:sz w:val="21"/>
          <w:szCs w:val="21"/>
        </w:rPr>
      </w:pPr>
    </w:p>
    <w:p>
      <w:pPr>
        <w:tabs>
          <w:tab w:pos="3505" w:val="left" w:leader="none"/>
          <w:tab w:pos="7489" w:val="left" w:leader="none"/>
        </w:tabs>
        <w:spacing w:before="35"/>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法定代表人：李海鹰</w:t>
        <w:tab/>
        <w:t>主管会计工作负责人：侯菊艳</w:t>
        <w:tab/>
        <w:t>会计机构负责人：窦永贺</w:t>
      </w:r>
    </w:p>
    <w:p>
      <w:pPr>
        <w:spacing w:line="240" w:lineRule="auto" w:before="3"/>
        <w:rPr>
          <w:rFonts w:ascii="宋体" w:hAnsi="宋体" w:cs="宋体" w:eastAsia="宋体" w:hint="default"/>
          <w:sz w:val="19"/>
          <w:szCs w:val="19"/>
        </w:rPr>
      </w:pPr>
    </w:p>
    <w:p>
      <w:pPr>
        <w:pStyle w:val="Heading2"/>
        <w:spacing w:line="240" w:lineRule="auto" w:before="0"/>
        <w:ind w:right="0"/>
        <w:jc w:val="left"/>
        <w:rPr>
          <w:b w:val="0"/>
          <w:bCs w:val="0"/>
        </w:rPr>
      </w:pPr>
      <w:bookmarkStart w:name="2、母公司资产负债表" w:id="168"/>
      <w:bookmarkEnd w:id="168"/>
      <w:r>
        <w:rPr>
          <w:b w:val="0"/>
          <w:bCs w:val="0"/>
        </w:rPr>
      </w:r>
      <w:r>
        <w:rPr>
          <w:rFonts w:ascii="Times New Roman" w:hAnsi="Times New Roman" w:cs="Times New Roman" w:eastAsia="Times New Roman" w:hint="default"/>
        </w:rPr>
        <w:t>2</w:t>
      </w:r>
      <w:r>
        <w:rPr/>
        <w:t>、母公司资产负债表</w:t>
      </w:r>
      <w:r>
        <w:rPr>
          <w:b w:val="0"/>
          <w:bCs w:val="0"/>
        </w:rPr>
      </w:r>
    </w:p>
    <w:p>
      <w:pPr>
        <w:spacing w:before="1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246"/>
        <w:gridCol w:w="2268"/>
        <w:gridCol w:w="2054"/>
      </w:tblGrid>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70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60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455,277,852.24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826,924,350.21</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159"/>
              <w:jc w:val="righ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424,929,489.66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442,490,263.64</w:t>
            </w: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641"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21"/>
                <w:szCs w:val="21"/>
              </w:rPr>
            </w:pPr>
            <w:r>
              <w:rPr>
                <w:rFonts w:ascii="Times New Roman"/>
                <w:sz w:val="21"/>
              </w:rPr>
              <w:t>46,014,139.00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sz w:val="21"/>
              </w:rPr>
              <w:t>22,560,287.07</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27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378,915,350.66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419,929,976.57</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553,938.00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2,422,510.25</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77,372,885.90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74,275,110.20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641"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7,704,791.66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5,329,791.66</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27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255,000.00</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113,935,291.57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106,216,164.91</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157,604,139.65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52,010.73</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1,229,673,597.02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1,452,380,409.94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20,000,000.00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20,000,000.00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432,439,888.47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433,314,270.01</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35,060,749.12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38,573,331.85</w:t>
            </w: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43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21"/>
                <w:szCs w:val="21"/>
              </w:rPr>
            </w:pPr>
            <w:r>
              <w:rPr>
                <w:rFonts w:ascii="Times New Roman"/>
                <w:spacing w:val="-1"/>
                <w:sz w:val="21"/>
              </w:rPr>
              <w:t>181,502,541.31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21"/>
                <w:szCs w:val="21"/>
              </w:rPr>
            </w:pPr>
            <w:r>
              <w:rPr>
                <w:rFonts w:ascii="Times New Roman"/>
                <w:spacing w:val="-1"/>
                <w:sz w:val="21"/>
              </w:rPr>
              <w:t>132,118,103.35</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38,931,060.72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39,831,289.91</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5,332,456.13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6,065,443.27</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38,749,137.53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33,652,775.88</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3,849,189.39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76,037.99</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755,865,022.67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703,631,252.26</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1,985,538,619.69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2,156,011,662.20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178,056,443.14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99,563,440.79</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159"/>
              <w:jc w:val="righ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255,659,553.99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268,053,774.21</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47,061,284.53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47,675,106.26</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7,535,264.93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3,864,045.73</w:t>
            </w: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43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21"/>
                <w:szCs w:val="21"/>
              </w:rPr>
            </w:pPr>
            <w:r>
              <w:rPr>
                <w:rFonts w:ascii="Times New Roman"/>
                <w:sz w:val="21"/>
              </w:rPr>
              <w:t>16,759,194.02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sz w:val="21"/>
              </w:rPr>
              <w:t>18,722,845.05</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4,777,052.49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20,344,539.28</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641"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27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50,000,000.00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263,859,109.30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559,848,793.10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722,082,860.62</w:t>
            </w: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77,000,000.00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127,000,000.00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27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2,000,000.00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6,500,000.00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13,404,051.87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13,477,683.61</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92,404,051.87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146,977,683.61</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652,252,844.97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869,060,544.23</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376,656,420.00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376,656,420.00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27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43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21"/>
                <w:szCs w:val="21"/>
              </w:rPr>
            </w:pPr>
            <w:r>
              <w:rPr>
                <w:rFonts w:ascii="Times New Roman"/>
                <w:spacing w:val="-1"/>
                <w:sz w:val="21"/>
              </w:rPr>
              <w:t>546,096,387.53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21"/>
                <w:szCs w:val="21"/>
              </w:rPr>
            </w:pPr>
            <w:r>
              <w:rPr>
                <w:rFonts w:ascii="Times New Roman"/>
                <w:spacing w:val="-1"/>
                <w:sz w:val="21"/>
              </w:rPr>
              <w:t>533,365,302.04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68,270,222.97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64,909,865.84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342,262,744.22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312,019,530.09</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1,333,285,774.72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1,286,951,117.97</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1,985,538,619.69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2,156,011,662.20</w:t>
            </w:r>
          </w:p>
        </w:tc>
      </w:tr>
    </w:tbl>
    <w:p>
      <w:pPr>
        <w:spacing w:line="240" w:lineRule="auto" w:before="10"/>
        <w:rPr>
          <w:rFonts w:ascii="Times New Roman" w:hAnsi="Times New Roman" w:cs="Times New Roman" w:eastAsia="Times New Roman" w:hint="default"/>
          <w:sz w:val="21"/>
          <w:szCs w:val="21"/>
        </w:rPr>
      </w:pPr>
    </w:p>
    <w:p>
      <w:pPr>
        <w:tabs>
          <w:tab w:pos="3401" w:val="left" w:leader="none"/>
          <w:tab w:pos="7490" w:val="left" w:leader="none"/>
        </w:tabs>
        <w:spacing w:before="35"/>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法定代表人：李海鹰</w:t>
        <w:tab/>
        <w:t>主管会计工作负责人：侯菊艳</w:t>
        <w:tab/>
        <w:t>会计机构负责人：窦永贺</w:t>
      </w:r>
    </w:p>
    <w:p>
      <w:pPr>
        <w:spacing w:line="240" w:lineRule="auto" w:before="4"/>
        <w:rPr>
          <w:rFonts w:ascii="宋体" w:hAnsi="宋体" w:cs="宋体" w:eastAsia="宋体" w:hint="default"/>
          <w:sz w:val="19"/>
          <w:szCs w:val="19"/>
        </w:rPr>
      </w:pPr>
    </w:p>
    <w:p>
      <w:pPr>
        <w:pStyle w:val="Heading2"/>
        <w:spacing w:line="240" w:lineRule="auto" w:before="0"/>
        <w:ind w:right="0"/>
        <w:jc w:val="left"/>
        <w:rPr>
          <w:b w:val="0"/>
          <w:bCs w:val="0"/>
        </w:rPr>
      </w:pPr>
      <w:bookmarkStart w:name="3、合并利润表" w:id="169"/>
      <w:bookmarkEnd w:id="169"/>
      <w:r>
        <w:rPr>
          <w:b w:val="0"/>
          <w:bCs w:val="0"/>
        </w:rPr>
      </w:r>
      <w:r>
        <w:rPr>
          <w:rFonts w:ascii="Times New Roman" w:hAnsi="Times New Roman" w:cs="Times New Roman" w:eastAsia="Times New Roman" w:hint="default"/>
        </w:rPr>
        <w:t>3</w:t>
      </w:r>
      <w:r>
        <w:rPr/>
        <w:t>、合并利润表</w:t>
      </w:r>
      <w:r>
        <w:rPr>
          <w:b w:val="0"/>
          <w:bCs w:val="0"/>
        </w:rPr>
      </w:r>
    </w:p>
    <w:p>
      <w:pPr>
        <w:spacing w:before="14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6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528,708,205.03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546,892,512.85</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528,708,205.03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546,892,512.85</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06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06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06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507,349,124.28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685,572,013.92</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278,441,382.36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288,274,429.29</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06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246"/>
        <w:gridCol w:w="2268"/>
        <w:gridCol w:w="2054"/>
      </w:tblGrid>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073"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073"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07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073"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07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073"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073"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7,377,558.35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7,127,122.66</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07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38,353,173.86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31,096,146.69</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07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34,979,788.74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48,402,178.40</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07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64,326,311.44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59,787,351.00</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07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13,614,129.37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15,641,036.26</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283"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21,588,580.36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27,626,904.32</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569"/>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8,777,656.10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12,348,452.59</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07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70,256,780.16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235,243,749.62</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42"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24,406,909.72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28,561,151.98</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863"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4,739,939.19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-14,715,210.50</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863"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-8,100,836.71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-14,910,780.43</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863"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863"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863"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22"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50,505,929.66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-124,833,559.59</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4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290,865.89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375,270.80</w:t>
            </w:r>
          </w:p>
        </w:tc>
      </w:tr>
      <w:tr>
        <w:trPr>
          <w:trHeight w:val="311"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44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21"/>
                <w:szCs w:val="21"/>
              </w:rPr>
            </w:pPr>
            <w:r>
              <w:rPr>
                <w:rFonts w:ascii="Times New Roman"/>
                <w:spacing w:val="-1"/>
                <w:sz w:val="21"/>
              </w:rPr>
              <w:t>256,961.44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21"/>
                <w:szCs w:val="21"/>
              </w:rPr>
            </w:pPr>
            <w:r>
              <w:rPr>
                <w:rFonts w:ascii="Times New Roman"/>
                <w:spacing w:val="-1"/>
                <w:sz w:val="21"/>
              </w:rPr>
              <w:t>5,679,496.79</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22"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50,539,834.11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-130,137,785.58</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4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16,085,365.97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16,201,720.66</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2"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34,454,468.14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-146,339,506.24</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right="404"/>
              <w:jc w:val="right"/>
              <w:rPr>
                <w:rFonts w:ascii="宋体" w:hAnsi="宋体" w:cs="宋体" w:eastAsia="宋体" w:hint="default"/>
                <w:sz w:val="21"/>
                <w:szCs w:val="21"/>
              </w:rPr>
            </w:pPr>
            <w:r>
              <w:rPr>
                <w:rFonts w:ascii="宋体" w:hAnsi="宋体" w:cs="宋体" w:eastAsia="宋体" w:hint="default"/>
                <w:spacing w:val="-1"/>
                <w:sz w:val="21"/>
                <w:szCs w:val="21"/>
              </w:rPr>
              <w:t>（一）持续经营净利润（净亏损以</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34,454,468.14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-146,339,506.24</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right="404"/>
              <w:jc w:val="right"/>
              <w:rPr>
                <w:rFonts w:ascii="宋体" w:hAnsi="宋体" w:cs="宋体" w:eastAsia="宋体" w:hint="default"/>
                <w:sz w:val="21"/>
                <w:szCs w:val="21"/>
              </w:rPr>
            </w:pPr>
            <w:r>
              <w:rPr>
                <w:rFonts w:ascii="宋体" w:hAnsi="宋体" w:cs="宋体" w:eastAsia="宋体" w:hint="default"/>
                <w:spacing w:val="-1"/>
                <w:sz w:val="21"/>
                <w:szCs w:val="21"/>
              </w:rPr>
              <w:t>（二）终止经营净利润（净亏损以</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4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27,732,998.08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-151,742,824.19</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4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6,721,470.06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5,403,317.95</w:t>
            </w: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2"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32"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42"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10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42"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10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10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持有至到期投资重分类为可供出售金融资</w:t>
            </w:r>
          </w:p>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产损益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10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32"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34,454,468.14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-146,339,506.24</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27,732,998.08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-151,742,824.19</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6,721,470.06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5,403,317.95</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0.0736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-0.4029</w:t>
            </w: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43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21"/>
                <w:szCs w:val="21"/>
              </w:rPr>
            </w:pPr>
            <w:r>
              <w:rPr>
                <w:rFonts w:ascii="Times New Roman"/>
                <w:sz w:val="21"/>
              </w:rPr>
              <w:t>0.0736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21"/>
                <w:szCs w:val="21"/>
              </w:rPr>
            </w:pPr>
            <w:r>
              <w:rPr>
                <w:rFonts w:ascii="Times New Roman"/>
                <w:spacing w:val="-1"/>
                <w:sz w:val="21"/>
              </w:rPr>
              <w:t>-0.4029</w:t>
            </w:r>
          </w:p>
        </w:tc>
      </w:tr>
    </w:tbl>
    <w:p>
      <w:pPr>
        <w:spacing w:line="256" w:lineRule="auto" w:before="26"/>
        <w:ind w:left="154" w:right="1145" w:firstLine="420"/>
        <w:jc w:val="left"/>
        <w:rPr>
          <w:rFonts w:ascii="宋体" w:hAnsi="宋体" w:cs="宋体" w:eastAsia="宋体" w:hint="default"/>
          <w:sz w:val="21"/>
          <w:szCs w:val="21"/>
        </w:rPr>
      </w:pPr>
      <w:r>
        <w:rPr>
          <w:rFonts w:ascii="宋体" w:hAnsi="宋体" w:cs="宋体" w:eastAsia="宋体" w:hint="default"/>
          <w:sz w:val="21"/>
          <w:szCs w:val="21"/>
        </w:rPr>
        <w:t>本期发生同一控制下企业合并的，被合并方在合并前实现的净利润为：</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元，上期被合并方实现的净 利润为：</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tabs>
          <w:tab w:pos="3401" w:val="left" w:leader="none"/>
          <w:tab w:pos="7490" w:val="left" w:leader="none"/>
        </w:tabs>
        <w:spacing w:before="125"/>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法定代表人：李海鹰</w:t>
        <w:tab/>
        <w:t>主管会计工作负责人：侯菊艳</w:t>
        <w:tab/>
        <w:t>会计机构负责人：窦永贺</w:t>
      </w:r>
    </w:p>
    <w:p>
      <w:pPr>
        <w:spacing w:line="240" w:lineRule="auto" w:before="4"/>
        <w:rPr>
          <w:rFonts w:ascii="宋体" w:hAnsi="宋体" w:cs="宋体" w:eastAsia="宋体" w:hint="default"/>
          <w:sz w:val="19"/>
          <w:szCs w:val="19"/>
        </w:rPr>
      </w:pPr>
    </w:p>
    <w:p>
      <w:pPr>
        <w:pStyle w:val="Heading2"/>
        <w:spacing w:line="240" w:lineRule="auto" w:before="0"/>
        <w:ind w:right="0"/>
        <w:jc w:val="left"/>
        <w:rPr>
          <w:b w:val="0"/>
          <w:bCs w:val="0"/>
        </w:rPr>
      </w:pPr>
      <w:bookmarkStart w:name="4、母公司利润表" w:id="170"/>
      <w:bookmarkEnd w:id="170"/>
      <w:r>
        <w:rPr>
          <w:b w:val="0"/>
          <w:bCs w:val="0"/>
        </w:rPr>
      </w:r>
      <w:r>
        <w:rPr>
          <w:rFonts w:ascii="Times New Roman" w:hAnsi="Times New Roman" w:cs="Times New Roman" w:eastAsia="Times New Roman" w:hint="default"/>
        </w:rPr>
        <w:t>4</w:t>
      </w:r>
      <w:r>
        <w:rPr/>
        <w:t>、母公司利润表</w:t>
      </w:r>
      <w:r>
        <w:rPr>
          <w:b w:val="0"/>
          <w:bCs w:val="0"/>
        </w:rPr>
      </w:r>
    </w:p>
    <w:p>
      <w:pPr>
        <w:spacing w:before="14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6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399,945,155.15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399,390,501.38</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233,650,870.82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229,574,693.54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85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5,549,722.14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5,102,883.94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8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15,729,941.18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15,364,846.64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8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17,580,346.62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27,989,648.89</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851"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39,464,381.20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37,953,200.95</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8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13,689,104.73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15,739,777.81</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061"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21,588,580.36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27,626,904.32</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69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8,543,228.00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12,145,369.92</w:t>
            </w: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8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53,641,975.63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32,521,647.40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19,389,246.11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23,033,332.64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851"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6,476,671.97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-8,483,544.73</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85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-6,619,103.93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-8,483,544.73</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851"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851"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11"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46,504,730.91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49,693,590.12</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261,326.79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372,870.07</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122,567.55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5,667,889.19</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11"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46,643,490.15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44,398,571.00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13,039,918.89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9,974,367.74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11"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33,603,571.26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34,424,203.26</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right="392"/>
              <w:jc w:val="right"/>
              <w:rPr>
                <w:rFonts w:ascii="宋体" w:hAnsi="宋体" w:cs="宋体" w:eastAsia="宋体" w:hint="default"/>
                <w:sz w:val="21"/>
                <w:szCs w:val="21"/>
              </w:rPr>
            </w:pPr>
            <w:r>
              <w:rPr>
                <w:rFonts w:ascii="宋体" w:hAnsi="宋体" w:cs="宋体" w:eastAsia="宋体" w:hint="default"/>
                <w:spacing w:val="-1"/>
                <w:sz w:val="21"/>
                <w:szCs w:val="21"/>
              </w:rPr>
              <w:t>（一）持续经营净利润（净亏损以</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33,603,571.26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34,424,203.26</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92"/>
              <w:jc w:val="right"/>
              <w:rPr>
                <w:rFonts w:ascii="宋体" w:hAnsi="宋体" w:cs="宋体" w:eastAsia="宋体" w:hint="default"/>
                <w:sz w:val="21"/>
                <w:szCs w:val="21"/>
              </w:rPr>
            </w:pPr>
            <w:r>
              <w:rPr>
                <w:rFonts w:ascii="宋体" w:hAnsi="宋体" w:cs="宋体" w:eastAsia="宋体" w:hint="default"/>
                <w:spacing w:val="-1"/>
                <w:sz w:val="21"/>
                <w:szCs w:val="21"/>
              </w:rPr>
              <w:t>（二）终止经营净利润（净亏损以</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号填列）</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可供出售金融资产公允价值变动损益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持有至到期投资重分类为可供出售金融资</w:t>
            </w:r>
          </w:p>
          <w:p>
            <w:pPr>
              <w:pStyle w:val="TableParagraph"/>
              <w:spacing w:line="240" w:lineRule="auto" w:before="9"/>
              <w:ind w:left="11" w:right="0"/>
              <w:jc w:val="left"/>
              <w:rPr>
                <w:rFonts w:ascii="宋体" w:hAnsi="宋体" w:cs="宋体" w:eastAsia="宋体" w:hint="default"/>
                <w:sz w:val="21"/>
                <w:szCs w:val="21"/>
              </w:rPr>
            </w:pPr>
            <w:r>
              <w:rPr>
                <w:rFonts w:ascii="宋体" w:hAnsi="宋体" w:cs="宋体" w:eastAsia="宋体" w:hint="default"/>
                <w:sz w:val="21"/>
                <w:szCs w:val="21"/>
              </w:rPr>
              <w:t>产损益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left="1027" w:right="0"/>
              <w:jc w:val="left"/>
              <w:rPr>
                <w:rFonts w:ascii="Times New Roman" w:hAnsi="Times New Roman" w:cs="Times New Roman" w:eastAsia="Times New Roman" w:hint="default"/>
                <w:sz w:val="21"/>
                <w:szCs w:val="21"/>
              </w:rPr>
            </w:pPr>
            <w:r>
              <w:rPr>
                <w:rFonts w:ascii="Times New Roman"/>
                <w:sz w:val="21"/>
              </w:rPr>
              <w:t>33,603,571.26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14" w:right="0"/>
              <w:jc w:val="left"/>
              <w:rPr>
                <w:rFonts w:ascii="Times New Roman" w:hAnsi="Times New Roman" w:cs="Times New Roman" w:eastAsia="Times New Roman" w:hint="default"/>
                <w:sz w:val="21"/>
                <w:szCs w:val="21"/>
              </w:rPr>
            </w:pPr>
            <w:r>
              <w:rPr>
                <w:rFonts w:ascii="Times New Roman"/>
                <w:sz w:val="21"/>
              </w:rPr>
              <w:t>34,424,203.26</w:t>
            </w: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tabs>
          <w:tab w:pos="3401" w:val="left" w:leader="none"/>
          <w:tab w:pos="7490" w:val="left" w:leader="none"/>
        </w:tabs>
        <w:spacing w:before="35"/>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法定代表人：李海鹰</w:t>
        <w:tab/>
        <w:t>主管会计工作负责人：侯菊艳</w:t>
        <w:tab/>
        <w:t>会计机构负责人：窦永贺</w:t>
      </w:r>
    </w:p>
    <w:p>
      <w:pPr>
        <w:spacing w:line="240" w:lineRule="auto" w:before="3"/>
        <w:rPr>
          <w:rFonts w:ascii="宋体" w:hAnsi="宋体" w:cs="宋体" w:eastAsia="宋体" w:hint="default"/>
          <w:sz w:val="19"/>
          <w:szCs w:val="19"/>
        </w:rPr>
      </w:pPr>
    </w:p>
    <w:p>
      <w:pPr>
        <w:pStyle w:val="Heading2"/>
        <w:spacing w:line="240" w:lineRule="auto" w:before="0"/>
        <w:ind w:right="0"/>
        <w:jc w:val="left"/>
        <w:rPr>
          <w:b w:val="0"/>
          <w:bCs w:val="0"/>
        </w:rPr>
      </w:pPr>
      <w:bookmarkStart w:name="5、合并现金流量表" w:id="171"/>
      <w:bookmarkEnd w:id="171"/>
      <w:r>
        <w:rPr>
          <w:b w:val="0"/>
          <w:bCs w:val="0"/>
        </w:rPr>
      </w:r>
      <w:r>
        <w:rPr>
          <w:rFonts w:ascii="Times New Roman" w:hAnsi="Times New Roman" w:cs="Times New Roman" w:eastAsia="Times New Roman" w:hint="default"/>
        </w:rPr>
        <w:t>5</w:t>
      </w:r>
      <w:r>
        <w:rPr/>
        <w:t>、合并现金流量表</w:t>
      </w:r>
      <w:r>
        <w:rPr>
          <w:b w:val="0"/>
          <w:bCs w:val="0"/>
        </w:rPr>
      </w:r>
    </w:p>
    <w:p>
      <w:pPr>
        <w:spacing w:before="15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6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612,589,244.07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534,001,880.49</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ind w:left="11" w:right="159" w:firstLine="42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 资产净增加额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19,152,802.19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24,513,275.80</w:t>
            </w:r>
            <w:r>
              <w:rPr>
                <w:rFonts w:ascii="Times New Roman"/>
                <w:sz w:val="21"/>
              </w:rPr>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17,165,217.21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20,092,844.80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648,907,263.47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578,608,001.09</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368,027,310.18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275,802,715.50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91,744,810.48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80,513,230.22</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79,821,095.17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69,787,109.25</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92,812,497.33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92,786,035.81</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632,405,713.16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518,889,090.78</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16,501,550.31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59,718,910.31</w:t>
            </w: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5,100,000.00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13,611,222.46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195,569.93</w:t>
            </w: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处置固定资产、无形资产和其他长期资产收回的现金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3,496.00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z w:val="21"/>
              </w:rPr>
              <w:t>640.00</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13,614,718.46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5,296,209.93</w:t>
            </w: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购建固定资产、无形资产和其他长期资产支付的现金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21"/>
                <w:szCs w:val="21"/>
              </w:rPr>
            </w:pPr>
            <w:r>
              <w:rPr>
                <w:rFonts w:ascii="Times New Roman"/>
                <w:sz w:val="21"/>
              </w:rPr>
              <w:t>61,962,623.61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sz w:val="21"/>
              </w:rPr>
              <w:t>36,800,789.08</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153,000,000.00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3,460,000.00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35,261,137.82</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214,962,623.61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75,521,926.90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-201,347,905.15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-70,225,716.97</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274,668,446.73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351,589,018.34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274,668,446.73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351,589,018.34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460,175,444.38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253,439,086.51</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37,533,189.66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33,256,080.25</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245,000.00</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21"/>
                <w:szCs w:val="21"/>
              </w:rPr>
            </w:pPr>
            <w:r>
              <w:rPr>
                <w:rFonts w:ascii="Times New Roman"/>
                <w:spacing w:val="-1"/>
                <w:sz w:val="21"/>
              </w:rPr>
              <w:t>497,708,634.04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spacing w:val="-1"/>
                <w:sz w:val="21"/>
              </w:rPr>
              <w:t>286,695,166.76</w:t>
            </w:r>
            <w:r>
              <w:rPr>
                <w:rFonts w:ascii="Times New Roman"/>
                <w:sz w:val="21"/>
              </w:rPr>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-223,040,187.31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64,893,851.58</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-407,886,542.15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54,387,044.92</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875,069,643.04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820,682,598.12</w:t>
            </w: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467,183,100.89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875,069,643.04</w:t>
            </w:r>
          </w:p>
        </w:tc>
      </w:tr>
    </w:tbl>
    <w:p>
      <w:pPr>
        <w:spacing w:line="240" w:lineRule="auto" w:before="2"/>
        <w:rPr>
          <w:rFonts w:ascii="宋体" w:hAnsi="宋体" w:cs="宋体" w:eastAsia="宋体" w:hint="default"/>
          <w:sz w:val="19"/>
          <w:szCs w:val="19"/>
        </w:rPr>
      </w:pPr>
    </w:p>
    <w:p>
      <w:pPr>
        <w:tabs>
          <w:tab w:pos="3401" w:val="left" w:leader="none"/>
          <w:tab w:pos="7490" w:val="left" w:leader="none"/>
        </w:tabs>
        <w:spacing w:before="35"/>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法定代表人：李海鹰</w:t>
        <w:tab/>
        <w:t>主管会计工作负责人：侯菊艳</w:t>
        <w:tab/>
        <w:t>会计机构负责人：窦永贺</w:t>
      </w:r>
    </w:p>
    <w:p>
      <w:pPr>
        <w:spacing w:line="240" w:lineRule="auto" w:before="3"/>
        <w:rPr>
          <w:rFonts w:ascii="宋体" w:hAnsi="宋体" w:cs="宋体" w:eastAsia="宋体" w:hint="default"/>
          <w:sz w:val="19"/>
          <w:szCs w:val="19"/>
        </w:rPr>
      </w:pPr>
    </w:p>
    <w:p>
      <w:pPr>
        <w:pStyle w:val="Heading2"/>
        <w:spacing w:line="240" w:lineRule="auto" w:before="0"/>
        <w:ind w:right="0"/>
        <w:jc w:val="left"/>
        <w:rPr>
          <w:b w:val="0"/>
          <w:bCs w:val="0"/>
        </w:rPr>
      </w:pPr>
      <w:bookmarkStart w:name="6、母公司现金流量表" w:id="172"/>
      <w:bookmarkEnd w:id="172"/>
      <w:r>
        <w:rPr>
          <w:b w:val="0"/>
          <w:bCs w:val="0"/>
        </w:rPr>
      </w:r>
      <w:r>
        <w:rPr>
          <w:rFonts w:ascii="Times New Roman" w:hAnsi="Times New Roman" w:cs="Times New Roman" w:eastAsia="Times New Roman" w:hint="default"/>
        </w:rPr>
        <w:t>6</w:t>
      </w:r>
      <w:r>
        <w:rPr/>
        <w:t>、母公司现金流量表</w:t>
      </w:r>
      <w:r>
        <w:rPr>
          <w:b w:val="0"/>
          <w:bCs w:val="0"/>
        </w:rPr>
      </w:r>
    </w:p>
    <w:p>
      <w:pPr>
        <w:spacing w:before="15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6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443,975,132.29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399,734,154.30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16,001,923.76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20,780,732.64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15,267,860.32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12,849,433.20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475,244,916.37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433,364,320.14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246,971,544.76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189,925,102.56</w:t>
            </w: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21"/>
                <w:szCs w:val="21"/>
              </w:rPr>
            </w:pPr>
            <w:r>
              <w:rPr>
                <w:rFonts w:ascii="Times New Roman"/>
                <w:sz w:val="21"/>
              </w:rPr>
              <w:t>45,449,074.13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sz w:val="21"/>
              </w:rPr>
              <w:t>40,069,409.66</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57,752,117.67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48,770,013.02</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53,926,668.28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60,865,384.64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404,099,404.84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339,629,909.88</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223"/>
        <w:gridCol w:w="2280"/>
        <w:gridCol w:w="2054"/>
      </w:tblGrid>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71,145,511.53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93,734,410.26</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13,611,222.46</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处置固定资产、无形资产和其他长期资产收回的现金</w:t>
            </w:r>
            <w:r>
              <w:rPr>
                <w:rFonts w:ascii="宋体" w:hAnsi="宋体" w:cs="宋体" w:eastAsia="宋体" w:hint="default"/>
                <w:sz w:val="21"/>
                <w:szCs w:val="21"/>
              </w:rPr>
              <w:t> 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3,496.00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640.00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13,614,718.46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z w:val="21"/>
              </w:rPr>
              <w:t>640.00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购建固定资产、无形资产和其他长期资产支付的现金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50,487,324.63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23,465,590.65</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189,500,000.00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14,460,000.00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54,266,600.00</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239,987,324.63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92,192,190.65</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-226,372,606.17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-92,191,550.65</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274,668,446.73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351,589,018.34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274,668,446.73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351,589,018.34</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460,175,444.38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253,439,086.51</w:t>
            </w:r>
          </w:p>
        </w:tc>
      </w:tr>
      <w:tr>
        <w:trPr>
          <w:trHeight w:val="31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z w:val="21"/>
              </w:rPr>
              <w:t>37,337,189.66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33,256,080.25</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497,512,634.04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286,695,166.76</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-222,844,187.31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64,893,851.58</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-378,071,281.95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66,436,711.19</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3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818,243,945.10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751,807,233.91</w:t>
            </w:r>
          </w:p>
        </w:tc>
      </w:tr>
      <w:tr>
        <w:trPr>
          <w:trHeight w:val="310"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440,172,663.15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818,243,945.10</w:t>
            </w:r>
          </w:p>
        </w:tc>
      </w:tr>
    </w:tbl>
    <w:p>
      <w:pPr>
        <w:spacing w:line="240" w:lineRule="auto" w:before="2"/>
        <w:rPr>
          <w:rFonts w:ascii="宋体" w:hAnsi="宋体" w:cs="宋体" w:eastAsia="宋体" w:hint="default"/>
          <w:sz w:val="19"/>
          <w:szCs w:val="19"/>
        </w:rPr>
      </w:pPr>
    </w:p>
    <w:p>
      <w:pPr>
        <w:tabs>
          <w:tab w:pos="3401" w:val="left" w:leader="none"/>
          <w:tab w:pos="7490" w:val="left" w:leader="none"/>
        </w:tabs>
        <w:spacing w:before="35"/>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法定代表人：李海鹰</w:t>
        <w:tab/>
        <w:t>主管会计工作负责人：侯菊艳</w:t>
        <w:tab/>
        <w:t>会计机构负责人：窦永贺</w:t>
      </w:r>
    </w:p>
    <w:p>
      <w:pPr>
        <w:spacing w:line="240" w:lineRule="auto" w:before="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979" w:top="1060" w:bottom="1160" w:left="980" w:right="0"/>
        </w:sectPr>
      </w:pPr>
    </w:p>
    <w:p>
      <w:pPr>
        <w:spacing w:line="312" w:lineRule="auto" w:before="26"/>
        <w:ind w:left="154" w:right="0" w:firstLine="0"/>
        <w:jc w:val="left"/>
        <w:rPr>
          <w:rFonts w:ascii="宋体" w:hAnsi="宋体" w:cs="宋体" w:eastAsia="宋体" w:hint="default"/>
          <w:sz w:val="24"/>
          <w:szCs w:val="24"/>
        </w:rPr>
      </w:pPr>
      <w:bookmarkStart w:name="7、合并所有者权益变动表" w:id="173"/>
      <w:bookmarkEnd w:id="173"/>
      <w:r>
        <w:rPr/>
      </w:r>
      <w:r>
        <w:rPr>
          <w:rFonts w:ascii="Times New Roman" w:hAnsi="Times New Roman" w:cs="Times New Roman" w:eastAsia="Times New Roman" w:hint="default"/>
          <w:b/>
          <w:bCs/>
          <w:w w:val="95"/>
          <w:sz w:val="24"/>
          <w:szCs w:val="24"/>
        </w:rPr>
        <w:t>7</w:t>
      </w:r>
      <w:r>
        <w:rPr>
          <w:rFonts w:ascii="宋体" w:hAnsi="宋体" w:cs="宋体" w:eastAsia="宋体" w:hint="default"/>
          <w:b/>
          <w:bCs/>
          <w:w w:val="95"/>
          <w:sz w:val="24"/>
          <w:szCs w:val="24"/>
        </w:rPr>
        <w:t>、合并所有者权益变动表</w:t>
      </w:r>
      <w:r>
        <w:rPr>
          <w:rFonts w:ascii="宋体" w:hAnsi="宋体" w:cs="宋体" w:eastAsia="宋体" w:hint="default"/>
          <w:b/>
          <w:bCs/>
          <w:spacing w:val="13"/>
          <w:w w:val="95"/>
          <w:sz w:val="24"/>
          <w:szCs w:val="24"/>
        </w:rPr>
        <w:t> </w:t>
      </w:r>
      <w:r>
        <w:rPr>
          <w:rFonts w:ascii="宋体" w:hAnsi="宋体" w:cs="宋体" w:eastAsia="宋体" w:hint="default"/>
          <w:sz w:val="24"/>
          <w:szCs w:val="24"/>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3"/>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922" w:space="5997"/>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984"/>
        <w:gridCol w:w="544"/>
        <w:gridCol w:w="1005"/>
        <w:gridCol w:w="425"/>
        <w:gridCol w:w="413"/>
        <w:gridCol w:w="425"/>
        <w:gridCol w:w="1004"/>
        <w:gridCol w:w="555"/>
        <w:gridCol w:w="993"/>
        <w:gridCol w:w="862"/>
        <w:gridCol w:w="923"/>
      </w:tblGrid>
      <w:tr>
        <w:trPr>
          <w:trHeight w:val="290"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290" w:hRule="exact"/>
        </w:trPr>
        <w:tc>
          <w:tcPr>
            <w:tcW w:w="1438" w:type="dxa"/>
            <w:vMerge/>
            <w:tcBorders>
              <w:left w:val="single" w:sz="4" w:space="0" w:color="000000"/>
              <w:right w:val="single" w:sz="4" w:space="0" w:color="000000"/>
            </w:tcBorders>
            <w:shd w:val="clear" w:color="auto" w:fill="D2D2D2"/>
          </w:tcPr>
          <w:p>
            <w:pPr/>
          </w:p>
        </w:tc>
        <w:tc>
          <w:tcPr>
            <w:tcW w:w="634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5" w:lineRule="exact"/>
              <w:ind w:left="2019"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862" w:type="dxa"/>
            <w:vMerge w:val="restart"/>
            <w:tcBorders>
              <w:top w:val="single" w:sz="4" w:space="0" w:color="000000"/>
              <w:left w:val="single" w:sz="4" w:space="0" w:color="000000"/>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
        </w:tc>
      </w:tr>
      <w:tr>
        <w:trPr>
          <w:trHeight w:val="286" w:hRule="exact"/>
        </w:trPr>
        <w:tc>
          <w:tcPr>
            <w:tcW w:w="1438" w:type="dxa"/>
            <w:vMerge/>
            <w:tcBorders>
              <w:left w:val="single" w:sz="4" w:space="0" w:color="000000"/>
              <w:right w:val="single" w:sz="4" w:space="0" w:color="000000"/>
            </w:tcBorders>
            <w:shd w:val="clear" w:color="auto" w:fill="D2D2D2"/>
          </w:tcPr>
          <w:p>
            <w:pPr/>
          </w:p>
        </w:tc>
        <w:tc>
          <w:tcPr>
            <w:tcW w:w="984" w:type="dxa"/>
            <w:vMerge w:val="restart"/>
            <w:tcBorders>
              <w:top w:val="single" w:sz="4" w:space="0" w:color="000000"/>
              <w:left w:val="single" w:sz="4" w:space="0" w:color="000000"/>
              <w:right w:val="single" w:sz="4" w:space="0" w:color="000000"/>
            </w:tcBorders>
            <w:shd w:val="clear" w:color="auto" w:fill="D2D2D2"/>
          </w:tcPr>
          <w:p>
            <w:pPr/>
          </w:p>
        </w:tc>
        <w:tc>
          <w:tcPr>
            <w:tcW w:w="544" w:type="dxa"/>
            <w:vMerge w:val="restart"/>
            <w:tcBorders>
              <w:top w:val="single" w:sz="4" w:space="0" w:color="000000"/>
              <w:left w:val="single" w:sz="4" w:space="0" w:color="000000"/>
              <w:right w:val="single" w:sz="4" w:space="0" w:color="000000"/>
            </w:tcBorders>
            <w:shd w:val="clear" w:color="auto" w:fill="D2D2D2"/>
          </w:tcPr>
          <w:p>
            <w:pPr/>
          </w:p>
        </w:tc>
        <w:tc>
          <w:tcPr>
            <w:tcW w:w="1005" w:type="dxa"/>
            <w:vMerge w:val="restart"/>
            <w:tcBorders>
              <w:top w:val="single" w:sz="4" w:space="0" w:color="000000"/>
              <w:left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3" w:type="dxa"/>
            <w:vMerge w:val="restart"/>
            <w:tcBorders>
              <w:top w:val="single" w:sz="4" w:space="0" w:color="000000"/>
              <w:left w:val="single" w:sz="4" w:space="0" w:color="000000"/>
              <w:right w:val="single" w:sz="4" w:space="0" w:color="000000"/>
            </w:tcBorders>
            <w:shd w:val="clear" w:color="auto" w:fill="D2D2D2"/>
          </w:tcPr>
          <w:p>
            <w:pPr>
              <w:pStyle w:val="TableParagraph"/>
              <w:spacing w:line="254" w:lineRule="exact"/>
              <w:ind w:left="102"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4" w:lineRule="auto" w:before="6"/>
              <w:ind w:left="102" w:right="89"/>
              <w:jc w:val="both"/>
              <w:rPr>
                <w:rFonts w:ascii="宋体" w:hAnsi="宋体" w:cs="宋体" w:eastAsia="宋体" w:hint="default"/>
                <w:sz w:val="21"/>
                <w:szCs w:val="21"/>
              </w:rPr>
            </w:pPr>
            <w:r>
              <w:rPr>
                <w:rFonts w:ascii="宋体" w:hAnsi="宋体" w:cs="宋体" w:eastAsia="宋体" w:hint="default"/>
                <w:sz w:val="21"/>
                <w:szCs w:val="21"/>
              </w:rPr>
              <w:t>他 综 合 收 益</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
        </w:tc>
        <w:tc>
          <w:tcPr>
            <w:tcW w:w="555" w:type="dxa"/>
            <w:vMerge w:val="restart"/>
            <w:tcBorders>
              <w:top w:val="single" w:sz="4" w:space="0" w:color="000000"/>
              <w:left w:val="single" w:sz="4" w:space="0" w:color="000000"/>
              <w:right w:val="single" w:sz="4" w:space="0" w:color="000000"/>
            </w:tcBorders>
            <w:shd w:val="clear" w:color="auto" w:fill="D2D2D2"/>
          </w:tcPr>
          <w:p>
            <w:pPr/>
          </w:p>
        </w:tc>
        <w:tc>
          <w:tcPr>
            <w:tcW w:w="993" w:type="dxa"/>
            <w:vMerge w:val="restart"/>
            <w:tcBorders>
              <w:top w:val="single" w:sz="4" w:space="0" w:color="000000"/>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r>
      <w:tr>
        <w:trPr>
          <w:trHeight w:val="13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984" w:type="dxa"/>
            <w:vMerge/>
            <w:tcBorders>
              <w:left w:val="single" w:sz="4" w:space="0" w:color="000000"/>
              <w:right w:val="single" w:sz="4" w:space="0" w:color="000000"/>
            </w:tcBorders>
            <w:shd w:val="clear" w:color="auto" w:fill="D2D2D2"/>
          </w:tcPr>
          <w:p>
            <w:pPr/>
          </w:p>
        </w:tc>
        <w:tc>
          <w:tcPr>
            <w:tcW w:w="544" w:type="dxa"/>
            <w:vMerge/>
            <w:tcBorders>
              <w:left w:val="single" w:sz="4" w:space="0" w:color="000000"/>
              <w:bottom w:val="nil" w:sz="6" w:space="0" w:color="auto"/>
              <w:right w:val="single" w:sz="4" w:space="0" w:color="000000"/>
            </w:tcBorders>
            <w:shd w:val="clear" w:color="auto" w:fill="D2D2D2"/>
          </w:tcPr>
          <w:p>
            <w:pPr/>
          </w:p>
        </w:tc>
        <w:tc>
          <w:tcPr>
            <w:tcW w:w="100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80" w:lineRule="exact"/>
              <w:ind w:left="102" w:right="-27" w:hanging="80"/>
              <w:jc w:val="left"/>
              <w:rPr>
                <w:rFonts w:ascii="宋体" w:hAnsi="宋体" w:cs="宋体" w:eastAsia="宋体" w:hint="default"/>
                <w:sz w:val="21"/>
                <w:szCs w:val="21"/>
              </w:rPr>
            </w:pPr>
            <w:r>
              <w:rPr>
                <w:rFonts w:ascii="宋体" w:hAnsi="宋体" w:cs="宋体" w:eastAsia="宋体" w:hint="default"/>
                <w:sz w:val="21"/>
                <w:szCs w:val="21"/>
              </w:rPr>
              <w:t>减： 库 存</w:t>
            </w:r>
          </w:p>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股</w:t>
            </w:r>
          </w:p>
        </w:tc>
        <w:tc>
          <w:tcPr>
            <w:tcW w:w="413"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80" w:lineRule="exact"/>
              <w:ind w:left="113" w:right="89"/>
              <w:jc w:val="both"/>
              <w:rPr>
                <w:rFonts w:ascii="宋体" w:hAnsi="宋体" w:cs="宋体" w:eastAsia="宋体" w:hint="default"/>
                <w:sz w:val="21"/>
                <w:szCs w:val="21"/>
              </w:rPr>
            </w:pPr>
            <w:r>
              <w:rPr>
                <w:rFonts w:ascii="宋体" w:hAnsi="宋体" w:cs="宋体" w:eastAsia="宋体" w:hint="default"/>
                <w:sz w:val="21"/>
                <w:szCs w:val="21"/>
              </w:rPr>
              <w:t>专 项 储</w:t>
            </w:r>
          </w:p>
          <w:p>
            <w:pPr>
              <w:pStyle w:val="TableParagraph"/>
              <w:spacing w:line="254" w:lineRule="exact"/>
              <w:ind w:left="113" w:right="0"/>
              <w:jc w:val="both"/>
              <w:rPr>
                <w:rFonts w:ascii="宋体" w:hAnsi="宋体" w:cs="宋体" w:eastAsia="宋体" w:hint="default"/>
                <w:sz w:val="21"/>
                <w:szCs w:val="21"/>
              </w:rPr>
            </w:pPr>
            <w:r>
              <w:rPr>
                <w:rFonts w:ascii="宋体" w:hAnsi="宋体" w:cs="宋体" w:eastAsia="宋体" w:hint="default"/>
                <w:sz w:val="21"/>
                <w:szCs w:val="21"/>
              </w:rPr>
              <w:t>备</w:t>
            </w:r>
          </w:p>
        </w:tc>
        <w:tc>
          <w:tcPr>
            <w:tcW w:w="1004" w:type="dxa"/>
            <w:vMerge/>
            <w:tcBorders>
              <w:left w:val="single" w:sz="4" w:space="0" w:color="000000"/>
              <w:right w:val="single" w:sz="4" w:space="0" w:color="000000"/>
            </w:tcBorders>
            <w:shd w:val="clear" w:color="auto" w:fill="D2D2D2"/>
          </w:tcPr>
          <w:p>
            <w:pPr/>
          </w:p>
        </w:tc>
        <w:tc>
          <w:tcPr>
            <w:tcW w:w="555"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862" w:type="dxa"/>
            <w:vMerge/>
            <w:tcBorders>
              <w:left w:val="single" w:sz="4" w:space="0" w:color="000000"/>
              <w:bottom w:val="nil" w:sz="6" w:space="0" w:color="auto"/>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r>
      <w:tr>
        <w:trPr>
          <w:trHeight w:val="144"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84" w:type="dxa"/>
            <w:vMerge/>
            <w:tcBorders>
              <w:left w:val="single" w:sz="4" w:space="0" w:color="000000"/>
              <w:right w:val="single" w:sz="4" w:space="0" w:color="000000"/>
            </w:tcBorders>
            <w:shd w:val="clear" w:color="auto" w:fill="D2D2D2"/>
          </w:tcPr>
          <w:p>
            <w:pPr/>
          </w:p>
        </w:tc>
        <w:tc>
          <w:tcPr>
            <w:tcW w:w="544" w:type="dxa"/>
            <w:vMerge w:val="restart"/>
            <w:tcBorders>
              <w:top w:val="nil" w:sz="6" w:space="0" w:color="auto"/>
              <w:left w:val="single" w:sz="4" w:space="0" w:color="000000"/>
              <w:right w:val="single" w:sz="4" w:space="0" w:color="000000"/>
            </w:tcBorders>
            <w:shd w:val="clear" w:color="auto" w:fill="D2D2D2"/>
          </w:tcPr>
          <w:p>
            <w:pPr>
              <w:pStyle w:val="TableParagraph"/>
              <w:spacing w:line="256" w:lineRule="exact"/>
              <w:ind w:left="57"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4" w:lineRule="auto" w:before="6"/>
              <w:ind w:left="57" w:right="54"/>
              <w:jc w:val="left"/>
              <w:rPr>
                <w:rFonts w:ascii="宋体" w:hAnsi="宋体" w:cs="宋体" w:eastAsia="宋体" w:hint="default"/>
                <w:sz w:val="21"/>
                <w:szCs w:val="21"/>
              </w:rPr>
            </w:pPr>
            <w:r>
              <w:rPr>
                <w:rFonts w:ascii="宋体" w:hAnsi="宋体" w:cs="宋体" w:eastAsia="宋体" w:hint="default"/>
                <w:sz w:val="21"/>
                <w:szCs w:val="21"/>
              </w:rPr>
              <w:t>权益 工具</w:t>
            </w:r>
          </w:p>
        </w:tc>
        <w:tc>
          <w:tcPr>
            <w:tcW w:w="100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13"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004" w:type="dxa"/>
            <w:vMerge/>
            <w:tcBorders>
              <w:left w:val="single" w:sz="4" w:space="0" w:color="000000"/>
              <w:right w:val="single" w:sz="4" w:space="0" w:color="000000"/>
            </w:tcBorders>
            <w:shd w:val="clear" w:color="auto" w:fill="D2D2D2"/>
          </w:tcPr>
          <w:p>
            <w:pPr/>
          </w:p>
        </w:tc>
        <w:tc>
          <w:tcPr>
            <w:tcW w:w="555" w:type="dxa"/>
            <w:vMerge w:val="restart"/>
            <w:tcBorders>
              <w:top w:val="nil" w:sz="6" w:space="0" w:color="auto"/>
              <w:left w:val="single" w:sz="4" w:space="0" w:color="000000"/>
              <w:right w:val="single" w:sz="4" w:space="0" w:color="000000"/>
            </w:tcBorders>
            <w:shd w:val="clear" w:color="auto" w:fill="D2D2D2"/>
          </w:tcPr>
          <w:p>
            <w:pPr>
              <w:pStyle w:val="TableParagraph"/>
              <w:spacing w:line="258" w:lineRule="exact"/>
              <w:ind w:left="68"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44" w:lineRule="auto" w:before="6"/>
              <w:ind w:left="68" w:right="56"/>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993" w:type="dxa"/>
            <w:vMerge/>
            <w:tcBorders>
              <w:left w:val="single" w:sz="4" w:space="0" w:color="000000"/>
              <w:bottom w:val="nil" w:sz="6" w:space="0" w:color="auto"/>
              <w:right w:val="single" w:sz="4" w:space="0" w:color="000000"/>
            </w:tcBorders>
            <w:shd w:val="clear" w:color="auto" w:fill="D2D2D2"/>
          </w:tcPr>
          <w:p>
            <w:pPr/>
          </w:p>
        </w:tc>
        <w:tc>
          <w:tcPr>
            <w:tcW w:w="862" w:type="dxa"/>
            <w:vMerge w:val="restart"/>
            <w:tcBorders>
              <w:top w:val="nil" w:sz="6" w:space="0" w:color="auto"/>
              <w:left w:val="single" w:sz="4" w:space="0" w:color="000000"/>
              <w:right w:val="single" w:sz="4" w:space="0" w:color="000000"/>
            </w:tcBorders>
            <w:shd w:val="clear" w:color="auto" w:fill="D2D2D2"/>
          </w:tcPr>
          <w:p>
            <w:pPr>
              <w:pStyle w:val="TableParagraph"/>
              <w:spacing w:line="253" w:lineRule="exact"/>
              <w:ind w:left="116" w:right="0"/>
              <w:jc w:val="left"/>
              <w:rPr>
                <w:rFonts w:ascii="宋体" w:hAnsi="宋体" w:cs="宋体" w:eastAsia="宋体" w:hint="default"/>
                <w:sz w:val="21"/>
                <w:szCs w:val="21"/>
              </w:rPr>
            </w:pPr>
            <w:r>
              <w:rPr>
                <w:rFonts w:ascii="宋体" w:hAnsi="宋体" w:cs="宋体" w:eastAsia="宋体" w:hint="default"/>
                <w:sz w:val="21"/>
                <w:szCs w:val="21"/>
              </w:rPr>
              <w:t>少数股</w:t>
            </w:r>
          </w:p>
          <w:p>
            <w:pPr>
              <w:pStyle w:val="TableParagraph"/>
              <w:spacing w:line="240" w:lineRule="auto" w:before="5"/>
              <w:ind w:left="116" w:right="0"/>
              <w:jc w:val="left"/>
              <w:rPr>
                <w:rFonts w:ascii="宋体" w:hAnsi="宋体" w:cs="宋体" w:eastAsia="宋体" w:hint="default"/>
                <w:sz w:val="21"/>
                <w:szCs w:val="21"/>
              </w:rPr>
            </w:pPr>
            <w:r>
              <w:rPr>
                <w:rFonts w:ascii="宋体" w:hAnsi="宋体" w:cs="宋体" w:eastAsia="宋体" w:hint="default"/>
                <w:sz w:val="21"/>
                <w:szCs w:val="21"/>
              </w:rPr>
              <w:t>东权益</w:t>
            </w:r>
          </w:p>
        </w:tc>
        <w:tc>
          <w:tcPr>
            <w:tcW w:w="923" w:type="dxa"/>
            <w:vMerge w:val="restart"/>
            <w:tcBorders>
              <w:top w:val="nil" w:sz="6" w:space="0" w:color="auto"/>
              <w:left w:val="single" w:sz="4" w:space="0" w:color="000000"/>
              <w:right w:val="single" w:sz="4" w:space="0" w:color="000000"/>
            </w:tcBorders>
            <w:shd w:val="clear" w:color="auto" w:fill="D2D2D2"/>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所有者权</w:t>
            </w:r>
          </w:p>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益合计</w:t>
            </w:r>
          </w:p>
        </w:tc>
      </w:tr>
      <w:tr>
        <w:trPr>
          <w:trHeight w:val="138" w:hRule="exact"/>
        </w:trPr>
        <w:tc>
          <w:tcPr>
            <w:tcW w:w="1438" w:type="dxa"/>
            <w:vMerge/>
            <w:tcBorders>
              <w:left w:val="single" w:sz="4" w:space="0" w:color="000000"/>
              <w:bottom w:val="single" w:sz="4" w:space="0" w:color="FFFFFF"/>
              <w:right w:val="single" w:sz="4" w:space="0" w:color="000000"/>
            </w:tcBorders>
            <w:shd w:val="clear" w:color="auto" w:fill="D2D2D2"/>
          </w:tcPr>
          <w:p>
            <w:pPr/>
          </w:p>
        </w:tc>
        <w:tc>
          <w:tcPr>
            <w:tcW w:w="984" w:type="dxa"/>
            <w:vMerge/>
            <w:tcBorders>
              <w:left w:val="single" w:sz="4" w:space="0" w:color="000000"/>
              <w:bottom w:val="single" w:sz="4" w:space="0" w:color="FFFFFF"/>
              <w:right w:val="single" w:sz="4" w:space="0" w:color="000000"/>
            </w:tcBorders>
            <w:shd w:val="clear" w:color="auto" w:fill="D2D2D2"/>
          </w:tcPr>
          <w:p>
            <w:pPr/>
          </w:p>
        </w:tc>
        <w:tc>
          <w:tcPr>
            <w:tcW w:w="544" w:type="dxa"/>
            <w:vMerge/>
            <w:tcBorders>
              <w:left w:val="single" w:sz="4" w:space="0" w:color="000000"/>
              <w:right w:val="single" w:sz="4" w:space="0" w:color="000000"/>
            </w:tcBorders>
            <w:shd w:val="clear" w:color="auto" w:fill="D2D2D2"/>
          </w:tcPr>
          <w:p>
            <w:pPr/>
          </w:p>
        </w:tc>
        <w:tc>
          <w:tcPr>
            <w:tcW w:w="1005"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13"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555" w:type="dxa"/>
            <w:vMerge/>
            <w:tcBorders>
              <w:left w:val="single" w:sz="4" w:space="0" w:color="000000"/>
              <w:right w:val="single" w:sz="4" w:space="0" w:color="000000"/>
            </w:tcBorders>
            <w:shd w:val="clear" w:color="auto" w:fill="D2D2D2"/>
          </w:tcPr>
          <w:p>
            <w:pP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80" w:lineRule="exact"/>
              <w:ind w:left="398" w:right="59" w:hanging="316"/>
              <w:jc w:val="left"/>
              <w:rPr>
                <w:rFonts w:ascii="宋体" w:hAnsi="宋体" w:cs="宋体" w:eastAsia="宋体" w:hint="default"/>
                <w:sz w:val="21"/>
                <w:szCs w:val="21"/>
              </w:rPr>
            </w:pPr>
            <w:r>
              <w:rPr>
                <w:rFonts w:ascii="宋体" w:hAnsi="宋体" w:cs="宋体" w:eastAsia="宋体" w:hint="default"/>
                <w:sz w:val="21"/>
                <w:szCs w:val="21"/>
              </w:rPr>
              <w:t>未分配利 润</w:t>
            </w:r>
          </w:p>
        </w:tc>
        <w:tc>
          <w:tcPr>
            <w:tcW w:w="862" w:type="dxa"/>
            <w:vMerge/>
            <w:tcBorders>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r>
      <w:tr>
        <w:trPr>
          <w:trHeight w:val="281" w:hRule="exact"/>
        </w:trPr>
        <w:tc>
          <w:tcPr>
            <w:tcW w:w="1438" w:type="dxa"/>
            <w:vMerge w:val="restart"/>
            <w:tcBorders>
              <w:top w:val="single" w:sz="4" w:space="0" w:color="FFFFFF"/>
              <w:left w:val="single" w:sz="4" w:space="0" w:color="000000"/>
              <w:right w:val="single" w:sz="4" w:space="0" w:color="000000"/>
            </w:tcBorders>
            <w:shd w:val="clear" w:color="auto" w:fill="D2D2D2"/>
          </w:tcPr>
          <w:p>
            <w:pPr/>
          </w:p>
        </w:tc>
        <w:tc>
          <w:tcPr>
            <w:tcW w:w="984"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51" w:lineRule="exact"/>
              <w:ind w:right="11"/>
              <w:jc w:val="center"/>
              <w:rPr>
                <w:rFonts w:ascii="宋体" w:hAnsi="宋体" w:cs="宋体" w:eastAsia="宋体" w:hint="default"/>
                <w:sz w:val="21"/>
                <w:szCs w:val="21"/>
              </w:rPr>
            </w:pPr>
            <w:r>
              <w:rPr>
                <w:rFonts w:ascii="宋体" w:hAnsi="宋体" w:cs="宋体" w:eastAsia="宋体" w:hint="default"/>
                <w:sz w:val="21"/>
                <w:szCs w:val="21"/>
              </w:rPr>
              <w:t>股本</w:t>
            </w:r>
          </w:p>
        </w:tc>
        <w:tc>
          <w:tcPr>
            <w:tcW w:w="544" w:type="dxa"/>
            <w:vMerge/>
            <w:tcBorders>
              <w:left w:val="single" w:sz="4" w:space="0" w:color="000000"/>
              <w:right w:val="single" w:sz="4" w:space="0" w:color="000000"/>
            </w:tcBorders>
            <w:shd w:val="clear" w:color="auto" w:fill="D2D2D2"/>
          </w:tcPr>
          <w:p>
            <w:pPr/>
          </w:p>
        </w:tc>
        <w:tc>
          <w:tcPr>
            <w:tcW w:w="1005" w:type="dxa"/>
            <w:tcBorders>
              <w:top w:val="nil" w:sz="6" w:space="0" w:color="auto"/>
              <w:left w:val="single" w:sz="9" w:space="0" w:color="D2D2D2"/>
              <w:bottom w:val="nil" w:sz="6" w:space="0" w:color="auto"/>
              <w:right w:val="single" w:sz="9" w:space="0" w:color="D2D2D2"/>
            </w:tcBorders>
          </w:tcPr>
          <w:p>
            <w:pPr>
              <w:pStyle w:val="TableParagraph"/>
              <w:spacing w:line="255" w:lineRule="exact"/>
              <w:ind w:left="10"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资本公积</w:t>
            </w:r>
            <w:r>
              <w:rPr>
                <w:rFonts w:ascii="宋体" w:hAnsi="宋体" w:cs="宋体" w:eastAsia="宋体" w:hint="default"/>
                <w:sz w:val="21"/>
                <w:szCs w:val="21"/>
              </w:rPr>
            </w:r>
          </w:p>
        </w:tc>
        <w:tc>
          <w:tcPr>
            <w:tcW w:w="425" w:type="dxa"/>
            <w:vMerge/>
            <w:tcBorders>
              <w:left w:val="single" w:sz="4" w:space="0" w:color="000000"/>
              <w:right w:val="single" w:sz="4" w:space="0" w:color="000000"/>
            </w:tcBorders>
            <w:shd w:val="clear" w:color="auto" w:fill="D2D2D2"/>
          </w:tcPr>
          <w:p>
            <w:pPr/>
          </w:p>
        </w:tc>
        <w:tc>
          <w:tcPr>
            <w:tcW w:w="413"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004" w:type="dxa"/>
            <w:tcBorders>
              <w:top w:val="nil" w:sz="6" w:space="0" w:color="auto"/>
              <w:left w:val="single" w:sz="23" w:space="0" w:color="D2D2D2"/>
              <w:bottom w:val="nil" w:sz="6" w:space="0" w:color="auto"/>
              <w:right w:val="single" w:sz="9" w:space="0" w:color="D2D2D2"/>
            </w:tcBorders>
          </w:tcPr>
          <w:p>
            <w:pPr>
              <w:pStyle w:val="TableParagraph"/>
              <w:spacing w:line="255" w:lineRule="exact"/>
              <w:ind w:left="5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盈余公积</w:t>
            </w:r>
            <w:r>
              <w:rPr>
                <w:rFonts w:ascii="宋体" w:hAnsi="宋体" w:cs="宋体" w:eastAsia="宋体" w:hint="default"/>
                <w:sz w:val="21"/>
                <w:szCs w:val="21"/>
              </w:rPr>
            </w:r>
          </w:p>
        </w:tc>
        <w:tc>
          <w:tcPr>
            <w:tcW w:w="55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862" w:type="dxa"/>
            <w:vMerge/>
            <w:tcBorders>
              <w:left w:val="single" w:sz="4" w:space="0" w:color="000000"/>
              <w:bottom w:val="nil" w:sz="6" w:space="0" w:color="auto"/>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r>
      <w:tr>
        <w:trPr>
          <w:trHeight w:val="143" w:hRule="exact"/>
        </w:trPr>
        <w:tc>
          <w:tcPr>
            <w:tcW w:w="1438" w:type="dxa"/>
            <w:vMerge/>
            <w:tcBorders>
              <w:left w:val="single" w:sz="4" w:space="0" w:color="000000"/>
              <w:right w:val="single" w:sz="4" w:space="0" w:color="000000"/>
            </w:tcBorders>
            <w:shd w:val="clear" w:color="auto" w:fill="D2D2D2"/>
          </w:tcPr>
          <w:p>
            <w:pPr/>
          </w:p>
        </w:tc>
        <w:tc>
          <w:tcPr>
            <w:tcW w:w="984" w:type="dxa"/>
            <w:vMerge w:val="restart"/>
            <w:tcBorders>
              <w:top w:val="nil" w:sz="6" w:space="0" w:color="auto"/>
              <w:left w:val="single" w:sz="4" w:space="0" w:color="000000"/>
              <w:right w:val="single" w:sz="4" w:space="0" w:color="000000"/>
            </w:tcBorders>
            <w:shd w:val="clear" w:color="auto" w:fill="D2D2D2"/>
          </w:tcPr>
          <w:p>
            <w:pPr/>
          </w:p>
        </w:tc>
        <w:tc>
          <w:tcPr>
            <w:tcW w:w="544" w:type="dxa"/>
            <w:vMerge/>
            <w:tcBorders>
              <w:left w:val="single" w:sz="4" w:space="0" w:color="000000"/>
              <w:right w:val="single" w:sz="4" w:space="0" w:color="000000"/>
            </w:tcBorders>
            <w:shd w:val="clear" w:color="auto" w:fill="D2D2D2"/>
          </w:tcPr>
          <w:p>
            <w:pPr/>
          </w:p>
        </w:tc>
        <w:tc>
          <w:tcPr>
            <w:tcW w:w="1005"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13"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
        </w:tc>
        <w:tc>
          <w:tcPr>
            <w:tcW w:w="555" w:type="dxa"/>
            <w:vMerge/>
            <w:tcBorders>
              <w:left w:val="single" w:sz="4" w:space="0" w:color="000000"/>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862" w:type="dxa"/>
            <w:vMerge w:val="restart"/>
            <w:tcBorders>
              <w:top w:val="nil" w:sz="6" w:space="0" w:color="auto"/>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000000"/>
            </w:tcBorders>
            <w:shd w:val="clear" w:color="auto" w:fill="D2D2D2"/>
          </w:tcPr>
          <w:p>
            <w:pPr/>
          </w:p>
        </w:tc>
      </w:tr>
      <w:tr>
        <w:trPr>
          <w:trHeight w:val="139" w:hRule="exact"/>
        </w:trPr>
        <w:tc>
          <w:tcPr>
            <w:tcW w:w="1438" w:type="dxa"/>
            <w:vMerge/>
            <w:tcBorders>
              <w:left w:val="single" w:sz="4" w:space="0" w:color="000000"/>
              <w:right w:val="single" w:sz="4" w:space="0" w:color="000000"/>
            </w:tcBorders>
            <w:shd w:val="clear" w:color="auto" w:fill="D2D2D2"/>
          </w:tcPr>
          <w:p>
            <w:pPr/>
          </w:p>
        </w:tc>
        <w:tc>
          <w:tcPr>
            <w:tcW w:w="984" w:type="dxa"/>
            <w:vMerge/>
            <w:tcBorders>
              <w:left w:val="single" w:sz="4" w:space="0" w:color="000000"/>
              <w:right w:val="single" w:sz="4" w:space="0" w:color="000000"/>
            </w:tcBorders>
            <w:shd w:val="clear" w:color="auto" w:fill="D2D2D2"/>
          </w:tcPr>
          <w:p>
            <w:pPr/>
          </w:p>
        </w:tc>
        <w:tc>
          <w:tcPr>
            <w:tcW w:w="544" w:type="dxa"/>
            <w:vMerge/>
            <w:tcBorders>
              <w:left w:val="single" w:sz="4" w:space="0" w:color="000000"/>
              <w:bottom w:val="nil" w:sz="6" w:space="0" w:color="auto"/>
              <w:right w:val="single" w:sz="4" w:space="0" w:color="000000"/>
            </w:tcBorders>
            <w:shd w:val="clear" w:color="auto" w:fill="D2D2D2"/>
          </w:tcPr>
          <w:p>
            <w:pPr/>
          </w:p>
        </w:tc>
        <w:tc>
          <w:tcPr>
            <w:tcW w:w="100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13"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004" w:type="dxa"/>
            <w:vMerge/>
            <w:tcBorders>
              <w:left w:val="single" w:sz="4" w:space="0" w:color="000000"/>
              <w:right w:val="single" w:sz="4" w:space="0" w:color="000000"/>
            </w:tcBorders>
            <w:shd w:val="clear" w:color="auto" w:fill="D2D2D2"/>
          </w:tcPr>
          <w:p>
            <w:pPr/>
          </w:p>
        </w:tc>
        <w:tc>
          <w:tcPr>
            <w:tcW w:w="555" w:type="dxa"/>
            <w:vMerge/>
            <w:tcBorders>
              <w:left w:val="single" w:sz="4" w:space="0" w:color="000000"/>
              <w:bottom w:val="nil" w:sz="6" w:space="0" w:color="auto"/>
              <w:right w:val="single" w:sz="4" w:space="0" w:color="000000"/>
            </w:tcBorders>
            <w:shd w:val="clear" w:color="auto" w:fill="D2D2D2"/>
          </w:tcPr>
          <w:p>
            <w:pPr/>
          </w:p>
        </w:tc>
        <w:tc>
          <w:tcPr>
            <w:tcW w:w="993" w:type="dxa"/>
            <w:vMerge w:val="restart"/>
            <w:tcBorders>
              <w:top w:val="nil" w:sz="6" w:space="0" w:color="auto"/>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r>
      <w:tr>
        <w:trPr>
          <w:trHeight w:val="140" w:hRule="exact"/>
        </w:trPr>
        <w:tc>
          <w:tcPr>
            <w:tcW w:w="1438" w:type="dxa"/>
            <w:vMerge/>
            <w:tcBorders>
              <w:left w:val="single" w:sz="4" w:space="0" w:color="000000"/>
              <w:right w:val="single" w:sz="4" w:space="0" w:color="000000"/>
            </w:tcBorders>
            <w:shd w:val="clear" w:color="auto" w:fill="D2D2D2"/>
          </w:tcPr>
          <w:p>
            <w:pPr/>
          </w:p>
        </w:tc>
        <w:tc>
          <w:tcPr>
            <w:tcW w:w="984" w:type="dxa"/>
            <w:vMerge/>
            <w:tcBorders>
              <w:left w:val="single" w:sz="4" w:space="0" w:color="000000"/>
              <w:right w:val="single" w:sz="4" w:space="0" w:color="000000"/>
            </w:tcBorders>
            <w:shd w:val="clear" w:color="auto" w:fill="D2D2D2"/>
          </w:tcPr>
          <w:p>
            <w:pPr/>
          </w:p>
        </w:tc>
        <w:tc>
          <w:tcPr>
            <w:tcW w:w="544" w:type="dxa"/>
            <w:vMerge w:val="restart"/>
            <w:tcBorders>
              <w:top w:val="nil" w:sz="6" w:space="0" w:color="auto"/>
              <w:left w:val="single" w:sz="4" w:space="0" w:color="000000"/>
              <w:right w:val="single" w:sz="4" w:space="0" w:color="000000"/>
            </w:tcBorders>
            <w:shd w:val="clear" w:color="auto" w:fill="D2D2D2"/>
          </w:tcPr>
          <w:p>
            <w:pPr/>
          </w:p>
        </w:tc>
        <w:tc>
          <w:tcPr>
            <w:tcW w:w="100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413"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004" w:type="dxa"/>
            <w:vMerge/>
            <w:tcBorders>
              <w:left w:val="single" w:sz="4" w:space="0" w:color="000000"/>
              <w:right w:val="single" w:sz="4" w:space="0" w:color="000000"/>
            </w:tcBorders>
            <w:shd w:val="clear" w:color="auto" w:fill="D2D2D2"/>
          </w:tcPr>
          <w:p>
            <w:pPr/>
          </w:p>
        </w:tc>
        <w:tc>
          <w:tcPr>
            <w:tcW w:w="555" w:type="dxa"/>
            <w:vMerge w:val="restart"/>
            <w:tcBorders>
              <w:top w:val="nil" w:sz="6" w:space="0" w:color="auto"/>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r>
      <w:tr>
        <w:trPr>
          <w:trHeight w:val="28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984" w:type="dxa"/>
            <w:vMerge/>
            <w:tcBorders>
              <w:left w:val="single" w:sz="4" w:space="0" w:color="000000"/>
              <w:bottom w:val="single" w:sz="4" w:space="0" w:color="000000"/>
              <w:right w:val="single" w:sz="4" w:space="0" w:color="000000"/>
            </w:tcBorders>
            <w:shd w:val="clear" w:color="auto" w:fill="D2D2D2"/>
          </w:tcPr>
          <w:p>
            <w:pPr/>
          </w:p>
        </w:tc>
        <w:tc>
          <w:tcPr>
            <w:tcW w:w="544"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413"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555"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r>
      <w:tr>
        <w:trPr>
          <w:trHeight w:val="29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88"/>
                <w:sz w:val="21"/>
                <w:szCs w:val="21"/>
              </w:rPr>
              <w:t>、</w:t>
            </w:r>
            <w:r>
              <w:rPr>
                <w:rFonts w:ascii="宋体" w:hAnsi="宋体" w:cs="宋体" w:eastAsia="宋体" w:hint="default"/>
                <w:sz w:val="21"/>
                <w:szCs w:val="21"/>
              </w:rPr>
              <w:t>上年期末余</w:t>
            </w:r>
          </w:p>
        </w:tc>
        <w:tc>
          <w:tcPr>
            <w:tcW w:w="9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left="54" w:right="0"/>
              <w:jc w:val="center"/>
              <w:rPr>
                <w:rFonts w:ascii="Times New Roman" w:hAnsi="Times New Roman" w:cs="Times New Roman" w:eastAsia="Times New Roman" w:hint="default"/>
                <w:sz w:val="21"/>
                <w:szCs w:val="21"/>
              </w:rPr>
            </w:pPr>
            <w:r>
              <w:rPr>
                <w:rFonts w:ascii="Times New Roman"/>
                <w:sz w:val="21"/>
              </w:rPr>
              <w:t>376,656,4</w:t>
            </w:r>
          </w:p>
        </w:tc>
        <w:tc>
          <w:tcPr>
            <w:tcW w:w="544"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7" w:right="0"/>
              <w:jc w:val="center"/>
              <w:rPr>
                <w:rFonts w:ascii="Times New Roman" w:hAnsi="Times New Roman" w:cs="Times New Roman" w:eastAsia="Times New Roman" w:hint="default"/>
                <w:sz w:val="21"/>
                <w:szCs w:val="21"/>
              </w:rPr>
            </w:pPr>
            <w:r>
              <w:rPr>
                <w:rFonts w:ascii="Times New Roman"/>
                <w:sz w:val="21"/>
              </w:rPr>
              <w:t>653,527,6</w:t>
            </w:r>
          </w:p>
        </w:tc>
        <w:tc>
          <w:tcPr>
            <w:tcW w:w="425"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 w:right="0"/>
              <w:jc w:val="left"/>
              <w:rPr>
                <w:rFonts w:ascii="Times New Roman" w:hAnsi="Times New Roman" w:cs="Times New Roman" w:eastAsia="Times New Roman" w:hint="default"/>
                <w:sz w:val="21"/>
                <w:szCs w:val="21"/>
              </w:rPr>
            </w:pPr>
            <w:r>
              <w:rPr>
                <w:rFonts w:ascii="Times New Roman"/>
                <w:sz w:val="21"/>
              </w:rPr>
              <w:t>64,909,86</w:t>
            </w:r>
          </w:p>
        </w:tc>
        <w:tc>
          <w:tcPr>
            <w:tcW w:w="55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1" w:right="0"/>
              <w:jc w:val="left"/>
              <w:rPr>
                <w:rFonts w:ascii="Times New Roman" w:hAnsi="Times New Roman" w:cs="Times New Roman" w:eastAsia="Times New Roman" w:hint="default"/>
                <w:sz w:val="21"/>
                <w:szCs w:val="21"/>
              </w:rPr>
            </w:pPr>
            <w:r>
              <w:rPr>
                <w:rFonts w:ascii="Times New Roman"/>
                <w:sz w:val="21"/>
              </w:rPr>
              <w:t>292,674,5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4" w:right="0"/>
              <w:jc w:val="left"/>
              <w:rPr>
                <w:rFonts w:ascii="Times New Roman" w:hAnsi="Times New Roman" w:cs="Times New Roman" w:eastAsia="Times New Roman" w:hint="default"/>
                <w:sz w:val="21"/>
                <w:szCs w:val="21"/>
              </w:rPr>
            </w:pPr>
            <w:r>
              <w:rPr>
                <w:rFonts w:ascii="Times New Roman"/>
                <w:sz w:val="21"/>
              </w:rPr>
              <w:t>24,739,3</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0" w:right="0"/>
              <w:jc w:val="left"/>
              <w:rPr>
                <w:rFonts w:ascii="Times New Roman" w:hAnsi="Times New Roman" w:cs="Times New Roman" w:eastAsia="Times New Roman" w:hint="default"/>
                <w:sz w:val="21"/>
                <w:szCs w:val="21"/>
              </w:rPr>
            </w:pPr>
            <w:r>
              <w:rPr>
                <w:rFonts w:ascii="Times New Roman"/>
                <w:sz w:val="21"/>
              </w:rPr>
              <w:t>1,412,507</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972"/>
        <w:gridCol w:w="568"/>
        <w:gridCol w:w="993"/>
        <w:gridCol w:w="426"/>
        <w:gridCol w:w="425"/>
        <w:gridCol w:w="425"/>
        <w:gridCol w:w="992"/>
        <w:gridCol w:w="566"/>
        <w:gridCol w:w="994"/>
        <w:gridCol w:w="850"/>
        <w:gridCol w:w="923"/>
      </w:tblGrid>
      <w:tr>
        <w:trPr>
          <w:trHeight w:val="29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6" w:right="0"/>
              <w:jc w:val="left"/>
              <w:rPr>
                <w:rFonts w:ascii="Times New Roman" w:hAnsi="Times New Roman" w:cs="Times New Roman" w:eastAsia="Times New Roman" w:hint="default"/>
                <w:sz w:val="21"/>
                <w:szCs w:val="21"/>
              </w:rPr>
            </w:pPr>
            <w:r>
              <w:rPr>
                <w:rFonts w:ascii="Times New Roman"/>
                <w:sz w:val="21"/>
              </w:rPr>
              <w:t>20.00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6" w:right="0"/>
              <w:jc w:val="left"/>
              <w:rPr>
                <w:rFonts w:ascii="Times New Roman" w:hAnsi="Times New Roman" w:cs="Times New Roman" w:eastAsia="Times New Roman" w:hint="default"/>
                <w:sz w:val="21"/>
                <w:szCs w:val="21"/>
              </w:rPr>
            </w:pPr>
            <w:r>
              <w:rPr>
                <w:rFonts w:ascii="Times New Roman"/>
                <w:sz w:val="21"/>
              </w:rPr>
              <w:t>34.23</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91" w:right="0"/>
              <w:jc w:val="left"/>
              <w:rPr>
                <w:rFonts w:ascii="Times New Roman" w:hAnsi="Times New Roman" w:cs="Times New Roman" w:eastAsia="Times New Roman" w:hint="default"/>
                <w:sz w:val="21"/>
                <w:szCs w:val="21"/>
              </w:rPr>
            </w:pPr>
            <w:r>
              <w:rPr>
                <w:rFonts w:ascii="Times New Roman"/>
                <w:sz w:val="21"/>
              </w:rPr>
              <w:t>5.84</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7" w:right="0"/>
              <w:jc w:val="left"/>
              <w:rPr>
                <w:rFonts w:ascii="Times New Roman" w:hAnsi="Times New Roman" w:cs="Times New Roman" w:eastAsia="Times New Roman" w:hint="default"/>
                <w:sz w:val="21"/>
                <w:szCs w:val="21"/>
              </w:rPr>
            </w:pPr>
            <w:r>
              <w:rPr>
                <w:rFonts w:ascii="Times New Roman"/>
                <w:sz w:val="21"/>
              </w:rPr>
              <w:t>42.28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44" w:right="0"/>
              <w:jc w:val="left"/>
              <w:rPr>
                <w:rFonts w:ascii="Times New Roman" w:hAnsi="Times New Roman" w:cs="Times New Roman" w:eastAsia="Times New Roman" w:hint="default"/>
                <w:sz w:val="21"/>
                <w:szCs w:val="21"/>
              </w:rPr>
            </w:pPr>
            <w:r>
              <w:rPr>
                <w:rFonts w:ascii="Times New Roman"/>
                <w:sz w:val="21"/>
              </w:rPr>
              <w:t>65.17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0" w:right="0"/>
              <w:jc w:val="left"/>
              <w:rPr>
                <w:rFonts w:ascii="Times New Roman" w:hAnsi="Times New Roman" w:cs="Times New Roman" w:eastAsia="Times New Roman" w:hint="default"/>
                <w:sz w:val="21"/>
                <w:szCs w:val="21"/>
              </w:rPr>
            </w:pPr>
            <w:r>
              <w:rPr>
                <w:rFonts w:ascii="Times New Roman"/>
                <w:sz w:val="21"/>
              </w:rPr>
              <w:t>,827.52</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left="22" w:right="21" w:firstLine="210"/>
              <w:jc w:val="left"/>
              <w:rPr>
                <w:rFonts w:ascii="宋体" w:hAnsi="宋体" w:cs="宋体" w:eastAsia="宋体" w:hint="default"/>
                <w:sz w:val="21"/>
                <w:szCs w:val="21"/>
              </w:rPr>
            </w:pPr>
            <w:r>
              <w:rPr>
                <w:rFonts w:ascii="宋体" w:hAnsi="宋体" w:cs="宋体" w:eastAsia="宋体" w:hint="default"/>
                <w:spacing w:val="-15"/>
                <w:sz w:val="21"/>
                <w:szCs w:val="21"/>
              </w:rPr>
              <w:t>加：会计政策</w:t>
            </w:r>
            <w:r>
              <w:rPr>
                <w:rFonts w:ascii="宋体" w:hAnsi="宋体" w:cs="宋体" w:eastAsia="宋体" w:hint="default"/>
                <w:sz w:val="21"/>
                <w:szCs w:val="21"/>
              </w:rPr>
              <w:t> 变更</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left="22" w:right="143" w:firstLine="210"/>
              <w:jc w:val="left"/>
              <w:rPr>
                <w:rFonts w:ascii="宋体" w:hAnsi="宋体" w:cs="宋体" w:eastAsia="宋体" w:hint="default"/>
                <w:sz w:val="21"/>
                <w:szCs w:val="21"/>
              </w:rPr>
            </w:pPr>
            <w:r>
              <w:rPr>
                <w:rFonts w:ascii="宋体" w:hAnsi="宋体" w:cs="宋体" w:eastAsia="宋体" w:hint="default"/>
                <w:sz w:val="21"/>
                <w:szCs w:val="21"/>
              </w:rPr>
              <w:t>前期差错更 正</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left="22" w:right="143" w:firstLine="210"/>
              <w:jc w:val="left"/>
              <w:rPr>
                <w:rFonts w:ascii="宋体" w:hAnsi="宋体" w:cs="宋体" w:eastAsia="宋体" w:hint="default"/>
                <w:sz w:val="21"/>
                <w:szCs w:val="21"/>
              </w:rPr>
            </w:pPr>
            <w:r>
              <w:rPr>
                <w:rFonts w:ascii="宋体" w:hAnsi="宋体" w:cs="宋体" w:eastAsia="宋体" w:hint="default"/>
                <w:sz w:val="21"/>
                <w:szCs w:val="21"/>
              </w:rPr>
              <w:t>同一控制下 企业合并</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before="1"/>
              <w:ind w:left="22" w:right="21"/>
              <w:jc w:val="left"/>
              <w:rPr>
                <w:rFonts w:ascii="宋体" w:hAnsi="宋体" w:cs="宋体" w:eastAsia="宋体" w:hint="default"/>
                <w:sz w:val="21"/>
                <w:szCs w:val="21"/>
              </w:rPr>
            </w:pPr>
            <w:r>
              <w:rPr>
                <w:rFonts w:ascii="宋体" w:hAnsi="宋体" w:cs="宋体" w:eastAsia="宋体" w:hint="default"/>
                <w:spacing w:val="-13"/>
                <w:sz w:val="21"/>
                <w:szCs w:val="21"/>
              </w:rPr>
              <w:t>二、本年期初余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9" w:right="0"/>
              <w:jc w:val="left"/>
              <w:rPr>
                <w:rFonts w:ascii="Times New Roman" w:hAnsi="Times New Roman" w:cs="Times New Roman" w:eastAsia="Times New Roman" w:hint="default"/>
                <w:sz w:val="21"/>
                <w:szCs w:val="21"/>
              </w:rPr>
            </w:pPr>
            <w:r>
              <w:rPr>
                <w:rFonts w:ascii="Times New Roman"/>
                <w:sz w:val="21"/>
              </w:rPr>
              <w:t>376,656,4</w:t>
            </w:r>
          </w:p>
          <w:p>
            <w:pPr>
              <w:pStyle w:val="TableParagraph"/>
              <w:spacing w:line="240" w:lineRule="auto" w:before="38"/>
              <w:ind w:left="466" w:right="0"/>
              <w:jc w:val="left"/>
              <w:rPr>
                <w:rFonts w:ascii="Times New Roman" w:hAnsi="Times New Roman" w:cs="Times New Roman" w:eastAsia="Times New Roman" w:hint="default"/>
                <w:sz w:val="21"/>
                <w:szCs w:val="21"/>
              </w:rPr>
            </w:pPr>
            <w:r>
              <w:rPr>
                <w:rFonts w:ascii="Times New Roman"/>
                <w:sz w:val="21"/>
              </w:rPr>
              <w:t>20.00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8" w:right="0"/>
              <w:jc w:val="left"/>
              <w:rPr>
                <w:rFonts w:ascii="Times New Roman" w:hAnsi="Times New Roman" w:cs="Times New Roman" w:eastAsia="Times New Roman" w:hint="default"/>
                <w:sz w:val="21"/>
                <w:szCs w:val="21"/>
              </w:rPr>
            </w:pPr>
            <w:r>
              <w:rPr>
                <w:rFonts w:ascii="Times New Roman"/>
                <w:sz w:val="21"/>
              </w:rPr>
              <w:t>653,527,6</w:t>
            </w:r>
          </w:p>
          <w:p>
            <w:pPr>
              <w:pStyle w:val="TableParagraph"/>
              <w:spacing w:line="240" w:lineRule="auto" w:before="38"/>
              <w:ind w:left="486" w:right="0"/>
              <w:jc w:val="left"/>
              <w:rPr>
                <w:rFonts w:ascii="Times New Roman" w:hAnsi="Times New Roman" w:cs="Times New Roman" w:eastAsia="Times New Roman" w:hint="default"/>
                <w:sz w:val="21"/>
                <w:szCs w:val="21"/>
              </w:rPr>
            </w:pPr>
            <w:r>
              <w:rPr>
                <w:rFonts w:ascii="Times New Roman"/>
                <w:sz w:val="21"/>
              </w:rPr>
              <w:t>34.23</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8" w:right="0"/>
              <w:jc w:val="left"/>
              <w:rPr>
                <w:rFonts w:ascii="Times New Roman" w:hAnsi="Times New Roman" w:cs="Times New Roman" w:eastAsia="Times New Roman" w:hint="default"/>
                <w:sz w:val="21"/>
                <w:szCs w:val="21"/>
              </w:rPr>
            </w:pPr>
            <w:r>
              <w:rPr>
                <w:rFonts w:ascii="Times New Roman"/>
                <w:sz w:val="21"/>
              </w:rPr>
              <w:t>64,909,86</w:t>
            </w:r>
          </w:p>
          <w:p>
            <w:pPr>
              <w:pStyle w:val="TableParagraph"/>
              <w:spacing w:line="240" w:lineRule="auto" w:before="38"/>
              <w:ind w:left="591" w:right="0"/>
              <w:jc w:val="left"/>
              <w:rPr>
                <w:rFonts w:ascii="Times New Roman" w:hAnsi="Times New Roman" w:cs="Times New Roman" w:eastAsia="Times New Roman" w:hint="default"/>
                <w:sz w:val="21"/>
                <w:szCs w:val="21"/>
              </w:rPr>
            </w:pPr>
            <w:r>
              <w:rPr>
                <w:rFonts w:ascii="Times New Roman"/>
                <w:sz w:val="21"/>
              </w:rPr>
              <w:t>5.84</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9" w:right="0"/>
              <w:jc w:val="left"/>
              <w:rPr>
                <w:rFonts w:ascii="Times New Roman" w:hAnsi="Times New Roman" w:cs="Times New Roman" w:eastAsia="Times New Roman" w:hint="default"/>
                <w:sz w:val="21"/>
                <w:szCs w:val="21"/>
              </w:rPr>
            </w:pPr>
            <w:r>
              <w:rPr>
                <w:rFonts w:ascii="Times New Roman"/>
                <w:sz w:val="21"/>
              </w:rPr>
              <w:t>292,674,5</w:t>
            </w:r>
          </w:p>
          <w:p>
            <w:pPr>
              <w:pStyle w:val="TableParagraph"/>
              <w:spacing w:line="240" w:lineRule="auto" w:before="38"/>
              <w:ind w:left="487" w:right="0"/>
              <w:jc w:val="left"/>
              <w:rPr>
                <w:rFonts w:ascii="Times New Roman" w:hAnsi="Times New Roman" w:cs="Times New Roman" w:eastAsia="Times New Roman" w:hint="default"/>
                <w:sz w:val="21"/>
                <w:szCs w:val="21"/>
              </w:rPr>
            </w:pPr>
            <w:r>
              <w:rPr>
                <w:rFonts w:ascii="Times New Roman"/>
                <w:sz w:val="21"/>
              </w:rPr>
              <w:t>42.28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2" w:right="0"/>
              <w:jc w:val="left"/>
              <w:rPr>
                <w:rFonts w:ascii="Times New Roman" w:hAnsi="Times New Roman" w:cs="Times New Roman" w:eastAsia="Times New Roman" w:hint="default"/>
                <w:sz w:val="21"/>
                <w:szCs w:val="21"/>
              </w:rPr>
            </w:pPr>
            <w:r>
              <w:rPr>
                <w:rFonts w:ascii="Times New Roman"/>
                <w:sz w:val="21"/>
              </w:rPr>
              <w:t>24,739,3</w:t>
            </w:r>
          </w:p>
          <w:p>
            <w:pPr>
              <w:pStyle w:val="TableParagraph"/>
              <w:spacing w:line="240" w:lineRule="auto" w:before="38"/>
              <w:ind w:left="344" w:right="0"/>
              <w:jc w:val="left"/>
              <w:rPr>
                <w:rFonts w:ascii="Times New Roman" w:hAnsi="Times New Roman" w:cs="Times New Roman" w:eastAsia="Times New Roman" w:hint="default"/>
                <w:sz w:val="21"/>
                <w:szCs w:val="21"/>
              </w:rPr>
            </w:pPr>
            <w:r>
              <w:rPr>
                <w:rFonts w:ascii="Times New Roman"/>
                <w:sz w:val="21"/>
              </w:rPr>
              <w:t>65.17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0" w:right="0"/>
              <w:jc w:val="left"/>
              <w:rPr>
                <w:rFonts w:ascii="Times New Roman" w:hAnsi="Times New Roman" w:cs="Times New Roman" w:eastAsia="Times New Roman" w:hint="default"/>
                <w:sz w:val="21"/>
                <w:szCs w:val="21"/>
              </w:rPr>
            </w:pPr>
            <w:r>
              <w:rPr>
                <w:rFonts w:ascii="Times New Roman"/>
                <w:sz w:val="21"/>
              </w:rPr>
              <w:t>1,412,507</w:t>
            </w:r>
          </w:p>
          <w:p>
            <w:pPr>
              <w:pStyle w:val="TableParagraph"/>
              <w:spacing w:line="240" w:lineRule="auto" w:before="38"/>
              <w:ind w:left="260" w:right="0"/>
              <w:jc w:val="left"/>
              <w:rPr>
                <w:rFonts w:ascii="Times New Roman" w:hAnsi="Times New Roman" w:cs="Times New Roman" w:eastAsia="Times New Roman" w:hint="default"/>
                <w:sz w:val="21"/>
                <w:szCs w:val="21"/>
              </w:rPr>
            </w:pPr>
            <w:r>
              <w:rPr>
                <w:rFonts w:ascii="Times New Roman"/>
                <w:sz w:val="21"/>
              </w:rPr>
              <w:t>,827.52</w:t>
            </w:r>
          </w:p>
        </w:tc>
      </w:tr>
      <w:tr>
        <w:trPr>
          <w:trHeight w:val="85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before="1"/>
              <w:ind w:left="22" w:right="21"/>
              <w:jc w:val="both"/>
              <w:rPr>
                <w:rFonts w:ascii="宋体" w:hAnsi="宋体" w:cs="宋体" w:eastAsia="宋体" w:hint="default"/>
                <w:sz w:val="21"/>
                <w:szCs w:val="21"/>
              </w:rPr>
            </w:pPr>
            <w:r>
              <w:rPr>
                <w:rFonts w:ascii="宋体" w:hAnsi="宋体" w:cs="宋体" w:eastAsia="宋体" w:hint="default"/>
                <w:spacing w:val="-13"/>
                <w:sz w:val="21"/>
                <w:szCs w:val="21"/>
              </w:rPr>
              <w:t>三、本期增减变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3"/>
                <w:sz w:val="21"/>
                <w:szCs w:val="21"/>
              </w:rPr>
              <w:t>动金额（减少以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8" w:right="0"/>
              <w:jc w:val="left"/>
              <w:rPr>
                <w:rFonts w:ascii="Times New Roman" w:hAnsi="Times New Roman" w:cs="Times New Roman" w:eastAsia="Times New Roman" w:hint="default"/>
                <w:sz w:val="21"/>
                <w:szCs w:val="21"/>
              </w:rPr>
            </w:pPr>
            <w:r>
              <w:rPr>
                <w:rFonts w:ascii="Times New Roman"/>
                <w:sz w:val="21"/>
              </w:rPr>
              <w:t>12,731,08</w:t>
            </w:r>
          </w:p>
          <w:p>
            <w:pPr>
              <w:pStyle w:val="TableParagraph"/>
              <w:spacing w:line="240" w:lineRule="auto" w:before="39"/>
              <w:ind w:left="591" w:right="0"/>
              <w:jc w:val="left"/>
              <w:rPr>
                <w:rFonts w:ascii="Times New Roman" w:hAnsi="Times New Roman" w:cs="Times New Roman" w:eastAsia="Times New Roman" w:hint="default"/>
                <w:sz w:val="21"/>
                <w:szCs w:val="21"/>
              </w:rPr>
            </w:pPr>
            <w:r>
              <w:rPr>
                <w:rFonts w:ascii="Times New Roman"/>
                <w:sz w:val="21"/>
              </w:rPr>
              <w:t>5.49</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z w:val="21"/>
              </w:rPr>
              <w:t>3,360,357.</w:t>
            </w:r>
          </w:p>
          <w:p>
            <w:pPr>
              <w:pStyle w:val="TableParagraph"/>
              <w:spacing w:line="240" w:lineRule="auto" w:before="38"/>
              <w:ind w:right="23"/>
              <w:jc w:val="right"/>
              <w:rPr>
                <w:rFonts w:ascii="Times New Roman" w:hAnsi="Times New Roman" w:cs="Times New Roman" w:eastAsia="Times New Roman" w:hint="default"/>
                <w:sz w:val="21"/>
                <w:szCs w:val="21"/>
              </w:rPr>
            </w:pPr>
            <w:r>
              <w:rPr>
                <w:rFonts w:ascii="Times New Roman"/>
                <w:sz w:val="21"/>
              </w:rPr>
              <w:t>13</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9" w:right="0"/>
              <w:jc w:val="left"/>
              <w:rPr>
                <w:rFonts w:ascii="Times New Roman" w:hAnsi="Times New Roman" w:cs="Times New Roman" w:eastAsia="Times New Roman" w:hint="default"/>
                <w:sz w:val="21"/>
                <w:szCs w:val="21"/>
              </w:rPr>
            </w:pPr>
            <w:r>
              <w:rPr>
                <w:rFonts w:ascii="Times New Roman"/>
                <w:sz w:val="21"/>
              </w:rPr>
              <w:t>24,372,64</w:t>
            </w:r>
          </w:p>
          <w:p>
            <w:pPr>
              <w:pStyle w:val="TableParagraph"/>
              <w:spacing w:line="240" w:lineRule="auto" w:before="38"/>
              <w:ind w:left="591" w:right="0"/>
              <w:jc w:val="left"/>
              <w:rPr>
                <w:rFonts w:ascii="Times New Roman" w:hAnsi="Times New Roman" w:cs="Times New Roman" w:eastAsia="Times New Roman" w:hint="default"/>
                <w:sz w:val="21"/>
                <w:szCs w:val="21"/>
              </w:rPr>
            </w:pPr>
            <w:r>
              <w:rPr>
                <w:rFonts w:ascii="Times New Roman"/>
                <w:sz w:val="21"/>
              </w:rPr>
              <w:t>0.95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82" w:right="0"/>
              <w:jc w:val="left"/>
              <w:rPr>
                <w:rFonts w:ascii="Times New Roman" w:hAnsi="Times New Roman" w:cs="Times New Roman" w:eastAsia="Times New Roman" w:hint="default"/>
                <w:sz w:val="21"/>
                <w:szCs w:val="21"/>
              </w:rPr>
            </w:pPr>
            <w:r>
              <w:rPr>
                <w:rFonts w:ascii="Times New Roman"/>
                <w:sz w:val="21"/>
              </w:rPr>
              <w:t>6,476,47</w:t>
            </w:r>
          </w:p>
          <w:p>
            <w:pPr>
              <w:pStyle w:val="TableParagraph"/>
              <w:spacing w:line="240" w:lineRule="auto" w:before="39"/>
              <w:ind w:left="449" w:right="0"/>
              <w:jc w:val="left"/>
              <w:rPr>
                <w:rFonts w:ascii="Times New Roman" w:hAnsi="Times New Roman" w:cs="Times New Roman" w:eastAsia="Times New Roman" w:hint="default"/>
                <w:sz w:val="21"/>
                <w:szCs w:val="21"/>
              </w:rPr>
            </w:pPr>
            <w:r>
              <w:rPr>
                <w:rFonts w:ascii="Times New Roman"/>
                <w:sz w:val="21"/>
              </w:rPr>
              <w:t>0.06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50" w:right="0"/>
              <w:jc w:val="left"/>
              <w:rPr>
                <w:rFonts w:ascii="Times New Roman" w:hAnsi="Times New Roman" w:cs="Times New Roman" w:eastAsia="Times New Roman" w:hint="default"/>
                <w:sz w:val="21"/>
                <w:szCs w:val="21"/>
              </w:rPr>
            </w:pPr>
            <w:r>
              <w:rPr>
                <w:rFonts w:ascii="Times New Roman"/>
                <w:sz w:val="21"/>
              </w:rPr>
              <w:t>46,940,55</w:t>
            </w:r>
          </w:p>
          <w:p>
            <w:pPr>
              <w:pStyle w:val="TableParagraph"/>
              <w:spacing w:line="240" w:lineRule="auto" w:before="39"/>
              <w:ind w:left="523" w:right="0"/>
              <w:jc w:val="left"/>
              <w:rPr>
                <w:rFonts w:ascii="Times New Roman" w:hAnsi="Times New Roman" w:cs="Times New Roman" w:eastAsia="Times New Roman" w:hint="default"/>
                <w:sz w:val="21"/>
                <w:szCs w:val="21"/>
              </w:rPr>
            </w:pPr>
            <w:r>
              <w:rPr>
                <w:rFonts w:ascii="Times New Roman"/>
                <w:sz w:val="21"/>
              </w:rPr>
              <w:t>3.63</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left="22" w:right="21"/>
              <w:jc w:val="left"/>
              <w:rPr>
                <w:rFonts w:ascii="宋体" w:hAnsi="宋体" w:cs="宋体" w:eastAsia="宋体" w:hint="default"/>
                <w:sz w:val="21"/>
                <w:szCs w:val="21"/>
              </w:rPr>
            </w:pPr>
            <w:r>
              <w:rPr>
                <w:rFonts w:ascii="宋体" w:hAnsi="宋体" w:cs="宋体" w:eastAsia="宋体" w:hint="default"/>
                <w:spacing w:val="-13"/>
                <w:sz w:val="21"/>
                <w:szCs w:val="21"/>
              </w:rPr>
              <w:t>（一）综合收益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总额</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9" w:right="0"/>
              <w:jc w:val="left"/>
              <w:rPr>
                <w:rFonts w:ascii="Times New Roman" w:hAnsi="Times New Roman" w:cs="Times New Roman" w:eastAsia="Times New Roman" w:hint="default"/>
                <w:sz w:val="21"/>
                <w:szCs w:val="21"/>
              </w:rPr>
            </w:pPr>
            <w:r>
              <w:rPr>
                <w:rFonts w:ascii="Times New Roman"/>
                <w:sz w:val="21"/>
              </w:rPr>
              <w:t>27,732,99</w:t>
            </w:r>
          </w:p>
          <w:p>
            <w:pPr>
              <w:pStyle w:val="TableParagraph"/>
              <w:spacing w:line="240" w:lineRule="auto" w:before="38"/>
              <w:ind w:left="593" w:right="0"/>
              <w:jc w:val="left"/>
              <w:rPr>
                <w:rFonts w:ascii="Times New Roman" w:hAnsi="Times New Roman" w:cs="Times New Roman" w:eastAsia="Times New Roman" w:hint="default"/>
                <w:sz w:val="21"/>
                <w:szCs w:val="21"/>
              </w:rPr>
            </w:pPr>
            <w:r>
              <w:rPr>
                <w:rFonts w:ascii="Times New Roman"/>
                <w:sz w:val="21"/>
              </w:rPr>
              <w:t>8.08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2" w:right="0"/>
              <w:jc w:val="left"/>
              <w:rPr>
                <w:rFonts w:ascii="Times New Roman" w:hAnsi="Times New Roman" w:cs="Times New Roman" w:eastAsia="Times New Roman" w:hint="default"/>
                <w:sz w:val="21"/>
                <w:szCs w:val="21"/>
              </w:rPr>
            </w:pPr>
            <w:r>
              <w:rPr>
                <w:rFonts w:ascii="Times New Roman"/>
                <w:sz w:val="21"/>
              </w:rPr>
              <w:t>6,721,47</w:t>
            </w:r>
          </w:p>
          <w:p>
            <w:pPr>
              <w:pStyle w:val="TableParagraph"/>
              <w:spacing w:line="240" w:lineRule="auto" w:before="38"/>
              <w:ind w:left="449" w:right="0"/>
              <w:jc w:val="left"/>
              <w:rPr>
                <w:rFonts w:ascii="Times New Roman" w:hAnsi="Times New Roman" w:cs="Times New Roman" w:eastAsia="Times New Roman" w:hint="default"/>
                <w:sz w:val="21"/>
                <w:szCs w:val="21"/>
              </w:rPr>
            </w:pPr>
            <w:r>
              <w:rPr>
                <w:rFonts w:ascii="Times New Roman"/>
                <w:sz w:val="21"/>
              </w:rPr>
              <w:t>0.06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 w:right="0"/>
              <w:jc w:val="left"/>
              <w:rPr>
                <w:rFonts w:ascii="Times New Roman" w:hAnsi="Times New Roman" w:cs="Times New Roman" w:eastAsia="Times New Roman" w:hint="default"/>
                <w:sz w:val="21"/>
                <w:szCs w:val="21"/>
              </w:rPr>
            </w:pPr>
            <w:r>
              <w:rPr>
                <w:rFonts w:ascii="Times New Roman"/>
                <w:sz w:val="21"/>
              </w:rPr>
              <w:t>34,454,46</w:t>
            </w:r>
          </w:p>
          <w:p>
            <w:pPr>
              <w:pStyle w:val="TableParagraph"/>
              <w:spacing w:line="240" w:lineRule="auto" w:before="38"/>
              <w:ind w:left="523" w:right="0"/>
              <w:jc w:val="left"/>
              <w:rPr>
                <w:rFonts w:ascii="Times New Roman" w:hAnsi="Times New Roman" w:cs="Times New Roman" w:eastAsia="Times New Roman" w:hint="default"/>
                <w:sz w:val="21"/>
                <w:szCs w:val="21"/>
              </w:rPr>
            </w:pPr>
            <w:r>
              <w:rPr>
                <w:rFonts w:ascii="Times New Roman"/>
                <w:sz w:val="21"/>
              </w:rPr>
              <w:t>8.14</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left="22" w:right="21"/>
              <w:jc w:val="left"/>
              <w:rPr>
                <w:rFonts w:ascii="宋体" w:hAnsi="宋体" w:cs="宋体" w:eastAsia="宋体" w:hint="default"/>
                <w:sz w:val="21"/>
                <w:szCs w:val="21"/>
              </w:rPr>
            </w:pPr>
            <w:r>
              <w:rPr>
                <w:rFonts w:ascii="宋体" w:hAnsi="宋体" w:cs="宋体" w:eastAsia="宋体" w:hint="default"/>
                <w:spacing w:val="-13"/>
                <w:sz w:val="21"/>
                <w:szCs w:val="21"/>
              </w:rPr>
              <w:t>（二）所有者投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入和减少资本</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left="22" w:right="3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 的普通股</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85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left="22" w:right="3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 具持有者投入</w:t>
            </w:r>
          </w:p>
          <w:p>
            <w:pPr>
              <w:pStyle w:val="TableParagraph"/>
              <w:spacing w:line="254" w:lineRule="exact"/>
              <w:ind w:left="22"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85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p>
          <w:p>
            <w:pPr>
              <w:pStyle w:val="TableParagraph"/>
              <w:spacing w:line="244" w:lineRule="auto"/>
              <w:ind w:left="22" w:right="143"/>
              <w:jc w:val="left"/>
              <w:rPr>
                <w:rFonts w:ascii="宋体" w:hAnsi="宋体" w:cs="宋体" w:eastAsia="宋体" w:hint="default"/>
                <w:sz w:val="21"/>
                <w:szCs w:val="21"/>
              </w:rPr>
            </w:pPr>
            <w:r>
              <w:rPr>
                <w:rFonts w:ascii="宋体" w:hAnsi="宋体" w:cs="宋体" w:eastAsia="宋体" w:hint="default"/>
                <w:sz w:val="21"/>
                <w:szCs w:val="21"/>
              </w:rPr>
              <w:t>入所有者权益 的金额</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85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8"/>
                <w:sz w:val="21"/>
                <w:szCs w:val="21"/>
              </w:rPr>
              <w:t>）</w:t>
            </w:r>
            <w:r>
              <w:rPr>
                <w:rFonts w:ascii="宋体" w:hAnsi="宋体" w:cs="宋体" w:eastAsia="宋体" w:hint="default"/>
                <w:sz w:val="21"/>
                <w:szCs w:val="21"/>
              </w:rPr>
              <w:t>利润分配</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1"/>
                <w:szCs w:val="21"/>
              </w:rPr>
            </w:pPr>
            <w:r>
              <w:rPr>
                <w:rFonts w:ascii="Times New Roman"/>
                <w:sz w:val="21"/>
              </w:rPr>
              <w:t>3,360,357.</w:t>
            </w:r>
          </w:p>
          <w:p>
            <w:pPr>
              <w:pStyle w:val="TableParagraph"/>
              <w:spacing w:line="240" w:lineRule="auto" w:before="39"/>
              <w:ind w:right="23"/>
              <w:jc w:val="right"/>
              <w:rPr>
                <w:rFonts w:ascii="Times New Roman" w:hAnsi="Times New Roman" w:cs="Times New Roman" w:eastAsia="Times New Roman" w:hint="default"/>
                <w:sz w:val="21"/>
                <w:szCs w:val="21"/>
              </w:rPr>
            </w:pPr>
            <w:r>
              <w:rPr>
                <w:rFonts w:ascii="Times New Roman"/>
                <w:sz w:val="21"/>
              </w:rPr>
              <w:t>13</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1"/>
                <w:szCs w:val="21"/>
              </w:rPr>
            </w:pPr>
            <w:r>
              <w:rPr>
                <w:rFonts w:ascii="Times New Roman"/>
                <w:spacing w:val="-1"/>
                <w:sz w:val="21"/>
              </w:rPr>
              <w:t>-3,360,357</w:t>
            </w:r>
          </w:p>
          <w:p>
            <w:pPr>
              <w:pStyle w:val="TableParagraph"/>
              <w:spacing w:line="240" w:lineRule="auto" w:before="39"/>
              <w:ind w:right="21"/>
              <w:jc w:val="right"/>
              <w:rPr>
                <w:rFonts w:ascii="Times New Roman" w:hAnsi="Times New Roman" w:cs="Times New Roman" w:eastAsia="Times New Roman" w:hint="default"/>
                <w:sz w:val="21"/>
                <w:szCs w:val="21"/>
              </w:rPr>
            </w:pPr>
            <w:r>
              <w:rPr>
                <w:rFonts w:ascii="Times New Roman"/>
                <w:sz w:val="21"/>
              </w:rPr>
              <w:t>.13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64" w:right="0"/>
              <w:jc w:val="left"/>
              <w:rPr>
                <w:rFonts w:ascii="Times New Roman" w:hAnsi="Times New Roman" w:cs="Times New Roman" w:eastAsia="Times New Roman" w:hint="default"/>
                <w:sz w:val="21"/>
                <w:szCs w:val="21"/>
              </w:rPr>
            </w:pPr>
            <w:r>
              <w:rPr>
                <w:rFonts w:ascii="Times New Roman"/>
                <w:sz w:val="21"/>
              </w:rPr>
              <w:t>-245,000</w:t>
            </w:r>
          </w:p>
          <w:p>
            <w:pPr>
              <w:pStyle w:val="TableParagraph"/>
              <w:spacing w:line="240" w:lineRule="auto" w:before="38"/>
              <w:ind w:left="554" w:right="0"/>
              <w:jc w:val="left"/>
              <w:rPr>
                <w:rFonts w:ascii="Times New Roman" w:hAnsi="Times New Roman" w:cs="Times New Roman" w:eastAsia="Times New Roman" w:hint="default"/>
                <w:sz w:val="21"/>
                <w:szCs w:val="21"/>
              </w:rPr>
            </w:pPr>
            <w:r>
              <w:rPr>
                <w:rFonts w:ascii="Times New Roman"/>
                <w:sz w:val="21"/>
              </w:rPr>
              <w:t>.00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w w:val="95"/>
                <w:sz w:val="21"/>
              </w:rPr>
              <w:t>-245,000.</w:t>
            </w:r>
            <w:r>
              <w:rPr>
                <w:rFonts w:ascii="Times New Roman"/>
                <w:sz w:val="21"/>
              </w:rPr>
            </w:r>
          </w:p>
          <w:p>
            <w:pPr>
              <w:pStyle w:val="TableParagraph"/>
              <w:spacing w:line="240" w:lineRule="auto" w:before="38"/>
              <w:ind w:right="19"/>
              <w:jc w:val="right"/>
              <w:rPr>
                <w:rFonts w:ascii="Times New Roman" w:hAnsi="Times New Roman" w:cs="Times New Roman" w:eastAsia="Times New Roman" w:hint="default"/>
                <w:sz w:val="21"/>
                <w:szCs w:val="21"/>
              </w:rPr>
            </w:pPr>
            <w:r>
              <w:rPr>
                <w:rFonts w:ascii="Times New Roman"/>
                <w:sz w:val="21"/>
              </w:rPr>
              <w:t>00</w:t>
            </w:r>
          </w:p>
        </w:tc>
      </w:tr>
      <w:tr>
        <w:trPr>
          <w:trHeight w:val="99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80" w:lineRule="exact"/>
              <w:ind w:left="22" w:right="3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 积</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3,395,267.</w:t>
            </w:r>
          </w:p>
          <w:p>
            <w:pPr>
              <w:pStyle w:val="TableParagraph"/>
              <w:spacing w:line="240" w:lineRule="auto" w:before="39"/>
              <w:ind w:right="20"/>
              <w:jc w:val="right"/>
              <w:rPr>
                <w:rFonts w:ascii="Times New Roman" w:hAnsi="Times New Roman" w:cs="Times New Roman" w:eastAsia="Times New Roman" w:hint="default"/>
                <w:sz w:val="21"/>
                <w:szCs w:val="21"/>
              </w:rPr>
            </w:pPr>
            <w:r>
              <w:rPr>
                <w:rFonts w:ascii="Times New Roman"/>
                <w:sz w:val="21"/>
              </w:rPr>
              <w:t>13</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-3,360,357</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.13</w:t>
            </w: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left="22" w:right="3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 险准备</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left="22" w:right="21"/>
              <w:jc w:val="left"/>
              <w:rPr>
                <w:rFonts w:ascii="宋体" w:hAnsi="宋体" w:cs="宋体" w:eastAsia="宋体" w:hint="default"/>
                <w:sz w:val="21"/>
                <w:szCs w:val="21"/>
              </w:rPr>
            </w:pPr>
            <w:r>
              <w:rPr>
                <w:rFonts w:ascii="Times New Roman" w:hAnsi="Times New Roman" w:cs="Times New Roman" w:eastAsia="Times New Roman" w:hint="default"/>
                <w:spacing w:val="-25"/>
                <w:sz w:val="21"/>
                <w:szCs w:val="21"/>
              </w:rPr>
              <w:t>3</w:t>
            </w:r>
            <w:r>
              <w:rPr>
                <w:rFonts w:ascii="宋体" w:hAnsi="宋体" w:cs="宋体" w:eastAsia="宋体" w:hint="default"/>
                <w:spacing w:val="-25"/>
                <w:sz w:val="21"/>
                <w:szCs w:val="21"/>
              </w:rPr>
              <w:t>．对所有者（或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股东）的分配</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4" w:right="0"/>
              <w:jc w:val="left"/>
              <w:rPr>
                <w:rFonts w:ascii="Times New Roman" w:hAnsi="Times New Roman" w:cs="Times New Roman" w:eastAsia="Times New Roman" w:hint="default"/>
                <w:sz w:val="21"/>
                <w:szCs w:val="21"/>
              </w:rPr>
            </w:pPr>
            <w:r>
              <w:rPr>
                <w:rFonts w:ascii="Times New Roman"/>
                <w:sz w:val="21"/>
              </w:rPr>
              <w:t>-245,000</w:t>
            </w:r>
          </w:p>
          <w:p>
            <w:pPr>
              <w:pStyle w:val="TableParagraph"/>
              <w:spacing w:line="240" w:lineRule="auto" w:before="38"/>
              <w:ind w:left="554" w:right="0"/>
              <w:jc w:val="left"/>
              <w:rPr>
                <w:rFonts w:ascii="Times New Roman" w:hAnsi="Times New Roman" w:cs="Times New Roman" w:eastAsia="Times New Roman" w:hint="default"/>
                <w:sz w:val="21"/>
                <w:szCs w:val="21"/>
              </w:rPr>
            </w:pPr>
            <w:r>
              <w:rPr>
                <w:rFonts w:ascii="Times New Roman"/>
                <w:sz w:val="21"/>
              </w:rPr>
              <w:t>.00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1"/>
                <w:szCs w:val="21"/>
              </w:rPr>
            </w:pPr>
            <w:r>
              <w:rPr>
                <w:rFonts w:ascii="Times New Roman"/>
                <w:w w:val="95"/>
                <w:sz w:val="21"/>
              </w:rPr>
              <w:t>-245,000.</w:t>
            </w:r>
            <w:r>
              <w:rPr>
                <w:rFonts w:ascii="Times New Roman"/>
                <w:sz w:val="21"/>
              </w:rPr>
            </w:r>
          </w:p>
          <w:p>
            <w:pPr>
              <w:pStyle w:val="TableParagraph"/>
              <w:spacing w:line="240" w:lineRule="auto" w:before="38"/>
              <w:ind w:right="19"/>
              <w:jc w:val="right"/>
              <w:rPr>
                <w:rFonts w:ascii="Times New Roman" w:hAnsi="Times New Roman" w:cs="Times New Roman" w:eastAsia="Times New Roman" w:hint="default"/>
                <w:sz w:val="21"/>
                <w:szCs w:val="21"/>
              </w:rPr>
            </w:pPr>
            <w:r>
              <w:rPr>
                <w:rFonts w:ascii="Times New Roman"/>
                <w:sz w:val="21"/>
              </w:rPr>
              <w:t>00</w:t>
            </w:r>
          </w:p>
        </w:tc>
      </w:tr>
      <w:tr>
        <w:trPr>
          <w:trHeight w:val="289"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before="1"/>
              <w:ind w:left="22" w:right="21"/>
              <w:jc w:val="left"/>
              <w:rPr>
                <w:rFonts w:ascii="宋体" w:hAnsi="宋体" w:cs="宋体" w:eastAsia="宋体" w:hint="default"/>
                <w:sz w:val="21"/>
                <w:szCs w:val="21"/>
              </w:rPr>
            </w:pPr>
            <w:r>
              <w:rPr>
                <w:rFonts w:ascii="宋体" w:hAnsi="宋体" w:cs="宋体" w:eastAsia="宋体" w:hint="default"/>
                <w:spacing w:val="-13"/>
                <w:sz w:val="21"/>
                <w:szCs w:val="21"/>
              </w:rPr>
              <w:t>（四）所有者权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益内部结转</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85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before="1"/>
              <w:ind w:left="22" w:right="3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 增资本（或股 本）</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85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left="22" w:right="3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 增资本（或股</w:t>
            </w:r>
          </w:p>
          <w:p>
            <w:pPr>
              <w:pStyle w:val="TableParagraph"/>
              <w:spacing w:line="254" w:lineRule="exact"/>
              <w:ind w:left="22" w:right="0"/>
              <w:jc w:val="left"/>
              <w:rPr>
                <w:rFonts w:ascii="宋体" w:hAnsi="宋体" w:cs="宋体" w:eastAsia="宋体" w:hint="default"/>
                <w:sz w:val="21"/>
                <w:szCs w:val="21"/>
              </w:rPr>
            </w:pPr>
            <w:r>
              <w:rPr>
                <w:rFonts w:ascii="宋体" w:hAnsi="宋体" w:cs="宋体" w:eastAsia="宋体" w:hint="default"/>
                <w:sz w:val="21"/>
                <w:szCs w:val="21"/>
              </w:rPr>
              <w:t>本）</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ind w:left="22" w:right="39"/>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 补亏损</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．设定受益计</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972"/>
        <w:gridCol w:w="568"/>
        <w:gridCol w:w="993"/>
        <w:gridCol w:w="426"/>
        <w:gridCol w:w="425"/>
        <w:gridCol w:w="425"/>
        <w:gridCol w:w="992"/>
        <w:gridCol w:w="566"/>
        <w:gridCol w:w="994"/>
        <w:gridCol w:w="850"/>
        <w:gridCol w:w="923"/>
      </w:tblGrid>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left="22" w:right="0"/>
              <w:jc w:val="left"/>
              <w:rPr>
                <w:rFonts w:ascii="宋体" w:hAnsi="宋体" w:cs="宋体" w:eastAsia="宋体" w:hint="default"/>
                <w:sz w:val="21"/>
                <w:szCs w:val="21"/>
              </w:rPr>
            </w:pPr>
            <w:r>
              <w:rPr>
                <w:rFonts w:ascii="宋体" w:hAnsi="宋体" w:cs="宋体" w:eastAsia="宋体" w:hint="default"/>
                <w:sz w:val="21"/>
                <w:szCs w:val="21"/>
              </w:rPr>
              <w:t>划变动额结转</w:t>
            </w:r>
          </w:p>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留存收益</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left="22"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88"/>
                <w:sz w:val="21"/>
                <w:szCs w:val="21"/>
              </w:rPr>
              <w:t>）</w:t>
            </w:r>
            <w:r>
              <w:rPr>
                <w:rFonts w:ascii="宋体" w:hAnsi="宋体" w:cs="宋体" w:eastAsia="宋体" w:hint="default"/>
                <w:sz w:val="21"/>
                <w:szCs w:val="21"/>
              </w:rPr>
              <w:t>专项储备</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29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97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8" w:right="0"/>
              <w:jc w:val="left"/>
              <w:rPr>
                <w:rFonts w:ascii="Times New Roman" w:hAnsi="Times New Roman" w:cs="Times New Roman" w:eastAsia="Times New Roman" w:hint="default"/>
                <w:sz w:val="21"/>
                <w:szCs w:val="21"/>
              </w:rPr>
            </w:pPr>
            <w:r>
              <w:rPr>
                <w:rFonts w:ascii="Times New Roman"/>
                <w:sz w:val="21"/>
              </w:rPr>
              <w:t>12,731,08</w:t>
            </w:r>
          </w:p>
          <w:p>
            <w:pPr>
              <w:pStyle w:val="TableParagraph"/>
              <w:spacing w:line="240" w:lineRule="auto" w:before="38"/>
              <w:ind w:left="591" w:right="0"/>
              <w:jc w:val="left"/>
              <w:rPr>
                <w:rFonts w:ascii="Times New Roman" w:hAnsi="Times New Roman" w:cs="Times New Roman" w:eastAsia="Times New Roman" w:hint="default"/>
                <w:sz w:val="21"/>
                <w:szCs w:val="21"/>
              </w:rPr>
            </w:pPr>
            <w:r>
              <w:rPr>
                <w:rFonts w:ascii="Times New Roman"/>
                <w:sz w:val="21"/>
              </w:rPr>
              <w:t>5.49</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 w:right="0"/>
              <w:jc w:val="left"/>
              <w:rPr>
                <w:rFonts w:ascii="Times New Roman" w:hAnsi="Times New Roman" w:cs="Times New Roman" w:eastAsia="Times New Roman" w:hint="default"/>
                <w:sz w:val="21"/>
                <w:szCs w:val="21"/>
              </w:rPr>
            </w:pPr>
            <w:r>
              <w:rPr>
                <w:rFonts w:ascii="Times New Roman"/>
                <w:sz w:val="21"/>
              </w:rPr>
              <w:t>12,731,08</w:t>
            </w:r>
          </w:p>
          <w:p>
            <w:pPr>
              <w:pStyle w:val="TableParagraph"/>
              <w:spacing w:line="240" w:lineRule="auto" w:before="38"/>
              <w:ind w:left="523" w:right="0"/>
              <w:jc w:val="left"/>
              <w:rPr>
                <w:rFonts w:ascii="Times New Roman" w:hAnsi="Times New Roman" w:cs="Times New Roman" w:eastAsia="Times New Roman" w:hint="default"/>
                <w:sz w:val="21"/>
                <w:szCs w:val="21"/>
              </w:rPr>
            </w:pPr>
            <w:r>
              <w:rPr>
                <w:rFonts w:ascii="Times New Roman"/>
                <w:sz w:val="21"/>
              </w:rPr>
              <w:t>5.49</w:t>
            </w:r>
          </w:p>
        </w:tc>
      </w:tr>
      <w:tr>
        <w:trPr>
          <w:trHeight w:val="85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19"/>
              <w:ind w:left="22" w:right="21"/>
              <w:jc w:val="left"/>
              <w:rPr>
                <w:rFonts w:ascii="宋体" w:hAnsi="宋体" w:cs="宋体" w:eastAsia="宋体" w:hint="default"/>
                <w:sz w:val="21"/>
                <w:szCs w:val="21"/>
              </w:rPr>
            </w:pPr>
            <w:r>
              <w:rPr>
                <w:rFonts w:ascii="宋体" w:hAnsi="宋体" w:cs="宋体" w:eastAsia="宋体" w:hint="default"/>
                <w:spacing w:val="-13"/>
                <w:sz w:val="21"/>
                <w:szCs w:val="21"/>
              </w:rPr>
              <w:t>四、本期期末余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99" w:right="0"/>
              <w:jc w:val="left"/>
              <w:rPr>
                <w:rFonts w:ascii="Times New Roman" w:hAnsi="Times New Roman" w:cs="Times New Roman" w:eastAsia="Times New Roman" w:hint="default"/>
                <w:sz w:val="21"/>
                <w:szCs w:val="21"/>
              </w:rPr>
            </w:pPr>
            <w:r>
              <w:rPr>
                <w:rFonts w:ascii="Times New Roman"/>
                <w:sz w:val="21"/>
              </w:rPr>
              <w:t>376,656,4</w:t>
            </w:r>
          </w:p>
          <w:p>
            <w:pPr>
              <w:pStyle w:val="TableParagraph"/>
              <w:spacing w:line="240" w:lineRule="auto" w:before="38"/>
              <w:ind w:left="466" w:right="0"/>
              <w:jc w:val="left"/>
              <w:rPr>
                <w:rFonts w:ascii="Times New Roman" w:hAnsi="Times New Roman" w:cs="Times New Roman" w:eastAsia="Times New Roman" w:hint="default"/>
                <w:sz w:val="21"/>
                <w:szCs w:val="21"/>
              </w:rPr>
            </w:pPr>
            <w:r>
              <w:rPr>
                <w:rFonts w:ascii="Times New Roman"/>
                <w:sz w:val="21"/>
              </w:rPr>
              <w:t>20.00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8" w:right="0"/>
              <w:jc w:val="left"/>
              <w:rPr>
                <w:rFonts w:ascii="Times New Roman" w:hAnsi="Times New Roman" w:cs="Times New Roman" w:eastAsia="Times New Roman" w:hint="default"/>
                <w:sz w:val="21"/>
                <w:szCs w:val="21"/>
              </w:rPr>
            </w:pPr>
            <w:r>
              <w:rPr>
                <w:rFonts w:ascii="Times New Roman"/>
                <w:sz w:val="21"/>
              </w:rPr>
              <w:t>666,258,7</w:t>
            </w:r>
          </w:p>
          <w:p>
            <w:pPr>
              <w:pStyle w:val="TableParagraph"/>
              <w:spacing w:line="240" w:lineRule="auto" w:before="38"/>
              <w:ind w:left="486" w:right="0"/>
              <w:jc w:val="left"/>
              <w:rPr>
                <w:rFonts w:ascii="Times New Roman" w:hAnsi="Times New Roman" w:cs="Times New Roman" w:eastAsia="Times New Roman" w:hint="default"/>
                <w:sz w:val="21"/>
                <w:szCs w:val="21"/>
              </w:rPr>
            </w:pPr>
            <w:r>
              <w:rPr>
                <w:rFonts w:ascii="Times New Roman"/>
                <w:sz w:val="21"/>
              </w:rPr>
              <w:t>19.72</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8" w:right="0"/>
              <w:jc w:val="left"/>
              <w:rPr>
                <w:rFonts w:ascii="Times New Roman" w:hAnsi="Times New Roman" w:cs="Times New Roman" w:eastAsia="Times New Roman" w:hint="default"/>
                <w:sz w:val="21"/>
                <w:szCs w:val="21"/>
              </w:rPr>
            </w:pPr>
            <w:r>
              <w:rPr>
                <w:rFonts w:ascii="Times New Roman"/>
                <w:sz w:val="21"/>
              </w:rPr>
              <w:t>68,270,22</w:t>
            </w:r>
          </w:p>
          <w:p>
            <w:pPr>
              <w:pStyle w:val="TableParagraph"/>
              <w:spacing w:line="240" w:lineRule="auto" w:before="38"/>
              <w:ind w:left="590" w:right="0"/>
              <w:jc w:val="left"/>
              <w:rPr>
                <w:rFonts w:ascii="Times New Roman" w:hAnsi="Times New Roman" w:cs="Times New Roman" w:eastAsia="Times New Roman" w:hint="default"/>
                <w:sz w:val="21"/>
                <w:szCs w:val="21"/>
              </w:rPr>
            </w:pPr>
            <w:r>
              <w:rPr>
                <w:rFonts w:ascii="Times New Roman"/>
                <w:sz w:val="21"/>
              </w:rPr>
              <w:t>2.97</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9" w:right="0"/>
              <w:jc w:val="left"/>
              <w:rPr>
                <w:rFonts w:ascii="Times New Roman" w:hAnsi="Times New Roman" w:cs="Times New Roman" w:eastAsia="Times New Roman" w:hint="default"/>
                <w:sz w:val="21"/>
                <w:szCs w:val="21"/>
              </w:rPr>
            </w:pPr>
            <w:r>
              <w:rPr>
                <w:rFonts w:ascii="Times New Roman"/>
                <w:sz w:val="21"/>
              </w:rPr>
              <w:t>317,047,1</w:t>
            </w:r>
          </w:p>
          <w:p>
            <w:pPr>
              <w:pStyle w:val="TableParagraph"/>
              <w:spacing w:line="240" w:lineRule="auto" w:before="38"/>
              <w:ind w:left="487" w:right="0"/>
              <w:jc w:val="left"/>
              <w:rPr>
                <w:rFonts w:ascii="Times New Roman" w:hAnsi="Times New Roman" w:cs="Times New Roman" w:eastAsia="Times New Roman" w:hint="default"/>
                <w:sz w:val="21"/>
                <w:szCs w:val="21"/>
              </w:rPr>
            </w:pPr>
            <w:r>
              <w:rPr>
                <w:rFonts w:ascii="Times New Roman"/>
                <w:sz w:val="21"/>
              </w:rPr>
              <w:t>83.23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82" w:right="0"/>
              <w:jc w:val="left"/>
              <w:rPr>
                <w:rFonts w:ascii="Times New Roman" w:hAnsi="Times New Roman" w:cs="Times New Roman" w:eastAsia="Times New Roman" w:hint="default"/>
                <w:sz w:val="21"/>
                <w:szCs w:val="21"/>
              </w:rPr>
            </w:pPr>
            <w:r>
              <w:rPr>
                <w:rFonts w:ascii="Times New Roman"/>
                <w:sz w:val="21"/>
              </w:rPr>
              <w:t>31,215,8</w:t>
            </w:r>
          </w:p>
          <w:p>
            <w:pPr>
              <w:pStyle w:val="TableParagraph"/>
              <w:spacing w:line="240" w:lineRule="auto" w:before="38"/>
              <w:ind w:left="344" w:right="0"/>
              <w:jc w:val="left"/>
              <w:rPr>
                <w:rFonts w:ascii="Times New Roman" w:hAnsi="Times New Roman" w:cs="Times New Roman" w:eastAsia="Times New Roman" w:hint="default"/>
                <w:sz w:val="21"/>
                <w:szCs w:val="21"/>
              </w:rPr>
            </w:pPr>
            <w:r>
              <w:rPr>
                <w:rFonts w:ascii="Times New Roman"/>
                <w:sz w:val="21"/>
              </w:rPr>
              <w:t>35.23</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50" w:right="0"/>
              <w:jc w:val="left"/>
              <w:rPr>
                <w:rFonts w:ascii="Times New Roman" w:hAnsi="Times New Roman" w:cs="Times New Roman" w:eastAsia="Times New Roman" w:hint="default"/>
                <w:sz w:val="21"/>
                <w:szCs w:val="21"/>
              </w:rPr>
            </w:pPr>
            <w:r>
              <w:rPr>
                <w:rFonts w:ascii="Times New Roman"/>
                <w:sz w:val="21"/>
              </w:rPr>
              <w:t>1,459,448</w:t>
            </w:r>
          </w:p>
          <w:p>
            <w:pPr>
              <w:pStyle w:val="TableParagraph"/>
              <w:spacing w:line="240" w:lineRule="auto" w:before="38"/>
              <w:ind w:left="260" w:right="0"/>
              <w:jc w:val="left"/>
              <w:rPr>
                <w:rFonts w:ascii="Times New Roman" w:hAnsi="Times New Roman" w:cs="Times New Roman" w:eastAsia="Times New Roman" w:hint="default"/>
                <w:sz w:val="21"/>
                <w:szCs w:val="21"/>
              </w:rPr>
            </w:pPr>
            <w:r>
              <w:rPr>
                <w:rFonts w:ascii="Times New Roman"/>
                <w:sz w:val="21"/>
              </w:rPr>
              <w:t>,381.15</w:t>
            </w:r>
          </w:p>
        </w:tc>
      </w:tr>
    </w:tbl>
    <w:p>
      <w:pPr>
        <w:spacing w:line="240" w:lineRule="auto" w:before="2"/>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pgSz w:w="11910" w:h="16840"/>
          <w:pgMar w:header="747" w:footer="979" w:top="1060" w:bottom="1160" w:left="980" w:right="0"/>
        </w:sectPr>
      </w:pPr>
    </w:p>
    <w:p>
      <w:pPr>
        <w:pStyle w:val="BodyText"/>
        <w:spacing w:line="240" w:lineRule="auto" w:before="26"/>
        <w:ind w:right="-20"/>
        <w:jc w:val="left"/>
      </w:pPr>
      <w:r>
        <w:rPr/>
        <w:t>上期金额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115" w:space="78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5"/>
        <w:gridCol w:w="984"/>
        <w:gridCol w:w="568"/>
        <w:gridCol w:w="993"/>
        <w:gridCol w:w="426"/>
        <w:gridCol w:w="425"/>
        <w:gridCol w:w="425"/>
        <w:gridCol w:w="992"/>
        <w:gridCol w:w="566"/>
        <w:gridCol w:w="994"/>
        <w:gridCol w:w="850"/>
        <w:gridCol w:w="922"/>
      </w:tblGrid>
      <w:tr>
        <w:trPr>
          <w:trHeight w:val="250"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12"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50" w:hRule="exact"/>
        </w:trPr>
        <w:tc>
          <w:tcPr>
            <w:tcW w:w="1415" w:type="dxa"/>
            <w:vMerge/>
            <w:tcBorders>
              <w:left w:val="single" w:sz="4" w:space="0" w:color="000000"/>
              <w:right w:val="single" w:sz="4" w:space="0" w:color="000000"/>
            </w:tcBorders>
            <w:shd w:val="clear" w:color="auto" w:fill="D2D2D2"/>
          </w:tcPr>
          <w:p>
            <w:pPr/>
          </w:p>
        </w:tc>
        <w:tc>
          <w:tcPr>
            <w:tcW w:w="63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203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922" w:type="dxa"/>
            <w:vMerge w:val="restart"/>
            <w:tcBorders>
              <w:top w:val="single" w:sz="4" w:space="0" w:color="000000"/>
              <w:left w:val="single" w:sz="4" w:space="0" w:color="000000"/>
              <w:right w:val="single" w:sz="4" w:space="0" w:color="000000"/>
            </w:tcBorders>
            <w:shd w:val="clear" w:color="auto" w:fill="D2D2D2"/>
          </w:tcPr>
          <w:p>
            <w:pPr/>
          </w:p>
        </w:tc>
      </w:tr>
      <w:tr>
        <w:trPr>
          <w:trHeight w:val="245" w:hRule="exact"/>
        </w:trPr>
        <w:tc>
          <w:tcPr>
            <w:tcW w:w="1415" w:type="dxa"/>
            <w:vMerge/>
            <w:tcBorders>
              <w:left w:val="single" w:sz="4" w:space="0" w:color="000000"/>
              <w:right w:val="single" w:sz="4" w:space="0" w:color="000000"/>
            </w:tcBorders>
            <w:shd w:val="clear" w:color="auto" w:fill="D2D2D2"/>
          </w:tcPr>
          <w:p>
            <w:pPr/>
          </w:p>
        </w:tc>
        <w:tc>
          <w:tcPr>
            <w:tcW w:w="984" w:type="dxa"/>
            <w:vMerge w:val="restart"/>
            <w:tcBorders>
              <w:top w:val="single" w:sz="4" w:space="0" w:color="000000"/>
              <w:left w:val="single" w:sz="4" w:space="0" w:color="000000"/>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
        </w:tc>
        <w:tc>
          <w:tcPr>
            <w:tcW w:w="993" w:type="dxa"/>
            <w:vMerge w:val="restart"/>
            <w:tcBorders>
              <w:top w:val="single" w:sz="4" w:space="0" w:color="000000"/>
              <w:left w:val="single" w:sz="4" w:space="0" w:color="000000"/>
              <w:right w:val="single" w:sz="4" w:space="0" w:color="000000"/>
            </w:tcBorders>
            <w:shd w:val="clear" w:color="auto" w:fill="D2D2D2"/>
          </w:tcPr>
          <w:p>
            <w:pP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102" w:right="101"/>
              <w:jc w:val="both"/>
              <w:rPr>
                <w:rFonts w:ascii="宋体" w:hAnsi="宋体" w:cs="宋体" w:eastAsia="宋体" w:hint="default"/>
                <w:sz w:val="21"/>
                <w:szCs w:val="21"/>
              </w:rPr>
            </w:pPr>
            <w:r>
              <w:rPr>
                <w:rFonts w:ascii="宋体" w:hAnsi="宋体" w:cs="宋体" w:eastAsia="宋体" w:hint="default"/>
                <w:sz w:val="21"/>
                <w:szCs w:val="21"/>
              </w:rPr>
              <w:t>其 他 综 合 收 益</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r>
      <w:tr>
        <w:trPr>
          <w:trHeight w:val="115"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984" w:type="dxa"/>
            <w:vMerge/>
            <w:tcBorders>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102" w:right="-27" w:hanging="80"/>
              <w:jc w:val="left"/>
              <w:rPr>
                <w:rFonts w:ascii="宋体" w:hAnsi="宋体" w:cs="宋体" w:eastAsia="宋体" w:hint="default"/>
                <w:sz w:val="21"/>
                <w:szCs w:val="21"/>
              </w:rPr>
            </w:pPr>
            <w:r>
              <w:rPr>
                <w:rFonts w:ascii="宋体" w:hAnsi="宋体" w:cs="宋体" w:eastAsia="宋体" w:hint="default"/>
                <w:sz w:val="21"/>
                <w:szCs w:val="21"/>
              </w:rPr>
              <w:t>减： 库 存 股</w:t>
            </w: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101" w:right="101"/>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992"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r>
      <w:tr>
        <w:trPr>
          <w:trHeight w:val="124"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17"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984" w:type="dxa"/>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10" w:space="0" w:color="D2D2D2"/>
              <w:right w:val="single" w:sz="13" w:space="0" w:color="D2D2D2"/>
            </w:tcBorders>
          </w:tcPr>
          <w:p>
            <w:pPr>
              <w:pStyle w:val="TableParagraph"/>
              <w:spacing w:line="224" w:lineRule="exact"/>
              <w:ind w:left="6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其他</w:t>
            </w:r>
            <w:r>
              <w:rPr>
                <w:rFonts w:ascii="宋体" w:hAnsi="宋体" w:cs="宋体" w:eastAsia="宋体" w:hint="default"/>
                <w:sz w:val="21"/>
                <w:szCs w:val="21"/>
              </w:rPr>
            </w:r>
          </w:p>
        </w:tc>
        <w:tc>
          <w:tcPr>
            <w:tcW w:w="993"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13" w:space="0" w:color="D2D2D2"/>
              <w:right w:val="single" w:sz="22" w:space="0" w:color="D2D2D2"/>
            </w:tcBorders>
          </w:tcPr>
          <w:p>
            <w:pPr>
              <w:pStyle w:val="TableParagraph"/>
              <w:spacing w:line="240" w:lineRule="exact" w:before="3"/>
              <w:ind w:left="57" w:right="43"/>
              <w:jc w:val="both"/>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一般</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shd w:fill="D2D2D2" w:color="auto" w:val="clear"/>
              </w:rPr>
              <w:t>风险</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shd w:fill="D2D2D2" w:color="auto" w:val="clear"/>
              </w:rPr>
              <w:t>准备</w:t>
            </w:r>
            <w:r>
              <w:rPr>
                <w:rFonts w:ascii="宋体" w:hAnsi="宋体" w:cs="宋体" w:eastAsia="宋体" w:hint="default"/>
                <w:sz w:val="21"/>
                <w:szCs w:val="21"/>
              </w:rPr>
            </w:r>
          </w:p>
        </w:tc>
        <w:tc>
          <w:tcPr>
            <w:tcW w:w="994"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03" w:lineRule="exact"/>
              <w:ind w:left="104" w:right="0"/>
              <w:jc w:val="left"/>
              <w:rPr>
                <w:rFonts w:ascii="宋体" w:hAnsi="宋体" w:cs="宋体" w:eastAsia="宋体" w:hint="default"/>
                <w:sz w:val="21"/>
                <w:szCs w:val="21"/>
              </w:rPr>
            </w:pPr>
            <w:r>
              <w:rPr>
                <w:rFonts w:ascii="宋体" w:hAnsi="宋体" w:cs="宋体" w:eastAsia="宋体" w:hint="default"/>
                <w:sz w:val="21"/>
                <w:szCs w:val="21"/>
              </w:rPr>
              <w:t>少数股</w:t>
            </w:r>
          </w:p>
          <w:p>
            <w:pPr>
              <w:pStyle w:val="TableParagraph"/>
              <w:spacing w:line="257" w:lineRule="exact"/>
              <w:ind w:left="104" w:right="0"/>
              <w:jc w:val="left"/>
              <w:rPr>
                <w:rFonts w:ascii="宋体" w:hAnsi="宋体" w:cs="宋体" w:eastAsia="宋体" w:hint="default"/>
                <w:sz w:val="21"/>
                <w:szCs w:val="21"/>
              </w:rPr>
            </w:pPr>
            <w:r>
              <w:rPr>
                <w:rFonts w:ascii="宋体" w:hAnsi="宋体" w:cs="宋体" w:eastAsia="宋体" w:hint="default"/>
                <w:sz w:val="21"/>
                <w:szCs w:val="21"/>
              </w:rPr>
              <w:t>东权益</w:t>
            </w:r>
          </w:p>
        </w:tc>
        <w:tc>
          <w:tcPr>
            <w:tcW w:w="922" w:type="dxa"/>
            <w:vMerge w:val="restart"/>
            <w:tcBorders>
              <w:top w:val="nil" w:sz="6" w:space="0" w:color="auto"/>
              <w:left w:val="single" w:sz="4" w:space="0" w:color="000000"/>
              <w:right w:val="single" w:sz="4" w:space="0" w:color="000000"/>
            </w:tcBorders>
            <w:shd w:val="clear" w:color="auto" w:fill="D2D2D2"/>
          </w:tcPr>
          <w:p>
            <w:pPr>
              <w:pStyle w:val="TableParagraph"/>
              <w:spacing w:line="203" w:lineRule="exact"/>
              <w:ind w:right="0"/>
              <w:jc w:val="center"/>
              <w:rPr>
                <w:rFonts w:ascii="宋体" w:hAnsi="宋体" w:cs="宋体" w:eastAsia="宋体" w:hint="default"/>
                <w:sz w:val="21"/>
                <w:szCs w:val="21"/>
              </w:rPr>
            </w:pPr>
            <w:r>
              <w:rPr>
                <w:rFonts w:ascii="宋体" w:hAnsi="宋体" w:cs="宋体" w:eastAsia="宋体" w:hint="default"/>
                <w:sz w:val="21"/>
                <w:szCs w:val="21"/>
              </w:rPr>
              <w:t>所有者权</w:t>
            </w:r>
          </w:p>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z w:val="21"/>
                <w:szCs w:val="21"/>
              </w:rPr>
              <w:t>益合计</w:t>
            </w:r>
          </w:p>
        </w:tc>
      </w:tr>
      <w:tr>
        <w:trPr>
          <w:trHeight w:val="118" w:hRule="exact"/>
        </w:trPr>
        <w:tc>
          <w:tcPr>
            <w:tcW w:w="1415" w:type="dxa"/>
            <w:vMerge/>
            <w:tcBorders>
              <w:left w:val="single" w:sz="4" w:space="0" w:color="000000"/>
              <w:bottom w:val="single" w:sz="4" w:space="0" w:color="FFFFFF"/>
              <w:right w:val="single" w:sz="4" w:space="0" w:color="000000"/>
            </w:tcBorders>
            <w:shd w:val="clear" w:color="auto" w:fill="D2D2D2"/>
          </w:tcPr>
          <w:p>
            <w:pPr/>
          </w:p>
        </w:tc>
        <w:tc>
          <w:tcPr>
            <w:tcW w:w="984" w:type="dxa"/>
            <w:vMerge/>
            <w:tcBorders>
              <w:left w:val="single" w:sz="4" w:space="0" w:color="000000"/>
              <w:bottom w:val="single" w:sz="4" w:space="0" w:color="FFFFFF"/>
              <w:right w:val="single" w:sz="4" w:space="0" w:color="000000"/>
            </w:tcBorders>
            <w:shd w:val="clear" w:color="auto" w:fill="D2D2D2"/>
          </w:tcPr>
          <w:p>
            <w:pPr/>
          </w:p>
        </w:tc>
        <w:tc>
          <w:tcPr>
            <w:tcW w:w="568" w:type="dxa"/>
            <w:vMerge/>
            <w:tcBorders>
              <w:left w:val="single" w:sz="10" w:space="0" w:color="D2D2D2"/>
              <w:bottom w:val="single" w:sz="4" w:space="0" w:color="FFFFFF"/>
              <w:right w:val="single" w:sz="13" w:space="0" w:color="D2D2D2"/>
            </w:tcBorders>
          </w:tcPr>
          <w:p>
            <w:pPr/>
          </w:p>
        </w:tc>
        <w:tc>
          <w:tcPr>
            <w:tcW w:w="993" w:type="dxa"/>
            <w:vMerge/>
            <w:tcBorders>
              <w:left w:val="single" w:sz="4" w:space="0" w:color="000000"/>
              <w:bottom w:val="single" w:sz="4" w:space="0" w:color="FFFFFF"/>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13" w:space="0" w:color="D2D2D2"/>
              <w:right w:val="single" w:sz="22" w:space="0" w:color="D2D2D2"/>
            </w:tcBorders>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386" w:right="71" w:hanging="316"/>
              <w:jc w:val="left"/>
              <w:rPr>
                <w:rFonts w:ascii="宋体" w:hAnsi="宋体" w:cs="宋体" w:eastAsia="宋体" w:hint="default"/>
                <w:sz w:val="21"/>
                <w:szCs w:val="21"/>
              </w:rPr>
            </w:pPr>
            <w:r>
              <w:rPr>
                <w:rFonts w:ascii="宋体" w:hAnsi="宋体" w:cs="宋体" w:eastAsia="宋体" w:hint="default"/>
                <w:sz w:val="21"/>
                <w:szCs w:val="21"/>
              </w:rPr>
              <w:t>未分配利 润</w:t>
            </w:r>
          </w:p>
        </w:tc>
        <w:tc>
          <w:tcPr>
            <w:tcW w:w="850" w:type="dxa"/>
            <w:vMerge/>
            <w:tcBorders>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r>
      <w:tr>
        <w:trPr>
          <w:trHeight w:val="242" w:hRule="exact"/>
        </w:trPr>
        <w:tc>
          <w:tcPr>
            <w:tcW w:w="1415" w:type="dxa"/>
            <w:vMerge w:val="restart"/>
            <w:tcBorders>
              <w:top w:val="single" w:sz="4" w:space="0" w:color="FFFFFF"/>
              <w:left w:val="single" w:sz="4" w:space="0" w:color="000000"/>
              <w:right w:val="single" w:sz="4" w:space="0" w:color="000000"/>
            </w:tcBorders>
            <w:shd w:val="clear" w:color="auto" w:fill="D2D2D2"/>
          </w:tcPr>
          <w:p>
            <w:pPr/>
          </w:p>
        </w:tc>
        <w:tc>
          <w:tcPr>
            <w:tcW w:w="984"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19" w:lineRule="exact"/>
              <w:ind w:left="28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568" w:type="dxa"/>
            <w:tcBorders>
              <w:top w:val="single" w:sz="4" w:space="0" w:color="FFFFFF"/>
              <w:left w:val="single" w:sz="23" w:space="0" w:color="D2D2D2"/>
              <w:bottom w:val="nil" w:sz="6" w:space="0" w:color="auto"/>
              <w:right w:val="single" w:sz="9" w:space="0" w:color="D2D2D2"/>
            </w:tcBorders>
          </w:tcPr>
          <w:p>
            <w:pPr>
              <w:pStyle w:val="TableParagraph"/>
              <w:spacing w:line="219" w:lineRule="exact"/>
              <w:ind w:left="46"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993" w:type="dxa"/>
            <w:tcBorders>
              <w:top w:val="single" w:sz="4" w:space="0" w:color="FFFFFF"/>
              <w:left w:val="single" w:sz="9" w:space="0" w:color="D2D2D2"/>
              <w:bottom w:val="nil" w:sz="6" w:space="0" w:color="auto"/>
              <w:right w:val="single" w:sz="9" w:space="0" w:color="D2D2D2"/>
            </w:tcBorders>
          </w:tcPr>
          <w:p>
            <w:pPr>
              <w:pStyle w:val="TableParagraph"/>
              <w:spacing w:line="219" w:lineRule="exact"/>
              <w:ind w:left="6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资本公积</w:t>
            </w:r>
            <w:r>
              <w:rPr>
                <w:rFonts w:ascii="宋体" w:hAnsi="宋体" w:cs="宋体" w:eastAsia="宋体" w:hint="default"/>
                <w:sz w:val="21"/>
                <w:szCs w:val="21"/>
              </w:rPr>
            </w: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23" w:space="0" w:color="D2D2D2"/>
              <w:bottom w:val="nil" w:sz="6" w:space="0" w:color="auto"/>
              <w:right w:val="single" w:sz="9" w:space="0" w:color="D2D2D2"/>
            </w:tcBorders>
          </w:tcPr>
          <w:p>
            <w:pPr>
              <w:pStyle w:val="TableParagraph"/>
              <w:spacing w:line="224" w:lineRule="exact"/>
              <w:ind w:left="4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盈余公积</w:t>
            </w:r>
            <w:r>
              <w:rPr>
                <w:rFonts w:ascii="宋体" w:hAnsi="宋体" w:cs="宋体" w:eastAsia="宋体" w:hint="default"/>
                <w:sz w:val="21"/>
                <w:szCs w:val="21"/>
              </w:rPr>
            </w:r>
          </w:p>
        </w:tc>
        <w:tc>
          <w:tcPr>
            <w:tcW w:w="566" w:type="dxa"/>
            <w:vMerge/>
            <w:tcBorders>
              <w:left w:val="single" w:sz="13" w:space="0" w:color="D2D2D2"/>
              <w:right w:val="single" w:sz="22" w:space="0" w:color="D2D2D2"/>
            </w:tcBorders>
          </w:tcPr>
          <w:p>
            <w:pPr/>
          </w:p>
        </w:tc>
        <w:tc>
          <w:tcPr>
            <w:tcW w:w="99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r>
      <w:tr>
        <w:trPr>
          <w:trHeight w:val="122" w:hRule="exact"/>
        </w:trPr>
        <w:tc>
          <w:tcPr>
            <w:tcW w:w="1415" w:type="dxa"/>
            <w:vMerge/>
            <w:tcBorders>
              <w:left w:val="single" w:sz="4" w:space="0" w:color="000000"/>
              <w:right w:val="single" w:sz="4" w:space="0" w:color="000000"/>
            </w:tcBorders>
            <w:shd w:val="clear" w:color="auto" w:fill="D2D2D2"/>
          </w:tcPr>
          <w:p>
            <w:pPr/>
          </w:p>
        </w:tc>
        <w:tc>
          <w:tcPr>
            <w:tcW w:w="984" w:type="dxa"/>
            <w:vMerge w:val="restart"/>
            <w:tcBorders>
              <w:top w:val="nil" w:sz="6" w:space="0" w:color="auto"/>
              <w:left w:val="single" w:sz="4" w:space="0" w:color="000000"/>
              <w:right w:val="single" w:sz="4" w:space="0" w:color="000000"/>
            </w:tcBorders>
            <w:shd w:val="clear" w:color="auto" w:fill="D2D2D2"/>
          </w:tcPr>
          <w:p>
            <w:pPr/>
          </w:p>
        </w:tc>
        <w:tc>
          <w:tcPr>
            <w:tcW w:w="568" w:type="dxa"/>
            <w:vMerge w:val="restart"/>
            <w:tcBorders>
              <w:top w:val="nil" w:sz="6" w:space="0" w:color="auto"/>
              <w:left w:val="single" w:sz="10" w:space="0" w:color="D2D2D2"/>
              <w:right w:val="single" w:sz="13" w:space="0" w:color="D2D2D2"/>
            </w:tcBorders>
          </w:tcPr>
          <w:p>
            <w:pPr>
              <w:pStyle w:val="TableParagraph"/>
              <w:spacing w:line="222" w:lineRule="exact"/>
              <w:ind w:left="6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工具</w:t>
            </w:r>
            <w:r>
              <w:rPr>
                <w:rFonts w:ascii="宋体" w:hAnsi="宋体" w:cs="宋体" w:eastAsia="宋体" w:hint="default"/>
                <w:sz w:val="21"/>
                <w:szCs w:val="21"/>
              </w:rPr>
            </w:r>
          </w:p>
        </w:tc>
        <w:tc>
          <w:tcPr>
            <w:tcW w:w="993" w:type="dxa"/>
            <w:vMerge w:val="restart"/>
            <w:tcBorders>
              <w:top w:val="nil" w:sz="6" w:space="0" w:color="auto"/>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13" w:space="0" w:color="D2D2D2"/>
              <w:right w:val="single" w:sz="22" w:space="0" w:color="D2D2D2"/>
            </w:tcBorders>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r>
      <w:tr>
        <w:trPr>
          <w:trHeight w:val="120" w:hRule="exact"/>
        </w:trPr>
        <w:tc>
          <w:tcPr>
            <w:tcW w:w="1415" w:type="dxa"/>
            <w:vMerge/>
            <w:tcBorders>
              <w:left w:val="single" w:sz="4" w:space="0" w:color="000000"/>
              <w:right w:val="single" w:sz="4" w:space="0" w:color="000000"/>
            </w:tcBorders>
            <w:shd w:val="clear" w:color="auto" w:fill="D2D2D2"/>
          </w:tcPr>
          <w:p>
            <w:pPr/>
          </w:p>
        </w:tc>
        <w:tc>
          <w:tcPr>
            <w:tcW w:w="984" w:type="dxa"/>
            <w:vMerge/>
            <w:tcBorders>
              <w:left w:val="single" w:sz="4" w:space="0" w:color="000000"/>
              <w:right w:val="single" w:sz="4" w:space="0" w:color="000000"/>
            </w:tcBorders>
            <w:shd w:val="clear" w:color="auto" w:fill="D2D2D2"/>
          </w:tcPr>
          <w:p>
            <w:pPr/>
          </w:p>
        </w:tc>
        <w:tc>
          <w:tcPr>
            <w:tcW w:w="568" w:type="dxa"/>
            <w:vMerge/>
            <w:tcBorders>
              <w:left w:val="single" w:sz="10" w:space="0" w:color="D2D2D2"/>
              <w:bottom w:val="nil" w:sz="6" w:space="0" w:color="auto"/>
              <w:right w:val="single" w:sz="13" w:space="0" w:color="D2D2D2"/>
            </w:tcBorders>
          </w:tcPr>
          <w:p>
            <w:pPr/>
          </w:p>
        </w:tc>
        <w:tc>
          <w:tcPr>
            <w:tcW w:w="993"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566" w:type="dxa"/>
            <w:vMerge/>
            <w:tcBorders>
              <w:left w:val="single" w:sz="13" w:space="0" w:color="D2D2D2"/>
              <w:bottom w:val="nil" w:sz="6" w:space="0" w:color="auto"/>
              <w:right w:val="single" w:sz="22" w:space="0" w:color="D2D2D2"/>
            </w:tcBorders>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r>
      <w:tr>
        <w:trPr>
          <w:trHeight w:val="120" w:hRule="exact"/>
        </w:trPr>
        <w:tc>
          <w:tcPr>
            <w:tcW w:w="1415" w:type="dxa"/>
            <w:vMerge/>
            <w:tcBorders>
              <w:left w:val="single" w:sz="4" w:space="0" w:color="000000"/>
              <w:right w:val="single" w:sz="4" w:space="0" w:color="000000"/>
            </w:tcBorders>
            <w:shd w:val="clear" w:color="auto" w:fill="D2D2D2"/>
          </w:tcPr>
          <w:p>
            <w:pPr/>
          </w:p>
        </w:tc>
        <w:tc>
          <w:tcPr>
            <w:tcW w:w="984" w:type="dxa"/>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r>
      <w:tr>
        <w:trPr>
          <w:trHeight w:val="245"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984"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490"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10"/>
              <w:jc w:val="left"/>
              <w:rPr>
                <w:rFonts w:ascii="宋体" w:hAnsi="宋体" w:cs="宋体" w:eastAsia="宋体" w:hint="default"/>
                <w:sz w:val="21"/>
                <w:szCs w:val="21"/>
              </w:rPr>
            </w:pPr>
            <w:r>
              <w:rPr>
                <w:rFonts w:ascii="宋体" w:hAnsi="宋体" w:cs="宋体" w:eastAsia="宋体" w:hint="default"/>
                <w:spacing w:val="-13"/>
                <w:sz w:val="21"/>
                <w:szCs w:val="21"/>
              </w:rPr>
              <w:t>一、上年期末余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c>
          <w:tcPr>
            <w:tcW w:w="984" w:type="dxa"/>
            <w:tcBorders>
              <w:top w:val="single" w:sz="4" w:space="0" w:color="000000"/>
              <w:left w:val="single" w:sz="13" w:space="0" w:color="D2D2D2"/>
              <w:bottom w:val="single" w:sz="4" w:space="0" w:color="000000"/>
              <w:right w:val="single" w:sz="4" w:space="0" w:color="000000"/>
            </w:tcBorders>
          </w:tcPr>
          <w:p>
            <w:pPr>
              <w:pStyle w:val="TableParagraph"/>
              <w:spacing w:line="237" w:lineRule="exact"/>
              <w:ind w:left="99" w:right="0"/>
              <w:jc w:val="left"/>
              <w:rPr>
                <w:rFonts w:ascii="Times New Roman" w:hAnsi="Times New Roman" w:cs="Times New Roman" w:eastAsia="Times New Roman" w:hint="default"/>
                <w:sz w:val="21"/>
                <w:szCs w:val="21"/>
              </w:rPr>
            </w:pPr>
            <w:r>
              <w:rPr>
                <w:rFonts w:ascii="Times New Roman"/>
                <w:sz w:val="21"/>
              </w:rPr>
              <w:t>376,656,4</w:t>
            </w:r>
          </w:p>
          <w:p>
            <w:pPr>
              <w:pStyle w:val="TableParagraph"/>
              <w:spacing w:line="241" w:lineRule="exact"/>
              <w:ind w:left="466" w:right="0"/>
              <w:jc w:val="left"/>
              <w:rPr>
                <w:rFonts w:ascii="Times New Roman" w:hAnsi="Times New Roman" w:cs="Times New Roman" w:eastAsia="Times New Roman" w:hint="default"/>
                <w:sz w:val="21"/>
                <w:szCs w:val="21"/>
              </w:rPr>
            </w:pPr>
            <w:r>
              <w:rPr>
                <w:rFonts w:ascii="Times New Roman"/>
                <w:sz w:val="21"/>
              </w:rPr>
              <w:t>20.00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8" w:right="0"/>
              <w:jc w:val="left"/>
              <w:rPr>
                <w:rFonts w:ascii="Times New Roman" w:hAnsi="Times New Roman" w:cs="Times New Roman" w:eastAsia="Times New Roman" w:hint="default"/>
                <w:sz w:val="21"/>
                <w:szCs w:val="21"/>
              </w:rPr>
            </w:pPr>
            <w:r>
              <w:rPr>
                <w:rFonts w:ascii="Times New Roman"/>
                <w:sz w:val="21"/>
              </w:rPr>
              <w:t>652,518,9</w:t>
            </w:r>
          </w:p>
          <w:p>
            <w:pPr>
              <w:pStyle w:val="TableParagraph"/>
              <w:spacing w:line="241" w:lineRule="exact"/>
              <w:ind w:left="486" w:right="0"/>
              <w:jc w:val="left"/>
              <w:rPr>
                <w:rFonts w:ascii="Times New Roman" w:hAnsi="Times New Roman" w:cs="Times New Roman" w:eastAsia="Times New Roman" w:hint="default"/>
                <w:sz w:val="21"/>
                <w:szCs w:val="21"/>
              </w:rPr>
            </w:pPr>
            <w:r>
              <w:rPr>
                <w:rFonts w:ascii="Times New Roman"/>
                <w:sz w:val="21"/>
              </w:rPr>
              <w:t>81.31</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8" w:right="0"/>
              <w:jc w:val="left"/>
              <w:rPr>
                <w:rFonts w:ascii="Times New Roman" w:hAnsi="Times New Roman" w:cs="Times New Roman" w:eastAsia="Times New Roman" w:hint="default"/>
                <w:sz w:val="21"/>
                <w:szCs w:val="21"/>
              </w:rPr>
            </w:pPr>
            <w:r>
              <w:rPr>
                <w:rFonts w:ascii="Times New Roman"/>
                <w:sz w:val="21"/>
              </w:rPr>
              <w:t>61,467,44</w:t>
            </w:r>
          </w:p>
          <w:p>
            <w:pPr>
              <w:pStyle w:val="TableParagraph"/>
              <w:spacing w:line="241" w:lineRule="exact"/>
              <w:ind w:left="591" w:right="0"/>
              <w:jc w:val="left"/>
              <w:rPr>
                <w:rFonts w:ascii="Times New Roman" w:hAnsi="Times New Roman" w:cs="Times New Roman" w:eastAsia="Times New Roman" w:hint="default"/>
                <w:sz w:val="21"/>
                <w:szCs w:val="21"/>
              </w:rPr>
            </w:pPr>
            <w:r>
              <w:rPr>
                <w:rFonts w:ascii="Times New Roman"/>
                <w:sz w:val="21"/>
              </w:rPr>
              <w:t>5.51</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9" w:right="0"/>
              <w:jc w:val="left"/>
              <w:rPr>
                <w:rFonts w:ascii="Times New Roman" w:hAnsi="Times New Roman" w:cs="Times New Roman" w:eastAsia="Times New Roman" w:hint="default"/>
                <w:sz w:val="21"/>
                <w:szCs w:val="21"/>
              </w:rPr>
            </w:pPr>
            <w:r>
              <w:rPr>
                <w:rFonts w:ascii="Times New Roman"/>
                <w:sz w:val="21"/>
              </w:rPr>
              <w:t>451,626,3</w:t>
            </w:r>
          </w:p>
          <w:p>
            <w:pPr>
              <w:pStyle w:val="TableParagraph"/>
              <w:spacing w:line="241" w:lineRule="exact"/>
              <w:ind w:left="487" w:right="0"/>
              <w:jc w:val="left"/>
              <w:rPr>
                <w:rFonts w:ascii="Times New Roman" w:hAnsi="Times New Roman" w:cs="Times New Roman" w:eastAsia="Times New Roman" w:hint="default"/>
                <w:sz w:val="21"/>
                <w:szCs w:val="21"/>
              </w:rPr>
            </w:pPr>
            <w:r>
              <w:rPr>
                <w:rFonts w:ascii="Times New Roman"/>
                <w:sz w:val="21"/>
              </w:rPr>
              <w:t>51.00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9" w:right="0"/>
              <w:jc w:val="left"/>
              <w:rPr>
                <w:rFonts w:ascii="Times New Roman" w:hAnsi="Times New Roman" w:cs="Times New Roman" w:eastAsia="Times New Roman" w:hint="default"/>
                <w:sz w:val="21"/>
                <w:szCs w:val="21"/>
              </w:rPr>
            </w:pPr>
            <w:r>
              <w:rPr>
                <w:rFonts w:ascii="Times New Roman"/>
                <w:sz w:val="21"/>
              </w:rPr>
              <w:t>1,542,269</w:t>
            </w:r>
          </w:p>
          <w:p>
            <w:pPr>
              <w:pStyle w:val="TableParagraph"/>
              <w:spacing w:line="241" w:lineRule="exact"/>
              <w:ind w:left="259" w:right="0"/>
              <w:jc w:val="left"/>
              <w:rPr>
                <w:rFonts w:ascii="Times New Roman" w:hAnsi="Times New Roman" w:cs="Times New Roman" w:eastAsia="Times New Roman" w:hint="default"/>
                <w:sz w:val="21"/>
                <w:szCs w:val="21"/>
              </w:rPr>
            </w:pPr>
            <w:r>
              <w:rPr>
                <w:rFonts w:ascii="Times New Roman"/>
                <w:sz w:val="21"/>
              </w:rPr>
              <w:t>,197.82</w:t>
            </w:r>
          </w:p>
        </w:tc>
      </w:tr>
      <w:tr>
        <w:trPr>
          <w:trHeight w:val="49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11" w:right="10" w:firstLine="210"/>
              <w:jc w:val="left"/>
              <w:rPr>
                <w:rFonts w:ascii="宋体" w:hAnsi="宋体" w:cs="宋体" w:eastAsia="宋体" w:hint="default"/>
                <w:sz w:val="21"/>
                <w:szCs w:val="21"/>
              </w:rPr>
            </w:pPr>
            <w:r>
              <w:rPr>
                <w:rFonts w:ascii="宋体" w:hAnsi="宋体" w:cs="宋体" w:eastAsia="宋体" w:hint="default"/>
                <w:spacing w:val="-15"/>
                <w:sz w:val="21"/>
                <w:szCs w:val="21"/>
              </w:rPr>
              <w:t>加：会计政策</w:t>
            </w:r>
            <w:r>
              <w:rPr>
                <w:rFonts w:ascii="宋体" w:hAnsi="宋体" w:cs="宋体" w:eastAsia="宋体" w:hint="default"/>
                <w:sz w:val="21"/>
                <w:szCs w:val="21"/>
              </w:rPr>
              <w:t> 变更</w:t>
            </w:r>
          </w:p>
        </w:tc>
        <w:tc>
          <w:tcPr>
            <w:tcW w:w="984"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131" w:firstLine="210"/>
              <w:jc w:val="left"/>
              <w:rPr>
                <w:rFonts w:ascii="宋体" w:hAnsi="宋体" w:cs="宋体" w:eastAsia="宋体" w:hint="default"/>
                <w:sz w:val="21"/>
                <w:szCs w:val="21"/>
              </w:rPr>
            </w:pPr>
            <w:r>
              <w:rPr>
                <w:rFonts w:ascii="宋体" w:hAnsi="宋体" w:cs="宋体" w:eastAsia="宋体" w:hint="default"/>
                <w:sz w:val="21"/>
                <w:szCs w:val="21"/>
              </w:rPr>
              <w:t>前期差错更 正</w:t>
            </w:r>
          </w:p>
        </w:tc>
        <w:tc>
          <w:tcPr>
            <w:tcW w:w="984"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131" w:firstLine="210"/>
              <w:jc w:val="left"/>
              <w:rPr>
                <w:rFonts w:ascii="宋体" w:hAnsi="宋体" w:cs="宋体" w:eastAsia="宋体" w:hint="default"/>
                <w:sz w:val="21"/>
                <w:szCs w:val="21"/>
              </w:rPr>
            </w:pPr>
            <w:r>
              <w:rPr>
                <w:rFonts w:ascii="宋体" w:hAnsi="宋体" w:cs="宋体" w:eastAsia="宋体" w:hint="default"/>
                <w:sz w:val="21"/>
                <w:szCs w:val="21"/>
              </w:rPr>
              <w:t>同一控制下 企业合并</w:t>
            </w:r>
          </w:p>
        </w:tc>
        <w:tc>
          <w:tcPr>
            <w:tcW w:w="984"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2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84"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10"/>
              <w:jc w:val="left"/>
              <w:rPr>
                <w:rFonts w:ascii="宋体" w:hAnsi="宋体" w:cs="宋体" w:eastAsia="宋体" w:hint="default"/>
                <w:sz w:val="21"/>
                <w:szCs w:val="21"/>
              </w:rPr>
            </w:pPr>
            <w:r>
              <w:rPr>
                <w:rFonts w:ascii="宋体" w:hAnsi="宋体" w:cs="宋体" w:eastAsia="宋体" w:hint="default"/>
                <w:spacing w:val="-13"/>
                <w:sz w:val="21"/>
                <w:szCs w:val="21"/>
              </w:rPr>
              <w:t>二、本年期初余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c>
          <w:tcPr>
            <w:tcW w:w="984" w:type="dxa"/>
            <w:tcBorders>
              <w:top w:val="single" w:sz="4" w:space="0" w:color="000000"/>
              <w:left w:val="single" w:sz="13" w:space="0" w:color="D2D2D2"/>
              <w:bottom w:val="single" w:sz="4" w:space="0" w:color="000000"/>
              <w:right w:val="single" w:sz="4" w:space="0" w:color="000000"/>
            </w:tcBorders>
          </w:tcPr>
          <w:p>
            <w:pPr>
              <w:pStyle w:val="TableParagraph"/>
              <w:spacing w:line="237" w:lineRule="exact"/>
              <w:ind w:left="99" w:right="0"/>
              <w:jc w:val="left"/>
              <w:rPr>
                <w:rFonts w:ascii="Times New Roman" w:hAnsi="Times New Roman" w:cs="Times New Roman" w:eastAsia="Times New Roman" w:hint="default"/>
                <w:sz w:val="21"/>
                <w:szCs w:val="21"/>
              </w:rPr>
            </w:pPr>
            <w:r>
              <w:rPr>
                <w:rFonts w:ascii="Times New Roman"/>
                <w:sz w:val="21"/>
              </w:rPr>
              <w:t>376,656,4</w:t>
            </w:r>
          </w:p>
          <w:p>
            <w:pPr>
              <w:pStyle w:val="TableParagraph"/>
              <w:spacing w:line="241" w:lineRule="exact"/>
              <w:ind w:left="466" w:right="0"/>
              <w:jc w:val="left"/>
              <w:rPr>
                <w:rFonts w:ascii="Times New Roman" w:hAnsi="Times New Roman" w:cs="Times New Roman" w:eastAsia="Times New Roman" w:hint="default"/>
                <w:sz w:val="21"/>
                <w:szCs w:val="21"/>
              </w:rPr>
            </w:pPr>
            <w:r>
              <w:rPr>
                <w:rFonts w:ascii="Times New Roman"/>
                <w:sz w:val="21"/>
              </w:rPr>
              <w:t>20.00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8" w:right="0"/>
              <w:jc w:val="left"/>
              <w:rPr>
                <w:rFonts w:ascii="Times New Roman" w:hAnsi="Times New Roman" w:cs="Times New Roman" w:eastAsia="Times New Roman" w:hint="default"/>
                <w:sz w:val="21"/>
                <w:szCs w:val="21"/>
              </w:rPr>
            </w:pPr>
            <w:r>
              <w:rPr>
                <w:rFonts w:ascii="Times New Roman"/>
                <w:sz w:val="21"/>
              </w:rPr>
              <w:t>652,518,9</w:t>
            </w:r>
          </w:p>
          <w:p>
            <w:pPr>
              <w:pStyle w:val="TableParagraph"/>
              <w:spacing w:line="241" w:lineRule="exact"/>
              <w:ind w:left="486" w:right="0"/>
              <w:jc w:val="left"/>
              <w:rPr>
                <w:rFonts w:ascii="Times New Roman" w:hAnsi="Times New Roman" w:cs="Times New Roman" w:eastAsia="Times New Roman" w:hint="default"/>
                <w:sz w:val="21"/>
                <w:szCs w:val="21"/>
              </w:rPr>
            </w:pPr>
            <w:r>
              <w:rPr>
                <w:rFonts w:ascii="Times New Roman"/>
                <w:sz w:val="21"/>
              </w:rPr>
              <w:t>81.31</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8" w:right="0"/>
              <w:jc w:val="left"/>
              <w:rPr>
                <w:rFonts w:ascii="Times New Roman" w:hAnsi="Times New Roman" w:cs="Times New Roman" w:eastAsia="Times New Roman" w:hint="default"/>
                <w:sz w:val="21"/>
                <w:szCs w:val="21"/>
              </w:rPr>
            </w:pPr>
            <w:r>
              <w:rPr>
                <w:rFonts w:ascii="Times New Roman"/>
                <w:sz w:val="21"/>
              </w:rPr>
              <w:t>61,467,44</w:t>
            </w:r>
          </w:p>
          <w:p>
            <w:pPr>
              <w:pStyle w:val="TableParagraph"/>
              <w:spacing w:line="241" w:lineRule="exact"/>
              <w:ind w:left="591" w:right="0"/>
              <w:jc w:val="left"/>
              <w:rPr>
                <w:rFonts w:ascii="Times New Roman" w:hAnsi="Times New Roman" w:cs="Times New Roman" w:eastAsia="Times New Roman" w:hint="default"/>
                <w:sz w:val="21"/>
                <w:szCs w:val="21"/>
              </w:rPr>
            </w:pPr>
            <w:r>
              <w:rPr>
                <w:rFonts w:ascii="Times New Roman"/>
                <w:sz w:val="21"/>
              </w:rPr>
              <w:t>5.51</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9" w:right="0"/>
              <w:jc w:val="left"/>
              <w:rPr>
                <w:rFonts w:ascii="Times New Roman" w:hAnsi="Times New Roman" w:cs="Times New Roman" w:eastAsia="Times New Roman" w:hint="default"/>
                <w:sz w:val="21"/>
                <w:szCs w:val="21"/>
              </w:rPr>
            </w:pPr>
            <w:r>
              <w:rPr>
                <w:rFonts w:ascii="Times New Roman"/>
                <w:sz w:val="21"/>
              </w:rPr>
              <w:t>451,626,3</w:t>
            </w:r>
          </w:p>
          <w:p>
            <w:pPr>
              <w:pStyle w:val="TableParagraph"/>
              <w:spacing w:line="241" w:lineRule="exact"/>
              <w:ind w:left="487" w:right="0"/>
              <w:jc w:val="left"/>
              <w:rPr>
                <w:rFonts w:ascii="Times New Roman" w:hAnsi="Times New Roman" w:cs="Times New Roman" w:eastAsia="Times New Roman" w:hint="default"/>
                <w:sz w:val="21"/>
                <w:szCs w:val="21"/>
              </w:rPr>
            </w:pPr>
            <w:r>
              <w:rPr>
                <w:rFonts w:ascii="Times New Roman"/>
                <w:sz w:val="21"/>
              </w:rPr>
              <w:t>51.00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9" w:right="0"/>
              <w:jc w:val="left"/>
              <w:rPr>
                <w:rFonts w:ascii="Times New Roman" w:hAnsi="Times New Roman" w:cs="Times New Roman" w:eastAsia="Times New Roman" w:hint="default"/>
                <w:sz w:val="21"/>
                <w:szCs w:val="21"/>
              </w:rPr>
            </w:pPr>
            <w:r>
              <w:rPr>
                <w:rFonts w:ascii="Times New Roman"/>
                <w:sz w:val="21"/>
              </w:rPr>
              <w:t>1,542,269</w:t>
            </w:r>
          </w:p>
          <w:p>
            <w:pPr>
              <w:pStyle w:val="TableParagraph"/>
              <w:spacing w:line="241" w:lineRule="exact"/>
              <w:ind w:left="259" w:right="0"/>
              <w:jc w:val="left"/>
              <w:rPr>
                <w:rFonts w:ascii="Times New Roman" w:hAnsi="Times New Roman" w:cs="Times New Roman" w:eastAsia="Times New Roman" w:hint="default"/>
                <w:sz w:val="21"/>
                <w:szCs w:val="21"/>
              </w:rPr>
            </w:pPr>
            <w:r>
              <w:rPr>
                <w:rFonts w:ascii="Times New Roman"/>
                <w:sz w:val="21"/>
              </w:rPr>
              <w:t>,197.82</w:t>
            </w:r>
          </w:p>
        </w:tc>
      </w:tr>
      <w:tr>
        <w:trPr>
          <w:trHeight w:val="730"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10"/>
              <w:jc w:val="both"/>
              <w:rPr>
                <w:rFonts w:ascii="宋体" w:hAnsi="宋体" w:cs="宋体" w:eastAsia="宋体" w:hint="default"/>
                <w:sz w:val="21"/>
                <w:szCs w:val="21"/>
              </w:rPr>
            </w:pPr>
            <w:r>
              <w:rPr>
                <w:rFonts w:ascii="宋体" w:hAnsi="宋体" w:cs="宋体" w:eastAsia="宋体" w:hint="default"/>
                <w:spacing w:val="-13"/>
                <w:sz w:val="21"/>
                <w:szCs w:val="21"/>
              </w:rPr>
              <w:t>三、本期增减变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3"/>
                <w:sz w:val="21"/>
                <w:szCs w:val="21"/>
              </w:rPr>
              <w:t>动金额（减少以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84"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right="21"/>
              <w:jc w:val="right"/>
              <w:rPr>
                <w:rFonts w:ascii="Times New Roman" w:hAnsi="Times New Roman" w:cs="Times New Roman" w:eastAsia="Times New Roman" w:hint="default"/>
                <w:sz w:val="21"/>
                <w:szCs w:val="21"/>
              </w:rPr>
            </w:pPr>
            <w:r>
              <w:rPr>
                <w:rFonts w:ascii="Times New Roman"/>
                <w:sz w:val="21"/>
              </w:rPr>
              <w:t>1,008,652.</w:t>
            </w: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92</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right="21"/>
              <w:jc w:val="right"/>
              <w:rPr>
                <w:rFonts w:ascii="Times New Roman" w:hAnsi="Times New Roman" w:cs="Times New Roman" w:eastAsia="Times New Roman" w:hint="default"/>
                <w:sz w:val="21"/>
                <w:szCs w:val="21"/>
              </w:rPr>
            </w:pPr>
            <w:r>
              <w:rPr>
                <w:rFonts w:ascii="Times New Roman"/>
                <w:sz w:val="21"/>
              </w:rPr>
              <w:t>3,442,420.</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33</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50" w:right="0"/>
              <w:jc w:val="left"/>
              <w:rPr>
                <w:rFonts w:ascii="Times New Roman" w:hAnsi="Times New Roman" w:cs="Times New Roman" w:eastAsia="Times New Roman" w:hint="default"/>
                <w:sz w:val="21"/>
                <w:szCs w:val="21"/>
              </w:rPr>
            </w:pPr>
            <w:r>
              <w:rPr>
                <w:rFonts w:ascii="Times New Roman"/>
                <w:sz w:val="21"/>
              </w:rPr>
              <w:t>-158,951,8</w:t>
            </w:r>
          </w:p>
          <w:p>
            <w:pPr>
              <w:pStyle w:val="TableParagraph"/>
              <w:spacing w:line="241" w:lineRule="exact"/>
              <w:ind w:left="487" w:right="0"/>
              <w:jc w:val="left"/>
              <w:rPr>
                <w:rFonts w:ascii="Times New Roman" w:hAnsi="Times New Roman" w:cs="Times New Roman" w:eastAsia="Times New Roman" w:hint="default"/>
                <w:sz w:val="21"/>
                <w:szCs w:val="21"/>
              </w:rPr>
            </w:pPr>
            <w:r>
              <w:rPr>
                <w:rFonts w:ascii="Times New Roman"/>
                <w:sz w:val="21"/>
              </w:rPr>
              <w:t>08.72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82" w:right="0"/>
              <w:jc w:val="left"/>
              <w:rPr>
                <w:rFonts w:ascii="Times New Roman" w:hAnsi="Times New Roman" w:cs="Times New Roman" w:eastAsia="Times New Roman" w:hint="default"/>
                <w:sz w:val="21"/>
                <w:szCs w:val="21"/>
              </w:rPr>
            </w:pPr>
            <w:r>
              <w:rPr>
                <w:rFonts w:ascii="Times New Roman"/>
                <w:sz w:val="21"/>
              </w:rPr>
              <w:t>24,739,3</w:t>
            </w:r>
          </w:p>
          <w:p>
            <w:pPr>
              <w:pStyle w:val="TableParagraph"/>
              <w:spacing w:line="241" w:lineRule="exact"/>
              <w:ind w:left="344" w:right="0"/>
              <w:jc w:val="left"/>
              <w:rPr>
                <w:rFonts w:ascii="Times New Roman" w:hAnsi="Times New Roman" w:cs="Times New Roman" w:eastAsia="Times New Roman" w:hint="default"/>
                <w:sz w:val="21"/>
                <w:szCs w:val="21"/>
              </w:rPr>
            </w:pPr>
            <w:r>
              <w:rPr>
                <w:rFonts w:ascii="Times New Roman"/>
                <w:sz w:val="21"/>
              </w:rPr>
              <w:t>65.17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83" w:right="0"/>
              <w:jc w:val="left"/>
              <w:rPr>
                <w:rFonts w:ascii="Times New Roman" w:hAnsi="Times New Roman" w:cs="Times New Roman" w:eastAsia="Times New Roman" w:hint="default"/>
                <w:sz w:val="21"/>
                <w:szCs w:val="21"/>
              </w:rPr>
            </w:pPr>
            <w:r>
              <w:rPr>
                <w:rFonts w:ascii="Times New Roman"/>
                <w:sz w:val="21"/>
              </w:rPr>
              <w:t>-129,761,</w:t>
            </w:r>
          </w:p>
          <w:p>
            <w:pPr>
              <w:pStyle w:val="TableParagraph"/>
              <w:spacing w:line="241" w:lineRule="exact"/>
              <w:ind w:left="311" w:right="0"/>
              <w:jc w:val="left"/>
              <w:rPr>
                <w:rFonts w:ascii="Times New Roman" w:hAnsi="Times New Roman" w:cs="Times New Roman" w:eastAsia="Times New Roman" w:hint="default"/>
                <w:sz w:val="21"/>
                <w:szCs w:val="21"/>
              </w:rPr>
            </w:pPr>
            <w:r>
              <w:rPr>
                <w:rFonts w:ascii="Times New Roman"/>
                <w:sz w:val="21"/>
              </w:rPr>
              <w:t>370.30</w:t>
            </w:r>
          </w:p>
        </w:tc>
      </w:tr>
      <w:tr>
        <w:trPr>
          <w:trHeight w:val="49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11" w:right="10"/>
              <w:jc w:val="left"/>
              <w:rPr>
                <w:rFonts w:ascii="宋体" w:hAnsi="宋体" w:cs="宋体" w:eastAsia="宋体" w:hint="default"/>
                <w:sz w:val="21"/>
                <w:szCs w:val="21"/>
              </w:rPr>
            </w:pPr>
            <w:r>
              <w:rPr>
                <w:rFonts w:ascii="宋体" w:hAnsi="宋体" w:cs="宋体" w:eastAsia="宋体" w:hint="default"/>
                <w:spacing w:val="-13"/>
                <w:sz w:val="21"/>
                <w:szCs w:val="21"/>
              </w:rPr>
              <w:t>（一）综合收益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总额</w:t>
            </w:r>
          </w:p>
        </w:tc>
        <w:tc>
          <w:tcPr>
            <w:tcW w:w="984"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0" w:right="0"/>
              <w:jc w:val="left"/>
              <w:rPr>
                <w:rFonts w:ascii="Times New Roman" w:hAnsi="Times New Roman" w:cs="Times New Roman" w:eastAsia="Times New Roman" w:hint="default"/>
                <w:sz w:val="21"/>
                <w:szCs w:val="21"/>
              </w:rPr>
            </w:pPr>
            <w:r>
              <w:rPr>
                <w:rFonts w:ascii="Times New Roman"/>
                <w:sz w:val="21"/>
              </w:rPr>
              <w:t>-151,742,8</w:t>
            </w:r>
          </w:p>
          <w:p>
            <w:pPr>
              <w:pStyle w:val="TableParagraph"/>
              <w:spacing w:line="241" w:lineRule="exact"/>
              <w:ind w:left="487" w:right="0"/>
              <w:jc w:val="left"/>
              <w:rPr>
                <w:rFonts w:ascii="Times New Roman" w:hAnsi="Times New Roman" w:cs="Times New Roman" w:eastAsia="Times New Roman" w:hint="default"/>
                <w:sz w:val="21"/>
                <w:szCs w:val="21"/>
              </w:rPr>
            </w:pPr>
            <w:r>
              <w:rPr>
                <w:rFonts w:ascii="Times New Roman"/>
                <w:sz w:val="21"/>
              </w:rPr>
              <w:t>24.19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2" w:right="0"/>
              <w:jc w:val="left"/>
              <w:rPr>
                <w:rFonts w:ascii="Times New Roman" w:hAnsi="Times New Roman" w:cs="Times New Roman" w:eastAsia="Times New Roman" w:hint="default"/>
                <w:sz w:val="21"/>
                <w:szCs w:val="21"/>
              </w:rPr>
            </w:pPr>
            <w:r>
              <w:rPr>
                <w:rFonts w:ascii="Times New Roman"/>
                <w:sz w:val="21"/>
              </w:rPr>
              <w:t>24,739,3</w:t>
            </w:r>
          </w:p>
          <w:p>
            <w:pPr>
              <w:pStyle w:val="TableParagraph"/>
              <w:spacing w:line="241" w:lineRule="exact"/>
              <w:ind w:left="344" w:right="0"/>
              <w:jc w:val="left"/>
              <w:rPr>
                <w:rFonts w:ascii="Times New Roman" w:hAnsi="Times New Roman" w:cs="Times New Roman" w:eastAsia="Times New Roman" w:hint="default"/>
                <w:sz w:val="21"/>
                <w:szCs w:val="21"/>
              </w:rPr>
            </w:pPr>
            <w:r>
              <w:rPr>
                <w:rFonts w:ascii="Times New Roman"/>
                <w:sz w:val="21"/>
              </w:rPr>
              <w:t>65.17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3" w:right="0"/>
              <w:jc w:val="left"/>
              <w:rPr>
                <w:rFonts w:ascii="Times New Roman" w:hAnsi="Times New Roman" w:cs="Times New Roman" w:eastAsia="Times New Roman" w:hint="default"/>
                <w:sz w:val="21"/>
                <w:szCs w:val="21"/>
              </w:rPr>
            </w:pPr>
            <w:r>
              <w:rPr>
                <w:rFonts w:ascii="Times New Roman"/>
                <w:sz w:val="21"/>
              </w:rPr>
              <w:t>-127,003,</w:t>
            </w:r>
          </w:p>
          <w:p>
            <w:pPr>
              <w:pStyle w:val="TableParagraph"/>
              <w:spacing w:line="241" w:lineRule="exact"/>
              <w:ind w:left="311" w:right="0"/>
              <w:jc w:val="left"/>
              <w:rPr>
                <w:rFonts w:ascii="Times New Roman" w:hAnsi="Times New Roman" w:cs="Times New Roman" w:eastAsia="Times New Roman" w:hint="default"/>
                <w:sz w:val="21"/>
                <w:szCs w:val="21"/>
              </w:rPr>
            </w:pPr>
            <w:r>
              <w:rPr>
                <w:rFonts w:ascii="Times New Roman"/>
                <w:sz w:val="21"/>
              </w:rPr>
              <w:t>459.02</w:t>
            </w:r>
          </w:p>
        </w:tc>
      </w:tr>
      <w:tr>
        <w:trPr>
          <w:trHeight w:val="24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22" w:lineRule="exact"/>
              <w:ind w:left="11"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89"/>
                <w:sz w:val="21"/>
                <w:szCs w:val="21"/>
              </w:rPr>
              <w:t>）</w:t>
            </w:r>
            <w:r>
              <w:rPr>
                <w:rFonts w:ascii="宋体" w:hAnsi="宋体" w:cs="宋体" w:eastAsia="宋体" w:hint="default"/>
                <w:sz w:val="21"/>
                <w:szCs w:val="21"/>
              </w:rPr>
              <w:t>所有者投</w:t>
            </w:r>
          </w:p>
        </w:tc>
        <w:tc>
          <w:tcPr>
            <w:tcW w:w="984" w:type="dxa"/>
            <w:vMerge w:val="restart"/>
            <w:tcBorders>
              <w:top w:val="single" w:sz="4" w:space="0" w:color="000000"/>
              <w:left w:val="single" w:sz="13" w:space="0" w:color="D2D2D2"/>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993" w:type="dxa"/>
            <w:vMerge w:val="restart"/>
            <w:tcBorders>
              <w:top w:val="single" w:sz="4" w:space="0" w:color="000000"/>
              <w:left w:val="single" w:sz="4" w:space="0" w:color="000000"/>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
        </w:tc>
      </w:tr>
      <w:tr>
        <w:trPr>
          <w:trHeight w:val="248"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25" w:lineRule="exact"/>
              <w:ind w:left="11"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984" w:type="dxa"/>
            <w:vMerge/>
            <w:tcBorders>
              <w:left w:val="single" w:sz="13" w:space="0" w:color="D2D2D2"/>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490"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27"/>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 的普通股</w:t>
            </w:r>
          </w:p>
        </w:tc>
        <w:tc>
          <w:tcPr>
            <w:tcW w:w="984"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11" w:right="27"/>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 具持有者投入 资本</w:t>
            </w:r>
          </w:p>
        </w:tc>
        <w:tc>
          <w:tcPr>
            <w:tcW w:w="984"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27"/>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 入所有者权益 的金额</w:t>
            </w:r>
          </w:p>
        </w:tc>
        <w:tc>
          <w:tcPr>
            <w:tcW w:w="984"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84"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415" w:type="dxa"/>
            <w:tcBorders>
              <w:top w:val="single" w:sz="52" w:space="0" w:color="D2D2D2"/>
              <w:left w:val="single" w:sz="13" w:space="0" w:color="D2D2D2"/>
              <w:bottom w:val="single" w:sz="48" w:space="0" w:color="D2D2D2"/>
              <w:right w:val="single" w:sz="13" w:space="0" w:color="D2D2D2"/>
            </w:tcBorders>
          </w:tcPr>
          <w:p>
            <w:pPr>
              <w:pStyle w:val="TableParagraph"/>
              <w:spacing w:line="240" w:lineRule="auto" w:before="7"/>
              <w:ind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（三</w:t>
            </w:r>
            <w:r>
              <w:rPr>
                <w:rFonts w:ascii="宋体" w:hAnsi="宋体" w:cs="宋体" w:eastAsia="宋体" w:hint="default"/>
                <w:spacing w:val="-89"/>
                <w:sz w:val="21"/>
                <w:szCs w:val="21"/>
                <w:shd w:fill="D2D2D2" w:color="auto" w:val="clear"/>
              </w:rPr>
              <w:t>）</w:t>
            </w:r>
            <w:r>
              <w:rPr>
                <w:rFonts w:ascii="宋体" w:hAnsi="宋体" w:cs="宋体" w:eastAsia="宋体" w:hint="default"/>
                <w:sz w:val="21"/>
                <w:szCs w:val="21"/>
                <w:shd w:fill="D2D2D2" w:color="auto" w:val="clear"/>
              </w:rPr>
              <w:t>利润分配</w:t>
            </w:r>
            <w:r>
              <w:rPr>
                <w:rFonts w:ascii="宋体" w:hAnsi="宋体" w:cs="宋体" w:eastAsia="宋体" w:hint="default"/>
                <w:sz w:val="21"/>
                <w:szCs w:val="21"/>
              </w:rPr>
            </w:r>
          </w:p>
        </w:tc>
        <w:tc>
          <w:tcPr>
            <w:tcW w:w="984"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z w:val="21"/>
              </w:rPr>
              <w:t>3,442,420.</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33</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-7,208,984</w:t>
            </w: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.53</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3" w:right="0"/>
              <w:jc w:val="left"/>
              <w:rPr>
                <w:rFonts w:ascii="Times New Roman" w:hAnsi="Times New Roman" w:cs="Times New Roman" w:eastAsia="Times New Roman" w:hint="default"/>
                <w:sz w:val="21"/>
                <w:szCs w:val="21"/>
              </w:rPr>
            </w:pPr>
            <w:r>
              <w:rPr>
                <w:rFonts w:ascii="Times New Roman"/>
                <w:sz w:val="21"/>
              </w:rPr>
              <w:t>-3,766,56</w:t>
            </w:r>
          </w:p>
          <w:p>
            <w:pPr>
              <w:pStyle w:val="TableParagraph"/>
              <w:spacing w:line="241" w:lineRule="exact"/>
              <w:ind w:left="521" w:right="0"/>
              <w:jc w:val="left"/>
              <w:rPr>
                <w:rFonts w:ascii="Times New Roman" w:hAnsi="Times New Roman" w:cs="Times New Roman" w:eastAsia="Times New Roman" w:hint="default"/>
                <w:sz w:val="21"/>
                <w:szCs w:val="21"/>
              </w:rPr>
            </w:pPr>
            <w:r>
              <w:rPr>
                <w:rFonts w:ascii="Times New Roman"/>
                <w:sz w:val="21"/>
              </w:rPr>
              <w:t>4.20</w:t>
            </w:r>
          </w:p>
        </w:tc>
      </w:tr>
      <w:tr>
        <w:trPr>
          <w:trHeight w:val="490"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27"/>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 积</w:t>
            </w:r>
          </w:p>
        </w:tc>
        <w:tc>
          <w:tcPr>
            <w:tcW w:w="984"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z w:val="21"/>
              </w:rPr>
              <w:t>3,442,420.</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33</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-3,442,420</w:t>
            </w: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.33</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w:t>
            </w:r>
          </w:p>
        </w:tc>
        <w:tc>
          <w:tcPr>
            <w:tcW w:w="984"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973"/>
        <w:gridCol w:w="568"/>
        <w:gridCol w:w="993"/>
        <w:gridCol w:w="426"/>
        <w:gridCol w:w="425"/>
        <w:gridCol w:w="425"/>
        <w:gridCol w:w="992"/>
        <w:gridCol w:w="566"/>
        <w:gridCol w:w="994"/>
        <w:gridCol w:w="850"/>
        <w:gridCol w:w="922"/>
      </w:tblGrid>
      <w:tr>
        <w:trPr>
          <w:trHeight w:val="25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22"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97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22" w:right="21"/>
              <w:jc w:val="left"/>
              <w:rPr>
                <w:rFonts w:ascii="宋体" w:hAnsi="宋体" w:cs="宋体" w:eastAsia="宋体" w:hint="default"/>
                <w:sz w:val="21"/>
                <w:szCs w:val="21"/>
              </w:rPr>
            </w:pPr>
            <w:r>
              <w:rPr>
                <w:rFonts w:ascii="Times New Roman" w:hAnsi="Times New Roman" w:cs="Times New Roman" w:eastAsia="Times New Roman" w:hint="default"/>
                <w:spacing w:val="-25"/>
                <w:sz w:val="21"/>
                <w:szCs w:val="21"/>
              </w:rPr>
              <w:t>3</w:t>
            </w:r>
            <w:r>
              <w:rPr>
                <w:rFonts w:ascii="宋体" w:hAnsi="宋体" w:cs="宋体" w:eastAsia="宋体" w:hint="default"/>
                <w:spacing w:val="-25"/>
                <w:sz w:val="21"/>
                <w:szCs w:val="21"/>
              </w:rPr>
              <w:t>．对所有者（或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股东）的分配</w:t>
            </w:r>
          </w:p>
        </w:tc>
        <w:tc>
          <w:tcPr>
            <w:tcW w:w="97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-3,766,564</w:t>
            </w: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.20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3" w:right="0"/>
              <w:jc w:val="left"/>
              <w:rPr>
                <w:rFonts w:ascii="Times New Roman" w:hAnsi="Times New Roman" w:cs="Times New Roman" w:eastAsia="Times New Roman" w:hint="default"/>
                <w:sz w:val="21"/>
                <w:szCs w:val="21"/>
              </w:rPr>
            </w:pPr>
            <w:r>
              <w:rPr>
                <w:rFonts w:ascii="Times New Roman"/>
                <w:sz w:val="21"/>
              </w:rPr>
              <w:t>-3,766,56</w:t>
            </w:r>
          </w:p>
          <w:p>
            <w:pPr>
              <w:pStyle w:val="TableParagraph"/>
              <w:spacing w:line="241" w:lineRule="exact"/>
              <w:ind w:left="521" w:right="0"/>
              <w:jc w:val="left"/>
              <w:rPr>
                <w:rFonts w:ascii="Times New Roman" w:hAnsi="Times New Roman" w:cs="Times New Roman" w:eastAsia="Times New Roman" w:hint="default"/>
                <w:sz w:val="21"/>
                <w:szCs w:val="21"/>
              </w:rPr>
            </w:pPr>
            <w:r>
              <w:rPr>
                <w:rFonts w:ascii="Times New Roman"/>
                <w:sz w:val="21"/>
              </w:rPr>
              <w:t>4.20</w:t>
            </w:r>
          </w:p>
        </w:tc>
      </w:tr>
      <w:tr>
        <w:trPr>
          <w:trHeight w:val="25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7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2"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89"/>
                <w:sz w:val="21"/>
                <w:szCs w:val="21"/>
              </w:rPr>
              <w:t>）</w:t>
            </w:r>
            <w:r>
              <w:rPr>
                <w:rFonts w:ascii="宋体" w:hAnsi="宋体" w:cs="宋体" w:eastAsia="宋体" w:hint="default"/>
                <w:sz w:val="21"/>
                <w:szCs w:val="21"/>
              </w:rPr>
              <w:t>所有者权</w:t>
            </w:r>
          </w:p>
          <w:p>
            <w:pPr>
              <w:pStyle w:val="TableParagraph"/>
              <w:spacing w:line="258" w:lineRule="exact"/>
              <w:ind w:left="22"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97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22"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 增资本（或股 本）</w:t>
            </w:r>
          </w:p>
        </w:tc>
        <w:tc>
          <w:tcPr>
            <w:tcW w:w="97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 增资本（或股 本）</w:t>
            </w:r>
          </w:p>
        </w:tc>
        <w:tc>
          <w:tcPr>
            <w:tcW w:w="97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 补亏损</w:t>
            </w:r>
          </w:p>
        </w:tc>
        <w:tc>
          <w:tcPr>
            <w:tcW w:w="97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22"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．设定受益计 划变动额结转 留存收益</w:t>
            </w:r>
          </w:p>
        </w:tc>
        <w:tc>
          <w:tcPr>
            <w:tcW w:w="97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97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22"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89"/>
                <w:sz w:val="21"/>
                <w:szCs w:val="21"/>
              </w:rPr>
              <w:t>）</w:t>
            </w:r>
            <w:r>
              <w:rPr>
                <w:rFonts w:ascii="宋体" w:hAnsi="宋体" w:cs="宋体" w:eastAsia="宋体" w:hint="default"/>
                <w:sz w:val="21"/>
                <w:szCs w:val="21"/>
              </w:rPr>
              <w:t>专项储备</w:t>
            </w:r>
          </w:p>
        </w:tc>
        <w:tc>
          <w:tcPr>
            <w:tcW w:w="97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97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97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97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z w:val="21"/>
              </w:rPr>
              <w:t>1,008,652.</w:t>
            </w: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92</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1,008,652</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.92</w:t>
            </w:r>
          </w:p>
        </w:tc>
      </w:tr>
      <w:tr>
        <w:trPr>
          <w:trHeight w:val="49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22" w:right="21"/>
              <w:jc w:val="left"/>
              <w:rPr>
                <w:rFonts w:ascii="宋体" w:hAnsi="宋体" w:cs="宋体" w:eastAsia="宋体" w:hint="default"/>
                <w:sz w:val="21"/>
                <w:szCs w:val="21"/>
              </w:rPr>
            </w:pPr>
            <w:r>
              <w:rPr>
                <w:rFonts w:ascii="宋体" w:hAnsi="宋体" w:cs="宋体" w:eastAsia="宋体" w:hint="default"/>
                <w:spacing w:val="-13"/>
                <w:sz w:val="21"/>
                <w:szCs w:val="21"/>
              </w:rPr>
              <w:t>四、本期期末余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Times New Roman" w:hAnsi="Times New Roman" w:cs="Times New Roman" w:eastAsia="Times New Roman" w:hint="default"/>
                <w:sz w:val="21"/>
                <w:szCs w:val="21"/>
              </w:rPr>
            </w:pPr>
            <w:r>
              <w:rPr>
                <w:rFonts w:ascii="Times New Roman"/>
                <w:sz w:val="21"/>
              </w:rPr>
              <w:t>376,656,4</w:t>
            </w:r>
          </w:p>
          <w:p>
            <w:pPr>
              <w:pStyle w:val="TableParagraph"/>
              <w:spacing w:line="241" w:lineRule="exact"/>
              <w:ind w:left="467" w:right="0"/>
              <w:jc w:val="left"/>
              <w:rPr>
                <w:rFonts w:ascii="Times New Roman" w:hAnsi="Times New Roman" w:cs="Times New Roman" w:eastAsia="Times New Roman" w:hint="default"/>
                <w:sz w:val="21"/>
                <w:szCs w:val="21"/>
              </w:rPr>
            </w:pPr>
            <w:r>
              <w:rPr>
                <w:rFonts w:ascii="Times New Roman"/>
                <w:sz w:val="21"/>
              </w:rPr>
              <w:t>20.00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8" w:right="0"/>
              <w:jc w:val="left"/>
              <w:rPr>
                <w:rFonts w:ascii="Times New Roman" w:hAnsi="Times New Roman" w:cs="Times New Roman" w:eastAsia="Times New Roman" w:hint="default"/>
                <w:sz w:val="21"/>
                <w:szCs w:val="21"/>
              </w:rPr>
            </w:pPr>
            <w:r>
              <w:rPr>
                <w:rFonts w:ascii="Times New Roman"/>
                <w:sz w:val="21"/>
              </w:rPr>
              <w:t>653,527,6</w:t>
            </w:r>
          </w:p>
          <w:p>
            <w:pPr>
              <w:pStyle w:val="TableParagraph"/>
              <w:spacing w:line="241" w:lineRule="exact"/>
              <w:ind w:left="486" w:right="0"/>
              <w:jc w:val="left"/>
              <w:rPr>
                <w:rFonts w:ascii="Times New Roman" w:hAnsi="Times New Roman" w:cs="Times New Roman" w:eastAsia="Times New Roman" w:hint="default"/>
                <w:sz w:val="21"/>
                <w:szCs w:val="21"/>
              </w:rPr>
            </w:pPr>
            <w:r>
              <w:rPr>
                <w:rFonts w:ascii="Times New Roman"/>
                <w:sz w:val="21"/>
              </w:rPr>
              <w:t>34.23</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8" w:right="0"/>
              <w:jc w:val="left"/>
              <w:rPr>
                <w:rFonts w:ascii="Times New Roman" w:hAnsi="Times New Roman" w:cs="Times New Roman" w:eastAsia="Times New Roman" w:hint="default"/>
                <w:sz w:val="21"/>
                <w:szCs w:val="21"/>
              </w:rPr>
            </w:pPr>
            <w:r>
              <w:rPr>
                <w:rFonts w:ascii="Times New Roman"/>
                <w:sz w:val="21"/>
              </w:rPr>
              <w:t>64,909,86</w:t>
            </w:r>
          </w:p>
          <w:p>
            <w:pPr>
              <w:pStyle w:val="TableParagraph"/>
              <w:spacing w:line="241" w:lineRule="exact"/>
              <w:ind w:left="591" w:right="0"/>
              <w:jc w:val="left"/>
              <w:rPr>
                <w:rFonts w:ascii="Times New Roman" w:hAnsi="Times New Roman" w:cs="Times New Roman" w:eastAsia="Times New Roman" w:hint="default"/>
                <w:sz w:val="21"/>
                <w:szCs w:val="21"/>
              </w:rPr>
            </w:pPr>
            <w:r>
              <w:rPr>
                <w:rFonts w:ascii="Times New Roman"/>
                <w:sz w:val="21"/>
              </w:rPr>
              <w:t>5.84</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Times New Roman" w:hAnsi="Times New Roman" w:cs="Times New Roman" w:eastAsia="Times New Roman" w:hint="default"/>
                <w:sz w:val="21"/>
                <w:szCs w:val="21"/>
              </w:rPr>
            </w:pPr>
            <w:r>
              <w:rPr>
                <w:rFonts w:ascii="Times New Roman"/>
                <w:sz w:val="21"/>
              </w:rPr>
              <w:t>292,674,5</w:t>
            </w:r>
          </w:p>
          <w:p>
            <w:pPr>
              <w:pStyle w:val="TableParagraph"/>
              <w:spacing w:line="241" w:lineRule="exact"/>
              <w:ind w:left="487" w:right="0"/>
              <w:jc w:val="left"/>
              <w:rPr>
                <w:rFonts w:ascii="Times New Roman" w:hAnsi="Times New Roman" w:cs="Times New Roman" w:eastAsia="Times New Roman" w:hint="default"/>
                <w:sz w:val="21"/>
                <w:szCs w:val="21"/>
              </w:rPr>
            </w:pPr>
            <w:r>
              <w:rPr>
                <w:rFonts w:ascii="Times New Roman"/>
                <w:sz w:val="21"/>
              </w:rPr>
              <w:t>42.28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2" w:right="0"/>
              <w:jc w:val="left"/>
              <w:rPr>
                <w:rFonts w:ascii="Times New Roman" w:hAnsi="Times New Roman" w:cs="Times New Roman" w:eastAsia="Times New Roman" w:hint="default"/>
                <w:sz w:val="21"/>
                <w:szCs w:val="21"/>
              </w:rPr>
            </w:pPr>
            <w:r>
              <w:rPr>
                <w:rFonts w:ascii="Times New Roman"/>
                <w:sz w:val="21"/>
              </w:rPr>
              <w:t>24,739,3</w:t>
            </w:r>
          </w:p>
          <w:p>
            <w:pPr>
              <w:pStyle w:val="TableParagraph"/>
              <w:spacing w:line="241" w:lineRule="exact"/>
              <w:ind w:left="344" w:right="0"/>
              <w:jc w:val="left"/>
              <w:rPr>
                <w:rFonts w:ascii="Times New Roman" w:hAnsi="Times New Roman" w:cs="Times New Roman" w:eastAsia="Times New Roman" w:hint="default"/>
                <w:sz w:val="21"/>
                <w:szCs w:val="21"/>
              </w:rPr>
            </w:pPr>
            <w:r>
              <w:rPr>
                <w:rFonts w:ascii="Times New Roman"/>
                <w:sz w:val="21"/>
              </w:rPr>
              <w:t>65.17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9" w:right="0"/>
              <w:jc w:val="left"/>
              <w:rPr>
                <w:rFonts w:ascii="Times New Roman" w:hAnsi="Times New Roman" w:cs="Times New Roman" w:eastAsia="Times New Roman" w:hint="default"/>
                <w:sz w:val="21"/>
                <w:szCs w:val="21"/>
              </w:rPr>
            </w:pPr>
            <w:r>
              <w:rPr>
                <w:rFonts w:ascii="Times New Roman"/>
                <w:sz w:val="21"/>
              </w:rPr>
              <w:t>1,412,507</w:t>
            </w:r>
          </w:p>
          <w:p>
            <w:pPr>
              <w:pStyle w:val="TableParagraph"/>
              <w:spacing w:line="241" w:lineRule="exact"/>
              <w:ind w:left="259" w:right="0"/>
              <w:jc w:val="left"/>
              <w:rPr>
                <w:rFonts w:ascii="Times New Roman" w:hAnsi="Times New Roman" w:cs="Times New Roman" w:eastAsia="Times New Roman" w:hint="default"/>
                <w:sz w:val="21"/>
                <w:szCs w:val="21"/>
              </w:rPr>
            </w:pPr>
            <w:r>
              <w:rPr>
                <w:rFonts w:ascii="Times New Roman"/>
                <w:sz w:val="21"/>
              </w:rPr>
              <w:t>,827.52</w:t>
            </w:r>
          </w:p>
        </w:tc>
      </w:tr>
    </w:tbl>
    <w:p>
      <w:pPr>
        <w:spacing w:line="240" w:lineRule="auto" w:before="5"/>
        <w:rPr>
          <w:rFonts w:ascii="宋体" w:hAnsi="宋体" w:cs="宋体" w:eastAsia="宋体" w:hint="default"/>
          <w:sz w:val="13"/>
          <w:szCs w:val="13"/>
        </w:rPr>
      </w:pPr>
    </w:p>
    <w:p>
      <w:pPr>
        <w:pStyle w:val="Heading2"/>
        <w:spacing w:line="240" w:lineRule="auto"/>
        <w:ind w:right="0"/>
        <w:jc w:val="left"/>
        <w:rPr>
          <w:b w:val="0"/>
          <w:bCs w:val="0"/>
        </w:rPr>
      </w:pPr>
      <w:bookmarkStart w:name="8、母公司所有者权益变动表" w:id="174"/>
      <w:bookmarkEnd w:id="17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1"/>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747" w:footer="979" w:top="1060" w:bottom="1160" w:left="980" w:right="0"/>
        </w:sectPr>
      </w:pPr>
    </w:p>
    <w:p>
      <w:pPr>
        <w:pStyle w:val="BodyText"/>
        <w:spacing w:line="240" w:lineRule="auto" w:before="26"/>
        <w:ind w:right="-20"/>
        <w:jc w:val="left"/>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115" w:space="78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0"/>
        <w:gridCol w:w="1253"/>
        <w:gridCol w:w="568"/>
        <w:gridCol w:w="1275"/>
        <w:gridCol w:w="426"/>
        <w:gridCol w:w="425"/>
        <w:gridCol w:w="425"/>
        <w:gridCol w:w="1134"/>
        <w:gridCol w:w="1277"/>
        <w:gridCol w:w="1349"/>
      </w:tblGrid>
      <w:tr>
        <w:trPr>
          <w:trHeight w:val="245" w:hRule="exact"/>
        </w:trPr>
        <w:tc>
          <w:tcPr>
            <w:tcW w:w="1430" w:type="dxa"/>
            <w:vMerge w:val="restart"/>
            <w:tcBorders>
              <w:top w:val="single" w:sz="4" w:space="0" w:color="000000"/>
              <w:left w:val="single" w:sz="4" w:space="0" w:color="000000"/>
              <w:right w:val="single" w:sz="4" w:space="0" w:color="000000"/>
            </w:tcBorders>
            <w:shd w:val="clear" w:color="auto" w:fill="D2D2D2"/>
          </w:tcPr>
          <w:p>
            <w:pPr/>
          </w:p>
        </w:tc>
        <w:tc>
          <w:tcPr>
            <w:tcW w:w="813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250" w:hRule="exact"/>
        </w:trPr>
        <w:tc>
          <w:tcPr>
            <w:tcW w:w="1430" w:type="dxa"/>
            <w:vMerge/>
            <w:tcBorders>
              <w:left w:val="single" w:sz="4" w:space="0" w:color="000000"/>
              <w:right w:val="single" w:sz="4" w:space="0" w:color="000000"/>
            </w:tcBorders>
            <w:shd w:val="clear" w:color="auto" w:fill="D2D2D2"/>
          </w:tcPr>
          <w:p>
            <w:pPr/>
          </w:p>
        </w:tc>
        <w:tc>
          <w:tcPr>
            <w:tcW w:w="1253" w:type="dxa"/>
            <w:vMerge w:val="restart"/>
            <w:tcBorders>
              <w:top w:val="single" w:sz="4" w:space="0" w:color="000000"/>
              <w:left w:val="single" w:sz="4" w:space="0" w:color="000000"/>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before="5"/>
              <w:ind w:left="102" w:right="101"/>
              <w:jc w:val="both"/>
              <w:rPr>
                <w:rFonts w:ascii="宋体" w:hAnsi="宋体" w:cs="宋体" w:eastAsia="宋体" w:hint="default"/>
                <w:sz w:val="21"/>
                <w:szCs w:val="21"/>
              </w:rPr>
            </w:pPr>
            <w:r>
              <w:rPr>
                <w:rFonts w:ascii="宋体" w:hAnsi="宋体" w:cs="宋体" w:eastAsia="宋体" w:hint="default"/>
                <w:sz w:val="21"/>
                <w:szCs w:val="21"/>
              </w:rPr>
              <w:t>其 他 综 合 收 益</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1430" w:type="dxa"/>
            <w:vMerge/>
            <w:tcBorders>
              <w:left w:val="single" w:sz="4" w:space="0" w:color="000000"/>
              <w:right w:val="single" w:sz="4" w:space="0" w:color="000000"/>
            </w:tcBorders>
            <w:shd w:val="clear" w:color="auto" w:fill="D2D2D2"/>
          </w:tcPr>
          <w:p>
            <w:pPr/>
          </w:p>
        </w:tc>
        <w:tc>
          <w:tcPr>
            <w:tcW w:w="1253" w:type="dxa"/>
            <w:vMerge/>
            <w:tcBorders>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101" w:right="-27" w:hanging="80"/>
              <w:jc w:val="left"/>
              <w:rPr>
                <w:rFonts w:ascii="宋体" w:hAnsi="宋体" w:cs="宋体" w:eastAsia="宋体" w:hint="default"/>
                <w:sz w:val="21"/>
                <w:szCs w:val="21"/>
              </w:rPr>
            </w:pPr>
            <w:r>
              <w:rPr>
                <w:rFonts w:ascii="宋体" w:hAnsi="宋体" w:cs="宋体" w:eastAsia="宋体" w:hint="default"/>
                <w:sz w:val="21"/>
                <w:szCs w:val="21"/>
              </w:rPr>
              <w:t>减： 库 存 股</w:t>
            </w: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101" w:right="101"/>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13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349" w:type="dxa"/>
            <w:vMerge/>
            <w:tcBorders>
              <w:left w:val="single" w:sz="4" w:space="0" w:color="000000"/>
              <w:right w:val="single" w:sz="4" w:space="0" w:color="000000"/>
            </w:tcBorders>
            <w:shd w:val="clear" w:color="auto" w:fill="D2D2D2"/>
          </w:tcPr>
          <w:p>
            <w:pPr/>
          </w:p>
        </w:tc>
      </w:tr>
      <w:tr>
        <w:trPr>
          <w:trHeight w:val="118"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1253" w:type="dxa"/>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9" w:space="0" w:color="D2D2D2"/>
              <w:right w:val="single" w:sz="13" w:space="0" w:color="D2D2D2"/>
            </w:tcBorders>
          </w:tcPr>
          <w:p>
            <w:pPr>
              <w:pStyle w:val="TableParagraph"/>
              <w:spacing w:line="222" w:lineRule="exact"/>
              <w:ind w:left="6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其他</w:t>
            </w:r>
            <w:r>
              <w:rPr>
                <w:rFonts w:ascii="宋体" w:hAnsi="宋体" w:cs="宋体" w:eastAsia="宋体" w:hint="default"/>
                <w:sz w:val="21"/>
                <w:szCs w:val="21"/>
              </w:rPr>
            </w:r>
          </w:p>
        </w:tc>
        <w:tc>
          <w:tcPr>
            <w:tcW w:w="1275"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349" w:type="dxa"/>
            <w:vMerge/>
            <w:tcBorders>
              <w:left w:val="single" w:sz="4" w:space="0" w:color="000000"/>
              <w:bottom w:val="nil" w:sz="6" w:space="0" w:color="auto"/>
              <w:right w:val="single" w:sz="4" w:space="0" w:color="000000"/>
            </w:tcBorders>
            <w:shd w:val="clear" w:color="auto" w:fill="D2D2D2"/>
          </w:tcPr>
          <w:p>
            <w:pPr/>
          </w:p>
        </w:tc>
      </w:tr>
      <w:tr>
        <w:trPr>
          <w:trHeight w:val="122"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19" w:lineRule="exact"/>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1253"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9" w:space="0" w:color="D2D2D2"/>
              <w:bottom w:val="nil" w:sz="6" w:space="0" w:color="auto"/>
              <w:right w:val="single" w:sz="13" w:space="0" w:color="D2D2D2"/>
            </w:tcBorders>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before="2"/>
              <w:ind w:left="563" w:right="38" w:hanging="526"/>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115"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1253" w:type="dxa"/>
            <w:vMerge w:val="restart"/>
            <w:tcBorders>
              <w:top w:val="nil" w:sz="6" w:space="0" w:color="auto"/>
              <w:left w:val="single" w:sz="4" w:space="0" w:color="000000"/>
              <w:right w:val="single" w:sz="4" w:space="0" w:color="000000"/>
            </w:tcBorders>
            <w:shd w:val="clear" w:color="auto" w:fill="D2D2D2"/>
          </w:tcPr>
          <w:p>
            <w:pPr>
              <w:pStyle w:val="TableParagraph"/>
              <w:spacing w:line="222" w:lineRule="exact"/>
              <w:ind w:left="4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568" w:type="dxa"/>
            <w:vMerge w:val="restart"/>
            <w:tcBorders>
              <w:top w:val="nil" w:sz="6" w:space="0" w:color="auto"/>
              <w:left w:val="single" w:sz="22" w:space="0" w:color="D2D2D2"/>
              <w:right w:val="single" w:sz="23" w:space="0" w:color="D2D2D2"/>
            </w:tcBorders>
          </w:tcPr>
          <w:p>
            <w:pPr>
              <w:pStyle w:val="TableParagraph"/>
              <w:spacing w:line="222" w:lineRule="exact"/>
              <w:ind w:left="4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22" w:lineRule="exact"/>
              <w:ind w:left="21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22" w:lineRule="exact"/>
              <w:ind w:left="14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22" w:lineRule="exact"/>
              <w:ind w:left="10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349" w:type="dxa"/>
            <w:vMerge/>
            <w:tcBorders>
              <w:left w:val="single" w:sz="4" w:space="0" w:color="000000"/>
              <w:right w:val="single" w:sz="4" w:space="0" w:color="000000"/>
            </w:tcBorders>
            <w:shd w:val="clear" w:color="auto" w:fill="D2D2D2"/>
          </w:tcPr>
          <w:p>
            <w:pPr/>
          </w:p>
        </w:tc>
      </w:tr>
      <w:tr>
        <w:trPr>
          <w:trHeight w:val="125"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1253"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22" w:space="0" w:color="D2D2D2"/>
              <w:bottom w:val="nil" w:sz="6" w:space="0" w:color="auto"/>
              <w:right w:val="single" w:sz="23" w:space="0" w:color="D2D2D2"/>
            </w:tcBorders>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349" w:type="dxa"/>
            <w:vMerge/>
            <w:tcBorders>
              <w:left w:val="single" w:sz="4" w:space="0" w:color="000000"/>
              <w:right w:val="single" w:sz="4" w:space="0" w:color="000000"/>
            </w:tcBorders>
            <w:shd w:val="clear" w:color="auto" w:fill="D2D2D2"/>
          </w:tcPr>
          <w:p>
            <w:pPr/>
          </w:p>
        </w:tc>
      </w:tr>
      <w:tr>
        <w:trPr>
          <w:trHeight w:val="120" w:hRule="exact"/>
        </w:trPr>
        <w:tc>
          <w:tcPr>
            <w:tcW w:w="1430" w:type="dxa"/>
            <w:vMerge/>
            <w:tcBorders>
              <w:left w:val="single" w:sz="4" w:space="0" w:color="000000"/>
              <w:right w:val="single" w:sz="4" w:space="0" w:color="000000"/>
            </w:tcBorders>
            <w:shd w:val="clear" w:color="auto" w:fill="D2D2D2"/>
          </w:tcPr>
          <w:p>
            <w:pPr/>
          </w:p>
        </w:tc>
        <w:tc>
          <w:tcPr>
            <w:tcW w:w="1253" w:type="dxa"/>
            <w:vMerge w:val="restart"/>
            <w:tcBorders>
              <w:top w:val="nil" w:sz="6" w:space="0" w:color="auto"/>
              <w:left w:val="single" w:sz="4" w:space="0" w:color="000000"/>
              <w:right w:val="single" w:sz="4" w:space="0" w:color="000000"/>
            </w:tcBorders>
            <w:shd w:val="clear" w:color="auto" w:fill="D2D2D2"/>
          </w:tcPr>
          <w:p>
            <w:pPr/>
          </w:p>
        </w:tc>
        <w:tc>
          <w:tcPr>
            <w:tcW w:w="568" w:type="dxa"/>
            <w:vMerge w:val="restart"/>
            <w:tcBorders>
              <w:top w:val="nil" w:sz="6" w:space="0" w:color="auto"/>
              <w:left w:val="single" w:sz="9" w:space="0" w:color="D2D2D2"/>
              <w:right w:val="single" w:sz="13" w:space="0" w:color="D2D2D2"/>
            </w:tcBorders>
          </w:tcPr>
          <w:p>
            <w:pPr>
              <w:pStyle w:val="TableParagraph"/>
              <w:spacing w:line="222" w:lineRule="exact"/>
              <w:ind w:left="6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工具</w:t>
            </w:r>
            <w:r>
              <w:rPr>
                <w:rFonts w:ascii="宋体" w:hAnsi="宋体" w:cs="宋体" w:eastAsia="宋体" w:hint="default"/>
                <w:sz w:val="21"/>
                <w:szCs w:val="21"/>
              </w:rPr>
            </w: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349" w:type="dxa"/>
            <w:vMerge/>
            <w:tcBorders>
              <w:left w:val="single" w:sz="4" w:space="0" w:color="000000"/>
              <w:bottom w:val="nil" w:sz="6" w:space="0" w:color="auto"/>
              <w:right w:val="single" w:sz="4" w:space="0" w:color="000000"/>
            </w:tcBorders>
            <w:shd w:val="clear" w:color="auto" w:fill="D2D2D2"/>
          </w:tcPr>
          <w:p>
            <w:pPr/>
          </w:p>
        </w:tc>
      </w:tr>
      <w:tr>
        <w:trPr>
          <w:trHeight w:val="120" w:hRule="exact"/>
        </w:trPr>
        <w:tc>
          <w:tcPr>
            <w:tcW w:w="1430" w:type="dxa"/>
            <w:vMerge/>
            <w:tcBorders>
              <w:left w:val="single" w:sz="4" w:space="0" w:color="000000"/>
              <w:right w:val="single" w:sz="4" w:space="0" w:color="000000"/>
            </w:tcBorders>
            <w:shd w:val="clear" w:color="auto" w:fill="D2D2D2"/>
          </w:tcPr>
          <w:p>
            <w:pPr/>
          </w:p>
        </w:tc>
        <w:tc>
          <w:tcPr>
            <w:tcW w:w="1253" w:type="dxa"/>
            <w:vMerge/>
            <w:tcBorders>
              <w:left w:val="single" w:sz="4" w:space="0" w:color="000000"/>
              <w:right w:val="single" w:sz="4" w:space="0" w:color="000000"/>
            </w:tcBorders>
            <w:shd w:val="clear" w:color="auto" w:fill="D2D2D2"/>
          </w:tcPr>
          <w:p>
            <w:pPr/>
          </w:p>
        </w:tc>
        <w:tc>
          <w:tcPr>
            <w:tcW w:w="568" w:type="dxa"/>
            <w:vMerge/>
            <w:tcBorders>
              <w:left w:val="single" w:sz="9" w:space="0" w:color="D2D2D2"/>
              <w:bottom w:val="nil" w:sz="6" w:space="0" w:color="auto"/>
              <w:right w:val="single" w:sz="13" w:space="0" w:color="D2D2D2"/>
            </w:tcBorders>
          </w:tcPr>
          <w:p>
            <w:pPr/>
          </w:p>
        </w:tc>
        <w:tc>
          <w:tcPr>
            <w:tcW w:w="1275"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349" w:type="dxa"/>
            <w:vMerge w:val="restart"/>
            <w:tcBorders>
              <w:top w:val="nil" w:sz="6" w:space="0" w:color="auto"/>
              <w:left w:val="single" w:sz="4" w:space="0" w:color="000000"/>
              <w:right w:val="single" w:sz="4" w:space="0" w:color="000000"/>
            </w:tcBorders>
            <w:shd w:val="clear" w:color="auto" w:fill="D2D2D2"/>
          </w:tcPr>
          <w:p>
            <w:pPr/>
          </w:p>
        </w:tc>
      </w:tr>
      <w:tr>
        <w:trPr>
          <w:trHeight w:val="120" w:hRule="exact"/>
        </w:trPr>
        <w:tc>
          <w:tcPr>
            <w:tcW w:w="1430" w:type="dxa"/>
            <w:vMerge/>
            <w:tcBorders>
              <w:left w:val="single" w:sz="4" w:space="0" w:color="000000"/>
              <w:right w:val="single" w:sz="4" w:space="0" w:color="000000"/>
            </w:tcBorders>
            <w:shd w:val="clear" w:color="auto" w:fill="D2D2D2"/>
          </w:tcPr>
          <w:p>
            <w:pPr/>
          </w:p>
        </w:tc>
        <w:tc>
          <w:tcPr>
            <w:tcW w:w="1253" w:type="dxa"/>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349" w:type="dxa"/>
            <w:vMerge/>
            <w:tcBorders>
              <w:left w:val="single" w:sz="4" w:space="0" w:color="000000"/>
              <w:right w:val="single" w:sz="4" w:space="0" w:color="000000"/>
            </w:tcBorders>
            <w:shd w:val="clear" w:color="auto" w:fill="D2D2D2"/>
          </w:tcPr>
          <w:p>
            <w:pPr/>
          </w:p>
        </w:tc>
      </w:tr>
      <w:tr>
        <w:trPr>
          <w:trHeight w:val="24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1253"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91"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11" w:right="22"/>
              <w:jc w:val="left"/>
              <w:rPr>
                <w:rFonts w:ascii="宋体" w:hAnsi="宋体" w:cs="宋体" w:eastAsia="宋体" w:hint="default"/>
                <w:sz w:val="21"/>
                <w:szCs w:val="21"/>
              </w:rPr>
            </w:pPr>
            <w:r>
              <w:rPr>
                <w:rFonts w:ascii="宋体" w:hAnsi="宋体" w:cs="宋体" w:eastAsia="宋体" w:hint="default"/>
                <w:spacing w:val="-13"/>
                <w:sz w:val="21"/>
                <w:szCs w:val="21"/>
              </w:rPr>
              <w:t>一、上年期末余</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额</w:t>
            </w:r>
          </w:p>
        </w:tc>
        <w:tc>
          <w:tcPr>
            <w:tcW w:w="1253" w:type="dxa"/>
            <w:tcBorders>
              <w:top w:val="single" w:sz="4" w:space="0" w:color="000000"/>
              <w:left w:val="single" w:sz="13" w:space="0" w:color="D2D2D2"/>
              <w:bottom w:val="single" w:sz="4" w:space="0" w:color="000000"/>
              <w:right w:val="single" w:sz="4" w:space="0" w:color="000000"/>
            </w:tcBorders>
          </w:tcPr>
          <w:p>
            <w:pPr>
              <w:pStyle w:val="TableParagraph"/>
              <w:spacing w:line="238" w:lineRule="exact"/>
              <w:ind w:right="20"/>
              <w:jc w:val="right"/>
              <w:rPr>
                <w:rFonts w:ascii="Times New Roman" w:hAnsi="Times New Roman" w:cs="Times New Roman" w:eastAsia="Times New Roman" w:hint="default"/>
                <w:sz w:val="21"/>
                <w:szCs w:val="21"/>
              </w:rPr>
            </w:pPr>
            <w:r>
              <w:rPr>
                <w:rFonts w:ascii="Times New Roman"/>
                <w:sz w:val="21"/>
              </w:rPr>
              <w:t>376,656,420.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Times New Roman" w:hAnsi="Times New Roman" w:cs="Times New Roman" w:eastAsia="Times New Roman" w:hint="default"/>
                <w:sz w:val="21"/>
                <w:szCs w:val="21"/>
              </w:rPr>
            </w:pPr>
            <w:r>
              <w:rPr>
                <w:rFonts w:ascii="Times New Roman"/>
                <w:spacing w:val="-1"/>
                <w:sz w:val="21"/>
              </w:rPr>
              <w:t>533,365,302.0</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4</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Times New Roman" w:hAnsi="Times New Roman" w:cs="Times New Roman" w:eastAsia="Times New Roman" w:hint="default"/>
                <w:sz w:val="21"/>
                <w:szCs w:val="21"/>
              </w:rPr>
            </w:pPr>
            <w:r>
              <w:rPr>
                <w:rFonts w:ascii="Times New Roman"/>
                <w:sz w:val="21"/>
              </w:rPr>
              <w:t>64,909,865.</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Times New Roman" w:hAnsi="Times New Roman" w:cs="Times New Roman" w:eastAsia="Times New Roman" w:hint="default"/>
                <w:sz w:val="21"/>
                <w:szCs w:val="21"/>
              </w:rPr>
            </w:pPr>
            <w:r>
              <w:rPr>
                <w:rFonts w:ascii="Times New Roman"/>
                <w:spacing w:val="-1"/>
                <w:sz w:val="21"/>
              </w:rPr>
              <w:t>312,019,530.0</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2"/>
              <w:jc w:val="right"/>
              <w:rPr>
                <w:rFonts w:ascii="Times New Roman" w:hAnsi="Times New Roman" w:cs="Times New Roman" w:eastAsia="Times New Roman" w:hint="default"/>
                <w:sz w:val="21"/>
                <w:szCs w:val="21"/>
              </w:rPr>
            </w:pPr>
            <w:r>
              <w:rPr>
                <w:rFonts w:ascii="Times New Roman"/>
                <w:spacing w:val="-1"/>
                <w:sz w:val="21"/>
              </w:rPr>
              <w:t>1,286,951,117.</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97</w:t>
            </w:r>
          </w:p>
        </w:tc>
      </w:tr>
      <w:tr>
        <w:trPr>
          <w:trHeight w:val="490"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22" w:firstLine="420"/>
              <w:jc w:val="left"/>
              <w:rPr>
                <w:rFonts w:ascii="宋体" w:hAnsi="宋体" w:cs="宋体" w:eastAsia="宋体" w:hint="default"/>
                <w:sz w:val="21"/>
                <w:szCs w:val="21"/>
              </w:rPr>
            </w:pPr>
            <w:r>
              <w:rPr>
                <w:rFonts w:ascii="宋体" w:hAnsi="宋体" w:cs="宋体" w:eastAsia="宋体" w:hint="default"/>
                <w:spacing w:val="-18"/>
                <w:sz w:val="21"/>
                <w:szCs w:val="21"/>
              </w:rPr>
              <w:t>加：会计政</w:t>
            </w:r>
            <w:r>
              <w:rPr>
                <w:rFonts w:ascii="宋体" w:hAnsi="宋体" w:cs="宋体" w:eastAsia="宋体" w:hint="default"/>
                <w:sz w:val="21"/>
                <w:szCs w:val="21"/>
              </w:rPr>
              <w:t> 策变更</w:t>
            </w:r>
          </w:p>
        </w:tc>
        <w:tc>
          <w:tcPr>
            <w:tcW w:w="1253"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851"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57" w:lineRule="exact"/>
              <w:ind w:left="11"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253"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85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53"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22"/>
              <w:jc w:val="left"/>
              <w:rPr>
                <w:rFonts w:ascii="宋体" w:hAnsi="宋体" w:cs="宋体" w:eastAsia="宋体" w:hint="default"/>
                <w:sz w:val="21"/>
                <w:szCs w:val="21"/>
              </w:rPr>
            </w:pPr>
            <w:r>
              <w:rPr>
                <w:rFonts w:ascii="宋体" w:hAnsi="宋体" w:cs="宋体" w:eastAsia="宋体" w:hint="default"/>
                <w:spacing w:val="-13"/>
                <w:sz w:val="21"/>
                <w:szCs w:val="21"/>
              </w:rPr>
              <w:t>二、本年期初余</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额</w:t>
            </w:r>
          </w:p>
        </w:tc>
        <w:tc>
          <w:tcPr>
            <w:tcW w:w="1253" w:type="dxa"/>
            <w:tcBorders>
              <w:top w:val="single" w:sz="4" w:space="0" w:color="000000"/>
              <w:left w:val="single" w:sz="13" w:space="0" w:color="D2D2D2"/>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z w:val="21"/>
              </w:rPr>
              <w:t>376,656,420.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533,365,302.0</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4</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z w:val="21"/>
              </w:rPr>
              <w:t>64,909,865.</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312,019,530.0</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1,286,951,117.</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97</w:t>
            </w:r>
          </w:p>
        </w:tc>
      </w:tr>
      <w:tr>
        <w:trPr>
          <w:trHeight w:val="241" w:hRule="exact"/>
        </w:trPr>
        <w:tc>
          <w:tcPr>
            <w:tcW w:w="1430" w:type="dxa"/>
            <w:tcBorders>
              <w:top w:val="single" w:sz="4" w:space="0" w:color="000000"/>
              <w:left w:val="single" w:sz="13" w:space="0" w:color="D2D2D2"/>
              <w:bottom w:val="nil" w:sz="6" w:space="0" w:color="auto"/>
              <w:right w:val="single" w:sz="13" w:space="0" w:color="D2D2D2"/>
            </w:tcBorders>
          </w:tcPr>
          <w:p>
            <w:pPr>
              <w:pStyle w:val="TableParagraph"/>
              <w:spacing w:line="222" w:lineRule="exact"/>
              <w:ind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6"/>
                <w:sz w:val="21"/>
                <w:szCs w:val="21"/>
              </w:rPr>
              <w:t>、</w:t>
            </w:r>
            <w:r>
              <w:rPr>
                <w:rFonts w:ascii="宋体" w:hAnsi="宋体" w:cs="宋体" w:eastAsia="宋体" w:hint="default"/>
                <w:sz w:val="21"/>
                <w:szCs w:val="21"/>
              </w:rPr>
              <w:t>本期增减变</w:t>
            </w:r>
          </w:p>
        </w:tc>
        <w:tc>
          <w:tcPr>
            <w:tcW w:w="1253" w:type="dxa"/>
            <w:vMerge w:val="restart"/>
            <w:tcBorders>
              <w:top w:val="single" w:sz="4" w:space="0" w:color="000000"/>
              <w:left w:val="single" w:sz="13" w:space="0" w:color="D2D2D2"/>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21"/>
                <w:szCs w:val="21"/>
              </w:rPr>
            </w:pPr>
            <w:r>
              <w:rPr>
                <w:rFonts w:ascii="Times New Roman"/>
                <w:sz w:val="21"/>
              </w:rPr>
              <w:t>12,731,085.49</w:t>
            </w:r>
          </w:p>
        </w:tc>
        <w:tc>
          <w:tcPr>
            <w:tcW w:w="42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3,360,357.1</w:t>
            </w: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3</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6"/>
              <w:ind w:left="37" w:right="0"/>
              <w:jc w:val="left"/>
              <w:rPr>
                <w:rFonts w:ascii="Times New Roman" w:hAnsi="Times New Roman" w:cs="Times New Roman" w:eastAsia="Times New Roman" w:hint="default"/>
                <w:sz w:val="21"/>
                <w:szCs w:val="21"/>
              </w:rPr>
            </w:pPr>
            <w:r>
              <w:rPr>
                <w:rFonts w:ascii="Times New Roman"/>
                <w:sz w:val="21"/>
              </w:rPr>
              <w:t>30,243,214.13</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116"/>
              <w:ind w:left="107" w:right="0"/>
              <w:jc w:val="left"/>
              <w:rPr>
                <w:rFonts w:ascii="Times New Roman" w:hAnsi="Times New Roman" w:cs="Times New Roman" w:eastAsia="Times New Roman" w:hint="default"/>
                <w:sz w:val="21"/>
                <w:szCs w:val="21"/>
              </w:rPr>
            </w:pPr>
            <w:r>
              <w:rPr>
                <w:rFonts w:ascii="Times New Roman"/>
                <w:sz w:val="21"/>
              </w:rPr>
              <w:t>46,334,656.75</w:t>
            </w:r>
          </w:p>
        </w:tc>
      </w:tr>
      <w:tr>
        <w:trPr>
          <w:trHeight w:val="240" w:hRule="exact"/>
        </w:trPr>
        <w:tc>
          <w:tcPr>
            <w:tcW w:w="1430" w:type="dxa"/>
            <w:tcBorders>
              <w:top w:val="nil" w:sz="6" w:space="0" w:color="auto"/>
              <w:left w:val="single" w:sz="13" w:space="0" w:color="D2D2D2"/>
              <w:bottom w:val="nil" w:sz="6" w:space="0" w:color="auto"/>
              <w:right w:val="single" w:sz="13" w:space="0" w:color="D2D2D2"/>
            </w:tcBorders>
          </w:tcPr>
          <w:p>
            <w:pPr>
              <w:pStyle w:val="TableParagraph"/>
              <w:spacing w:line="225" w:lineRule="exact"/>
              <w:ind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动金</w:t>
            </w:r>
            <w:r>
              <w:rPr>
                <w:rFonts w:ascii="宋体" w:hAnsi="宋体" w:cs="宋体" w:eastAsia="宋体" w:hint="default"/>
                <w:spacing w:val="-86"/>
                <w:sz w:val="21"/>
                <w:szCs w:val="21"/>
                <w:shd w:fill="D2D2D2" w:color="auto" w:val="clear"/>
              </w:rPr>
              <w:t>额</w:t>
            </w:r>
            <w:r>
              <w:rPr>
                <w:rFonts w:ascii="宋体" w:hAnsi="宋体" w:cs="宋体" w:eastAsia="宋体" w:hint="default"/>
                <w:sz w:val="21"/>
                <w:szCs w:val="21"/>
                <w:shd w:fill="D2D2D2" w:color="auto" w:val="clear"/>
              </w:rPr>
              <w:t>（减少以</w:t>
            </w:r>
            <w:r>
              <w:rPr>
                <w:rFonts w:ascii="宋体" w:hAnsi="宋体" w:cs="宋体" w:eastAsia="宋体" w:hint="default"/>
                <w:sz w:val="21"/>
                <w:szCs w:val="21"/>
              </w:rPr>
            </w:r>
          </w:p>
        </w:tc>
        <w:tc>
          <w:tcPr>
            <w:tcW w:w="1253" w:type="dxa"/>
            <w:vMerge/>
            <w:tcBorders>
              <w:left w:val="single" w:sz="13" w:space="0" w:color="D2D2D2"/>
              <w:right w:val="single" w:sz="4" w:space="0" w:color="000000"/>
            </w:tcBorders>
          </w:tcPr>
          <w:p>
            <w:pPr/>
          </w:p>
        </w:tc>
        <w:tc>
          <w:tcPr>
            <w:tcW w:w="568"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289" w:hRule="exact"/>
        </w:trPr>
        <w:tc>
          <w:tcPr>
            <w:tcW w:w="1430" w:type="dxa"/>
            <w:tcBorders>
              <w:top w:val="nil" w:sz="6" w:space="0" w:color="auto"/>
              <w:left w:val="single" w:sz="13" w:space="0" w:color="D2D2D2"/>
              <w:bottom w:val="single" w:sz="4" w:space="0" w:color="FFFFFF"/>
              <w:right w:val="single" w:sz="13" w:space="0" w:color="D2D2D2"/>
            </w:tcBorders>
          </w:tcPr>
          <w:p>
            <w:pPr>
              <w:pStyle w:val="TableParagraph"/>
              <w:spacing w:line="241"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53" w:type="dxa"/>
            <w:vMerge/>
            <w:tcBorders>
              <w:left w:val="single" w:sz="13" w:space="0" w:color="D2D2D2"/>
              <w:bottom w:val="single" w:sz="4" w:space="0" w:color="FFFFFF"/>
              <w:right w:val="single" w:sz="4" w:space="0" w:color="000000"/>
            </w:tcBorders>
          </w:tcPr>
          <w:p>
            <w:pPr/>
          </w:p>
        </w:tc>
        <w:tc>
          <w:tcPr>
            <w:tcW w:w="568" w:type="dxa"/>
            <w:vMerge/>
            <w:tcBorders>
              <w:left w:val="single" w:sz="4" w:space="0" w:color="000000"/>
              <w:bottom w:val="single" w:sz="4" w:space="0" w:color="FFFFFF"/>
              <w:right w:val="single" w:sz="4" w:space="0" w:color="000000"/>
            </w:tcBorders>
          </w:tcPr>
          <w:p>
            <w:pPr/>
          </w:p>
        </w:tc>
        <w:tc>
          <w:tcPr>
            <w:tcW w:w="1275" w:type="dxa"/>
            <w:vMerge/>
            <w:tcBorders>
              <w:left w:val="single" w:sz="4" w:space="0" w:color="000000"/>
              <w:bottom w:val="single" w:sz="4" w:space="0" w:color="FFFFFF"/>
              <w:right w:val="single" w:sz="4" w:space="0" w:color="000000"/>
            </w:tcBorders>
          </w:tcPr>
          <w:p>
            <w:pPr/>
          </w:p>
        </w:tc>
        <w:tc>
          <w:tcPr>
            <w:tcW w:w="426" w:type="dxa"/>
            <w:vMerge/>
            <w:tcBorders>
              <w:left w:val="single" w:sz="4" w:space="0" w:color="000000"/>
              <w:bottom w:val="single" w:sz="4" w:space="0" w:color="FFFFFF"/>
              <w:right w:val="single" w:sz="4" w:space="0" w:color="000000"/>
            </w:tcBorders>
          </w:tcPr>
          <w:p>
            <w:pPr/>
          </w:p>
        </w:tc>
        <w:tc>
          <w:tcPr>
            <w:tcW w:w="425" w:type="dxa"/>
            <w:vMerge/>
            <w:tcBorders>
              <w:left w:val="single" w:sz="4" w:space="0" w:color="000000"/>
              <w:bottom w:val="single" w:sz="4" w:space="0" w:color="FFFFFF"/>
              <w:right w:val="single" w:sz="4" w:space="0" w:color="000000"/>
            </w:tcBorders>
          </w:tcPr>
          <w:p>
            <w:pPr/>
          </w:p>
        </w:tc>
        <w:tc>
          <w:tcPr>
            <w:tcW w:w="425" w:type="dxa"/>
            <w:vMerge/>
            <w:tcBorders>
              <w:left w:val="single" w:sz="4" w:space="0" w:color="000000"/>
              <w:bottom w:val="single" w:sz="4" w:space="0" w:color="FFFFFF"/>
              <w:right w:val="single" w:sz="4" w:space="0" w:color="000000"/>
            </w:tcBorders>
          </w:tcPr>
          <w:p>
            <w:pPr/>
          </w:p>
        </w:tc>
        <w:tc>
          <w:tcPr>
            <w:tcW w:w="1134" w:type="dxa"/>
            <w:vMerge/>
            <w:tcBorders>
              <w:left w:val="single" w:sz="4" w:space="0" w:color="000000"/>
              <w:bottom w:val="single" w:sz="4" w:space="0" w:color="FFFFFF"/>
              <w:right w:val="single" w:sz="4" w:space="0" w:color="000000"/>
            </w:tcBorders>
          </w:tcPr>
          <w:p>
            <w:pPr/>
          </w:p>
        </w:tc>
        <w:tc>
          <w:tcPr>
            <w:tcW w:w="1277" w:type="dxa"/>
            <w:vMerge/>
            <w:tcBorders>
              <w:left w:val="single" w:sz="4" w:space="0" w:color="000000"/>
              <w:bottom w:val="single" w:sz="4" w:space="0" w:color="FFFFFF"/>
              <w:right w:val="single" w:sz="4" w:space="0" w:color="000000"/>
            </w:tcBorders>
          </w:tcPr>
          <w:p>
            <w:pPr/>
          </w:p>
        </w:tc>
        <w:tc>
          <w:tcPr>
            <w:tcW w:w="1349" w:type="dxa"/>
            <w:vMerge/>
            <w:tcBorders>
              <w:left w:val="single" w:sz="4" w:space="0" w:color="000000"/>
              <w:bottom w:val="single" w:sz="4" w:space="0" w:color="FFFFFF"/>
              <w:right w:val="single" w:sz="4" w:space="0" w:color="000000"/>
            </w:tcBorders>
          </w:tcPr>
          <w:p>
            <w:pPr/>
          </w:p>
        </w:tc>
      </w:tr>
      <w:tr>
        <w:trPr>
          <w:trHeight w:val="602" w:hRule="exact"/>
        </w:trPr>
        <w:tc>
          <w:tcPr>
            <w:tcW w:w="143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exact" w:before="36"/>
              <w:ind w:left="11" w:right="22"/>
              <w:jc w:val="left"/>
              <w:rPr>
                <w:rFonts w:ascii="宋体" w:hAnsi="宋体" w:cs="宋体" w:eastAsia="宋体" w:hint="default"/>
                <w:sz w:val="21"/>
                <w:szCs w:val="21"/>
              </w:rPr>
            </w:pPr>
            <w:r>
              <w:rPr>
                <w:rFonts w:ascii="宋体" w:hAnsi="宋体" w:cs="宋体" w:eastAsia="宋体" w:hint="default"/>
                <w:spacing w:val="-13"/>
                <w:sz w:val="21"/>
                <w:szCs w:val="21"/>
              </w:rPr>
              <w:t>（一）综合收益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总额</w:t>
            </w:r>
          </w:p>
        </w:tc>
        <w:tc>
          <w:tcPr>
            <w:tcW w:w="1253" w:type="dxa"/>
            <w:tcBorders>
              <w:top w:val="single" w:sz="4" w:space="0" w:color="FFFFFF"/>
              <w:left w:val="single" w:sz="13" w:space="0" w:color="D2D2D2"/>
              <w:bottom w:val="single" w:sz="4" w:space="0" w:color="000000"/>
              <w:right w:val="single" w:sz="4" w:space="0" w:color="000000"/>
            </w:tcBorders>
          </w:tcPr>
          <w:p>
            <w:pPr/>
          </w:p>
        </w:tc>
        <w:tc>
          <w:tcPr>
            <w:tcW w:w="568" w:type="dxa"/>
            <w:tcBorders>
              <w:top w:val="single" w:sz="4" w:space="0" w:color="FFFFFF"/>
              <w:left w:val="single" w:sz="4" w:space="0" w:color="000000"/>
              <w:bottom w:val="single" w:sz="4" w:space="0" w:color="000000"/>
              <w:right w:val="single" w:sz="4" w:space="0" w:color="000000"/>
            </w:tcBorders>
          </w:tcPr>
          <w:p>
            <w:pPr/>
          </w:p>
        </w:tc>
        <w:tc>
          <w:tcPr>
            <w:tcW w:w="1275" w:type="dxa"/>
            <w:tcBorders>
              <w:top w:val="single" w:sz="4" w:space="0" w:color="FFFFFF"/>
              <w:left w:val="single" w:sz="4" w:space="0" w:color="000000"/>
              <w:bottom w:val="single" w:sz="4" w:space="0" w:color="000000"/>
              <w:right w:val="single" w:sz="4" w:space="0" w:color="000000"/>
            </w:tcBorders>
          </w:tcPr>
          <w:p>
            <w:pPr/>
          </w:p>
        </w:tc>
        <w:tc>
          <w:tcPr>
            <w:tcW w:w="426" w:type="dxa"/>
            <w:tcBorders>
              <w:top w:val="single" w:sz="4" w:space="0" w:color="FFFFFF"/>
              <w:left w:val="single" w:sz="4" w:space="0" w:color="000000"/>
              <w:bottom w:val="single" w:sz="4" w:space="0" w:color="000000"/>
              <w:right w:val="single" w:sz="4" w:space="0" w:color="000000"/>
            </w:tcBorders>
          </w:tcPr>
          <w:p>
            <w:pPr/>
          </w:p>
        </w:tc>
        <w:tc>
          <w:tcPr>
            <w:tcW w:w="425" w:type="dxa"/>
            <w:tcBorders>
              <w:top w:val="single" w:sz="4" w:space="0" w:color="FFFFFF"/>
              <w:left w:val="single" w:sz="4" w:space="0" w:color="000000"/>
              <w:bottom w:val="single" w:sz="4" w:space="0" w:color="000000"/>
              <w:right w:val="single" w:sz="4" w:space="0" w:color="000000"/>
            </w:tcBorders>
          </w:tcPr>
          <w:p>
            <w:pPr/>
          </w:p>
        </w:tc>
        <w:tc>
          <w:tcPr>
            <w:tcW w:w="425" w:type="dxa"/>
            <w:tcBorders>
              <w:top w:val="single" w:sz="4" w:space="0" w:color="FFFFFF"/>
              <w:left w:val="single" w:sz="4" w:space="0" w:color="000000"/>
              <w:bottom w:val="single" w:sz="4" w:space="0" w:color="000000"/>
              <w:right w:val="single" w:sz="4" w:space="0" w:color="000000"/>
            </w:tcBorders>
          </w:tcPr>
          <w:p>
            <w:pPr/>
          </w:p>
        </w:tc>
        <w:tc>
          <w:tcPr>
            <w:tcW w:w="1134" w:type="dxa"/>
            <w:tcBorders>
              <w:top w:val="single" w:sz="4" w:space="0" w:color="FFFFFF"/>
              <w:left w:val="single" w:sz="4" w:space="0" w:color="000000"/>
              <w:bottom w:val="single" w:sz="4" w:space="0" w:color="000000"/>
              <w:right w:val="single" w:sz="4" w:space="0" w:color="000000"/>
            </w:tcBorders>
          </w:tcPr>
          <w:p>
            <w:pPr/>
          </w:p>
        </w:tc>
        <w:tc>
          <w:tcPr>
            <w:tcW w:w="12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5"/>
              <w:ind w:left="37" w:right="0"/>
              <w:jc w:val="left"/>
              <w:rPr>
                <w:rFonts w:ascii="Times New Roman" w:hAnsi="Times New Roman" w:cs="Times New Roman" w:eastAsia="Times New Roman" w:hint="default"/>
                <w:sz w:val="21"/>
                <w:szCs w:val="21"/>
              </w:rPr>
            </w:pPr>
            <w:r>
              <w:rPr>
                <w:rFonts w:ascii="Times New Roman"/>
                <w:sz w:val="21"/>
              </w:rPr>
              <w:t>33,603,571.26</w:t>
            </w:r>
          </w:p>
        </w:tc>
        <w:tc>
          <w:tcPr>
            <w:tcW w:w="134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5"/>
              <w:ind w:left="107" w:right="0"/>
              <w:jc w:val="left"/>
              <w:rPr>
                <w:rFonts w:ascii="Times New Roman" w:hAnsi="Times New Roman" w:cs="Times New Roman" w:eastAsia="Times New Roman" w:hint="default"/>
                <w:sz w:val="21"/>
                <w:szCs w:val="21"/>
              </w:rPr>
            </w:pPr>
            <w:r>
              <w:rPr>
                <w:rFonts w:ascii="Times New Roman"/>
                <w:sz w:val="21"/>
              </w:rPr>
              <w:t>33,603,571.26</w:t>
            </w:r>
          </w:p>
        </w:tc>
      </w:tr>
      <w:tr>
        <w:trPr>
          <w:trHeight w:val="243"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23" w:lineRule="exact"/>
              <w:ind w:left="11"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86"/>
                <w:sz w:val="21"/>
                <w:szCs w:val="21"/>
              </w:rPr>
              <w:t>）</w:t>
            </w:r>
            <w:r>
              <w:rPr>
                <w:rFonts w:ascii="宋体" w:hAnsi="宋体" w:cs="宋体" w:eastAsia="宋体" w:hint="default"/>
                <w:sz w:val="21"/>
                <w:szCs w:val="21"/>
              </w:rPr>
              <w:t>所有者投</w:t>
            </w:r>
          </w:p>
        </w:tc>
        <w:tc>
          <w:tcPr>
            <w:tcW w:w="1253" w:type="dxa"/>
            <w:vMerge w:val="restart"/>
            <w:tcBorders>
              <w:top w:val="single" w:sz="4" w:space="0" w:color="000000"/>
              <w:left w:val="single" w:sz="13" w:space="0" w:color="D2D2D2"/>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
        </w:tc>
      </w:tr>
      <w:tr>
        <w:trPr>
          <w:trHeight w:val="248"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25" w:lineRule="exact"/>
              <w:ind w:left="11"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1253" w:type="dxa"/>
            <w:vMerge/>
            <w:tcBorders>
              <w:left w:val="single" w:sz="13" w:space="0" w:color="D2D2D2"/>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r>
      <w:tr>
        <w:trPr>
          <w:trHeight w:val="490"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4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 的普通股</w:t>
            </w:r>
          </w:p>
        </w:tc>
        <w:tc>
          <w:tcPr>
            <w:tcW w:w="1253"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1253"/>
        <w:gridCol w:w="568"/>
        <w:gridCol w:w="1275"/>
        <w:gridCol w:w="426"/>
        <w:gridCol w:w="425"/>
        <w:gridCol w:w="425"/>
        <w:gridCol w:w="1134"/>
        <w:gridCol w:w="1277"/>
        <w:gridCol w:w="1349"/>
      </w:tblGrid>
      <w:tr>
        <w:trPr>
          <w:trHeight w:val="7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4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 具持有者投入 资本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22" w:right="4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 入所有者权益 的金额</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2"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6"/>
                <w:sz w:val="21"/>
                <w:szCs w:val="21"/>
              </w:rPr>
              <w:t>）</w:t>
            </w:r>
            <w:r>
              <w:rPr>
                <w:rFonts w:ascii="宋体" w:hAnsi="宋体" w:cs="宋体" w:eastAsia="宋体" w:hint="default"/>
                <w:sz w:val="21"/>
                <w:szCs w:val="21"/>
              </w:rPr>
              <w:t>利润分配</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3,360,357.1</w:t>
            </w: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21"/>
                <w:szCs w:val="21"/>
              </w:rPr>
            </w:pPr>
            <w:r>
              <w:rPr>
                <w:rFonts w:ascii="Times New Roman"/>
                <w:spacing w:val="-1"/>
                <w:sz w:val="21"/>
              </w:rPr>
              <w:t>-3,360,357.13</w:t>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22" w:right="4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 积</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Times New Roman" w:hAnsi="Times New Roman" w:cs="Times New Roman" w:eastAsia="Times New Roman" w:hint="default"/>
                <w:sz w:val="21"/>
                <w:szCs w:val="21"/>
              </w:rPr>
            </w:pPr>
            <w:r>
              <w:rPr>
                <w:rFonts w:ascii="Times New Roman"/>
                <w:spacing w:val="-1"/>
                <w:sz w:val="21"/>
              </w:rPr>
              <w:t>3,360,357.1</w:t>
            </w: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21"/>
                <w:szCs w:val="21"/>
              </w:rPr>
            </w:pPr>
            <w:r>
              <w:rPr>
                <w:rFonts w:ascii="Times New Roman"/>
                <w:spacing w:val="-1"/>
                <w:sz w:val="21"/>
              </w:rPr>
              <w:t>-3,360,357.13</w:t>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22"/>
              <w:jc w:val="left"/>
              <w:rPr>
                <w:rFonts w:ascii="宋体" w:hAnsi="宋体" w:cs="宋体" w:eastAsia="宋体" w:hint="default"/>
                <w:sz w:val="21"/>
                <w:szCs w:val="21"/>
              </w:rPr>
            </w:pPr>
            <w:r>
              <w:rPr>
                <w:rFonts w:ascii="Times New Roman" w:hAnsi="Times New Roman" w:cs="Times New Roman" w:eastAsia="Times New Roman" w:hint="default"/>
                <w:spacing w:val="-24"/>
                <w:sz w:val="21"/>
                <w:szCs w:val="21"/>
              </w:rPr>
              <w:t>2</w:t>
            </w:r>
            <w:r>
              <w:rPr>
                <w:rFonts w:ascii="宋体" w:hAnsi="宋体" w:cs="宋体" w:eastAsia="宋体" w:hint="default"/>
                <w:spacing w:val="-24"/>
                <w:sz w:val="21"/>
                <w:szCs w:val="21"/>
              </w:rPr>
              <w:t>．对所有者（或</w:t>
            </w:r>
            <w:r>
              <w:rPr>
                <w:rFonts w:ascii="宋体" w:hAnsi="宋体" w:cs="宋体" w:eastAsia="宋体" w:hint="default"/>
                <w:sz w:val="21"/>
                <w:szCs w:val="21"/>
              </w:rPr>
              <w:t> 股东）的分配</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22" w:right="22"/>
              <w:jc w:val="left"/>
              <w:rPr>
                <w:rFonts w:ascii="宋体" w:hAnsi="宋体" w:cs="宋体" w:eastAsia="宋体" w:hint="default"/>
                <w:sz w:val="21"/>
                <w:szCs w:val="21"/>
              </w:rPr>
            </w:pPr>
            <w:r>
              <w:rPr>
                <w:rFonts w:ascii="宋体" w:hAnsi="宋体" w:cs="宋体" w:eastAsia="宋体" w:hint="default"/>
                <w:spacing w:val="-13"/>
                <w:sz w:val="21"/>
                <w:szCs w:val="21"/>
              </w:rPr>
              <w:t>（四）所有者权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益内部结转</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4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 增资本（或股 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4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 增资本（或股 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22" w:right="4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 补亏损</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42"/>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．设定受益计 划变动额结转 留存收益</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22"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86"/>
                <w:sz w:val="21"/>
                <w:szCs w:val="21"/>
              </w:rPr>
              <w:t>）</w:t>
            </w:r>
            <w:r>
              <w:rPr>
                <w:rFonts w:ascii="宋体" w:hAnsi="宋体" w:cs="宋体" w:eastAsia="宋体" w:hint="default"/>
                <w:sz w:val="21"/>
                <w:szCs w:val="21"/>
              </w:rPr>
              <w:t>专项储备</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ight="0"/>
              <w:jc w:val="left"/>
              <w:rPr>
                <w:rFonts w:ascii="Times New Roman" w:hAnsi="Times New Roman" w:cs="Times New Roman" w:eastAsia="Times New Roman" w:hint="default"/>
                <w:sz w:val="21"/>
                <w:szCs w:val="21"/>
              </w:rPr>
            </w:pPr>
            <w:r>
              <w:rPr>
                <w:rFonts w:ascii="Times New Roman"/>
                <w:sz w:val="21"/>
              </w:rPr>
              <w:t>12,731,085.49</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Times New Roman" w:hAnsi="Times New Roman" w:cs="Times New Roman" w:eastAsia="Times New Roman" w:hint="default"/>
                <w:sz w:val="21"/>
                <w:szCs w:val="21"/>
              </w:rPr>
            </w:pPr>
            <w:r>
              <w:rPr>
                <w:rFonts w:ascii="Times New Roman"/>
                <w:sz w:val="21"/>
              </w:rPr>
              <w:t>12,731,085.49</w:t>
            </w:r>
          </w:p>
        </w:tc>
      </w:tr>
      <w:tr>
        <w:trPr>
          <w:trHeight w:val="7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20"/>
              <w:ind w:left="22" w:right="22"/>
              <w:jc w:val="left"/>
              <w:rPr>
                <w:rFonts w:ascii="宋体" w:hAnsi="宋体" w:cs="宋体" w:eastAsia="宋体" w:hint="default"/>
                <w:sz w:val="21"/>
                <w:szCs w:val="21"/>
              </w:rPr>
            </w:pPr>
            <w:r>
              <w:rPr>
                <w:rFonts w:ascii="宋体" w:hAnsi="宋体" w:cs="宋体" w:eastAsia="宋体" w:hint="default"/>
                <w:spacing w:val="-13"/>
                <w:sz w:val="21"/>
                <w:szCs w:val="21"/>
              </w:rPr>
              <w:t>四、本期期末余</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right="20"/>
              <w:jc w:val="right"/>
              <w:rPr>
                <w:rFonts w:ascii="Times New Roman" w:hAnsi="Times New Roman" w:cs="Times New Roman" w:eastAsia="Times New Roman" w:hint="default"/>
                <w:sz w:val="21"/>
                <w:szCs w:val="21"/>
              </w:rPr>
            </w:pPr>
            <w:r>
              <w:rPr>
                <w:rFonts w:ascii="Times New Roman"/>
                <w:sz w:val="21"/>
              </w:rPr>
              <w:t>376,656,420.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right="20"/>
              <w:jc w:val="right"/>
              <w:rPr>
                <w:rFonts w:ascii="Times New Roman" w:hAnsi="Times New Roman" w:cs="Times New Roman" w:eastAsia="Times New Roman" w:hint="default"/>
                <w:sz w:val="21"/>
                <w:szCs w:val="21"/>
              </w:rPr>
            </w:pPr>
            <w:r>
              <w:rPr>
                <w:rFonts w:ascii="Times New Roman"/>
                <w:spacing w:val="-1"/>
                <w:sz w:val="21"/>
              </w:rPr>
              <w:t>546,096,387.5</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3</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z w:val="21"/>
              </w:rPr>
              <w:t>68,270,222.</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342,262,744.2</w:t>
            </w: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right="23"/>
              <w:jc w:val="right"/>
              <w:rPr>
                <w:rFonts w:ascii="Times New Roman" w:hAnsi="Times New Roman" w:cs="Times New Roman" w:eastAsia="Times New Roman" w:hint="default"/>
                <w:sz w:val="21"/>
                <w:szCs w:val="21"/>
              </w:rPr>
            </w:pPr>
            <w:r>
              <w:rPr>
                <w:rFonts w:ascii="Times New Roman"/>
                <w:spacing w:val="-1"/>
                <w:sz w:val="21"/>
              </w:rPr>
              <w:t>1,333,285,774.</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72</w:t>
            </w:r>
          </w:p>
        </w:tc>
      </w:tr>
    </w:tbl>
    <w:p>
      <w:pPr>
        <w:spacing w:line="240" w:lineRule="auto" w:before="5"/>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47" w:footer="979" w:top="1060" w:bottom="1160" w:left="980" w:right="0"/>
        </w:sectPr>
      </w:pPr>
    </w:p>
    <w:p>
      <w:pPr>
        <w:pStyle w:val="BodyText"/>
        <w:spacing w:line="240" w:lineRule="auto" w:before="26"/>
        <w:ind w:right="-20"/>
        <w:jc w:val="left"/>
      </w:pPr>
      <w:r>
        <w:rPr/>
        <w:t>上期金额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115" w:space="7805"/>
            <w:col w:w="201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1265"/>
        <w:gridCol w:w="568"/>
        <w:gridCol w:w="1275"/>
        <w:gridCol w:w="426"/>
        <w:gridCol w:w="425"/>
        <w:gridCol w:w="425"/>
        <w:gridCol w:w="1134"/>
        <w:gridCol w:w="1277"/>
        <w:gridCol w:w="1349"/>
      </w:tblGrid>
      <w:tr>
        <w:trPr>
          <w:trHeight w:val="250"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814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10"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45" w:hRule="exact"/>
        </w:trPr>
        <w:tc>
          <w:tcPr>
            <w:tcW w:w="1418" w:type="dxa"/>
            <w:vMerge/>
            <w:tcBorders>
              <w:left w:val="single" w:sz="4" w:space="0" w:color="000000"/>
              <w:right w:val="single" w:sz="4" w:space="0" w:color="000000"/>
            </w:tcBorders>
            <w:shd w:val="clear" w:color="auto" w:fill="D2D2D2"/>
          </w:tcPr>
          <w:p>
            <w:pPr/>
          </w:p>
        </w:tc>
        <w:tc>
          <w:tcPr>
            <w:tcW w:w="1265" w:type="dxa"/>
            <w:vMerge w:val="restart"/>
            <w:tcBorders>
              <w:top w:val="single" w:sz="4" w:space="0" w:color="000000"/>
              <w:left w:val="single" w:sz="4" w:space="0" w:color="000000"/>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102" w:right="101"/>
              <w:jc w:val="both"/>
              <w:rPr>
                <w:rFonts w:ascii="宋体" w:hAnsi="宋体" w:cs="宋体" w:eastAsia="宋体" w:hint="default"/>
                <w:sz w:val="21"/>
                <w:szCs w:val="21"/>
              </w:rPr>
            </w:pPr>
            <w:r>
              <w:rPr>
                <w:rFonts w:ascii="宋体" w:hAnsi="宋体" w:cs="宋体" w:eastAsia="宋体" w:hint="default"/>
                <w:sz w:val="21"/>
                <w:szCs w:val="21"/>
              </w:rPr>
              <w:t>其 他 综 合 收 益</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1418"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101" w:right="-27" w:hanging="80"/>
              <w:jc w:val="left"/>
              <w:rPr>
                <w:rFonts w:ascii="宋体" w:hAnsi="宋体" w:cs="宋体" w:eastAsia="宋体" w:hint="default"/>
                <w:sz w:val="21"/>
                <w:szCs w:val="21"/>
              </w:rPr>
            </w:pPr>
            <w:r>
              <w:rPr>
                <w:rFonts w:ascii="宋体" w:hAnsi="宋体" w:cs="宋体" w:eastAsia="宋体" w:hint="default"/>
                <w:sz w:val="21"/>
                <w:szCs w:val="21"/>
              </w:rPr>
              <w:t>减： 库 存 股</w:t>
            </w: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101" w:right="101"/>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13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349" w:type="dxa"/>
            <w:vMerge/>
            <w:tcBorders>
              <w:left w:val="single" w:sz="4" w:space="0" w:color="000000"/>
              <w:right w:val="single" w:sz="4" w:space="0" w:color="000000"/>
            </w:tcBorders>
            <w:shd w:val="clear" w:color="auto" w:fill="D2D2D2"/>
          </w:tcPr>
          <w:p>
            <w:pPr/>
          </w:p>
        </w:tc>
      </w:tr>
      <w:tr>
        <w:trPr>
          <w:trHeight w:val="117"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9" w:space="0" w:color="D2D2D2"/>
              <w:right w:val="single" w:sz="13" w:space="0" w:color="D2D2D2"/>
            </w:tcBorders>
          </w:tcPr>
          <w:p>
            <w:pPr>
              <w:pStyle w:val="TableParagraph"/>
              <w:spacing w:line="222" w:lineRule="exact"/>
              <w:ind w:left="6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其他</w:t>
            </w:r>
            <w:r>
              <w:rPr>
                <w:rFonts w:ascii="宋体" w:hAnsi="宋体" w:cs="宋体" w:eastAsia="宋体" w:hint="default"/>
                <w:sz w:val="21"/>
                <w:szCs w:val="21"/>
              </w:rPr>
            </w:r>
          </w:p>
        </w:tc>
        <w:tc>
          <w:tcPr>
            <w:tcW w:w="1275"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349" w:type="dxa"/>
            <w:vMerge/>
            <w:tcBorders>
              <w:left w:val="single" w:sz="4" w:space="0" w:color="000000"/>
              <w:bottom w:val="nil" w:sz="6" w:space="0" w:color="auto"/>
              <w:right w:val="single" w:sz="4" w:space="0" w:color="000000"/>
            </w:tcBorders>
            <w:shd w:val="clear" w:color="auto" w:fill="D2D2D2"/>
          </w:tcPr>
          <w:p>
            <w:pPr/>
          </w:p>
        </w:tc>
      </w:tr>
      <w:tr>
        <w:trPr>
          <w:trHeight w:val="123"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19"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65"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9" w:space="0" w:color="D2D2D2"/>
              <w:bottom w:val="nil" w:sz="6" w:space="0" w:color="auto"/>
              <w:right w:val="single" w:sz="13" w:space="0" w:color="D2D2D2"/>
            </w:tcBorders>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before="3"/>
              <w:ind w:left="563" w:right="38" w:hanging="526"/>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11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22" w:lineRule="exact"/>
              <w:ind w:left="4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568" w:type="dxa"/>
            <w:vMerge w:val="restart"/>
            <w:tcBorders>
              <w:top w:val="nil" w:sz="6" w:space="0" w:color="auto"/>
              <w:left w:val="single" w:sz="22" w:space="0" w:color="D2D2D2"/>
              <w:right w:val="single" w:sz="23" w:space="0" w:color="D2D2D2"/>
            </w:tcBorders>
          </w:tcPr>
          <w:p>
            <w:pPr>
              <w:pStyle w:val="TableParagraph"/>
              <w:spacing w:line="222" w:lineRule="exact"/>
              <w:ind w:left="4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22" w:lineRule="exact"/>
              <w:ind w:left="21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22" w:lineRule="exact"/>
              <w:ind w:left="14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22" w:lineRule="exact"/>
              <w:ind w:left="10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349" w:type="dxa"/>
            <w:vMerge/>
            <w:tcBorders>
              <w:left w:val="single" w:sz="4" w:space="0" w:color="000000"/>
              <w:right w:val="single" w:sz="4" w:space="0" w:color="000000"/>
            </w:tcBorders>
            <w:shd w:val="clear" w:color="auto" w:fill="D2D2D2"/>
          </w:tcPr>
          <w:p>
            <w:pPr/>
          </w:p>
        </w:tc>
      </w:tr>
      <w:tr>
        <w:trPr>
          <w:trHeight w:val="126"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22" w:space="0" w:color="D2D2D2"/>
              <w:bottom w:val="nil" w:sz="6" w:space="0" w:color="auto"/>
              <w:right w:val="single" w:sz="23" w:space="0" w:color="D2D2D2"/>
            </w:tcBorders>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349" w:type="dxa"/>
            <w:vMerge/>
            <w:tcBorders>
              <w:left w:val="single" w:sz="4" w:space="0" w:color="000000"/>
              <w:right w:val="single" w:sz="4" w:space="0" w:color="000000"/>
            </w:tcBorders>
            <w:shd w:val="clear" w:color="auto" w:fill="D2D2D2"/>
          </w:tcPr>
          <w:p>
            <w:pPr/>
          </w:p>
        </w:tc>
      </w:tr>
      <w:tr>
        <w:trPr>
          <w:trHeight w:val="120" w:hRule="exact"/>
        </w:trPr>
        <w:tc>
          <w:tcPr>
            <w:tcW w:w="1418" w:type="dxa"/>
            <w:vMerge/>
            <w:tcBorders>
              <w:left w:val="single" w:sz="4" w:space="0" w:color="000000"/>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
        </w:tc>
        <w:tc>
          <w:tcPr>
            <w:tcW w:w="568" w:type="dxa"/>
            <w:vMerge w:val="restart"/>
            <w:tcBorders>
              <w:top w:val="nil" w:sz="6" w:space="0" w:color="auto"/>
              <w:left w:val="single" w:sz="9" w:space="0" w:color="D2D2D2"/>
              <w:right w:val="single" w:sz="13" w:space="0" w:color="D2D2D2"/>
            </w:tcBorders>
          </w:tcPr>
          <w:p>
            <w:pPr>
              <w:pStyle w:val="TableParagraph"/>
              <w:spacing w:line="222" w:lineRule="exact"/>
              <w:ind w:left="6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工具</w:t>
            </w:r>
            <w:r>
              <w:rPr>
                <w:rFonts w:ascii="宋体" w:hAnsi="宋体" w:cs="宋体" w:eastAsia="宋体" w:hint="default"/>
                <w:sz w:val="21"/>
                <w:szCs w:val="21"/>
              </w:rPr>
            </w: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349" w:type="dxa"/>
            <w:vMerge/>
            <w:tcBorders>
              <w:left w:val="single" w:sz="4" w:space="0" w:color="000000"/>
              <w:bottom w:val="nil" w:sz="6" w:space="0" w:color="auto"/>
              <w:right w:val="single" w:sz="4" w:space="0" w:color="000000"/>
            </w:tcBorders>
            <w:shd w:val="clear" w:color="auto" w:fill="D2D2D2"/>
          </w:tcPr>
          <w:p>
            <w:pPr/>
          </w:p>
        </w:tc>
      </w:tr>
      <w:tr>
        <w:trPr>
          <w:trHeight w:val="120" w:hRule="exact"/>
        </w:trPr>
        <w:tc>
          <w:tcPr>
            <w:tcW w:w="1418"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568" w:type="dxa"/>
            <w:vMerge/>
            <w:tcBorders>
              <w:left w:val="single" w:sz="9" w:space="0" w:color="D2D2D2"/>
              <w:bottom w:val="nil" w:sz="6" w:space="0" w:color="auto"/>
              <w:right w:val="single" w:sz="13" w:space="0" w:color="D2D2D2"/>
            </w:tcBorders>
          </w:tcPr>
          <w:p>
            <w:pPr/>
          </w:p>
        </w:tc>
        <w:tc>
          <w:tcPr>
            <w:tcW w:w="1275"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349" w:type="dxa"/>
            <w:vMerge w:val="restart"/>
            <w:tcBorders>
              <w:top w:val="nil" w:sz="6" w:space="0" w:color="auto"/>
              <w:left w:val="single" w:sz="4" w:space="0" w:color="000000"/>
              <w:right w:val="single" w:sz="4" w:space="0" w:color="000000"/>
            </w:tcBorders>
            <w:shd w:val="clear" w:color="auto" w:fill="D2D2D2"/>
          </w:tcPr>
          <w:p>
            <w:pPr/>
          </w:p>
        </w:tc>
      </w:tr>
      <w:tr>
        <w:trPr>
          <w:trHeight w:val="120" w:hRule="exact"/>
        </w:trPr>
        <w:tc>
          <w:tcPr>
            <w:tcW w:w="1418"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349" w:type="dxa"/>
            <w:vMerge/>
            <w:tcBorders>
              <w:left w:val="single" w:sz="4" w:space="0" w:color="000000"/>
              <w:right w:val="single" w:sz="4" w:space="0" w:color="000000"/>
            </w:tcBorders>
            <w:shd w:val="clear" w:color="auto" w:fill="D2D2D2"/>
          </w:tcPr>
          <w:p>
            <w:pPr/>
          </w:p>
        </w:tc>
      </w:tr>
      <w:tr>
        <w:trPr>
          <w:trHeight w:val="24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9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10"/>
              <w:jc w:val="left"/>
              <w:rPr>
                <w:rFonts w:ascii="宋体" w:hAnsi="宋体" w:cs="宋体" w:eastAsia="宋体" w:hint="default"/>
                <w:sz w:val="21"/>
                <w:szCs w:val="21"/>
              </w:rPr>
            </w:pPr>
            <w:r>
              <w:rPr>
                <w:rFonts w:ascii="宋体" w:hAnsi="宋体" w:cs="宋体" w:eastAsia="宋体" w:hint="default"/>
                <w:spacing w:val="-13"/>
                <w:sz w:val="21"/>
                <w:szCs w:val="21"/>
              </w:rPr>
              <w:t>一、上年期末余</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额</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z w:val="21"/>
              </w:rPr>
              <w:t>376,656,420.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749,526,453.6</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7</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z w:val="21"/>
              </w:rPr>
              <w:t>61,467,445.</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284,804,311.3</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pacing w:val="-1"/>
                <w:sz w:val="21"/>
              </w:rPr>
              <w:t>1,472,454,630.</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54</w:t>
            </w:r>
          </w:p>
        </w:tc>
      </w:tr>
      <w:tr>
        <w:trPr>
          <w:trHeight w:val="49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10" w:firstLine="420"/>
              <w:jc w:val="left"/>
              <w:rPr>
                <w:rFonts w:ascii="宋体" w:hAnsi="宋体" w:cs="宋体" w:eastAsia="宋体" w:hint="default"/>
                <w:sz w:val="21"/>
                <w:szCs w:val="21"/>
              </w:rPr>
            </w:pPr>
            <w:r>
              <w:rPr>
                <w:rFonts w:ascii="宋体" w:hAnsi="宋体" w:cs="宋体" w:eastAsia="宋体" w:hint="default"/>
                <w:spacing w:val="-18"/>
                <w:sz w:val="21"/>
                <w:szCs w:val="21"/>
              </w:rPr>
              <w:t>加：会计政</w:t>
            </w:r>
            <w:r>
              <w:rPr>
                <w:rFonts w:ascii="宋体" w:hAnsi="宋体" w:cs="宋体" w:eastAsia="宋体" w:hint="default"/>
                <w:sz w:val="21"/>
                <w:szCs w:val="21"/>
              </w:rPr>
              <w:t> 策变更</w:t>
            </w:r>
          </w:p>
        </w:tc>
        <w:tc>
          <w:tcPr>
            <w:tcW w:w="1265"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851"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58" w:lineRule="exact"/>
              <w:ind w:left="11"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265"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85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5"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10"/>
              <w:jc w:val="left"/>
              <w:rPr>
                <w:rFonts w:ascii="宋体" w:hAnsi="宋体" w:cs="宋体" w:eastAsia="宋体" w:hint="default"/>
                <w:sz w:val="21"/>
                <w:szCs w:val="21"/>
              </w:rPr>
            </w:pPr>
            <w:r>
              <w:rPr>
                <w:rFonts w:ascii="宋体" w:hAnsi="宋体" w:cs="宋体" w:eastAsia="宋体" w:hint="default"/>
                <w:spacing w:val="-13"/>
                <w:sz w:val="21"/>
                <w:szCs w:val="21"/>
              </w:rPr>
              <w:t>二、本年期初余</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额</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z w:val="21"/>
              </w:rPr>
              <w:t>376,656,420.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749,526,453.6</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7</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z w:val="21"/>
              </w:rPr>
              <w:t>61,467,445.</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284,804,311.3</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pacing w:val="-1"/>
                <w:sz w:val="21"/>
              </w:rPr>
              <w:t>1,472,454,630.</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54</w:t>
            </w:r>
          </w:p>
        </w:tc>
      </w:tr>
      <w:tr>
        <w:trPr>
          <w:trHeight w:val="24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23" w:lineRule="exact"/>
              <w:ind w:right="10"/>
              <w:jc w:val="righ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6"/>
                <w:sz w:val="21"/>
                <w:szCs w:val="21"/>
              </w:rPr>
              <w:t>、</w:t>
            </w:r>
            <w:r>
              <w:rPr>
                <w:rFonts w:ascii="宋体" w:hAnsi="宋体" w:cs="宋体" w:eastAsia="宋体" w:hint="default"/>
                <w:sz w:val="21"/>
                <w:szCs w:val="21"/>
              </w:rPr>
              <w:t>本期增减变</w:t>
            </w:r>
          </w:p>
        </w:tc>
        <w:tc>
          <w:tcPr>
            <w:tcW w:w="1265" w:type="dxa"/>
            <w:vMerge w:val="restart"/>
            <w:tcBorders>
              <w:top w:val="single" w:sz="4" w:space="0" w:color="000000"/>
              <w:left w:val="single" w:sz="13" w:space="0" w:color="D2D2D2"/>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Style w:val="TableParagraph"/>
              <w:spacing w:line="238" w:lineRule="exact"/>
              <w:ind w:right="20"/>
              <w:jc w:val="right"/>
              <w:rPr>
                <w:rFonts w:ascii="Times New Roman" w:hAnsi="Times New Roman" w:cs="Times New Roman" w:eastAsia="Times New Roman" w:hint="default"/>
                <w:sz w:val="21"/>
                <w:szCs w:val="21"/>
              </w:rPr>
            </w:pPr>
            <w:r>
              <w:rPr>
                <w:rFonts w:ascii="Times New Roman"/>
                <w:w w:val="95"/>
                <w:sz w:val="21"/>
              </w:rPr>
              <w:t>-216,161,151.</w:t>
            </w:r>
            <w:r>
              <w:rPr>
                <w:rFonts w:ascii="Times New Roman"/>
                <w:sz w:val="21"/>
              </w:rPr>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63</w:t>
            </w:r>
          </w:p>
        </w:tc>
        <w:tc>
          <w:tcPr>
            <w:tcW w:w="42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38" w:lineRule="exact"/>
              <w:ind w:right="20"/>
              <w:jc w:val="right"/>
              <w:rPr>
                <w:rFonts w:ascii="Times New Roman" w:hAnsi="Times New Roman" w:cs="Times New Roman" w:eastAsia="Times New Roman" w:hint="default"/>
                <w:sz w:val="21"/>
                <w:szCs w:val="21"/>
              </w:rPr>
            </w:pPr>
            <w:r>
              <w:rPr>
                <w:rFonts w:ascii="Times New Roman"/>
                <w:spacing w:val="-1"/>
                <w:sz w:val="21"/>
              </w:rPr>
              <w:t>3,442,420.3</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3</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7"/>
              <w:ind w:left="37" w:right="0"/>
              <w:jc w:val="left"/>
              <w:rPr>
                <w:rFonts w:ascii="Times New Roman" w:hAnsi="Times New Roman" w:cs="Times New Roman" w:eastAsia="Times New Roman" w:hint="default"/>
                <w:sz w:val="21"/>
                <w:szCs w:val="21"/>
              </w:rPr>
            </w:pPr>
            <w:r>
              <w:rPr>
                <w:rFonts w:ascii="Times New Roman"/>
                <w:sz w:val="21"/>
              </w:rPr>
              <w:t>27,215,218.73</w:t>
            </w:r>
          </w:p>
        </w:tc>
        <w:tc>
          <w:tcPr>
            <w:tcW w:w="1349" w:type="dxa"/>
            <w:vMerge w:val="restart"/>
            <w:tcBorders>
              <w:top w:val="single" w:sz="4" w:space="0" w:color="000000"/>
              <w:left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-185,503,512.5</w:t>
            </w: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7</w:t>
            </w:r>
          </w:p>
        </w:tc>
      </w:tr>
      <w:tr>
        <w:trPr>
          <w:trHeight w:val="248"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25" w:lineRule="exact"/>
              <w:ind w:right="10"/>
              <w:jc w:val="right"/>
              <w:rPr>
                <w:rFonts w:ascii="宋体" w:hAnsi="宋体" w:cs="宋体" w:eastAsia="宋体" w:hint="default"/>
                <w:sz w:val="21"/>
                <w:szCs w:val="21"/>
              </w:rPr>
            </w:pPr>
            <w:r>
              <w:rPr>
                <w:rFonts w:ascii="宋体" w:hAnsi="宋体" w:cs="宋体" w:eastAsia="宋体" w:hint="default"/>
                <w:sz w:val="21"/>
                <w:szCs w:val="21"/>
              </w:rPr>
              <w:t>动金</w:t>
            </w:r>
            <w:r>
              <w:rPr>
                <w:rFonts w:ascii="宋体" w:hAnsi="宋体" w:cs="宋体" w:eastAsia="宋体" w:hint="default"/>
                <w:spacing w:val="-86"/>
                <w:sz w:val="21"/>
                <w:szCs w:val="21"/>
              </w:rPr>
              <w:t>额</w:t>
            </w:r>
            <w:r>
              <w:rPr>
                <w:rFonts w:ascii="宋体" w:hAnsi="宋体" w:cs="宋体" w:eastAsia="宋体" w:hint="default"/>
                <w:sz w:val="21"/>
                <w:szCs w:val="21"/>
              </w:rPr>
              <w:t>（减少以</w:t>
            </w:r>
          </w:p>
        </w:tc>
        <w:tc>
          <w:tcPr>
            <w:tcW w:w="1265" w:type="dxa"/>
            <w:vMerge/>
            <w:tcBorders>
              <w:left w:val="single" w:sz="13" w:space="0" w:color="D2D2D2"/>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1253"/>
        <w:gridCol w:w="568"/>
        <w:gridCol w:w="1275"/>
        <w:gridCol w:w="426"/>
        <w:gridCol w:w="425"/>
        <w:gridCol w:w="425"/>
        <w:gridCol w:w="1134"/>
        <w:gridCol w:w="1277"/>
        <w:gridCol w:w="1349"/>
      </w:tblGrid>
      <w:tr>
        <w:trPr>
          <w:trHeight w:val="25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22" w:right="22"/>
              <w:jc w:val="left"/>
              <w:rPr>
                <w:rFonts w:ascii="宋体" w:hAnsi="宋体" w:cs="宋体" w:eastAsia="宋体" w:hint="default"/>
                <w:sz w:val="21"/>
                <w:szCs w:val="21"/>
              </w:rPr>
            </w:pPr>
            <w:r>
              <w:rPr>
                <w:rFonts w:ascii="宋体" w:hAnsi="宋体" w:cs="宋体" w:eastAsia="宋体" w:hint="default"/>
                <w:spacing w:val="-13"/>
                <w:sz w:val="21"/>
                <w:szCs w:val="21"/>
              </w:rPr>
              <w:t>（一）综合收益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总额</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21"/>
                <w:szCs w:val="21"/>
              </w:rPr>
            </w:pPr>
            <w:r>
              <w:rPr>
                <w:rFonts w:ascii="Times New Roman"/>
                <w:sz w:val="21"/>
              </w:rPr>
              <w:t>34,424,203.26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84" w:right="0"/>
              <w:jc w:val="center"/>
              <w:rPr>
                <w:rFonts w:ascii="Times New Roman" w:hAnsi="Times New Roman" w:cs="Times New Roman" w:eastAsia="Times New Roman" w:hint="default"/>
                <w:sz w:val="21"/>
                <w:szCs w:val="21"/>
              </w:rPr>
            </w:pPr>
            <w:r>
              <w:rPr>
                <w:rFonts w:ascii="Times New Roman"/>
                <w:sz w:val="21"/>
              </w:rPr>
              <w:t>34,424,203.26</w:t>
            </w:r>
          </w:p>
        </w:tc>
      </w:tr>
      <w:tr>
        <w:trPr>
          <w:trHeight w:val="49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22"/>
              <w:jc w:val="left"/>
              <w:rPr>
                <w:rFonts w:ascii="宋体" w:hAnsi="宋体" w:cs="宋体" w:eastAsia="宋体" w:hint="default"/>
                <w:sz w:val="21"/>
                <w:szCs w:val="21"/>
              </w:rPr>
            </w:pPr>
            <w:r>
              <w:rPr>
                <w:rFonts w:ascii="宋体" w:hAnsi="宋体" w:cs="宋体" w:eastAsia="宋体" w:hint="default"/>
                <w:spacing w:val="-13"/>
                <w:sz w:val="21"/>
                <w:szCs w:val="21"/>
              </w:rPr>
              <w:t>（二）所有者投</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入和减少资本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4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 的普通股</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22" w:right="4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 具持有者投入 资本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4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 入所有者权益 的金额</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6"/>
                <w:sz w:val="21"/>
                <w:szCs w:val="21"/>
              </w:rPr>
              <w:t>）</w:t>
            </w:r>
            <w:r>
              <w:rPr>
                <w:rFonts w:ascii="宋体" w:hAnsi="宋体" w:cs="宋体" w:eastAsia="宋体" w:hint="default"/>
                <w:sz w:val="21"/>
                <w:szCs w:val="21"/>
              </w:rPr>
              <w:t>利润分配</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Times New Roman" w:hAnsi="Times New Roman" w:cs="Times New Roman" w:eastAsia="Times New Roman" w:hint="default"/>
                <w:sz w:val="21"/>
                <w:szCs w:val="21"/>
              </w:rPr>
            </w:pPr>
            <w:r>
              <w:rPr>
                <w:rFonts w:ascii="Times New Roman"/>
                <w:spacing w:val="-1"/>
                <w:sz w:val="21"/>
              </w:rPr>
              <w:t>3,442,420.3</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21"/>
                <w:szCs w:val="21"/>
              </w:rPr>
            </w:pPr>
            <w:r>
              <w:rPr>
                <w:rFonts w:ascii="Times New Roman"/>
                <w:spacing w:val="-1"/>
                <w:sz w:val="21"/>
              </w:rPr>
              <w:t>-7,208,984.53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19" w:right="0"/>
              <w:jc w:val="center"/>
              <w:rPr>
                <w:rFonts w:ascii="Times New Roman" w:hAnsi="Times New Roman" w:cs="Times New Roman" w:eastAsia="Times New Roman" w:hint="default"/>
                <w:sz w:val="21"/>
                <w:szCs w:val="21"/>
              </w:rPr>
            </w:pPr>
            <w:r>
              <w:rPr>
                <w:rFonts w:ascii="Times New Roman"/>
                <w:sz w:val="21"/>
              </w:rPr>
              <w:t>-3,766,564.20</w:t>
            </w:r>
          </w:p>
        </w:tc>
      </w:tr>
      <w:tr>
        <w:trPr>
          <w:trHeight w:val="49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4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 积</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3,442,420.3</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21"/>
                <w:szCs w:val="21"/>
              </w:rPr>
            </w:pPr>
            <w:r>
              <w:rPr>
                <w:rFonts w:ascii="Times New Roman"/>
                <w:spacing w:val="-1"/>
                <w:sz w:val="21"/>
              </w:rPr>
              <w:t>-3,442,420.33</w:t>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22"/>
              <w:jc w:val="left"/>
              <w:rPr>
                <w:rFonts w:ascii="宋体" w:hAnsi="宋体" w:cs="宋体" w:eastAsia="宋体" w:hint="default"/>
                <w:sz w:val="21"/>
                <w:szCs w:val="21"/>
              </w:rPr>
            </w:pPr>
            <w:r>
              <w:rPr>
                <w:rFonts w:ascii="Times New Roman" w:hAnsi="Times New Roman" w:cs="Times New Roman" w:eastAsia="Times New Roman" w:hint="default"/>
                <w:spacing w:val="-24"/>
                <w:sz w:val="21"/>
                <w:szCs w:val="21"/>
              </w:rPr>
              <w:t>2</w:t>
            </w:r>
            <w:r>
              <w:rPr>
                <w:rFonts w:ascii="宋体" w:hAnsi="宋体" w:cs="宋体" w:eastAsia="宋体" w:hint="default"/>
                <w:spacing w:val="-24"/>
                <w:sz w:val="21"/>
                <w:szCs w:val="21"/>
              </w:rPr>
              <w:t>．对所有者（或</w:t>
            </w:r>
            <w:r>
              <w:rPr>
                <w:rFonts w:ascii="宋体" w:hAnsi="宋体" w:cs="宋体" w:eastAsia="宋体" w:hint="default"/>
                <w:sz w:val="21"/>
                <w:szCs w:val="21"/>
              </w:rPr>
              <w:t> 股东）的分配</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21"/>
                <w:szCs w:val="21"/>
              </w:rPr>
            </w:pPr>
            <w:r>
              <w:rPr>
                <w:rFonts w:ascii="Times New Roman"/>
                <w:spacing w:val="-1"/>
                <w:sz w:val="21"/>
              </w:rPr>
              <w:t>-3,766,564.20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19" w:right="0"/>
              <w:jc w:val="center"/>
              <w:rPr>
                <w:rFonts w:ascii="Times New Roman" w:hAnsi="Times New Roman" w:cs="Times New Roman" w:eastAsia="Times New Roman" w:hint="default"/>
                <w:sz w:val="21"/>
                <w:szCs w:val="21"/>
              </w:rPr>
            </w:pPr>
            <w:r>
              <w:rPr>
                <w:rFonts w:ascii="Times New Roman"/>
                <w:sz w:val="21"/>
              </w:rPr>
              <w:t>-3,766,564.20</w:t>
            </w:r>
          </w:p>
        </w:tc>
      </w:tr>
      <w:tr>
        <w:trPr>
          <w:trHeight w:val="25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22"/>
              <w:jc w:val="left"/>
              <w:rPr>
                <w:rFonts w:ascii="宋体" w:hAnsi="宋体" w:cs="宋体" w:eastAsia="宋体" w:hint="default"/>
                <w:sz w:val="21"/>
                <w:szCs w:val="21"/>
              </w:rPr>
            </w:pPr>
            <w:r>
              <w:rPr>
                <w:rFonts w:ascii="宋体" w:hAnsi="宋体" w:cs="宋体" w:eastAsia="宋体" w:hint="default"/>
                <w:spacing w:val="-13"/>
                <w:sz w:val="21"/>
                <w:szCs w:val="21"/>
              </w:rPr>
              <w:t>（四）所有者权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益内部结转</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4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 增资本（或股 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22" w:right="4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 增资本（或股 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4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 补亏损</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42"/>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．设定受益计 划变动额结转 留存收益</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22"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86"/>
                <w:sz w:val="21"/>
                <w:szCs w:val="21"/>
              </w:rPr>
              <w:t>）</w:t>
            </w:r>
            <w:r>
              <w:rPr>
                <w:rFonts w:ascii="宋体" w:hAnsi="宋体" w:cs="宋体" w:eastAsia="宋体" w:hint="default"/>
                <w:sz w:val="21"/>
                <w:szCs w:val="21"/>
              </w:rPr>
              <w:t>专项储备</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w w:val="95"/>
                <w:sz w:val="21"/>
              </w:rPr>
              <w:t>-216,161,151.</w:t>
            </w:r>
            <w:r>
              <w:rPr>
                <w:rFonts w:ascii="Times New Roman"/>
                <w:sz w:val="21"/>
              </w:rPr>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63</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-216,161,151.6</w:t>
            </w: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3</w:t>
            </w:r>
          </w:p>
        </w:tc>
      </w:tr>
      <w:tr>
        <w:trPr>
          <w:trHeight w:val="49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22"/>
              <w:jc w:val="left"/>
              <w:rPr>
                <w:rFonts w:ascii="宋体" w:hAnsi="宋体" w:cs="宋体" w:eastAsia="宋体" w:hint="default"/>
                <w:sz w:val="21"/>
                <w:szCs w:val="21"/>
              </w:rPr>
            </w:pPr>
            <w:r>
              <w:rPr>
                <w:rFonts w:ascii="宋体" w:hAnsi="宋体" w:cs="宋体" w:eastAsia="宋体" w:hint="default"/>
                <w:spacing w:val="-13"/>
                <w:sz w:val="21"/>
                <w:szCs w:val="21"/>
              </w:rPr>
              <w:t>四、本期期末余</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z w:val="21"/>
              </w:rPr>
              <w:t>376,656,420.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533,365,302.0</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4</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z w:val="21"/>
              </w:rPr>
              <w:t>64,909,865.</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312,019,530.0</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1,286,951,117.</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z w:val="21"/>
              </w:rPr>
              <w:t>97</w:t>
            </w:r>
          </w:p>
        </w:tc>
      </w:tr>
    </w:tbl>
    <w:p>
      <w:pPr>
        <w:spacing w:line="240" w:lineRule="auto" w:before="2"/>
        <w:rPr>
          <w:rFonts w:ascii="宋体" w:hAnsi="宋体" w:cs="宋体" w:eastAsia="宋体" w:hint="default"/>
          <w:sz w:val="19"/>
          <w:szCs w:val="19"/>
        </w:rPr>
      </w:pPr>
    </w:p>
    <w:p>
      <w:pPr>
        <w:tabs>
          <w:tab w:pos="3401" w:val="left" w:leader="none"/>
          <w:tab w:pos="7490" w:val="left" w:leader="none"/>
        </w:tabs>
        <w:spacing w:before="35"/>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法定代表人：李海鹰</w:t>
        <w:tab/>
        <w:t>主管会计工作负责人：侯菊艳</w:t>
        <w:tab/>
        <w:t>会计机构负责人：窦永贺</w:t>
      </w:r>
    </w:p>
    <w:p>
      <w:pPr>
        <w:spacing w:line="240" w:lineRule="auto" w:before="12"/>
        <w:rPr>
          <w:rFonts w:ascii="宋体" w:hAnsi="宋体" w:cs="宋体" w:eastAsia="宋体" w:hint="default"/>
          <w:sz w:val="23"/>
          <w:szCs w:val="23"/>
        </w:rPr>
      </w:pPr>
    </w:p>
    <w:p>
      <w:pPr>
        <w:pStyle w:val="Heading2"/>
        <w:spacing w:line="240" w:lineRule="auto" w:before="0"/>
        <w:ind w:right="0"/>
        <w:jc w:val="left"/>
        <w:rPr>
          <w:b w:val="0"/>
          <w:bCs w:val="0"/>
        </w:rPr>
      </w:pPr>
      <w:bookmarkStart w:name="三、公司基本情况" w:id="175"/>
      <w:bookmarkEnd w:id="175"/>
      <w:r>
        <w:rPr>
          <w:b w:val="0"/>
          <w:bCs w:val="0"/>
        </w:rPr>
      </w:r>
      <w:r>
        <w:rPr/>
        <w:t>三、公司基本情况</w:t>
      </w:r>
      <w:r>
        <w:rPr>
          <w:b w:val="0"/>
          <w:bCs w:val="0"/>
        </w:rPr>
      </w:r>
    </w:p>
    <w:p>
      <w:pPr>
        <w:spacing w:line="240" w:lineRule="auto" w:before="6"/>
        <w:rPr>
          <w:rFonts w:ascii="宋体" w:hAnsi="宋体" w:cs="宋体" w:eastAsia="宋体" w:hint="default"/>
          <w:b/>
          <w:bCs/>
          <w:sz w:val="32"/>
          <w:szCs w:val="32"/>
        </w:rPr>
      </w:pPr>
    </w:p>
    <w:p>
      <w:pPr>
        <w:pStyle w:val="BodyText"/>
        <w:spacing w:line="350" w:lineRule="auto" w:before="0"/>
        <w:ind w:left="634" w:right="1118"/>
        <w:jc w:val="left"/>
      </w:pPr>
      <w:r>
        <w:rPr/>
        <w:t>（</w:t>
      </w:r>
      <w:r>
        <w:rPr>
          <w:rFonts w:ascii="宋体" w:hAnsi="宋体" w:cs="宋体" w:eastAsia="宋体" w:hint="default"/>
        </w:rPr>
        <w:t>1</w:t>
      </w:r>
      <w:r>
        <w:rPr/>
        <w:t>）公司注册地、组织形式和总部地址 </w:t>
      </w:r>
      <w:r>
        <w:rPr>
          <w:spacing w:val="-7"/>
        </w:rPr>
        <w:t>河南辉煌科技股份有限公司（以下简称“公司”或“本公司”）系于</w:t>
      </w:r>
      <w:r>
        <w:rPr>
          <w:spacing w:val="-59"/>
        </w:rPr>
        <w:t> </w:t>
      </w:r>
      <w:r>
        <w:rPr>
          <w:rFonts w:ascii="宋体" w:hAnsi="宋体" w:cs="宋体" w:eastAsia="宋体" w:hint="default"/>
        </w:rPr>
        <w:t>2001</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月经河南</w:t>
      </w:r>
    </w:p>
    <w:p>
      <w:pPr>
        <w:pStyle w:val="BodyText"/>
        <w:spacing w:line="352" w:lineRule="auto" w:before="35"/>
        <w:ind w:right="1115"/>
        <w:jc w:val="left"/>
      </w:pPr>
      <w:r>
        <w:rPr/>
        <w:t>省人民政府豫股批字</w:t>
      </w:r>
      <w:r>
        <w:rPr>
          <w:rFonts w:ascii="宋体" w:hAnsi="宋体" w:cs="宋体" w:eastAsia="宋体" w:hint="default"/>
        </w:rPr>
        <w:t>(2001)35</w:t>
      </w:r>
      <w:r>
        <w:rPr>
          <w:rFonts w:ascii="宋体" w:hAnsi="宋体" w:cs="宋体" w:eastAsia="宋体" w:hint="default"/>
          <w:spacing w:val="-58"/>
        </w:rPr>
        <w:t> </w:t>
      </w:r>
      <w:r>
        <w:rPr>
          <w:spacing w:val="-3"/>
        </w:rPr>
        <w:t>号文批准，由李海鹰等</w:t>
      </w:r>
      <w:r>
        <w:rPr>
          <w:spacing w:val="-58"/>
        </w:rPr>
        <w:t> </w:t>
      </w:r>
      <w:r>
        <w:rPr>
          <w:rFonts w:ascii="宋体" w:hAnsi="宋体" w:cs="宋体" w:eastAsia="宋体" w:hint="default"/>
        </w:rPr>
        <w:t>9</w:t>
      </w:r>
      <w:r>
        <w:rPr>
          <w:rFonts w:ascii="宋体" w:hAnsi="宋体" w:cs="宋体" w:eastAsia="宋体" w:hint="default"/>
          <w:spacing w:val="-58"/>
        </w:rPr>
        <w:t> </w:t>
      </w:r>
      <w:r>
        <w:rPr/>
        <w:t>位自然人共同发起设立的股份有限公 司。公司的统一社会信用代码：</w:t>
      </w:r>
      <w:r>
        <w:rPr>
          <w:rFonts w:ascii="宋体" w:hAnsi="宋体" w:cs="宋体" w:eastAsia="宋体" w:hint="default"/>
        </w:rPr>
        <w:t>914101007324826746</w:t>
      </w:r>
      <w:r>
        <w:rPr/>
        <w:t>，并于</w:t>
      </w:r>
      <w:r>
        <w:rPr>
          <w:spacing w:val="-54"/>
        </w:rPr>
        <w:t> </w:t>
      </w:r>
      <w:r>
        <w:rPr>
          <w:rFonts w:ascii="宋体" w:hAnsi="宋体" w:cs="宋体" w:eastAsia="宋体" w:hint="default"/>
        </w:rPr>
        <w:t>2009</w:t>
      </w:r>
      <w:r>
        <w:rPr>
          <w:rFonts w:ascii="宋体" w:hAnsi="宋体" w:cs="宋体" w:eastAsia="宋体" w:hint="default"/>
          <w:spacing w:val="-54"/>
        </w:rPr>
        <w:t> </w:t>
      </w:r>
      <w:r>
        <w:rPr/>
        <w:t>年</w:t>
      </w:r>
      <w:r>
        <w:rPr>
          <w:spacing w:val="-53"/>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29</w:t>
      </w:r>
      <w:r>
        <w:rPr>
          <w:rFonts w:ascii="宋体" w:hAnsi="宋体" w:cs="宋体" w:eastAsia="宋体" w:hint="default"/>
          <w:spacing w:val="-54"/>
        </w:rPr>
        <w:t> </w:t>
      </w:r>
      <w:r>
        <w:rPr/>
        <w:t>日在深圳证券交</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right="0"/>
        <w:jc w:val="left"/>
      </w:pPr>
      <w:r>
        <w:rPr/>
        <w:t>易所上市。</w:t>
      </w:r>
    </w:p>
    <w:p>
      <w:pPr>
        <w:pStyle w:val="BodyText"/>
        <w:spacing w:line="240" w:lineRule="auto" w:before="145"/>
        <w:ind w:left="634" w:right="0"/>
        <w:jc w:val="left"/>
      </w:pPr>
      <w:r>
        <w:rPr>
          <w:spacing w:val="-3"/>
        </w:rPr>
        <w:t>经过历年的派送红股、配售新股、转增股本及增发新股，截至</w:t>
      </w:r>
      <w:r>
        <w:rPr>
          <w:spacing w:val="-57"/>
        </w:rPr>
        <w:t> </w:t>
      </w:r>
      <w:r>
        <w:rPr>
          <w:rFonts w:ascii="宋体" w:hAnsi="宋体" w:cs="宋体" w:eastAsia="宋体" w:hint="default"/>
        </w:rPr>
        <w:t>2018</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spacing w:val="-6"/>
        </w:rPr>
        <w:t>日，本公</w:t>
      </w:r>
    </w:p>
    <w:p>
      <w:pPr>
        <w:pStyle w:val="BodyText"/>
        <w:spacing w:line="240" w:lineRule="auto" w:before="146"/>
        <w:ind w:right="0"/>
        <w:jc w:val="left"/>
      </w:pPr>
      <w:r>
        <w:rPr/>
        <w:t>司累计发行股本总数</w:t>
      </w:r>
      <w:r>
        <w:rPr>
          <w:spacing w:val="-50"/>
        </w:rPr>
        <w:t> </w:t>
      </w:r>
      <w:r>
        <w:rPr>
          <w:rFonts w:ascii="宋体" w:hAnsi="宋体" w:cs="宋体" w:eastAsia="宋体" w:hint="default"/>
        </w:rPr>
        <w:t>37,665.642</w:t>
      </w:r>
      <w:r>
        <w:rPr>
          <w:rFonts w:ascii="宋体" w:hAnsi="宋体" w:cs="宋体" w:eastAsia="宋体" w:hint="default"/>
          <w:spacing w:val="-51"/>
        </w:rPr>
        <w:t> </w:t>
      </w:r>
      <w:r>
        <w:rPr/>
        <w:t>万股，注册资本为</w:t>
      </w:r>
      <w:r>
        <w:rPr>
          <w:spacing w:val="-50"/>
        </w:rPr>
        <w:t> </w:t>
      </w:r>
      <w:r>
        <w:rPr>
          <w:rFonts w:ascii="宋体" w:hAnsi="宋体" w:cs="宋体" w:eastAsia="宋体" w:hint="default"/>
        </w:rPr>
        <w:t>37,665.642</w:t>
      </w:r>
      <w:r>
        <w:rPr>
          <w:rFonts w:ascii="宋体" w:hAnsi="宋体" w:cs="宋体" w:eastAsia="宋体" w:hint="default"/>
          <w:spacing w:val="-51"/>
        </w:rPr>
        <w:t> </w:t>
      </w:r>
      <w:r>
        <w:rPr/>
        <w:t>万元，注册地址：郑州市高</w:t>
      </w:r>
    </w:p>
    <w:p>
      <w:pPr>
        <w:pStyle w:val="BodyText"/>
        <w:spacing w:line="350" w:lineRule="auto" w:before="146"/>
        <w:ind w:right="1115"/>
        <w:jc w:val="left"/>
      </w:pPr>
      <w:r>
        <w:rPr/>
        <w:t>新技术产业开发区科学大道</w:t>
      </w:r>
      <w:r>
        <w:rPr>
          <w:spacing w:val="-50"/>
        </w:rPr>
        <w:t> </w:t>
      </w:r>
      <w:r>
        <w:rPr>
          <w:rFonts w:ascii="宋体" w:hAnsi="宋体" w:cs="宋体" w:eastAsia="宋体" w:hint="default"/>
        </w:rPr>
        <w:t>74</w:t>
      </w:r>
      <w:r>
        <w:rPr>
          <w:rFonts w:ascii="宋体" w:hAnsi="宋体" w:cs="宋体" w:eastAsia="宋体" w:hint="default"/>
          <w:spacing w:val="-51"/>
        </w:rPr>
        <w:t> </w:t>
      </w:r>
      <w:r>
        <w:rPr/>
        <w:t>号，总部地址：郑州市高新技术产业开发区科学大道</w:t>
      </w:r>
      <w:r>
        <w:rPr>
          <w:spacing w:val="-51"/>
        </w:rPr>
        <w:t> </w:t>
      </w:r>
      <w:r>
        <w:rPr>
          <w:rFonts w:ascii="宋体" w:hAnsi="宋体" w:cs="宋体" w:eastAsia="宋体" w:hint="default"/>
        </w:rPr>
        <w:t>74</w:t>
      </w:r>
      <w:r>
        <w:rPr>
          <w:rFonts w:ascii="宋体" w:hAnsi="宋体" w:cs="宋体" w:eastAsia="宋体" w:hint="default"/>
          <w:spacing w:val="-51"/>
        </w:rPr>
        <w:t> </w:t>
      </w:r>
      <w:r>
        <w:rPr/>
        <w:t>号， 公司第一大股东为李海鹰，持股比例为</w:t>
      </w:r>
      <w:r>
        <w:rPr>
          <w:spacing w:val="-60"/>
        </w:rPr>
        <w:t> </w:t>
      </w:r>
      <w:r>
        <w:rPr>
          <w:rFonts w:ascii="宋体" w:hAnsi="宋体" w:cs="宋体" w:eastAsia="宋体" w:hint="default"/>
        </w:rPr>
        <w:t>10.75%</w:t>
      </w:r>
      <w:r>
        <w:rPr/>
        <w:t>。</w:t>
      </w:r>
    </w:p>
    <w:p>
      <w:pPr>
        <w:pStyle w:val="BodyText"/>
        <w:spacing w:line="350" w:lineRule="auto"/>
        <w:ind w:left="634" w:right="0"/>
        <w:jc w:val="left"/>
      </w:pPr>
      <w:r>
        <w:rPr/>
        <w:t>（</w:t>
      </w:r>
      <w:r>
        <w:rPr>
          <w:rFonts w:ascii="宋体" w:hAnsi="宋体" w:cs="宋体" w:eastAsia="宋体" w:hint="default"/>
        </w:rPr>
        <w:t>2</w:t>
      </w:r>
      <w:r>
        <w:rPr/>
        <w:t>）经营范围 公司主要经营范围：机电液一体化技术、计算机软件、电子控制技术、铁路专用设备、</w:t>
      </w:r>
    </w:p>
    <w:p>
      <w:pPr>
        <w:pStyle w:val="BodyText"/>
        <w:spacing w:line="352" w:lineRule="auto" w:before="35"/>
        <w:ind w:right="0"/>
        <w:jc w:val="left"/>
      </w:pPr>
      <w:r>
        <w:rPr>
          <w:spacing w:val="-3"/>
        </w:rPr>
        <w:t>电气设备的研发、销售并提供技术咨询、技术开发、技术转让、技术推广；计算机监控设备、</w:t>
      </w:r>
      <w:r>
        <w:rPr>
          <w:spacing w:val="-82"/>
        </w:rPr>
        <w:t> </w:t>
      </w:r>
      <w:r>
        <w:rPr>
          <w:spacing w:val="-82"/>
        </w:rPr>
      </w:r>
      <w:r>
        <w:rPr>
          <w:spacing w:val="-5"/>
        </w:rPr>
        <w:t>电子产品的设计、开发、生产；通讯设备（凭有效批准证书并按其核定和范围经营）、电子器</w:t>
      </w:r>
      <w:r>
        <w:rPr/>
        <w:t> 件、仪器仪表、电子产品的销售；软件开发；信息服务；计算机系统集成：铁路电务工程施 </w:t>
      </w:r>
      <w:r>
        <w:rPr>
          <w:spacing w:val="-5"/>
        </w:rPr>
        <w:t>工（凭有效资质证核定的范围和期限经营，未获审批前，不得经营）；设计、制作、代理、发</w:t>
      </w:r>
      <w:r>
        <w:rPr>
          <w:spacing w:val="-118"/>
        </w:rPr>
        <w:t> </w:t>
      </w:r>
      <w:r>
        <w:rPr>
          <w:spacing w:val="-118"/>
        </w:rPr>
      </w:r>
      <w:r>
        <w:rPr/>
        <w:t>布国内广告业务、会议及展览展示业务。</w:t>
      </w:r>
    </w:p>
    <w:p>
      <w:pPr>
        <w:pStyle w:val="BodyText"/>
        <w:spacing w:line="352" w:lineRule="auto" w:before="32"/>
        <w:ind w:left="634" w:right="0"/>
        <w:jc w:val="left"/>
      </w:pPr>
      <w:r>
        <w:rPr/>
        <w:t>（</w:t>
      </w:r>
      <w:r>
        <w:rPr>
          <w:rFonts w:ascii="宋体" w:hAnsi="宋体" w:cs="宋体" w:eastAsia="宋体" w:hint="default"/>
        </w:rPr>
        <w:t>3</w:t>
      </w:r>
      <w:r>
        <w:rPr/>
        <w:t>）公司业务性质和主要经营活动 公司的主营业务为铁路通信信号领域产品的研制开发、生产及销售。 公司的主要产品为铁路通信信号和铁路运输调度指挥管理领域的软件和系统集成产品，</w:t>
      </w:r>
    </w:p>
    <w:p>
      <w:pPr>
        <w:pStyle w:val="BodyText"/>
        <w:spacing w:line="350" w:lineRule="auto" w:before="33"/>
        <w:ind w:right="0"/>
        <w:jc w:val="left"/>
      </w:pPr>
      <w:r>
        <w:rPr/>
        <w:t>具体为：设备监测类产品：包括信号集中监测及子系统、融雪系统、信号维护支持系统、道 岔缺口监测、道岔综合监测、电务设备动态监测分析系统等；安防类产品：包括铁路防灾安 全监控系统、铁路综合视频监控系统、城轨综合监控系统、动力环境监控等；生产指挥及运 </w:t>
      </w:r>
      <w:r>
        <w:rPr>
          <w:spacing w:val="-3"/>
        </w:rPr>
        <w:t>输调度信息化类产品：包括电务生产指挥、铁路安全生产指挥综合系统等；信号控制类产品：</w:t>
      </w:r>
      <w:r>
        <w:rPr>
          <w:spacing w:val="-81"/>
        </w:rPr>
        <w:t> </w:t>
      </w:r>
      <w:r>
        <w:rPr>
          <w:spacing w:val="-81"/>
        </w:rPr>
      </w:r>
      <w:r>
        <w:rPr/>
        <w:t>包括无线调车机车信号、计算机联锁等；电源类设备产品：包括电源屏设备及子系统；信号</w:t>
      </w:r>
      <w:r>
        <w:rPr/>
        <w:t> 设备及器材产品：包括信号设备及器材、道岔转辙机、水冲洗设备产品等。</w:t>
      </w:r>
    </w:p>
    <w:p>
      <w:pPr>
        <w:pStyle w:val="BodyText"/>
        <w:spacing w:line="240" w:lineRule="auto" w:before="35"/>
        <w:ind w:left="634" w:right="0"/>
        <w:jc w:val="left"/>
      </w:pPr>
      <w:r>
        <w:rPr/>
        <w:t>（</w:t>
      </w:r>
      <w:r>
        <w:rPr>
          <w:rFonts w:ascii="宋体" w:hAnsi="宋体" w:cs="宋体" w:eastAsia="宋体" w:hint="default"/>
        </w:rPr>
        <w:t>4</w:t>
      </w:r>
      <w:r>
        <w:rPr/>
        <w:t>）财务报表的批准报出</w:t>
      </w:r>
    </w:p>
    <w:p>
      <w:pPr>
        <w:pStyle w:val="BodyText"/>
        <w:spacing w:line="240" w:lineRule="auto" w:before="145"/>
        <w:ind w:left="634" w:right="0"/>
        <w:jc w:val="left"/>
      </w:pPr>
      <w:r>
        <w:rPr/>
        <w:t>本财务报表业经公司董事会于</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日批准报出。</w:t>
      </w:r>
    </w:p>
    <w:p>
      <w:pPr>
        <w:pStyle w:val="BodyText"/>
        <w:spacing w:line="240" w:lineRule="auto" w:before="146"/>
        <w:ind w:left="634" w:right="0"/>
        <w:jc w:val="left"/>
      </w:pPr>
      <w:r>
        <w:rPr/>
        <w:t>本期纳入合并财务报表范围的主体共</w:t>
      </w:r>
      <w:r>
        <w:rPr>
          <w:spacing w:val="-60"/>
        </w:rPr>
        <w:t> </w:t>
      </w:r>
      <w:r>
        <w:rPr>
          <w:rFonts w:ascii="宋体" w:hAnsi="宋体" w:cs="宋体" w:eastAsia="宋体" w:hint="default"/>
        </w:rPr>
        <w:t>10</w:t>
      </w:r>
      <w:r>
        <w:rPr>
          <w:rFonts w:ascii="宋体" w:hAnsi="宋体" w:cs="宋体" w:eastAsia="宋体" w:hint="default"/>
          <w:spacing w:val="-60"/>
        </w:rPr>
        <w:t> </w:t>
      </w:r>
      <w:r>
        <w:rPr/>
        <w:t>户，具体包括：</w:t>
      </w:r>
    </w:p>
    <w:p>
      <w:pPr>
        <w:spacing w:line="240" w:lineRule="auto" w:before="5"/>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510"/>
        <w:gridCol w:w="1260"/>
        <w:gridCol w:w="725"/>
        <w:gridCol w:w="1517"/>
        <w:gridCol w:w="1517"/>
      </w:tblGrid>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河南辉煌信通软件有限公司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北京全路信通软件科技有限公司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河南辉煌城轨科技有限公司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北京国铁路阳技术有限公司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天津信通铁路电气技术有限公司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北京国铁路阳软件有限公司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10"/>
        <w:gridCol w:w="1260"/>
        <w:gridCol w:w="725"/>
        <w:gridCol w:w="1517"/>
        <w:gridCol w:w="1517"/>
      </w:tblGrid>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天津辉煌路阳科技有限公司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5" w:right="0"/>
              <w:jc w:val="lef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6" w:right="0"/>
              <w:jc w:val="lef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成都西南交大驱动技术有限责任公司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50" w:right="0"/>
              <w:jc w:val="left"/>
              <w:rPr>
                <w:rFonts w:ascii="Times New Roman" w:hAnsi="Times New Roman" w:cs="Times New Roman" w:eastAsia="Times New Roman" w:hint="default"/>
                <w:sz w:val="18"/>
                <w:szCs w:val="18"/>
              </w:rPr>
            </w:pPr>
            <w:r>
              <w:rPr>
                <w:rFonts w:ascii="Times New Roman"/>
                <w:sz w:val="18"/>
              </w:rPr>
              <w:t>51.00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50" w:right="0"/>
              <w:jc w:val="left"/>
              <w:rPr>
                <w:rFonts w:ascii="Times New Roman" w:hAnsi="Times New Roman" w:cs="Times New Roman" w:eastAsia="Times New Roman" w:hint="default"/>
                <w:sz w:val="18"/>
                <w:szCs w:val="18"/>
              </w:rPr>
            </w:pPr>
            <w:r>
              <w:rPr>
                <w:rFonts w:ascii="Times New Roman"/>
                <w:sz w:val="18"/>
              </w:rPr>
              <w:t>51.00</w:t>
            </w:r>
          </w:p>
        </w:tc>
      </w:tr>
      <w:tr>
        <w:trPr>
          <w:trHeight w:val="34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成都新一驱动科技有限责任公司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50" w:right="0"/>
              <w:jc w:val="left"/>
              <w:rPr>
                <w:rFonts w:ascii="Times New Roman" w:hAnsi="Times New Roman" w:cs="Times New Roman" w:eastAsia="Times New Roman" w:hint="default"/>
                <w:sz w:val="18"/>
                <w:szCs w:val="18"/>
              </w:rPr>
            </w:pPr>
            <w:r>
              <w:rPr>
                <w:rFonts w:ascii="Times New Roman"/>
                <w:sz w:val="18"/>
              </w:rPr>
              <w:t>51.00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50" w:right="0"/>
              <w:jc w:val="left"/>
              <w:rPr>
                <w:rFonts w:ascii="Times New Roman" w:hAnsi="Times New Roman" w:cs="Times New Roman" w:eastAsia="Times New Roman" w:hint="default"/>
                <w:sz w:val="18"/>
                <w:szCs w:val="18"/>
              </w:rPr>
            </w:pPr>
            <w:r>
              <w:rPr>
                <w:rFonts w:ascii="Times New Roman"/>
                <w:sz w:val="18"/>
              </w:rPr>
              <w:t>51.00</w:t>
            </w:r>
          </w:p>
        </w:tc>
      </w:tr>
    </w:tbl>
    <w:p>
      <w:pPr>
        <w:spacing w:line="240" w:lineRule="auto" w:before="10"/>
        <w:rPr>
          <w:rFonts w:ascii="宋体" w:hAnsi="宋体" w:cs="宋体" w:eastAsia="宋体" w:hint="default"/>
          <w:sz w:val="4"/>
          <w:szCs w:val="4"/>
        </w:rPr>
      </w:pPr>
    </w:p>
    <w:p>
      <w:pPr>
        <w:pStyle w:val="BodyText"/>
        <w:spacing w:line="240" w:lineRule="auto" w:before="26"/>
        <w:ind w:left="634" w:right="0"/>
        <w:jc w:val="left"/>
      </w:pPr>
      <w:r>
        <w:rPr>
          <w:rFonts w:ascii="宋体" w:hAnsi="宋体" w:cs="宋体" w:eastAsia="宋体" w:hint="default"/>
        </w:rPr>
        <w:t>1.</w:t>
      </w:r>
      <w:r>
        <w:rPr/>
        <w:t>本期无新纳入合并范围的子公司。</w:t>
      </w:r>
    </w:p>
    <w:p>
      <w:pPr>
        <w:pStyle w:val="BodyText"/>
        <w:spacing w:line="350" w:lineRule="auto" w:before="146"/>
        <w:ind w:right="1127" w:firstLine="480"/>
        <w:jc w:val="left"/>
      </w:pPr>
      <w:r>
        <w:rPr>
          <w:rFonts w:ascii="宋体" w:hAnsi="宋体" w:cs="宋体" w:eastAsia="宋体" w:hint="default"/>
        </w:rPr>
        <w:t>2.</w:t>
      </w:r>
      <w:r>
        <w:rPr/>
        <w:t>天津智信源科技有限公司于</w:t>
      </w:r>
      <w:r>
        <w:rPr>
          <w:spacing w:val="-58"/>
        </w:rPr>
        <w:t> </w:t>
      </w:r>
      <w:r>
        <w:rPr>
          <w:rFonts w:ascii="宋体" w:hAnsi="宋体" w:cs="宋体" w:eastAsia="宋体" w:hint="default"/>
        </w:rPr>
        <w:t>2016</w:t>
      </w:r>
      <w:r>
        <w:rPr>
          <w:rFonts w:ascii="宋体" w:hAnsi="宋体" w:cs="宋体" w:eastAsia="宋体" w:hint="default"/>
          <w:spacing w:val="-57"/>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t>月</w:t>
      </w:r>
      <w:r>
        <w:rPr>
          <w:spacing w:val="-58"/>
        </w:rPr>
        <w:t> </w:t>
      </w:r>
      <w:r>
        <w:rPr>
          <w:rFonts w:ascii="宋体" w:hAnsi="宋体" w:cs="宋体" w:eastAsia="宋体" w:hint="default"/>
        </w:rPr>
        <w:t>21</w:t>
      </w:r>
      <w:r>
        <w:rPr>
          <w:rFonts w:ascii="宋体" w:hAnsi="宋体" w:cs="宋体" w:eastAsia="宋体" w:hint="default"/>
          <w:spacing w:val="-58"/>
        </w:rPr>
        <w:t> </w:t>
      </w:r>
      <w:r>
        <w:rPr/>
        <w:t>日成立，截止到</w:t>
      </w:r>
      <w:r>
        <w:rPr>
          <w:spacing w:val="-57"/>
        </w:rPr>
        <w:t> </w:t>
      </w:r>
      <w:r>
        <w:rPr>
          <w:rFonts w:ascii="宋体" w:hAnsi="宋体" w:cs="宋体" w:eastAsia="宋体" w:hint="default"/>
        </w:rPr>
        <w:t>2018</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w:t>
      </w:r>
      <w:r>
        <w:rPr>
          <w:spacing w:val="-59"/>
        </w:rPr>
        <w:t> </w:t>
      </w:r>
      <w:r>
        <w:rPr>
          <w:rFonts w:ascii="宋体" w:hAnsi="宋体" w:cs="宋体" w:eastAsia="宋体" w:hint="default"/>
        </w:rPr>
        <w:t>6</w:t>
      </w:r>
      <w:r>
        <w:rPr>
          <w:rFonts w:ascii="宋体" w:hAnsi="宋体" w:cs="宋体" w:eastAsia="宋体" w:hint="default"/>
          <w:spacing w:val="-58"/>
        </w:rPr>
        <w:t> </w:t>
      </w:r>
      <w:r>
        <w:rPr/>
        <w:t>日注销解 散，本期不再纳入合并范围的子公司。</w:t>
      </w:r>
    </w:p>
    <w:p>
      <w:pPr>
        <w:spacing w:line="487" w:lineRule="auto" w:before="35"/>
        <w:ind w:left="154" w:right="1092" w:firstLine="480"/>
        <w:jc w:val="left"/>
        <w:rPr>
          <w:rFonts w:ascii="宋体" w:hAnsi="宋体" w:cs="宋体" w:eastAsia="宋体" w:hint="default"/>
          <w:sz w:val="24"/>
          <w:szCs w:val="24"/>
        </w:rPr>
      </w:pPr>
      <w:r>
        <w:rPr>
          <w:rFonts w:ascii="宋体" w:hAnsi="宋体" w:cs="宋体" w:eastAsia="宋体" w:hint="default"/>
          <w:spacing w:val="-5"/>
          <w:sz w:val="24"/>
          <w:szCs w:val="24"/>
        </w:rPr>
        <w:t>合并范围变更主体的具体信息详见“附注八、合并范围的变更”。</w:t>
      </w:r>
      <w:r>
        <w:rPr>
          <w:rFonts w:ascii="宋体" w:hAnsi="宋体" w:cs="宋体" w:eastAsia="宋体" w:hint="default"/>
          <w:sz w:val="24"/>
          <w:szCs w:val="24"/>
        </w:rPr>
        <w:t> </w:t>
      </w:r>
      <w:bookmarkStart w:name="四、财务报表的编制基础" w:id="176"/>
      <w:bookmarkEnd w:id="176"/>
      <w:r>
        <w:rPr>
          <w:rFonts w:ascii="宋体" w:hAnsi="宋体" w:cs="宋体" w:eastAsia="宋体" w:hint="default"/>
          <w:sz w:val="24"/>
          <w:szCs w:val="24"/>
        </w:rPr>
      </w:r>
      <w:r>
        <w:rPr>
          <w:rFonts w:ascii="宋体" w:hAnsi="宋体" w:cs="宋体" w:eastAsia="宋体" w:hint="default"/>
          <w:b/>
          <w:bCs/>
          <w:sz w:val="24"/>
          <w:szCs w:val="24"/>
        </w:rPr>
        <w:t>四、财务报表的编制基础</w:t>
      </w:r>
      <w:r>
        <w:rPr>
          <w:rFonts w:ascii="宋体" w:hAnsi="宋体" w:cs="宋体" w:eastAsia="宋体" w:hint="default"/>
          <w:sz w:val="24"/>
          <w:szCs w:val="24"/>
        </w:rPr>
      </w:r>
    </w:p>
    <w:p>
      <w:pPr>
        <w:pStyle w:val="Heading2"/>
        <w:spacing w:line="240" w:lineRule="auto" w:before="176"/>
        <w:ind w:right="0"/>
        <w:jc w:val="left"/>
        <w:rPr>
          <w:b w:val="0"/>
          <w:bCs w:val="0"/>
        </w:rPr>
      </w:pPr>
      <w:bookmarkStart w:name="1、编制基础" w:id="177"/>
      <w:bookmarkEnd w:id="177"/>
      <w:r>
        <w:rPr>
          <w:b w:val="0"/>
          <w:bCs w:val="0"/>
        </w:rPr>
      </w:r>
      <w:r>
        <w:rPr>
          <w:rFonts w:ascii="Times New Roman" w:hAnsi="Times New Roman" w:cs="Times New Roman" w:eastAsia="Times New Roman" w:hint="default"/>
        </w:rPr>
        <w:t>1</w:t>
      </w:r>
      <w:r>
        <w:rPr/>
        <w:t>、编制基础</w:t>
      </w:r>
      <w:r>
        <w:rPr>
          <w:b w:val="0"/>
          <w:bCs w:val="0"/>
        </w:rPr>
      </w:r>
    </w:p>
    <w:p>
      <w:pPr>
        <w:pStyle w:val="BodyText"/>
        <w:spacing w:line="350" w:lineRule="auto" w:before="127"/>
        <w:ind w:right="1109" w:firstLine="480"/>
        <w:jc w:val="both"/>
      </w:pPr>
      <w:r>
        <w:rPr/>
        <w:t>本公司根据实际发生的交易和事项，按照财政部颁布的《企业会计准则——基本准则》 和具体企业会计准则、企业会计准则应用指南、企业会计准则解释及其他相关规定（以下合 </w:t>
      </w:r>
      <w:r>
        <w:rPr>
          <w:spacing w:val="-5"/>
        </w:rPr>
        <w:t>称“企业会计准则”）进行确认和计量，在此基础上，结合中国证券监督管理委员会《公开发</w:t>
      </w:r>
      <w:r>
        <w:rPr/>
        <w:t> 行证券的公司信息披露编报规则第</w:t>
      </w:r>
      <w:r>
        <w:rPr>
          <w:spacing w:val="-59"/>
        </w:rPr>
        <w:t> </w:t>
      </w:r>
      <w:r>
        <w:rPr>
          <w:rFonts w:ascii="宋体" w:hAnsi="宋体" w:cs="宋体" w:eastAsia="宋体" w:hint="default"/>
        </w:rPr>
        <w:t>15</w:t>
      </w:r>
      <w:r>
        <w:rPr>
          <w:rFonts w:ascii="宋体" w:hAnsi="宋体" w:cs="宋体" w:eastAsia="宋体" w:hint="default"/>
          <w:spacing w:val="-59"/>
        </w:rPr>
        <w:t> </w:t>
      </w:r>
      <w:r>
        <w:rPr>
          <w:spacing w:val="-7"/>
        </w:rPr>
        <w:t>号——财务报告的一般规定》（</w:t>
      </w:r>
      <w:r>
        <w:rPr>
          <w:rFonts w:ascii="宋体" w:hAnsi="宋体" w:cs="宋体" w:eastAsia="宋体" w:hint="default"/>
          <w:spacing w:val="-7"/>
        </w:rPr>
        <w:t>2014</w:t>
      </w:r>
      <w:r>
        <w:rPr>
          <w:rFonts w:ascii="宋体" w:hAnsi="宋体" w:cs="宋体" w:eastAsia="宋体" w:hint="default"/>
          <w:spacing w:val="-59"/>
        </w:rPr>
        <w:t> </w:t>
      </w:r>
      <w:r>
        <w:rPr/>
        <w:t>年修订）的规定， 编制财务报表。</w:t>
      </w:r>
    </w:p>
    <w:p>
      <w:pPr>
        <w:pStyle w:val="Heading2"/>
        <w:spacing w:line="240" w:lineRule="auto" w:before="36"/>
        <w:ind w:right="0"/>
        <w:jc w:val="left"/>
        <w:rPr>
          <w:b w:val="0"/>
          <w:bCs w:val="0"/>
        </w:rPr>
      </w:pPr>
      <w:bookmarkStart w:name="2、持续经营" w:id="178"/>
      <w:bookmarkEnd w:id="178"/>
      <w:r>
        <w:rPr>
          <w:b w:val="0"/>
          <w:bCs w:val="0"/>
        </w:rPr>
      </w:r>
      <w:r>
        <w:rPr>
          <w:rFonts w:ascii="Times New Roman" w:hAnsi="Times New Roman" w:cs="Times New Roman" w:eastAsia="Times New Roman" w:hint="default"/>
        </w:rPr>
        <w:t>2</w:t>
      </w:r>
      <w:r>
        <w:rPr/>
        <w:t>、持续经营</w:t>
      </w:r>
      <w:r>
        <w:rPr>
          <w:b w:val="0"/>
          <w:bCs w:val="0"/>
        </w:rPr>
      </w:r>
    </w:p>
    <w:p>
      <w:pPr>
        <w:pStyle w:val="BodyText"/>
        <w:spacing w:line="350" w:lineRule="auto" w:before="127"/>
        <w:ind w:right="1116" w:firstLine="480"/>
        <w:jc w:val="left"/>
      </w:pPr>
      <w:r>
        <w:rPr/>
        <w:t>本公司对报告期末起</w:t>
      </w:r>
      <w:r>
        <w:rPr>
          <w:spacing w:val="-60"/>
        </w:rPr>
        <w:t> </w:t>
      </w:r>
      <w:r>
        <w:rPr>
          <w:rFonts w:ascii="宋体" w:hAnsi="宋体" w:cs="宋体" w:eastAsia="宋体" w:hint="default"/>
        </w:rPr>
        <w:t>12</w:t>
      </w:r>
      <w:r>
        <w:rPr>
          <w:rFonts w:ascii="宋体" w:hAnsi="宋体" w:cs="宋体" w:eastAsia="宋体" w:hint="default"/>
          <w:spacing w:val="-60"/>
        </w:rPr>
        <w:t> </w:t>
      </w:r>
      <w:r>
        <w:rPr>
          <w:spacing w:val="-3"/>
        </w:rPr>
        <w:t>个月的持续经营能力进行了评价，未发现对持续经营能力产生重</w:t>
      </w:r>
      <w:r>
        <w:rPr/>
        <w:t> 大怀疑的事项或情况。因此，本财务报表系在持续经营假设的基础上编制。</w:t>
      </w:r>
    </w:p>
    <w:p>
      <w:pPr>
        <w:spacing w:line="240" w:lineRule="auto" w:before="0"/>
        <w:rPr>
          <w:rFonts w:ascii="宋体" w:hAnsi="宋体" w:cs="宋体" w:eastAsia="宋体" w:hint="default"/>
          <w:sz w:val="24"/>
          <w:szCs w:val="24"/>
        </w:rPr>
      </w:pPr>
    </w:p>
    <w:p>
      <w:pPr>
        <w:pStyle w:val="Heading2"/>
        <w:spacing w:line="240" w:lineRule="auto" w:before="209"/>
        <w:ind w:right="0"/>
        <w:jc w:val="left"/>
        <w:rPr>
          <w:b w:val="0"/>
          <w:bCs w:val="0"/>
        </w:rPr>
      </w:pPr>
      <w:bookmarkStart w:name="五、重要会计政策及会计估计" w:id="179"/>
      <w:bookmarkEnd w:id="179"/>
      <w:r>
        <w:rPr>
          <w:b w:val="0"/>
          <w:bCs w:val="0"/>
        </w:rPr>
      </w:r>
      <w:r>
        <w:rPr/>
        <w:t>五、重要会计政策及会计估计</w:t>
      </w:r>
      <w:r>
        <w:rPr>
          <w:b w:val="0"/>
          <w:bCs w:val="0"/>
        </w:rPr>
      </w:r>
    </w:p>
    <w:p>
      <w:pPr>
        <w:spacing w:line="240" w:lineRule="auto" w:before="5"/>
        <w:rPr>
          <w:rFonts w:ascii="宋体" w:hAnsi="宋体" w:cs="宋体" w:eastAsia="宋体" w:hint="default"/>
          <w:b/>
          <w:bCs/>
          <w:sz w:val="32"/>
          <w:szCs w:val="32"/>
        </w:rPr>
      </w:pPr>
    </w:p>
    <w:p>
      <w:pPr>
        <w:pStyle w:val="BodyText"/>
        <w:spacing w:line="350" w:lineRule="auto" w:before="0"/>
        <w:ind w:left="634" w:right="6192"/>
        <w:jc w:val="left"/>
      </w:pPr>
      <w:r>
        <w:rPr/>
        <w:t>公司是否需要遵守特殊行业的披露要求 是</w:t>
      </w:r>
    </w:p>
    <w:p>
      <w:pPr>
        <w:pStyle w:val="BodyText"/>
        <w:spacing w:line="352" w:lineRule="auto" w:before="35"/>
        <w:ind w:left="634" w:right="6672"/>
        <w:jc w:val="left"/>
      </w:pPr>
      <w:r>
        <w:rPr/>
        <w:t>软件与信息技术服务业 具体会计政策和会计估计提示：无</w:t>
      </w:r>
    </w:p>
    <w:p>
      <w:pPr>
        <w:spacing w:line="331" w:lineRule="auto" w:before="32"/>
        <w:ind w:left="634" w:right="0" w:hanging="480"/>
        <w:jc w:val="left"/>
        <w:rPr>
          <w:rFonts w:ascii="宋体" w:hAnsi="宋体" w:cs="宋体" w:eastAsia="宋体" w:hint="default"/>
          <w:sz w:val="24"/>
          <w:szCs w:val="24"/>
        </w:rPr>
      </w:pPr>
      <w:bookmarkStart w:name="1、遵循企业会计准则的声明" w:id="180"/>
      <w:bookmarkEnd w:id="180"/>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、遵循企业会计准则的声明</w:t>
      </w:r>
      <w:r>
        <w:rPr>
          <w:rFonts w:ascii="宋体" w:hAnsi="宋体" w:cs="宋体" w:eastAsia="宋体" w:hint="default"/>
          <w:b/>
          <w:bCs/>
          <w:w w:val="99"/>
          <w:sz w:val="24"/>
          <w:szCs w:val="24"/>
        </w:rPr>
        <w:t> </w:t>
      </w:r>
      <w:r>
        <w:rPr>
          <w:rFonts w:ascii="宋体" w:hAnsi="宋体" w:cs="宋体" w:eastAsia="宋体" w:hint="default"/>
          <w:sz w:val="24"/>
          <w:szCs w:val="24"/>
        </w:rPr>
        <w:t>本公司所编制的财务报表符合企业会计准则的要求，真实、完整地反映了报告期公司的</w:t>
      </w:r>
    </w:p>
    <w:p>
      <w:pPr>
        <w:pStyle w:val="BodyText"/>
        <w:spacing w:line="240" w:lineRule="auto" w:before="55"/>
        <w:ind w:right="0"/>
        <w:jc w:val="left"/>
      </w:pPr>
      <w:r>
        <w:rPr/>
        <w:t>财务状况、经营成果、现金流量等有关信息。</w:t>
      </w:r>
    </w:p>
    <w:p>
      <w:pPr>
        <w:pStyle w:val="Heading2"/>
        <w:spacing w:line="240" w:lineRule="auto" w:before="146"/>
        <w:ind w:right="0"/>
        <w:jc w:val="left"/>
        <w:rPr>
          <w:b w:val="0"/>
          <w:bCs w:val="0"/>
        </w:rPr>
      </w:pPr>
      <w:bookmarkStart w:name="2、会计期间" w:id="181"/>
      <w:bookmarkEnd w:id="181"/>
      <w:r>
        <w:rPr>
          <w:b w:val="0"/>
          <w:bCs w:val="0"/>
        </w:rPr>
      </w:r>
      <w:r>
        <w:rPr>
          <w:rFonts w:ascii="Times New Roman" w:hAnsi="Times New Roman" w:cs="Times New Roman" w:eastAsia="Times New Roman" w:hint="default"/>
        </w:rPr>
        <w:t>2</w:t>
      </w:r>
      <w:r>
        <w:rPr/>
        <w:t>、会计期间</w:t>
      </w:r>
      <w:r>
        <w:rPr>
          <w:b w:val="0"/>
          <w:bCs w:val="0"/>
        </w:rPr>
      </w:r>
    </w:p>
    <w:p>
      <w:pPr>
        <w:pStyle w:val="BodyText"/>
        <w:spacing w:line="240" w:lineRule="auto" w:before="127"/>
        <w:ind w:left="634" w:right="0"/>
        <w:jc w:val="left"/>
      </w:pPr>
      <w:r>
        <w:rPr/>
        <w:t>自公历</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日止为一个会计年度。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0"/>
        <w:jc w:val="both"/>
        <w:rPr>
          <w:b w:val="0"/>
          <w:bCs w:val="0"/>
        </w:rPr>
      </w:pPr>
      <w:bookmarkStart w:name="3、营业周期" w:id="182"/>
      <w:bookmarkEnd w:id="182"/>
      <w:r>
        <w:rPr>
          <w:b w:val="0"/>
          <w:bCs w:val="0"/>
        </w:rPr>
      </w:r>
      <w:r>
        <w:rPr>
          <w:rFonts w:ascii="Times New Roman" w:hAnsi="Times New Roman" w:cs="Times New Roman" w:eastAsia="Times New Roman" w:hint="default"/>
        </w:rPr>
        <w:t>3</w:t>
      </w:r>
      <w:r>
        <w:rPr/>
        <w:t>、营业周期</w:t>
      </w:r>
      <w:r>
        <w:rPr>
          <w:b w:val="0"/>
          <w:bCs w:val="0"/>
        </w:rPr>
      </w:r>
    </w:p>
    <w:p>
      <w:pPr>
        <w:pStyle w:val="BodyText"/>
        <w:spacing w:line="240" w:lineRule="auto" w:before="127"/>
        <w:ind w:left="634" w:right="0"/>
        <w:jc w:val="left"/>
      </w:pPr>
      <w:r>
        <w:rPr/>
        <w:t>自公历</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p>
    <w:p>
      <w:pPr>
        <w:pStyle w:val="Heading2"/>
        <w:spacing w:line="240" w:lineRule="auto" w:before="146"/>
        <w:ind w:right="0"/>
        <w:jc w:val="both"/>
        <w:rPr>
          <w:b w:val="0"/>
          <w:bCs w:val="0"/>
        </w:rPr>
      </w:pPr>
      <w:bookmarkStart w:name="4、记账本位币" w:id="183"/>
      <w:bookmarkEnd w:id="183"/>
      <w:r>
        <w:rPr>
          <w:b w:val="0"/>
          <w:bCs w:val="0"/>
        </w:rPr>
      </w:r>
      <w:r>
        <w:rPr>
          <w:rFonts w:ascii="Times New Roman" w:hAnsi="Times New Roman" w:cs="Times New Roman" w:eastAsia="Times New Roman" w:hint="default"/>
        </w:rPr>
        <w:t>4</w:t>
      </w:r>
      <w:r>
        <w:rPr/>
        <w:t>、记账本位币</w:t>
      </w:r>
      <w:r>
        <w:rPr>
          <w:b w:val="0"/>
          <w:bCs w:val="0"/>
        </w:rPr>
      </w:r>
    </w:p>
    <w:p>
      <w:pPr>
        <w:pStyle w:val="BodyText"/>
        <w:spacing w:line="240" w:lineRule="auto" w:before="127"/>
        <w:ind w:left="634" w:right="0"/>
        <w:jc w:val="left"/>
      </w:pPr>
      <w:r>
        <w:rPr/>
        <w:t>采用人民币为记账本位币。</w:t>
      </w:r>
    </w:p>
    <w:p>
      <w:pPr>
        <w:pStyle w:val="Heading2"/>
        <w:spacing w:line="240" w:lineRule="auto" w:before="145"/>
        <w:ind w:right="0"/>
        <w:jc w:val="both"/>
        <w:rPr>
          <w:b w:val="0"/>
          <w:bCs w:val="0"/>
        </w:rPr>
      </w:pPr>
      <w:bookmarkStart w:name="5、同一控制下和非同一控制下企业合并的会计处理方法" w:id="184"/>
      <w:bookmarkEnd w:id="18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350" w:lineRule="auto" w:before="128"/>
        <w:ind w:right="0" w:firstLine="480"/>
        <w:jc w:val="left"/>
      </w:pPr>
      <w:r>
        <w:rPr>
          <w:spacing w:val="-3"/>
        </w:rPr>
        <w:t>（</w:t>
      </w:r>
      <w:r>
        <w:rPr>
          <w:rFonts w:ascii="宋体" w:hAnsi="宋体" w:cs="宋体" w:eastAsia="宋体" w:hint="default"/>
          <w:spacing w:val="-3"/>
        </w:rPr>
        <w:t>1</w:t>
      </w:r>
      <w:r>
        <w:rPr>
          <w:spacing w:val="-3"/>
        </w:rPr>
        <w:t>）分步实现企业合并过程中的各项交易的条款、条件以及经济影响符合以下一种或多</w:t>
      </w:r>
      <w:r>
        <w:rPr/>
        <w:t> 种情况，将多次交易事项作为一揽子交易进行会计处理</w:t>
      </w:r>
    </w:p>
    <w:p>
      <w:pPr>
        <w:pStyle w:val="BodyText"/>
        <w:spacing w:line="240" w:lineRule="auto" w:before="35"/>
        <w:ind w:left="634" w:right="0"/>
        <w:jc w:val="left"/>
      </w:pPr>
      <w:r>
        <w:rPr>
          <w:rFonts w:ascii="宋体" w:hAnsi="宋体" w:cs="宋体" w:eastAsia="宋体" w:hint="default"/>
        </w:rPr>
        <w:t>1.</w:t>
      </w:r>
      <w:r>
        <w:rPr/>
        <w:t>这些交易是同时或者在考虑了彼此影响的情况下订立的；</w:t>
      </w:r>
    </w:p>
    <w:p>
      <w:pPr>
        <w:pStyle w:val="BodyText"/>
        <w:spacing w:line="240" w:lineRule="auto" w:before="146"/>
        <w:ind w:left="634" w:right="0"/>
        <w:jc w:val="left"/>
      </w:pPr>
      <w:r>
        <w:rPr>
          <w:rFonts w:ascii="宋体" w:hAnsi="宋体" w:cs="宋体" w:eastAsia="宋体" w:hint="default"/>
        </w:rPr>
        <w:t>2.</w:t>
      </w:r>
      <w:r>
        <w:rPr/>
        <w:t>这些交易整体才能达成一项完整的商业结果；</w:t>
      </w:r>
    </w:p>
    <w:p>
      <w:pPr>
        <w:pStyle w:val="BodyText"/>
        <w:spacing w:line="240" w:lineRule="auto" w:before="145"/>
        <w:ind w:left="634" w:right="0"/>
        <w:jc w:val="left"/>
      </w:pPr>
      <w:r>
        <w:rPr>
          <w:rFonts w:ascii="宋体" w:hAnsi="宋体" w:cs="宋体" w:eastAsia="宋体" w:hint="default"/>
        </w:rPr>
        <w:t>3.</w:t>
      </w:r>
      <w:r>
        <w:rPr/>
        <w:t>一项交易的发生取决于其他至少一项交易的发生；</w:t>
      </w:r>
    </w:p>
    <w:p>
      <w:pPr>
        <w:pStyle w:val="BodyText"/>
        <w:spacing w:line="240" w:lineRule="auto" w:before="145"/>
        <w:ind w:left="634" w:right="0"/>
        <w:jc w:val="left"/>
      </w:pPr>
      <w:r>
        <w:rPr>
          <w:rFonts w:ascii="宋体" w:hAnsi="宋体" w:cs="宋体" w:eastAsia="宋体" w:hint="default"/>
        </w:rPr>
        <w:t>4.</w:t>
      </w:r>
      <w:r>
        <w:rPr/>
        <w:t>一项交易单独看是不经济的，但是和其他交易一并考虑时是经济的。</w:t>
      </w:r>
    </w:p>
    <w:p>
      <w:pPr>
        <w:pStyle w:val="BodyText"/>
        <w:spacing w:line="350" w:lineRule="auto" w:before="146"/>
        <w:ind w:left="634" w:right="0"/>
        <w:jc w:val="left"/>
      </w:pPr>
      <w:r>
        <w:rPr/>
        <w:t>（</w:t>
      </w:r>
      <w:r>
        <w:rPr>
          <w:rFonts w:ascii="宋体" w:hAnsi="宋体" w:cs="宋体" w:eastAsia="宋体" w:hint="default"/>
        </w:rPr>
        <w:t>2</w:t>
      </w:r>
      <w:r>
        <w:rPr/>
        <w:t>）同一控制下的企业合并 本公司在企业合并中取得的资产和负债，按照合并日在被合并方资产、负债（包括最终</w:t>
      </w:r>
    </w:p>
    <w:p>
      <w:pPr>
        <w:pStyle w:val="BodyText"/>
        <w:spacing w:line="352" w:lineRule="auto" w:before="35"/>
        <w:ind w:right="1139"/>
        <w:jc w:val="both"/>
      </w:pPr>
      <w:r>
        <w:rPr/>
        <w:t>控制方收购被合并方而形成的商誉）在最终控制方合并财务报表中的账面价值计量。在合并 中取得的净资产账面价值与支付的合并对价账面价值（或发行股份面值总额）的差额，调整 资本公积中的股本溢价，资本公积中的股本溢价不足冲减的，调整留存收益。</w:t>
      </w:r>
    </w:p>
    <w:p>
      <w:pPr>
        <w:pStyle w:val="BodyText"/>
        <w:spacing w:line="352" w:lineRule="auto" w:before="32"/>
        <w:ind w:right="1035" w:firstLine="480"/>
        <w:jc w:val="left"/>
      </w:pPr>
      <w:r>
        <w:rPr/>
        <w:t>如果存在或有对价并需要确认预计负债或资产，该预计负债或资产金额与后续或有对价 </w:t>
      </w:r>
      <w:r>
        <w:rPr>
          <w:spacing w:val="-3"/>
        </w:rPr>
        <w:t>结算金额的差额，调整资本公积（资本溢价或股本溢价），资本公积不足的，调整留存收益。</w:t>
      </w:r>
    </w:p>
    <w:p>
      <w:pPr>
        <w:pStyle w:val="BodyText"/>
        <w:spacing w:line="350" w:lineRule="auto" w:before="32"/>
        <w:ind w:right="994" w:firstLine="480"/>
        <w:jc w:val="left"/>
      </w:pPr>
      <w:r>
        <w:rPr/>
        <w:t>对于通过多次交易最终实现企业合并的，属于一揽子交易的，将各项交易作为一项取得 控制权的交易进行会计处理；不属于一揽子交易的，在取得控制权日，长期股权投资初始投 资成本，与达到合并前的长期股权投资账面价值加上合并日进一步取得股份新支付对价的账 面价值之和的差额，调整资本公积；资本公积不足冲减的，调整留存收益。对于合并日之前 </w:t>
      </w:r>
      <w:r>
        <w:rPr>
          <w:spacing w:val="-2"/>
        </w:rPr>
        <w:t>持有的股权投资，因采用权益法核算或金融工具确认和计量准则核算而确认的其他综合收益，</w:t>
      </w:r>
      <w:r>
        <w:rPr/>
        <w:t> 暂不进行会计处理，直至处置该项投资时采用与被投资单位直接处置相关资产或负债相同的</w:t>
      </w:r>
      <w:r>
        <w:rPr>
          <w:spacing w:val="-117"/>
        </w:rPr>
        <w:t> </w:t>
      </w:r>
      <w:r>
        <w:rPr>
          <w:spacing w:val="-117"/>
        </w:rPr>
      </w:r>
      <w:r>
        <w:rPr/>
        <w:t>基础进行会计处理；因采用权益法核算而确认的被投资单位净资产中除净损益、其他综合收 益和利润分配以外的所有者权益其他变动，暂不进行会计处理，直至处置该项投资时转入当 期损益。</w:t>
      </w:r>
    </w:p>
    <w:p>
      <w:pPr>
        <w:pStyle w:val="BodyText"/>
        <w:spacing w:line="350" w:lineRule="auto" w:before="35"/>
        <w:ind w:left="634" w:right="0"/>
        <w:jc w:val="left"/>
      </w:pPr>
      <w:r>
        <w:rPr/>
        <w:t>（</w:t>
      </w:r>
      <w:r>
        <w:rPr>
          <w:rFonts w:ascii="宋体" w:hAnsi="宋体" w:cs="宋体" w:eastAsia="宋体" w:hint="default"/>
        </w:rPr>
        <w:t>3</w:t>
      </w:r>
      <w:r>
        <w:rPr/>
        <w:t>）非同一控制下的企业合并 购买日是指本公司实际取得对被购买方控制权的日期，即被购买方的净资产或生产经营</w:t>
      </w:r>
    </w:p>
    <w:p>
      <w:pPr>
        <w:pStyle w:val="BodyText"/>
        <w:spacing w:line="240" w:lineRule="auto"/>
        <w:ind w:right="0"/>
        <w:jc w:val="both"/>
      </w:pPr>
      <w:r>
        <w:rPr/>
        <w:t>决策的控制权转移给本公司的日期。同时满足下列条件时，本公司一般认为实现了控制权的</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right="0"/>
        <w:jc w:val="left"/>
      </w:pPr>
      <w:r>
        <w:rPr/>
        <w:t>转移：</w:t>
      </w:r>
    </w:p>
    <w:p>
      <w:pPr>
        <w:pStyle w:val="BodyText"/>
        <w:spacing w:line="240" w:lineRule="auto" w:before="145"/>
        <w:ind w:left="634" w:right="0"/>
        <w:jc w:val="left"/>
      </w:pPr>
      <w:r>
        <w:rPr/>
        <w:t>①企业合并合同或协议已获本公司内部权力机构通过。</w:t>
      </w:r>
    </w:p>
    <w:p>
      <w:pPr>
        <w:pStyle w:val="BodyText"/>
        <w:spacing w:line="240" w:lineRule="auto" w:before="146"/>
        <w:ind w:left="634" w:right="0"/>
        <w:jc w:val="left"/>
      </w:pPr>
      <w:r>
        <w:rPr/>
        <w:t>②企业合并事项需要经过国家有关主管部门审批的，已获得批准。</w:t>
      </w:r>
    </w:p>
    <w:p>
      <w:pPr>
        <w:pStyle w:val="BodyText"/>
        <w:spacing w:line="240" w:lineRule="auto" w:before="146"/>
        <w:ind w:left="634" w:right="0"/>
        <w:jc w:val="left"/>
      </w:pPr>
      <w:r>
        <w:rPr/>
        <w:t>③已办理了必要的财产权转移手续。</w:t>
      </w:r>
    </w:p>
    <w:p>
      <w:pPr>
        <w:pStyle w:val="BodyText"/>
        <w:spacing w:line="240" w:lineRule="auto" w:before="145"/>
        <w:ind w:left="634" w:right="0"/>
        <w:jc w:val="left"/>
      </w:pPr>
      <w:r>
        <w:rPr/>
        <w:t>④本公司已支付了合并价款的大部分，并且有能力、有计划支付剩余款项。</w:t>
      </w:r>
    </w:p>
    <w:p>
      <w:pPr>
        <w:pStyle w:val="BodyText"/>
        <w:spacing w:line="350" w:lineRule="auto" w:before="146"/>
        <w:ind w:right="1092" w:firstLine="480"/>
        <w:jc w:val="left"/>
      </w:pPr>
      <w:r>
        <w:rPr/>
        <w:t>⑤本公司实际上已经控制了被购买方的财务和经营政策，并享有相应的利益、承担相应 的风险。</w:t>
      </w:r>
    </w:p>
    <w:p>
      <w:pPr>
        <w:pStyle w:val="BodyText"/>
        <w:spacing w:line="352" w:lineRule="auto" w:before="35"/>
        <w:ind w:right="0" w:firstLine="480"/>
        <w:jc w:val="left"/>
      </w:pPr>
      <w:r>
        <w:rPr>
          <w:spacing w:val="-3"/>
        </w:rPr>
        <w:t>本公司在购买日对作为企业合并对价付出的资产、发生或承担的负债按照公允价值计量，</w:t>
      </w:r>
      <w:r>
        <w:rPr/>
        <w:t> 公允价值与其账面价值的差额，计入当期损益。</w:t>
      </w:r>
    </w:p>
    <w:p>
      <w:pPr>
        <w:pStyle w:val="BodyText"/>
        <w:spacing w:line="352" w:lineRule="auto" w:before="32"/>
        <w:ind w:right="994" w:firstLine="480"/>
        <w:jc w:val="left"/>
      </w:pPr>
      <w:r>
        <w:rPr/>
        <w:t>本公司对合并成本大于合并中取得的被购买方可辨认净资产公允价值份额的差额，确认 </w:t>
      </w:r>
      <w:r>
        <w:rPr>
          <w:spacing w:val="-2"/>
        </w:rPr>
        <w:t>为商誉；合并成本小于合并中取得的被购买方可辨认净资产公允价值份额的差额，经复核后，</w:t>
      </w:r>
      <w:r>
        <w:rPr/>
        <w:t> 计入当期损益。</w:t>
      </w:r>
    </w:p>
    <w:p>
      <w:pPr>
        <w:pStyle w:val="BodyText"/>
        <w:spacing w:line="350" w:lineRule="auto" w:before="32"/>
        <w:ind w:right="1133" w:firstLine="480"/>
        <w:jc w:val="both"/>
      </w:pPr>
      <w:r>
        <w:rPr/>
        <w:t>通过多次交换交易分步实现的非同一控制下企业合并，属于一揽子交易的，将各项交易 作为一项取得控制权的交易进行会计处理；不属于一揽子交易的，合并日之前持有的股权投 资采用权益法核算的，以购买日之前所持被购买方的股权投资的账面价值与购买日新增投资 成本之和，作为该项投资的初始投资成本；购买日之前持有的股权投资因采用权益法核算而 确认的其他综合收益，在处置该项投资时采用与被投资单位直接处置相关资产或负债相同的 基础进行会计处理。合并日之前持有的股权投资采用金融工具确认和计量准则核算的，以该 股权投资在合并日的公允价值加上新增投资成本之和，作为合并日的初始投资成本。原持有</w:t>
      </w:r>
      <w:r>
        <w:rPr>
          <w:spacing w:val="-114"/>
        </w:rPr>
        <w:t> </w:t>
      </w:r>
      <w:r>
        <w:rPr>
          <w:spacing w:val="-114"/>
        </w:rPr>
      </w:r>
      <w:r>
        <w:rPr/>
        <w:t>股权的公允价值与账面价值之间的差额以及原计入其他综合收益的累计公允价值变动应全部 转入合并日当期的投资收益。</w:t>
      </w:r>
    </w:p>
    <w:p>
      <w:pPr>
        <w:pStyle w:val="BodyText"/>
        <w:spacing w:line="350" w:lineRule="auto" w:before="35"/>
        <w:ind w:left="634" w:right="0" w:firstLine="120"/>
        <w:jc w:val="left"/>
      </w:pPr>
      <w:r>
        <w:rPr/>
        <w:t>（</w:t>
      </w:r>
      <w:r>
        <w:rPr>
          <w:rFonts w:ascii="宋体" w:hAnsi="宋体" w:cs="宋体" w:eastAsia="宋体" w:hint="default"/>
        </w:rPr>
        <w:t>4</w:t>
      </w:r>
      <w:r>
        <w:rPr/>
        <w:t>）为合并发生的相关费用 为企业合并发生的审计、法律服务、评估咨询等中介费用以及其他直接相关费用，于发</w:t>
      </w:r>
    </w:p>
    <w:p>
      <w:pPr>
        <w:pStyle w:val="BodyText"/>
        <w:spacing w:line="350" w:lineRule="auto"/>
        <w:ind w:right="0"/>
        <w:jc w:val="left"/>
      </w:pPr>
      <w:r>
        <w:rPr/>
        <w:t>生时计入当期损益；为企业合并而发行权益性证券的交易费用，可直接归属于权益性交易的 从权益中扣减。</w:t>
      </w:r>
    </w:p>
    <w:p>
      <w:pPr>
        <w:pStyle w:val="Heading2"/>
        <w:spacing w:line="240" w:lineRule="auto" w:before="35"/>
        <w:ind w:right="0"/>
        <w:jc w:val="left"/>
        <w:rPr>
          <w:b w:val="0"/>
          <w:bCs w:val="0"/>
        </w:rPr>
      </w:pPr>
      <w:bookmarkStart w:name="6、合并财务报表的编制方法" w:id="185"/>
      <w:bookmarkEnd w:id="185"/>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350" w:lineRule="auto" w:before="128"/>
        <w:ind w:left="634" w:right="0" w:hanging="360"/>
        <w:jc w:val="left"/>
      </w:pPr>
      <w:r>
        <w:rPr/>
        <w:t>（</w:t>
      </w:r>
      <w:r>
        <w:rPr>
          <w:rFonts w:ascii="宋体" w:hAnsi="宋体" w:cs="宋体" w:eastAsia="宋体" w:hint="default"/>
        </w:rPr>
        <w:t>1</w:t>
      </w:r>
      <w:r>
        <w:rPr/>
        <w:t>）合并范围 本公司合并财务报表的合并范围以控制为基础确定，所有子公司（包括本公司所控制的</w:t>
      </w:r>
    </w:p>
    <w:p>
      <w:pPr>
        <w:pStyle w:val="BodyText"/>
        <w:spacing w:line="240" w:lineRule="auto" w:before="35"/>
        <w:ind w:right="0"/>
        <w:jc w:val="left"/>
      </w:pPr>
      <w:r>
        <w:rPr/>
        <w:t>单独主体）均纳入合并财务报表。</w:t>
      </w:r>
    </w:p>
    <w:p>
      <w:pPr>
        <w:pStyle w:val="BodyText"/>
        <w:spacing w:line="240" w:lineRule="auto" w:before="146"/>
        <w:ind w:left="274" w:right="0"/>
        <w:jc w:val="left"/>
      </w:pPr>
      <w:r>
        <w:rPr/>
        <w:t>（</w:t>
      </w:r>
      <w:r>
        <w:rPr>
          <w:rFonts w:ascii="宋体" w:hAnsi="宋体" w:cs="宋体" w:eastAsia="宋体" w:hint="default"/>
        </w:rPr>
        <w:t>2</w:t>
      </w:r>
      <w:r>
        <w:rPr/>
        <w:t>）合并程序</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1139" w:firstLine="480"/>
        <w:jc w:val="both"/>
      </w:pPr>
      <w:r>
        <w:rPr/>
        <w:t>本公司以自身和各子公司的财务报表为基础，根据其他有关资料，编制合并财务报表。 本公司编制合并财务报表，将整个企业集团视为一个会计主体，依据相关企业会计准则的确 认、计量和列报要求，按照统一的会计政策，反映本企业集团整体财务状况、经营成果和现 金流量。</w:t>
      </w:r>
    </w:p>
    <w:p>
      <w:pPr>
        <w:pStyle w:val="BodyText"/>
        <w:spacing w:line="352" w:lineRule="auto" w:before="32"/>
        <w:ind w:right="1139" w:firstLine="480"/>
        <w:jc w:val="both"/>
      </w:pPr>
      <w:r>
        <w:rPr/>
        <w:t>所有纳入合并财务报表合并范围的子公司所采用的会计政策、会计期间与本公司一致， 如子公司采用的会计政策、会计期间与本公司不一致的，在编制合并财务报表时，按本公司 的会计政策、会计期间进行必要的调整。</w:t>
      </w:r>
    </w:p>
    <w:p>
      <w:pPr>
        <w:pStyle w:val="BodyText"/>
        <w:spacing w:line="350" w:lineRule="auto" w:before="32"/>
        <w:ind w:right="1132" w:firstLine="480"/>
        <w:jc w:val="both"/>
      </w:pPr>
      <w:r>
        <w:rPr/>
        <w:t>合并财务报表时抵销本公司与各子公司、各子公司相互之间发生的内部交易对合并资产 负债表、合并利润表、合并现金流量表、合并股东权益变动表的影响。如果站在企业集团合 并财务报表角度与以本公司或子公司为会计主体对同一交易的认定不同时，从企业集团的角 度对该交易予以调整。</w:t>
      </w:r>
    </w:p>
    <w:p>
      <w:pPr>
        <w:pStyle w:val="BodyText"/>
        <w:spacing w:line="350" w:lineRule="auto"/>
        <w:ind w:right="1139" w:firstLine="480"/>
        <w:jc w:val="both"/>
      </w:pPr>
      <w:r>
        <w:rPr/>
        <w:t>子公司所有者权益、当期净损益和当期综合收益中属于少数股东的份额分别在合并资产 负债表中所有者权益项目下、合并利润表中净利润项目下和综合收益总额项目下单独列示。 子公司少数股东分担的当期亏损超过了少数股东在该子公司期初所有者权益中所享有份额而 形成的余额，冲减少数股东权益。</w:t>
      </w:r>
    </w:p>
    <w:p>
      <w:pPr>
        <w:pStyle w:val="BodyText"/>
        <w:spacing w:line="350" w:lineRule="auto" w:before="35"/>
        <w:ind w:right="1133" w:firstLine="480"/>
        <w:jc w:val="both"/>
      </w:pPr>
      <w:r>
        <w:rPr/>
        <w:t>对于同一控制下企业合并取得的子公司，以其资产、负债（包括最终控制方收购该子公 司而形成的商誉）在最终控制方财务报表中的账面价值为基础对其财务报表进行调整。</w:t>
      </w:r>
    </w:p>
    <w:p>
      <w:pPr>
        <w:pStyle w:val="BodyText"/>
        <w:spacing w:line="350" w:lineRule="auto"/>
        <w:ind w:right="1140" w:firstLine="480"/>
        <w:jc w:val="both"/>
      </w:pPr>
      <w:r>
        <w:rPr/>
        <w:t>对于非同一控制下企业合并取得的子公司，以购买日可辨认净资产公允价值为基础对其 财务报表进行调整</w:t>
      </w:r>
    </w:p>
    <w:p>
      <w:pPr>
        <w:pStyle w:val="BodyText"/>
        <w:spacing w:line="352" w:lineRule="auto" w:before="35"/>
        <w:ind w:left="634" w:right="0"/>
        <w:jc w:val="left"/>
      </w:pPr>
      <w:r>
        <w:rPr>
          <w:rFonts w:ascii="宋体" w:hAnsi="宋体" w:cs="宋体" w:eastAsia="宋体" w:hint="default"/>
        </w:rPr>
        <w:t>1.</w:t>
      </w:r>
      <w:r>
        <w:rPr/>
        <w:t>增加子公司或业务 在报告期内，若因同一控制下企业合并增加子公司或业务的，则调整合并资产负债表的</w:t>
      </w:r>
    </w:p>
    <w:p>
      <w:pPr>
        <w:pStyle w:val="BodyText"/>
        <w:spacing w:line="352" w:lineRule="auto" w:before="32"/>
        <w:ind w:right="1139"/>
        <w:jc w:val="both"/>
      </w:pPr>
      <w:r>
        <w:rPr/>
        <w:t>期初数；将子公司或业务合并当期期初至报告期末的收入、费用、利润纳入合并利润表；将 子公司或业务合并当期期初至报告期末的现金流量纳入合并现金流量表，同时对比较报表的 相关项目进行调整，视同合并后的报告主体自最终控制方开始控制时点起一直存在。</w:t>
      </w:r>
    </w:p>
    <w:p>
      <w:pPr>
        <w:pStyle w:val="BodyText"/>
        <w:spacing w:line="350" w:lineRule="auto" w:before="32"/>
        <w:ind w:right="1139" w:firstLine="480"/>
        <w:jc w:val="both"/>
      </w:pPr>
      <w:r>
        <w:rPr/>
        <w:t>因追加投资等原因能够对同一控制下的被投资方实施控制的，视同参与合并的各方在最 终控制方开始控制时即以目前的状态存在进行调整。在取得被合并方控制权之前持有的股权 投资，在取得原股权之日与合并方和被合并方同处于同一控制之日孰晚日起至合并日之间已 确认有关损益、其他综合收益以及其他净资产变动，分别冲减比较报表期间的期初留存收益 或当期损益。</w:t>
      </w:r>
    </w:p>
    <w:p>
      <w:pPr>
        <w:pStyle w:val="BodyText"/>
        <w:spacing w:line="240" w:lineRule="auto"/>
        <w:ind w:left="634" w:right="0"/>
        <w:jc w:val="left"/>
      </w:pPr>
      <w:r>
        <w:rPr/>
        <w:t>在报告期内，若因非同一控制下企业合并增加子公司或业务的，则不调整合并资产负债</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39"/>
        <w:jc w:val="both"/>
      </w:pPr>
      <w:r>
        <w:rPr/>
        <w:t>表期初数；将该子公司或业务自购买日至报告期末的收入、费用、利润纳入合并利润表；该 子公司或业务自购买日至报告期末的现金流量纳入合并现金流量表。</w:t>
      </w:r>
    </w:p>
    <w:p>
      <w:pPr>
        <w:pStyle w:val="BodyText"/>
        <w:spacing w:line="350" w:lineRule="auto"/>
        <w:ind w:right="1139" w:firstLine="480"/>
        <w:jc w:val="both"/>
      </w:pPr>
      <w:r>
        <w:rPr/>
        <w:t>因追加投资等原因能够对非同一控制下的被投资方实施控制的，对于购买日之前持有的 被购买方的股权，本公司按照该股权在购买日的公允价值进行重新计量，公允价值与其账面 价值的差额计入当期投资收益。购买日之前持有的被购买方的股权涉及权益法核算下的其他 综合收益以及除净损益、其他综合收益和利润分配之外的其他所有者权益变动的，与其相关 的其他综合收益、其他所有者权益变动转为购买日所属当期投资收益，由于被投资方重新计 量设定受益计划净负债或净资产变动而产生的其他综合收益除外。</w:t>
      </w:r>
    </w:p>
    <w:p>
      <w:pPr>
        <w:pStyle w:val="BodyText"/>
        <w:spacing w:line="240" w:lineRule="auto"/>
        <w:ind w:left="634" w:right="0"/>
        <w:jc w:val="left"/>
      </w:pPr>
      <w:r>
        <w:rPr>
          <w:rFonts w:ascii="宋体" w:hAnsi="宋体" w:cs="宋体" w:eastAsia="宋体" w:hint="default"/>
        </w:rPr>
        <w:t>2.</w:t>
      </w:r>
      <w:r>
        <w:rPr/>
        <w:t>处置子公司或业务</w:t>
      </w:r>
    </w:p>
    <w:p>
      <w:pPr>
        <w:pStyle w:val="BodyText"/>
        <w:spacing w:line="350" w:lineRule="auto" w:before="145"/>
        <w:ind w:left="634" w:right="0"/>
        <w:jc w:val="left"/>
      </w:pPr>
      <w:r>
        <w:rPr>
          <w:rFonts w:ascii="宋体" w:hAnsi="宋体" w:cs="宋体" w:eastAsia="宋体" w:hint="default"/>
        </w:rPr>
        <w:t>1</w:t>
      </w:r>
      <w:r>
        <w:rPr/>
        <w:t>）一般处理方法 </w:t>
      </w:r>
      <w:r>
        <w:rPr>
          <w:spacing w:val="-3"/>
        </w:rPr>
        <w:t>在报告期内，本公司处置子公司或业务，则该子公司或业务期初至处置日的收入、费用、</w:t>
      </w:r>
    </w:p>
    <w:p>
      <w:pPr>
        <w:pStyle w:val="BodyText"/>
        <w:spacing w:line="350" w:lineRule="auto"/>
        <w:ind w:left="634" w:right="0" w:hanging="480"/>
        <w:jc w:val="left"/>
      </w:pPr>
      <w:r>
        <w:rPr/>
        <w:t>利润纳入合并利润表；该子公司或业务期初至处置日的现金流量纳入合并现金流量表。 因处置部分股权投资或其他原因丧失了对被投资方控制权时，对于处置后的剩余股权投</w:t>
      </w:r>
    </w:p>
    <w:p>
      <w:pPr>
        <w:pStyle w:val="BodyText"/>
        <w:spacing w:line="352" w:lineRule="auto" w:before="35"/>
        <w:ind w:right="1138"/>
        <w:jc w:val="both"/>
      </w:pPr>
      <w:r>
        <w:rPr/>
        <w:t>资，本公司按照其在丧失控制权日的公允价值进行重新计量。处置股权取得的对价与剩余股 权公允价值之和，减去按原持股比例计算应享有原有子公司自购买日或合并日开始持续计算 的净资产的份额与商誉之和的差额，计入丧失控制权当期的投资收益。与原有子公司股权投 资相关的其他综合收益或除净损益、其他综合收益及利润分配之外的其他所有者权益变动，</w:t>
      </w:r>
      <w:r>
        <w:rPr>
          <w:spacing w:val="-116"/>
        </w:rPr>
        <w:t> </w:t>
      </w:r>
      <w:r>
        <w:rPr>
          <w:spacing w:val="-116"/>
        </w:rPr>
      </w:r>
      <w:r>
        <w:rPr/>
        <w:t>在丧失控制权时转为当期投资收益，由于被投资方重新计量设定受益计划净负债或净资产变 动而产生的其他综合收益除外。</w:t>
      </w:r>
    </w:p>
    <w:p>
      <w:pPr>
        <w:pStyle w:val="BodyText"/>
        <w:spacing w:line="352" w:lineRule="auto" w:before="32"/>
        <w:ind w:left="634" w:right="0"/>
        <w:jc w:val="left"/>
      </w:pPr>
      <w:r>
        <w:rPr>
          <w:rFonts w:ascii="宋体" w:hAnsi="宋体" w:cs="宋体" w:eastAsia="宋体" w:hint="default"/>
        </w:rPr>
        <w:t>2</w:t>
      </w:r>
      <w:r>
        <w:rPr/>
        <w:t>）分步处置子公司 通过多次交易分步处置对子公司股权投资直至丧失控制权的，处置对子公司股权投资的</w:t>
      </w:r>
    </w:p>
    <w:p>
      <w:pPr>
        <w:pStyle w:val="BodyText"/>
        <w:spacing w:line="350" w:lineRule="auto" w:before="32"/>
        <w:ind w:right="1139"/>
        <w:jc w:val="both"/>
      </w:pPr>
      <w:r>
        <w:rPr/>
        <w:t>各项交易的条款、条件以及经济影响符合以下一种或多种情况，通常表明应将多次交易事项 作为一揽子交易进行会计处理：</w:t>
      </w:r>
    </w:p>
    <w:p>
      <w:pPr>
        <w:pStyle w:val="BodyText"/>
        <w:spacing w:line="350" w:lineRule="auto"/>
        <w:ind w:left="634" w:right="0"/>
        <w:jc w:val="left"/>
      </w:pPr>
      <w:r>
        <w:rPr>
          <w:rFonts w:ascii="宋体" w:hAnsi="宋体" w:cs="宋体" w:eastAsia="宋体" w:hint="default"/>
        </w:rPr>
        <w:t>A.</w:t>
      </w:r>
      <w:r>
        <w:rPr/>
        <w:t>这些交易是同时或者在考虑了彼此影响的情况下订立的； </w:t>
      </w:r>
      <w:r>
        <w:rPr>
          <w:rFonts w:ascii="宋体" w:hAnsi="宋体" w:cs="宋体" w:eastAsia="宋体" w:hint="default"/>
        </w:rPr>
        <w:t>B.</w:t>
      </w:r>
      <w:r>
        <w:rPr/>
        <w:t>这些交易整体才能达成一项完整的商业结果； </w:t>
      </w:r>
      <w:r>
        <w:rPr>
          <w:rFonts w:ascii="宋体" w:hAnsi="宋体" w:cs="宋体" w:eastAsia="宋体" w:hint="default"/>
        </w:rPr>
        <w:t>C.</w:t>
      </w:r>
      <w:r>
        <w:rPr/>
        <w:t>一项交易的发生取决于其他至少一项交易的发生； </w:t>
      </w:r>
      <w:r>
        <w:rPr>
          <w:rFonts w:ascii="宋体" w:hAnsi="宋体" w:cs="宋体" w:eastAsia="宋体" w:hint="default"/>
        </w:rPr>
        <w:t>D.</w:t>
      </w:r>
      <w:r>
        <w:rPr/>
        <w:t>一项交易单独看是不经济的，但是和其他交易一并考虑时是经济的。 处置对子公司股权投资直至丧失控制权的各项交易属于一揽子交易的，本公司将各项交</w:t>
      </w:r>
    </w:p>
    <w:p>
      <w:pPr>
        <w:pStyle w:val="BodyText"/>
        <w:spacing w:line="352" w:lineRule="auto" w:before="35"/>
        <w:ind w:right="1139"/>
        <w:jc w:val="both"/>
      </w:pPr>
      <w:r>
        <w:rPr/>
        <w:t>易作为一项处置子公司并丧失控制权的交易进行会计处理；但是，在丧失控制权之前每一次 处置价款与处置投资对应的享有该子公司净资产份额的差额，在合并财务报表中确认为其他</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4" w:right="0" w:hanging="480"/>
        <w:jc w:val="left"/>
      </w:pPr>
      <w:r>
        <w:rPr/>
        <w:t>综合收益，在丧失控制权时一并转入丧失控制权当期的损益。 处置对子公司股权投资直至丧失控制权的各项交易不属于一揽子交易的，在丧失控制权</w:t>
      </w:r>
    </w:p>
    <w:p>
      <w:pPr>
        <w:pStyle w:val="BodyText"/>
        <w:spacing w:line="350" w:lineRule="auto"/>
        <w:ind w:right="1133"/>
        <w:jc w:val="both"/>
      </w:pPr>
      <w:r>
        <w:rPr/>
        <w:t>之前，按不丧失控制权的情况下部分处置对子公司的股权投资的相关政策进行会计处理；在</w:t>
      </w:r>
      <w:r>
        <w:rPr>
          <w:spacing w:val="-114"/>
        </w:rPr>
        <w:t> </w:t>
      </w:r>
      <w:r>
        <w:rPr>
          <w:spacing w:val="-114"/>
        </w:rPr>
      </w:r>
      <w:r>
        <w:rPr/>
        <w:t>丧失控制权时，按处置子公司一般处理方法进行会计处理。</w:t>
      </w:r>
    </w:p>
    <w:p>
      <w:pPr>
        <w:pStyle w:val="BodyText"/>
        <w:spacing w:line="352" w:lineRule="auto" w:before="35"/>
        <w:ind w:left="634" w:right="0"/>
        <w:jc w:val="left"/>
      </w:pPr>
      <w:r>
        <w:rPr>
          <w:rFonts w:ascii="宋体" w:hAnsi="宋体" w:cs="宋体" w:eastAsia="宋体" w:hint="default"/>
        </w:rPr>
        <w:t>3.</w:t>
      </w:r>
      <w:r>
        <w:rPr/>
        <w:t>购买子公司少数股权 本公司因购买少数股权新取得的长期股权投资与按照新增持股比例计算应享有子公司自</w:t>
      </w:r>
    </w:p>
    <w:p>
      <w:pPr>
        <w:pStyle w:val="BodyText"/>
        <w:spacing w:line="350" w:lineRule="auto" w:before="32"/>
        <w:ind w:right="1139"/>
        <w:jc w:val="both"/>
      </w:pPr>
      <w:r>
        <w:rPr/>
        <w:t>购买日（或合并日）开始持续计算的净资产份额之间的差额，调整合并资产负债表中的资本 公积中的股本溢价，资本公积中的股本溢价不足冲减的，调整留存收益。</w:t>
      </w:r>
    </w:p>
    <w:p>
      <w:pPr>
        <w:pStyle w:val="BodyText"/>
        <w:spacing w:line="350" w:lineRule="auto"/>
        <w:ind w:left="634" w:right="0" w:firstLine="120"/>
        <w:jc w:val="left"/>
      </w:pPr>
      <w:r>
        <w:rPr>
          <w:rFonts w:ascii="宋体" w:hAnsi="宋体" w:cs="宋体" w:eastAsia="宋体" w:hint="default"/>
        </w:rPr>
        <w:t>4.</w:t>
      </w:r>
      <w:r>
        <w:rPr/>
        <w:t>不丧失控制权的情况下部分处置对子公司的股权投资 在不丧失控制权的情况下因部分处置对子公司的长期股权投资而取得的处置价款与处置</w:t>
      </w:r>
    </w:p>
    <w:p>
      <w:pPr>
        <w:pStyle w:val="BodyText"/>
        <w:spacing w:line="352" w:lineRule="auto" w:before="35"/>
        <w:ind w:right="1130"/>
        <w:jc w:val="both"/>
      </w:pPr>
      <w:r>
        <w:rPr/>
        <w:t>长期股权投资相对应享有子公司自购买日或合并日开始持续计算的净资产份额之间的差额，</w:t>
      </w:r>
      <w:r>
        <w:rPr>
          <w:spacing w:val="-110"/>
        </w:rPr>
        <w:t> </w:t>
      </w:r>
      <w:r>
        <w:rPr>
          <w:spacing w:val="-110"/>
        </w:rPr>
      </w:r>
      <w:r>
        <w:rPr/>
        <w:t>调整合并资产负债表中的资本公积中的股本溢价，资本公积中的股本溢价不足冲减的，调整</w:t>
      </w:r>
      <w:r>
        <w:rPr>
          <w:spacing w:val="-116"/>
        </w:rPr>
        <w:t> </w:t>
      </w:r>
      <w:r>
        <w:rPr>
          <w:spacing w:val="-116"/>
        </w:rPr>
      </w:r>
      <w:r>
        <w:rPr/>
        <w:t>留存收益。</w:t>
      </w:r>
    </w:p>
    <w:p>
      <w:pPr>
        <w:spacing w:line="333" w:lineRule="auto" w:before="32"/>
        <w:ind w:left="634" w:right="5952" w:hanging="480"/>
        <w:jc w:val="left"/>
        <w:rPr>
          <w:rFonts w:ascii="宋体" w:hAnsi="宋体" w:cs="宋体" w:eastAsia="宋体" w:hint="default"/>
          <w:sz w:val="24"/>
          <w:szCs w:val="24"/>
        </w:rPr>
      </w:pPr>
      <w:bookmarkStart w:name="7、合营安排分类及共同经营会计处理方法" w:id="186"/>
      <w:bookmarkEnd w:id="186"/>
      <w:r>
        <w:rPr/>
      </w:r>
      <w:r>
        <w:rPr>
          <w:rFonts w:ascii="Times New Roman" w:hAnsi="Times New Roman" w:cs="Times New Roman" w:eastAsia="Times New Roman" w:hint="default"/>
          <w:b/>
          <w:bCs/>
          <w:w w:val="95"/>
          <w:sz w:val="24"/>
          <w:szCs w:val="24"/>
        </w:rPr>
        <w:t>7</w:t>
      </w:r>
      <w:r>
        <w:rPr>
          <w:rFonts w:ascii="宋体" w:hAnsi="宋体" w:cs="宋体" w:eastAsia="宋体" w:hint="default"/>
          <w:b/>
          <w:bCs/>
          <w:w w:val="95"/>
          <w:sz w:val="24"/>
          <w:szCs w:val="24"/>
        </w:rPr>
        <w:t>、合营安排分类及共同经营会计处理方法</w:t>
      </w:r>
      <w:r>
        <w:rPr>
          <w:rFonts w:ascii="宋体" w:hAnsi="宋体" w:cs="宋体" w:eastAsia="宋体" w:hint="default"/>
          <w:b/>
          <w:bCs/>
          <w:spacing w:val="91"/>
          <w:w w:val="95"/>
          <w:sz w:val="24"/>
          <w:szCs w:val="24"/>
        </w:rPr>
        <w:t> </w:t>
      </w:r>
      <w:r>
        <w:rPr>
          <w:rFonts w:ascii="宋体" w:hAnsi="宋体" w:cs="宋体" w:eastAsia="宋体" w:hint="default"/>
          <w:sz w:val="24"/>
          <w:szCs w:val="24"/>
        </w:rPr>
        <w:t>合营安排的分类</w:t>
      </w:r>
    </w:p>
    <w:p>
      <w:pPr>
        <w:pStyle w:val="BodyText"/>
        <w:spacing w:line="350" w:lineRule="auto" w:before="52"/>
        <w:ind w:right="1140" w:firstLine="480"/>
        <w:jc w:val="both"/>
      </w:pPr>
      <w:r>
        <w:rPr/>
        <w:t>本公司根据合营安排的结构、法律形式以及合营安排中约定的条款、其他相关事实和情 况等因素，将合营安排分为共同经营和合营企业。</w:t>
      </w:r>
    </w:p>
    <w:p>
      <w:pPr>
        <w:pStyle w:val="BodyText"/>
        <w:spacing w:line="350" w:lineRule="auto"/>
        <w:ind w:right="1139" w:firstLine="480"/>
        <w:jc w:val="both"/>
      </w:pPr>
      <w:r>
        <w:rPr/>
        <w:t>未通过单独主体达成的合营安排，划分为共同经营；通过单独主体达成的合营安排，通 常划分为合营企业；但有确凿证据表明满足下列任一条件并且符合相关法律法规规定的合营 安排划分为共同经营：</w:t>
      </w:r>
    </w:p>
    <w:p>
      <w:pPr>
        <w:pStyle w:val="BodyText"/>
        <w:spacing w:line="350" w:lineRule="auto"/>
        <w:ind w:right="1169" w:firstLine="480"/>
        <w:jc w:val="both"/>
      </w:pPr>
      <w:r>
        <w:rPr>
          <w:rFonts w:ascii="宋体" w:hAnsi="宋体" w:cs="宋体" w:eastAsia="宋体" w:hint="default"/>
        </w:rPr>
        <w:t>1.</w:t>
      </w:r>
      <w:r>
        <w:rPr/>
        <w:t>合营安排的法律形式表明，合营方对该安排中的相关资产和负债分别享有权利和承担 义务。</w:t>
      </w:r>
    </w:p>
    <w:p>
      <w:pPr>
        <w:pStyle w:val="BodyText"/>
        <w:spacing w:line="352" w:lineRule="auto" w:before="35"/>
        <w:ind w:right="1171" w:firstLine="480"/>
        <w:jc w:val="both"/>
      </w:pPr>
      <w:r>
        <w:rPr>
          <w:rFonts w:ascii="宋体" w:hAnsi="宋体" w:cs="宋体" w:eastAsia="宋体" w:hint="default"/>
        </w:rPr>
        <w:t>2.</w:t>
      </w:r>
      <w:r>
        <w:rPr/>
        <w:t>合营安排的合同条款约定，合营方对该安排中的相关资产和负债分别享有权利和承担 义务。</w:t>
      </w:r>
    </w:p>
    <w:p>
      <w:pPr>
        <w:pStyle w:val="BodyText"/>
        <w:spacing w:line="352" w:lineRule="auto" w:before="32"/>
        <w:ind w:right="1171" w:firstLine="480"/>
        <w:jc w:val="both"/>
      </w:pPr>
      <w:r>
        <w:rPr>
          <w:rFonts w:ascii="宋体" w:hAnsi="宋体" w:cs="宋体" w:eastAsia="宋体" w:hint="default"/>
        </w:rPr>
        <w:t>3.</w:t>
      </w:r>
      <w:r>
        <w:rPr/>
        <w:t>其他相关事实和情况表明，合营方对该安排中的相关资产和负债分别享有权利和承担 义务，如合营方享有与合营安排相关的几乎所有产出，并且该安排中负债的清偿持续依赖于 合营方的支持。</w:t>
      </w:r>
    </w:p>
    <w:p>
      <w:pPr>
        <w:pStyle w:val="BodyText"/>
        <w:spacing w:line="350" w:lineRule="auto" w:before="33"/>
        <w:ind w:left="634" w:right="1152"/>
        <w:jc w:val="left"/>
      </w:pPr>
      <w:r>
        <w:rPr/>
        <w:t>共同经营会计处理方法 本公司确认共同经营中利益份额中与本公司相关的下列项目，并按照相关企业会计准则</w:t>
      </w:r>
    </w:p>
    <w:p>
      <w:pPr>
        <w:pStyle w:val="BodyText"/>
        <w:spacing w:line="240" w:lineRule="auto"/>
        <w:ind w:right="0"/>
        <w:jc w:val="left"/>
      </w:pPr>
      <w:r>
        <w:rPr/>
        <w:t>的规定进行会计处理：</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634" w:right="0"/>
        <w:jc w:val="left"/>
      </w:pPr>
      <w:r>
        <w:rPr>
          <w:rFonts w:ascii="宋体" w:hAnsi="宋体" w:cs="宋体" w:eastAsia="宋体" w:hint="default"/>
        </w:rPr>
        <w:t>1.</w:t>
      </w:r>
      <w:r>
        <w:rPr/>
        <w:t>确认单独所持有的资产，以及按其份额确认共同持有的资产；</w:t>
      </w:r>
    </w:p>
    <w:p>
      <w:pPr>
        <w:pStyle w:val="BodyText"/>
        <w:spacing w:line="240" w:lineRule="auto" w:before="145"/>
        <w:ind w:left="634" w:right="0"/>
        <w:jc w:val="left"/>
      </w:pPr>
      <w:r>
        <w:rPr>
          <w:rFonts w:ascii="宋体" w:hAnsi="宋体" w:cs="宋体" w:eastAsia="宋体" w:hint="default"/>
        </w:rPr>
        <w:t>2.</w:t>
      </w:r>
      <w:r>
        <w:rPr/>
        <w:t>确认单独所承担的负债，以及按其份额确认共同承担的负债；</w:t>
      </w:r>
    </w:p>
    <w:p>
      <w:pPr>
        <w:pStyle w:val="BodyText"/>
        <w:spacing w:line="240" w:lineRule="auto" w:before="146"/>
        <w:ind w:left="634" w:right="0"/>
        <w:jc w:val="left"/>
      </w:pPr>
      <w:r>
        <w:rPr>
          <w:rFonts w:ascii="宋体" w:hAnsi="宋体" w:cs="宋体" w:eastAsia="宋体" w:hint="default"/>
        </w:rPr>
        <w:t>3.</w:t>
      </w:r>
      <w:r>
        <w:rPr/>
        <w:t>确认出售其享有的共同经营产出份额所产生的收入；</w:t>
      </w:r>
    </w:p>
    <w:p>
      <w:pPr>
        <w:pStyle w:val="BodyText"/>
        <w:spacing w:line="240" w:lineRule="auto" w:before="146"/>
        <w:ind w:left="634" w:right="0"/>
        <w:jc w:val="left"/>
      </w:pPr>
      <w:r>
        <w:rPr>
          <w:rFonts w:ascii="宋体" w:hAnsi="宋体" w:cs="宋体" w:eastAsia="宋体" w:hint="default"/>
        </w:rPr>
        <w:t>4.</w:t>
      </w:r>
      <w:r>
        <w:rPr/>
        <w:t>按其份额确认共同经营因出售产出所产生的收入；</w:t>
      </w:r>
    </w:p>
    <w:p>
      <w:pPr>
        <w:pStyle w:val="BodyText"/>
        <w:spacing w:line="352" w:lineRule="auto" w:before="145"/>
        <w:ind w:left="634" w:right="1152"/>
        <w:jc w:val="left"/>
      </w:pPr>
      <w:r>
        <w:rPr>
          <w:rFonts w:ascii="宋体" w:hAnsi="宋体" w:cs="宋体" w:eastAsia="宋体" w:hint="default"/>
        </w:rPr>
        <w:t>5.</w:t>
      </w:r>
      <w:r>
        <w:rPr/>
        <w:t>确认单独所发生的费用，以及按其份额确认共同经营发生的费用。 本公司向共同经营投出或出售资产等（该资产构成业务的除外），在该资产等由共同经</w:t>
      </w:r>
    </w:p>
    <w:p>
      <w:pPr>
        <w:pStyle w:val="BodyText"/>
        <w:spacing w:line="352" w:lineRule="auto" w:before="32"/>
        <w:ind w:right="1132"/>
        <w:jc w:val="both"/>
      </w:pPr>
      <w:r>
        <w:rPr/>
        <w:t>营出售给第三方之前，仅确认因该交易产生的损益中归属于共同经营其他参与方的部分。投 </w:t>
      </w:r>
      <w:r>
        <w:rPr>
          <w:spacing w:val="-3"/>
        </w:rPr>
        <w:t>出或出售的资产发生符合《企业会计准则第</w:t>
      </w:r>
      <w:r>
        <w:rPr>
          <w:rFonts w:ascii="宋体" w:hAnsi="宋体" w:cs="宋体" w:eastAsia="宋体" w:hint="default"/>
          <w:spacing w:val="-3"/>
        </w:rPr>
        <w:t>8</w:t>
      </w:r>
      <w:r>
        <w:rPr>
          <w:spacing w:val="-3"/>
        </w:rPr>
        <w:t>号——资产减值》等规定的资产减值损失的，本</w:t>
      </w:r>
      <w:r>
        <w:rPr>
          <w:spacing w:val="-81"/>
        </w:rPr>
        <w:t> </w:t>
      </w:r>
      <w:r>
        <w:rPr>
          <w:spacing w:val="-81"/>
        </w:rPr>
      </w:r>
      <w:r>
        <w:rPr/>
        <w:t>公司全额确认该损失。</w:t>
      </w:r>
    </w:p>
    <w:p>
      <w:pPr>
        <w:pStyle w:val="BodyText"/>
        <w:spacing w:line="350" w:lineRule="auto" w:before="32"/>
        <w:ind w:right="1132" w:firstLine="480"/>
        <w:jc w:val="both"/>
      </w:pPr>
      <w:r>
        <w:rPr/>
        <w:t>本公司自共同经营购买资产等（该资产构成业务的除外），在将该资产等出售给第三方 之前，仅确认因该交易产生的损益中归属于共同经营其他参与方的部分。购入的资产发生符 </w:t>
      </w:r>
      <w:r>
        <w:rPr>
          <w:spacing w:val="-3"/>
        </w:rPr>
        <w:t>合《企业会计准则第</w:t>
      </w:r>
      <w:r>
        <w:rPr>
          <w:rFonts w:ascii="宋体" w:hAnsi="宋体" w:cs="宋体" w:eastAsia="宋体" w:hint="default"/>
          <w:spacing w:val="-3"/>
        </w:rPr>
        <w:t>8</w:t>
      </w:r>
      <w:r>
        <w:rPr>
          <w:spacing w:val="-3"/>
        </w:rPr>
        <w:t>号——资产减值》等规定的资产减值损失的，本公司按承担的份额确认</w:t>
      </w:r>
      <w:r>
        <w:rPr>
          <w:spacing w:val="-81"/>
        </w:rPr>
        <w:t> </w:t>
      </w:r>
      <w:r>
        <w:rPr>
          <w:spacing w:val="-81"/>
        </w:rPr>
      </w:r>
      <w:r>
        <w:rPr/>
        <w:t>该部分损失。</w:t>
      </w:r>
    </w:p>
    <w:p>
      <w:pPr>
        <w:pStyle w:val="BodyText"/>
        <w:spacing w:line="352" w:lineRule="auto" w:before="35"/>
        <w:ind w:right="1170" w:firstLine="480"/>
        <w:jc w:val="both"/>
      </w:pPr>
      <w:r>
        <w:rPr/>
        <w:t>本公司对共同经营不享有共同控制，如果本公司享有该共同经营相关资产且承担该共同 经营相关负债的，仍按上述原则进行会计处理，否则，应当按照相关企业会计准则的规定进 行会计处理。</w:t>
      </w:r>
    </w:p>
    <w:p>
      <w:pPr>
        <w:spacing w:line="333" w:lineRule="auto" w:before="32"/>
        <w:ind w:left="634" w:right="0" w:hanging="480"/>
        <w:jc w:val="left"/>
        <w:rPr>
          <w:rFonts w:ascii="宋体" w:hAnsi="宋体" w:cs="宋体" w:eastAsia="宋体" w:hint="default"/>
          <w:sz w:val="24"/>
          <w:szCs w:val="24"/>
        </w:rPr>
      </w:pPr>
      <w:bookmarkStart w:name="8、现金及现金等价物的确定标准" w:id="187"/>
      <w:bookmarkEnd w:id="187"/>
      <w:r>
        <w:rPr/>
      </w: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在编制现金流量表时，将本公司库存现金以及可以随时用于支付的存款确认为现金。将</w:t>
      </w:r>
    </w:p>
    <w:p>
      <w:pPr>
        <w:pStyle w:val="BodyText"/>
        <w:spacing w:line="350" w:lineRule="auto" w:before="52"/>
        <w:ind w:right="1035"/>
        <w:jc w:val="left"/>
      </w:pPr>
      <w:r>
        <w:rPr>
          <w:spacing w:val="-3"/>
        </w:rPr>
        <w:t>同时具备期限短（一般从购买日起三个月内到期）、流动性强、易于转换为已知金额的现金、</w:t>
      </w:r>
      <w:r>
        <w:rPr>
          <w:spacing w:val="-117"/>
        </w:rPr>
        <w:t> </w:t>
      </w:r>
      <w:r>
        <w:rPr>
          <w:spacing w:val="-117"/>
        </w:rPr>
      </w:r>
      <w:r>
        <w:rPr/>
        <w:t>价值变动风险很小四个条件的投资，确定为现金等价物。</w:t>
      </w:r>
    </w:p>
    <w:p>
      <w:pPr>
        <w:pStyle w:val="Heading2"/>
        <w:spacing w:line="331" w:lineRule="auto" w:before="36"/>
        <w:ind w:left="634" w:right="7691" w:hanging="480"/>
        <w:jc w:val="left"/>
        <w:rPr>
          <w:rFonts w:ascii="宋体" w:hAnsi="宋体" w:cs="宋体" w:eastAsia="宋体" w:hint="default"/>
          <w:b w:val="0"/>
          <w:bCs w:val="0"/>
        </w:rPr>
      </w:pPr>
      <w:bookmarkStart w:name="9、外币业务和外币报表折算" w:id="188"/>
      <w:bookmarkEnd w:id="188"/>
      <w:r>
        <w:rPr>
          <w:b w:val="0"/>
          <w:bCs w:val="0"/>
        </w:rPr>
      </w:r>
      <w:r>
        <w:rPr>
          <w:rFonts w:ascii="Times New Roman" w:hAnsi="Times New Roman" w:cs="Times New Roman" w:eastAsia="Times New Roman" w:hint="default"/>
          <w:w w:val="95"/>
        </w:rPr>
        <w:t>9</w:t>
      </w:r>
      <w:r>
        <w:rPr>
          <w:w w:val="95"/>
        </w:rPr>
        <w:t>、外币业务和外币报表折算</w:t>
      </w:r>
      <w:r>
        <w:rPr>
          <w:spacing w:val="24"/>
          <w:w w:val="95"/>
        </w:rPr>
        <w:t> </w:t>
      </w:r>
      <w:r>
        <w:rPr>
          <w:rFonts w:ascii="宋体" w:hAnsi="宋体" w:cs="宋体" w:eastAsia="宋体" w:hint="default"/>
          <w:b w:val="0"/>
          <w:bCs w:val="0"/>
        </w:rPr>
        <w:t>无</w:t>
      </w:r>
    </w:p>
    <w:p>
      <w:pPr>
        <w:pStyle w:val="Heading2"/>
        <w:spacing w:line="240" w:lineRule="auto" w:before="54"/>
        <w:ind w:right="0"/>
        <w:jc w:val="left"/>
        <w:rPr>
          <w:b w:val="0"/>
          <w:bCs w:val="0"/>
        </w:rPr>
      </w:pPr>
      <w:bookmarkStart w:name="10、金融工具" w:id="189"/>
      <w:bookmarkEnd w:id="189"/>
      <w:r>
        <w:rPr>
          <w:b w:val="0"/>
          <w:bCs w:val="0"/>
        </w:rPr>
      </w:r>
      <w:r>
        <w:rPr>
          <w:rFonts w:ascii="Times New Roman" w:hAnsi="Times New Roman" w:cs="Times New Roman" w:eastAsia="Times New Roman" w:hint="default"/>
        </w:rPr>
        <w:t>10</w:t>
      </w:r>
      <w:r>
        <w:rPr/>
        <w:t>、金融工具</w:t>
      </w:r>
      <w:r>
        <w:rPr>
          <w:b w:val="0"/>
          <w:bCs w:val="0"/>
        </w:rPr>
      </w:r>
    </w:p>
    <w:p>
      <w:pPr>
        <w:pStyle w:val="BodyText"/>
        <w:spacing w:line="240" w:lineRule="auto" w:before="128"/>
        <w:ind w:left="634" w:right="0"/>
        <w:jc w:val="left"/>
      </w:pPr>
      <w:r>
        <w:rPr/>
        <w:t>金融工具包括金融资产、金融负债和权益工具。</w:t>
      </w:r>
    </w:p>
    <w:p>
      <w:pPr>
        <w:spacing w:line="240" w:lineRule="auto" w:before="1"/>
        <w:rPr>
          <w:rFonts w:ascii="宋体" w:hAnsi="宋体" w:cs="宋体" w:eastAsia="宋体" w:hint="default"/>
          <w:sz w:val="23"/>
          <w:szCs w:val="23"/>
        </w:rPr>
      </w:pPr>
    </w:p>
    <w:p>
      <w:pPr>
        <w:pStyle w:val="BodyText"/>
        <w:spacing w:line="350" w:lineRule="auto" w:before="0"/>
        <w:ind w:left="634" w:right="0"/>
        <w:jc w:val="left"/>
      </w:pPr>
      <w:r>
        <w:rPr/>
        <w:t>（</w:t>
      </w:r>
      <w:r>
        <w:rPr>
          <w:rFonts w:ascii="宋体" w:hAnsi="宋体" w:cs="宋体" w:eastAsia="宋体" w:hint="default"/>
        </w:rPr>
        <w:t>1</w:t>
      </w:r>
      <w:r>
        <w:rPr/>
        <w:t>）金融工具的分类 根据所发行金融工具的合同条款及其所反映的经济实质而非仅以法律形式，结合取得持</w:t>
      </w:r>
    </w:p>
    <w:p>
      <w:pPr>
        <w:pStyle w:val="BodyText"/>
        <w:spacing w:line="350" w:lineRule="auto"/>
        <w:ind w:right="1008"/>
        <w:jc w:val="left"/>
      </w:pPr>
      <w:r>
        <w:rPr/>
        <w:t>有金融资产和承担金融负债的目的，在初始确认时将金融资产和金融负债分为不同类别：以 </w:t>
      </w:r>
      <w:r>
        <w:rPr>
          <w:spacing w:val="-8"/>
        </w:rPr>
        <w:t>公允价值计量且其变动计入当期损益的金融资产（或金融负债）；持有至到期投资；应收款项；</w:t>
      </w:r>
      <w:r>
        <w:rPr>
          <w:spacing w:val="-108"/>
        </w:rPr>
        <w:t> </w:t>
      </w:r>
      <w:r>
        <w:rPr>
          <w:spacing w:val="-108"/>
        </w:rPr>
      </w:r>
      <w:r>
        <w:rPr/>
        <w:t>可供出售金融资产；其他金融负债等。</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634" w:right="0"/>
        <w:jc w:val="left"/>
      </w:pPr>
      <w:r>
        <w:rPr/>
        <w:t>（</w:t>
      </w:r>
      <w:r>
        <w:rPr>
          <w:rFonts w:ascii="宋体" w:hAnsi="宋体" w:cs="宋体" w:eastAsia="宋体" w:hint="default"/>
        </w:rPr>
        <w:t>2</w:t>
      </w:r>
      <w:r>
        <w:rPr/>
        <w:t>）金融工具的确认依据和计量方法</w:t>
      </w:r>
    </w:p>
    <w:p>
      <w:pPr>
        <w:pStyle w:val="BodyText"/>
        <w:spacing w:line="352" w:lineRule="auto" w:before="145"/>
        <w:ind w:left="634" w:right="0"/>
        <w:jc w:val="left"/>
      </w:pPr>
      <w:r>
        <w:rPr/>
        <w:t>①以公允价值计量且其变动计入当期损益的金融资产（金融负债） 以公允价值计量且其变动计入当期损益的金融资产或金融负债，包括交易性金融资产或</w:t>
      </w:r>
    </w:p>
    <w:p>
      <w:pPr>
        <w:pStyle w:val="BodyText"/>
        <w:spacing w:line="352" w:lineRule="auto" w:before="33"/>
        <w:ind w:left="634" w:right="1632" w:hanging="480"/>
        <w:jc w:val="left"/>
      </w:pPr>
      <w:r>
        <w:rPr/>
        <w:t>金融负债和直接指定为以公允价值计量且其变动计入当期损益的金融资产或金融负债。 交易性金融资产或金融负债是指满足下列条件之一的金融资产或金融负债： </w:t>
      </w:r>
      <w:r>
        <w:rPr>
          <w:rFonts w:ascii="宋体" w:hAnsi="宋体" w:cs="宋体" w:eastAsia="宋体" w:hint="default"/>
        </w:rPr>
        <w:t>1</w:t>
      </w:r>
      <w:r>
        <w:rPr/>
        <w:t>）取得该金融资产或金融负债的目的是为了在短期内出售、回购或赎回；</w:t>
      </w:r>
    </w:p>
    <w:p>
      <w:pPr>
        <w:pStyle w:val="BodyText"/>
        <w:spacing w:line="350" w:lineRule="auto" w:before="32"/>
        <w:ind w:right="1131" w:firstLine="480"/>
        <w:jc w:val="both"/>
      </w:pPr>
      <w:r>
        <w:rPr>
          <w:rFonts w:ascii="宋体" w:hAnsi="宋体" w:cs="宋体" w:eastAsia="宋体" w:hint="default"/>
          <w:spacing w:val="-3"/>
        </w:rPr>
        <w:t>2</w:t>
      </w:r>
      <w:r>
        <w:rPr>
          <w:spacing w:val="-3"/>
        </w:rPr>
        <w:t>）属于进行集中管理的可辨认金融工具组合的一部分，且有客观证据表明本公司近期采</w:t>
      </w:r>
      <w:r>
        <w:rPr/>
        <w:t> 用短期获利方式对该组合进行管理；</w:t>
      </w:r>
    </w:p>
    <w:p>
      <w:pPr>
        <w:pStyle w:val="BodyText"/>
        <w:spacing w:line="350" w:lineRule="auto"/>
        <w:ind w:right="1132" w:firstLine="480"/>
        <w:jc w:val="both"/>
      </w:pPr>
      <w:r>
        <w:rPr>
          <w:rFonts w:ascii="宋体" w:hAnsi="宋体" w:cs="宋体" w:eastAsia="宋体" w:hint="default"/>
          <w:spacing w:val="-3"/>
        </w:rPr>
        <w:t>3</w:t>
      </w:r>
      <w:r>
        <w:rPr>
          <w:spacing w:val="-3"/>
        </w:rPr>
        <w:t>）属于衍生金融工具，但是被指定为有效套期工具的衍生工具、属于财务担保合同的衍</w:t>
      </w:r>
      <w:r>
        <w:rPr/>
        <w:t> 生工具、与在活跃市场中没有报价且其公允价值不能可靠计量的权益工具投资挂钩并须通过 交付该权益工具结算的衍生工具除外。</w:t>
      </w:r>
    </w:p>
    <w:p>
      <w:pPr>
        <w:pStyle w:val="BodyText"/>
        <w:spacing w:line="350" w:lineRule="auto"/>
        <w:ind w:right="1140" w:firstLine="480"/>
        <w:jc w:val="both"/>
      </w:pPr>
      <w:r>
        <w:rPr/>
        <w:t>只有符合以下条件之一，金融资产或金融负债才可在初始计量时指定为以公允价值计量 且其变动计入损益的金融资产或金融负债：</w:t>
      </w:r>
    </w:p>
    <w:p>
      <w:pPr>
        <w:pStyle w:val="BodyText"/>
        <w:spacing w:line="352" w:lineRule="auto" w:before="35"/>
        <w:ind w:right="1131" w:firstLine="480"/>
        <w:jc w:val="both"/>
      </w:pPr>
      <w:r>
        <w:rPr>
          <w:rFonts w:ascii="宋体" w:hAnsi="宋体" w:cs="宋体" w:eastAsia="宋体" w:hint="default"/>
          <w:spacing w:val="-3"/>
        </w:rPr>
        <w:t>1</w:t>
      </w:r>
      <w:r>
        <w:rPr>
          <w:spacing w:val="-3"/>
        </w:rPr>
        <w:t>）该项指定可以消除或明显减少由于金融资产或金融负债的计量基础不同所导致的相关</w:t>
      </w:r>
      <w:r>
        <w:rPr/>
        <w:t> 利得或损失在确认或计量方面不一致的情况；</w:t>
      </w:r>
    </w:p>
    <w:p>
      <w:pPr>
        <w:pStyle w:val="BodyText"/>
        <w:spacing w:line="350" w:lineRule="auto" w:before="33"/>
        <w:ind w:right="1151" w:firstLine="480"/>
        <w:jc w:val="both"/>
      </w:pPr>
      <w:r>
        <w:rPr>
          <w:rFonts w:ascii="宋体" w:hAnsi="宋体" w:cs="宋体" w:eastAsia="宋体" w:hint="default"/>
          <w:spacing w:val="-3"/>
        </w:rPr>
        <w:t>2</w:t>
      </w:r>
      <w:r>
        <w:rPr>
          <w:spacing w:val="-3"/>
        </w:rPr>
        <w:t>）风险管理或投资策略的正式书面文件已载明，该金融资产组合、该金融负债组合、或</w:t>
      </w:r>
      <w:r>
        <w:rPr>
          <w:spacing w:val="-21"/>
        </w:rPr>
        <w:t> </w:t>
      </w:r>
      <w:r>
        <w:rPr/>
        <w:t>该金融资产和金融负债组合，以公允价值为基础进行管理、评价并向关键管理人员报告；</w:t>
      </w:r>
    </w:p>
    <w:p>
      <w:pPr>
        <w:pStyle w:val="BodyText"/>
        <w:spacing w:line="350" w:lineRule="auto"/>
        <w:ind w:right="1131" w:firstLine="480"/>
        <w:jc w:val="both"/>
      </w:pPr>
      <w:r>
        <w:rPr>
          <w:rFonts w:ascii="宋体" w:hAnsi="宋体" w:cs="宋体" w:eastAsia="宋体" w:hint="default"/>
          <w:spacing w:val="-3"/>
        </w:rPr>
        <w:t>3</w:t>
      </w:r>
      <w:r>
        <w:rPr>
          <w:spacing w:val="-3"/>
        </w:rPr>
        <w:t>）包含一项或多项嵌入衍生工具的混合工具，除非嵌入衍生工具对混合工具的现金流量</w:t>
      </w:r>
      <w:r>
        <w:rPr/>
        <w:t> 没有重大改变，或所嵌入的衍生工具明显不应当从相关混合工具中分拆；</w:t>
      </w:r>
    </w:p>
    <w:p>
      <w:pPr>
        <w:pStyle w:val="BodyText"/>
        <w:spacing w:line="352" w:lineRule="auto" w:before="35"/>
        <w:ind w:right="1131" w:firstLine="480"/>
        <w:jc w:val="both"/>
      </w:pPr>
      <w:r>
        <w:rPr>
          <w:rFonts w:ascii="宋体" w:hAnsi="宋体" w:cs="宋体" w:eastAsia="宋体" w:hint="default"/>
          <w:spacing w:val="-3"/>
        </w:rPr>
        <w:t>4</w:t>
      </w:r>
      <w:r>
        <w:rPr>
          <w:spacing w:val="-3"/>
        </w:rPr>
        <w:t>）包含需要分拆但无法在取得时或后续的资产负债表日对其进行单独计量的嵌入衍生工</w:t>
      </w:r>
      <w:r>
        <w:rPr/>
        <w:t> 具的混合工具。</w:t>
      </w:r>
    </w:p>
    <w:p>
      <w:pPr>
        <w:pStyle w:val="BodyText"/>
        <w:spacing w:line="350" w:lineRule="auto" w:before="32"/>
        <w:ind w:right="1135" w:firstLine="480"/>
        <w:jc w:val="both"/>
      </w:pPr>
      <w:r>
        <w:rPr/>
        <w:t>本公司对以公允价值计量且其变动计入当期损益的金融资产或金融负债，在取得时以公 允价值（扣除已宣告但尚未发放的现金股利或已到付息期但尚未领取的债券利息）作为初始 确认金额，相关的交易费用计入当期损益。持有期间将取得的利息或现金股利确认为投资收</w:t>
      </w:r>
      <w:r>
        <w:rPr>
          <w:spacing w:val="-115"/>
        </w:rPr>
        <w:t> </w:t>
      </w:r>
      <w:r>
        <w:rPr>
          <w:spacing w:val="-115"/>
        </w:rPr>
      </w:r>
      <w:r>
        <w:rPr/>
        <w:t>益，期末将公允价值变动计入当期损益。处置时，其公允价值与初始入账金额之间的差额确 认为投资收益，同时调整公允价值变动损益。</w:t>
      </w:r>
    </w:p>
    <w:p>
      <w:pPr>
        <w:pStyle w:val="BodyText"/>
        <w:spacing w:line="350" w:lineRule="auto"/>
        <w:ind w:left="634" w:right="1092"/>
        <w:jc w:val="left"/>
      </w:pPr>
      <w:r>
        <w:rPr/>
        <w:t>②应收款项 应收款项是指在活跃市场中没有报价、回收金额固定或可确定的非衍生金融资产。 本公司对外销售商品或提供劳务形成的应收债权，以及公司持有的其他企业的债权（不</w:t>
      </w:r>
    </w:p>
    <w:p>
      <w:pPr>
        <w:pStyle w:val="BodyText"/>
        <w:spacing w:line="240" w:lineRule="auto"/>
        <w:ind w:right="0"/>
        <w:jc w:val="left"/>
      </w:pPr>
      <w:r>
        <w:rPr/>
        <w:t>包括在活跃市场上有报价的债务工具</w:t>
      </w:r>
      <w:r>
        <w:rPr>
          <w:spacing w:val="-120"/>
        </w:rPr>
        <w:t>）</w:t>
      </w:r>
      <w:r>
        <w:rPr>
          <w:spacing w:val="-21"/>
        </w:rPr>
        <w:t>，</w:t>
      </w:r>
      <w:r>
        <w:rPr/>
        <w:t>包括应收账款</w:t>
      </w:r>
      <w:r>
        <w:rPr>
          <w:spacing w:val="-21"/>
        </w:rPr>
        <w:t>、</w:t>
      </w:r>
      <w:r>
        <w:rPr/>
        <w:t>其他应收款</w:t>
      </w:r>
      <w:r>
        <w:rPr>
          <w:spacing w:val="-21"/>
        </w:rPr>
        <w:t>、</w:t>
      </w:r>
      <w:r>
        <w:rPr/>
        <w:t>应收票据等</w:t>
      </w:r>
      <w:r>
        <w:rPr>
          <w:spacing w:val="-21"/>
        </w:rPr>
        <w:t>，</w:t>
      </w:r>
      <w:r>
        <w:rPr/>
        <w:t>以向购货</w:t>
      </w:r>
    </w:p>
    <w:p>
      <w:pPr>
        <w:spacing w:after="0" w:line="240" w:lineRule="auto"/>
        <w:jc w:val="left"/>
        <w:sectPr>
          <w:footerReference w:type="default" r:id="rId17"/>
          <w:pgSz w:w="11910" w:h="16840"/>
          <w:pgMar w:footer="979" w:header="747"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4" w:right="1392" w:hanging="480"/>
        <w:jc w:val="left"/>
      </w:pPr>
      <w:r>
        <w:rPr/>
        <w:t>方应收的合同或协议价款作为初始确认金额；具有融资性质的，按其现值进行初始确认。 收回或处置时，将取得的价款与该应收款项账面价值之间的差额计入当期损益。</w:t>
      </w:r>
    </w:p>
    <w:p>
      <w:pPr>
        <w:pStyle w:val="BodyText"/>
        <w:spacing w:line="350" w:lineRule="auto"/>
        <w:ind w:left="634" w:right="0"/>
        <w:jc w:val="left"/>
      </w:pPr>
      <w:r>
        <w:rPr/>
        <w:t>③持有至到期投资 持有至到期投资是指到期日固定、回收金额固定或可确定，且本公司有明确意图和能力</w:t>
      </w:r>
    </w:p>
    <w:p>
      <w:pPr>
        <w:pStyle w:val="BodyText"/>
        <w:spacing w:line="352" w:lineRule="auto" w:before="35"/>
        <w:ind w:left="634" w:right="0" w:hanging="480"/>
        <w:jc w:val="left"/>
      </w:pPr>
      <w:r>
        <w:rPr/>
        <w:t>持有至到期的非衍生性金融资产。 本公司对持有至到期投资，在取得时按公允价值（扣除已到付息期但尚未领取的债券利</w:t>
      </w:r>
    </w:p>
    <w:p>
      <w:pPr>
        <w:pStyle w:val="BodyText"/>
        <w:spacing w:line="352" w:lineRule="auto" w:before="32"/>
        <w:ind w:right="1139"/>
        <w:jc w:val="both"/>
      </w:pPr>
      <w:r>
        <w:rPr/>
        <w:t>息）和相关交易费用之和作为初始确认金额。持有期间按照摊余成本和实际利率计算确认利 息收入，计入投资收益。实际利率在取得时确定，在该预期存续期间或适用的更短期间内保 持不变。处置时，将所取得价款与该投资账面价值之间的差额计入投资收益。</w:t>
      </w:r>
    </w:p>
    <w:p>
      <w:pPr>
        <w:pStyle w:val="BodyText"/>
        <w:spacing w:line="350" w:lineRule="auto" w:before="32"/>
        <w:ind w:right="1139" w:firstLine="480"/>
        <w:jc w:val="both"/>
      </w:pPr>
      <w:r>
        <w:rPr/>
        <w:t>如果持有至到期投资处置或重分类为其他类金融资产的金额，相对于本公司全部持有至 到期投资在出售或重分类前的总额较大，在处置或重分类后应立即将其剩余的持有至到期投 资重分类为可供出售金融资产；重分类日，该投资的账面价值与其公允价值之间的差额计入 其他综合收益，在该可供出售金融资产发生减值或终止确认时转出，计入当期损益。但是， 遇到下列情况可以除外：</w:t>
      </w:r>
    </w:p>
    <w:p>
      <w:pPr>
        <w:pStyle w:val="BodyText"/>
        <w:spacing w:line="350" w:lineRule="auto"/>
        <w:ind w:right="1130" w:firstLine="480"/>
        <w:jc w:val="both"/>
      </w:pPr>
      <w:r>
        <w:rPr>
          <w:rFonts w:ascii="宋体" w:hAnsi="宋体" w:cs="宋体" w:eastAsia="宋体" w:hint="default"/>
          <w:spacing w:val="-3"/>
        </w:rPr>
        <w:t>1</w:t>
      </w:r>
      <w:r>
        <w:rPr>
          <w:spacing w:val="-3"/>
        </w:rPr>
        <w:t>）出售日或重分类日距离该项投资到期日或赎回日较近</w:t>
      </w:r>
      <w:r>
        <w:rPr>
          <w:rFonts w:ascii="宋体" w:hAnsi="宋体" w:cs="宋体" w:eastAsia="宋体" w:hint="default"/>
          <w:spacing w:val="-3"/>
        </w:rPr>
        <w:t>(</w:t>
      </w:r>
      <w:r>
        <w:rPr>
          <w:spacing w:val="-3"/>
        </w:rPr>
        <w:t>如到期前三个月内</w:t>
      </w:r>
      <w:r>
        <w:rPr>
          <w:rFonts w:ascii="宋体" w:hAnsi="宋体" w:cs="宋体" w:eastAsia="宋体" w:hint="default"/>
          <w:spacing w:val="-3"/>
        </w:rPr>
        <w:t>)</w:t>
      </w:r>
      <w:r>
        <w:rPr>
          <w:spacing w:val="-3"/>
        </w:rPr>
        <w:t>，且市场利</w:t>
      </w:r>
      <w:r>
        <w:rPr/>
        <w:t> 率变化对该项投资的公允价值没有显著影响。</w:t>
      </w:r>
    </w:p>
    <w:p>
      <w:pPr>
        <w:pStyle w:val="BodyText"/>
        <w:spacing w:line="240" w:lineRule="auto" w:before="35"/>
        <w:ind w:left="634" w:right="0"/>
        <w:jc w:val="left"/>
      </w:pPr>
      <w:r>
        <w:rPr>
          <w:rFonts w:ascii="宋体" w:hAnsi="宋体" w:cs="宋体" w:eastAsia="宋体" w:hint="default"/>
        </w:rPr>
        <w:t>2</w:t>
      </w:r>
      <w:r>
        <w:rPr/>
        <w:t>）根据合同约定的偿付方式，企业已收回几乎所有初始本金。</w:t>
      </w:r>
    </w:p>
    <w:p>
      <w:pPr>
        <w:pStyle w:val="BodyText"/>
        <w:spacing w:line="350" w:lineRule="auto" w:before="146"/>
        <w:ind w:right="1131" w:firstLine="480"/>
        <w:jc w:val="both"/>
      </w:pPr>
      <w:r>
        <w:rPr>
          <w:rFonts w:ascii="宋体" w:hAnsi="宋体" w:cs="宋体" w:eastAsia="宋体" w:hint="default"/>
          <w:spacing w:val="-3"/>
        </w:rPr>
        <w:t>3</w:t>
      </w:r>
      <w:r>
        <w:rPr>
          <w:spacing w:val="-3"/>
        </w:rPr>
        <w:t>）出售或重分类是由于企业无法控制、预期不会重复发生且难以合理预计的独立事件所</w:t>
      </w:r>
      <w:r>
        <w:rPr/>
        <w:t> 引起。</w:t>
      </w:r>
    </w:p>
    <w:p>
      <w:pPr>
        <w:pStyle w:val="BodyText"/>
        <w:spacing w:line="352" w:lineRule="auto" w:before="35"/>
        <w:ind w:left="634" w:right="0"/>
        <w:jc w:val="left"/>
      </w:pPr>
      <w:r>
        <w:rPr/>
        <w:t>④可供出售金融资产 可供出售金融资产，是指初始确认时即指定为可供出售的非衍生金融资产，以及除其他</w:t>
      </w:r>
    </w:p>
    <w:p>
      <w:pPr>
        <w:pStyle w:val="BodyText"/>
        <w:spacing w:line="350" w:lineRule="auto" w:before="32"/>
        <w:ind w:left="634" w:right="0" w:hanging="480"/>
        <w:jc w:val="left"/>
      </w:pPr>
      <w:r>
        <w:rPr/>
        <w:t>金融资产类别以外的金融资产。 本公司对可供出售金融资产，在取得时按公允价值（扣除已宣告但尚未发放的现金股利</w:t>
      </w:r>
    </w:p>
    <w:p>
      <w:pPr>
        <w:pStyle w:val="BodyText"/>
        <w:spacing w:line="350" w:lineRule="auto"/>
        <w:ind w:right="994"/>
        <w:jc w:val="left"/>
      </w:pPr>
      <w:r>
        <w:rPr/>
        <w:t>或已到付息期但尚未领取的债券利息）和相关交易费用之和作为初始确认金额。持有期间将 取得的利息或现金股利确认为投资收益。可供出售金融资产的公允价值变动形成的利得或损</w:t>
      </w:r>
      <w:r>
        <w:rPr>
          <w:spacing w:val="-109"/>
        </w:rPr>
        <w:t> </w:t>
      </w:r>
      <w:r>
        <w:rPr>
          <w:spacing w:val="-109"/>
        </w:rPr>
      </w:r>
      <w:r>
        <w:rPr/>
        <w:t>失，除减值损失和外币货币性金融资产形成的汇兑差额外，直接计入其他综合收益。处置可</w:t>
      </w:r>
      <w:r>
        <w:rPr/>
        <w:t> </w:t>
      </w:r>
      <w:r>
        <w:rPr>
          <w:spacing w:val="-3"/>
        </w:rPr>
        <w:t>供出售金融资产时，将取得的价款与该金融资产账面价值之间的差额，计入投资损益；同时，</w:t>
      </w:r>
      <w:r>
        <w:rPr>
          <w:spacing w:val="-81"/>
        </w:rPr>
        <w:t> </w:t>
      </w:r>
      <w:r>
        <w:rPr>
          <w:spacing w:val="-81"/>
        </w:rPr>
      </w:r>
      <w:r>
        <w:rPr>
          <w:spacing w:val="-2"/>
        </w:rPr>
        <w:t>将原直接计入其他综合收益的公允价值变动累计额对应处置部分的金额转出，计入投资损益。</w:t>
      </w:r>
    </w:p>
    <w:p>
      <w:pPr>
        <w:pStyle w:val="BodyText"/>
        <w:spacing w:line="352" w:lineRule="auto" w:before="35"/>
        <w:ind w:right="1140" w:firstLine="480"/>
        <w:jc w:val="both"/>
      </w:pPr>
      <w:r>
        <w:rPr/>
        <w:t>本公司对在活跃市场中没有报价且其公允价值不能可靠计量的权益工具投资，以及与该 权益工具挂钩并须通过交付该权益工具结算的衍生金融资产，按照成本计量。</w:t>
      </w:r>
    </w:p>
    <w:p>
      <w:pPr>
        <w:spacing w:after="0" w:line="352" w:lineRule="auto"/>
        <w:jc w:val="both"/>
        <w:sectPr>
          <w:footerReference w:type="default" r:id="rId18"/>
          <w:pgSz w:w="11910" w:h="16840"/>
          <w:pgMar w:footer="979" w:header="747" w:top="1060" w:bottom="1160" w:left="980" w:right="0"/>
          <w:pgNumType w:start="101"/>
        </w:sectPr>
      </w:pPr>
    </w:p>
    <w:p>
      <w:pPr>
        <w:spacing w:line="240" w:lineRule="auto" w:before="0"/>
        <w:rPr>
          <w:rFonts w:ascii="宋体" w:hAnsi="宋体" w:cs="宋体" w:eastAsia="宋体" w:hint="default"/>
          <w:sz w:val="20"/>
          <w:szCs w:val="20"/>
        </w:rPr>
      </w:pPr>
    </w:p>
    <w:p>
      <w:pPr>
        <w:pStyle w:val="BodyText"/>
        <w:spacing w:line="350" w:lineRule="auto" w:before="199"/>
        <w:ind w:left="634" w:right="1392"/>
        <w:jc w:val="left"/>
      </w:pPr>
      <w:r>
        <w:rPr/>
        <w:t>⑤其他金融负债 按其公允价值和相关交易费用之和作为初始确认金额。采用摊余成本进行后续计量。</w:t>
      </w:r>
    </w:p>
    <w:p>
      <w:pPr>
        <w:pStyle w:val="BodyText"/>
        <w:spacing w:line="350" w:lineRule="auto" w:before="192"/>
        <w:ind w:left="634" w:right="0"/>
        <w:jc w:val="left"/>
      </w:pPr>
      <w:r>
        <w:rPr/>
        <w:t>（</w:t>
      </w:r>
      <w:r>
        <w:rPr>
          <w:rFonts w:ascii="宋体" w:hAnsi="宋体" w:cs="宋体" w:eastAsia="宋体" w:hint="default"/>
        </w:rPr>
        <w:t>3</w:t>
      </w:r>
      <w:r>
        <w:rPr/>
        <w:t>）金融资产转移的确认依据和计量方法 公司发生金融资产转移时，如已将金融资产所有权上几乎所有的风险和报酬转移给转入</w:t>
      </w:r>
    </w:p>
    <w:p>
      <w:pPr>
        <w:pStyle w:val="BodyText"/>
        <w:spacing w:line="352" w:lineRule="auto" w:before="35"/>
        <w:ind w:right="0"/>
        <w:jc w:val="left"/>
      </w:pPr>
      <w:r>
        <w:rPr/>
        <w:t>方，则终止确认该金融资产；如保留了金融资产所有权上几乎所有的风险和报酬的，则不终 止确认该金融资产。</w:t>
      </w:r>
    </w:p>
    <w:p>
      <w:pPr>
        <w:pStyle w:val="BodyText"/>
        <w:spacing w:line="352" w:lineRule="auto" w:before="32"/>
        <w:ind w:right="0" w:firstLine="480"/>
        <w:jc w:val="left"/>
      </w:pPr>
      <w:r>
        <w:rPr>
          <w:spacing w:val="-3"/>
        </w:rPr>
        <w:t>在判断金融资产转移是否满足上述金融资产终止确认条件时，采用实质重于形式的原则。</w:t>
      </w:r>
      <w:r>
        <w:rPr/>
        <w:t> 公司将金融资产转移区分为金融资产整体转移和部分转移。金融资产整体转移满足终止确认 条件的，将下列两项金额的差额计入当期损益：</w:t>
      </w:r>
    </w:p>
    <w:p>
      <w:pPr>
        <w:pStyle w:val="BodyText"/>
        <w:spacing w:line="240" w:lineRule="auto" w:before="32"/>
        <w:ind w:left="634" w:right="0"/>
        <w:jc w:val="left"/>
      </w:pPr>
      <w:r>
        <w:rPr/>
        <w:t>①所转移金融资产的账面价值；</w:t>
      </w:r>
    </w:p>
    <w:p>
      <w:pPr>
        <w:pStyle w:val="BodyText"/>
        <w:spacing w:line="352" w:lineRule="auto" w:before="145"/>
        <w:ind w:right="0" w:firstLine="480"/>
        <w:jc w:val="left"/>
      </w:pPr>
      <w:r>
        <w:rPr/>
        <w:t>②因转移而收到的对价，与原直接计入所有者权益的公允价值变动累计额（涉及转移的 金融资产为可供出售金融资产的情形）之和。</w:t>
      </w:r>
    </w:p>
    <w:p>
      <w:pPr>
        <w:pStyle w:val="BodyText"/>
        <w:spacing w:line="352" w:lineRule="auto" w:before="32"/>
        <w:ind w:right="1139" w:firstLine="480"/>
        <w:jc w:val="both"/>
      </w:pPr>
      <w:r>
        <w:rPr/>
        <w:t>金融资产部分转移满足终止确认条件的，将所转移金融资产整体的账面价值，在终止确 认部分和未终止确认部分之间，按照各自的相对公允价值进行分摊，并将下列两项金额的差 额计入当期损益：</w:t>
      </w:r>
    </w:p>
    <w:p>
      <w:pPr>
        <w:pStyle w:val="BodyText"/>
        <w:spacing w:line="240" w:lineRule="auto" w:before="33"/>
        <w:ind w:left="634" w:right="0"/>
        <w:jc w:val="left"/>
      </w:pPr>
      <w:r>
        <w:rPr/>
        <w:t>①终止确认部分的账面价值；</w:t>
      </w:r>
    </w:p>
    <w:p>
      <w:pPr>
        <w:pStyle w:val="BodyText"/>
        <w:spacing w:line="352" w:lineRule="auto" w:before="145"/>
        <w:ind w:right="0" w:firstLine="480"/>
        <w:jc w:val="left"/>
      </w:pPr>
      <w:r>
        <w:rPr/>
        <w:t>②终止确认部分的对价，与原直接计入所有者权益的公允价值变动累计额中对应终止确 认部分的金额（涉及转移的金融资产为可供出售金融资产的情形）之和。</w:t>
      </w:r>
    </w:p>
    <w:p>
      <w:pPr>
        <w:pStyle w:val="BodyText"/>
        <w:spacing w:line="350" w:lineRule="auto" w:before="32"/>
        <w:ind w:right="0" w:firstLine="480"/>
        <w:jc w:val="left"/>
      </w:pPr>
      <w:r>
        <w:rPr/>
        <w:t>金融资产转移不满足终止确认条件的，继续确认该金融资产，所收到的对价确认为一项 金融负债。</w:t>
      </w:r>
    </w:p>
    <w:p>
      <w:pPr>
        <w:pStyle w:val="BodyText"/>
        <w:spacing w:line="350" w:lineRule="auto" w:before="192"/>
        <w:ind w:left="634" w:right="0"/>
        <w:jc w:val="left"/>
      </w:pPr>
      <w:r>
        <w:rPr/>
        <w:t>（</w:t>
      </w:r>
      <w:r>
        <w:rPr>
          <w:rFonts w:ascii="宋体" w:hAnsi="宋体" w:cs="宋体" w:eastAsia="宋体" w:hint="default"/>
        </w:rPr>
        <w:t>4</w:t>
      </w:r>
      <w:r>
        <w:rPr/>
        <w:t>）金融负债终止确认条件 金融负债的现时义务全部或部分已经解除的，则终止确认该金融负债或其一部分；本公</w:t>
      </w:r>
    </w:p>
    <w:p>
      <w:pPr>
        <w:pStyle w:val="BodyText"/>
        <w:spacing w:line="352" w:lineRule="auto" w:before="35"/>
        <w:ind w:right="0"/>
        <w:jc w:val="left"/>
      </w:pPr>
      <w:r>
        <w:rPr/>
        <w:t>司若与债权人签定协议，以承担新金融负债方式替换现存金融负债，且新金融负债与现存金 融负债的合同条款实质上不同的，则终止确认现存金融负债，并同时确认新金融负债。</w:t>
      </w:r>
    </w:p>
    <w:p>
      <w:pPr>
        <w:pStyle w:val="BodyText"/>
        <w:spacing w:line="350" w:lineRule="auto" w:before="32"/>
        <w:ind w:right="0" w:firstLine="480"/>
        <w:jc w:val="left"/>
      </w:pPr>
      <w:r>
        <w:rPr/>
        <w:t>对现存金融负债全部或部分合同条款作出实质性修改的，则终止确认现存金融负债或其 一部分，同时将修改条款后的金融负债确认为一项新金融负债。</w:t>
      </w:r>
    </w:p>
    <w:p>
      <w:pPr>
        <w:pStyle w:val="BodyText"/>
        <w:spacing w:line="350" w:lineRule="auto"/>
        <w:ind w:right="0" w:firstLine="480"/>
        <w:jc w:val="left"/>
      </w:pPr>
      <w:r>
        <w:rPr/>
        <w:t>金融负债全部或部分终止确认时，终止确认的金融负债账面价值与支付对价（包括转出 的非现金资产或承担的新金融负债）之间的差额，计入当期损益。</w:t>
      </w:r>
    </w:p>
    <w:p>
      <w:pPr>
        <w:pStyle w:val="BodyText"/>
        <w:spacing w:line="240" w:lineRule="auto" w:before="35"/>
        <w:ind w:left="634" w:right="0"/>
        <w:jc w:val="left"/>
      </w:pPr>
      <w:r>
        <w:rPr/>
        <w:t>本公司若回购部分金融负债的，在回购日按照继续确认部分与终止确认部分的相对公允</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0"/>
        <w:jc w:val="left"/>
      </w:pPr>
      <w:r>
        <w:rPr/>
        <w:t>价值，将该金融负债整体的账面价值进行分配。分配给终止确认部分的账面价值与支付的对 价（包括转出的非现金资产或承担的新金融负债）之间的差额，计入当期损益。</w:t>
      </w:r>
    </w:p>
    <w:p>
      <w:pPr>
        <w:pStyle w:val="BodyText"/>
        <w:spacing w:line="350" w:lineRule="auto" w:before="192"/>
        <w:ind w:left="634" w:right="0"/>
        <w:jc w:val="left"/>
      </w:pPr>
      <w:r>
        <w:rPr/>
        <w:t>（</w:t>
      </w:r>
      <w:r>
        <w:rPr>
          <w:rFonts w:ascii="宋体" w:hAnsi="宋体" w:cs="宋体" w:eastAsia="宋体" w:hint="default"/>
        </w:rPr>
        <w:t>5</w:t>
      </w:r>
      <w:r>
        <w:rPr/>
        <w:t>）金融资产和金融负债公允价值的确定方法 存在活跃市场的金融资产或金融负债，以活跃市场的报价确定其公允价值；活跃市场的</w:t>
      </w:r>
    </w:p>
    <w:p>
      <w:pPr>
        <w:pStyle w:val="BodyText"/>
        <w:spacing w:line="352" w:lineRule="auto" w:before="35"/>
        <w:ind w:right="0"/>
        <w:jc w:val="left"/>
      </w:pPr>
      <w:r>
        <w:rPr/>
        <w:t>报价包括易于且可定期从交易所、交易商、经纪人、行业集团、定价机构或监管机构等获得</w:t>
      </w:r>
      <w:r>
        <w:rPr>
          <w:spacing w:val="-115"/>
        </w:rPr>
        <w:t> </w:t>
      </w:r>
      <w:r>
        <w:rPr>
          <w:spacing w:val="-115"/>
        </w:rPr>
      </w:r>
      <w:r>
        <w:rPr/>
        <w:t>相关资产或负债的报价，且能代表在公平交易基础上实际并经常发生的市场交易。</w:t>
      </w:r>
    </w:p>
    <w:p>
      <w:pPr>
        <w:pStyle w:val="BodyText"/>
        <w:spacing w:line="350" w:lineRule="auto" w:before="32"/>
        <w:ind w:right="1140" w:firstLine="480"/>
        <w:jc w:val="both"/>
      </w:pPr>
      <w:r>
        <w:rPr/>
        <w:t>初始取得或衍生的金融资产或承担的金融负债，以市场交易价格作为确定其公允价值的 基础。</w:t>
      </w:r>
    </w:p>
    <w:p>
      <w:pPr>
        <w:pStyle w:val="BodyText"/>
        <w:spacing w:line="350" w:lineRule="auto"/>
        <w:ind w:right="1139" w:firstLine="480"/>
        <w:jc w:val="both"/>
      </w:pPr>
      <w:r>
        <w:rPr/>
        <w:t>不存在活跃市场的金融资产或金融负债，采用估值技术确定其公允价值。在估值时，本 公司采用在当前情况下适用并且有足够可利用数据和其他信息支持的估值技术，选择与市场 参与者在相关资产或负债的交易中所考虑的资产或负债特征相一致的输入值，并尽可能优先 使用相关可观察输入值。在相关可观察输入值无法取得或取得不切实可行的情况下，使用不 可观察输入值。</w:t>
      </w:r>
    </w:p>
    <w:p>
      <w:pPr>
        <w:pStyle w:val="BodyText"/>
        <w:spacing w:line="352" w:lineRule="auto" w:before="191"/>
        <w:ind w:left="634" w:right="1152"/>
        <w:jc w:val="left"/>
      </w:pPr>
      <w:r>
        <w:rPr/>
        <w:t>（</w:t>
      </w:r>
      <w:r>
        <w:rPr>
          <w:rFonts w:ascii="宋体" w:hAnsi="宋体" w:cs="宋体" w:eastAsia="宋体" w:hint="default"/>
        </w:rPr>
        <w:t>6</w:t>
      </w:r>
      <w:r>
        <w:rPr/>
        <w:t>）金融资产（不含应收款项）减值准备计提 资产负债表日对以公允价值计量且其变动计入当期损益的金融资产以外的金融资产的账</w:t>
      </w:r>
    </w:p>
    <w:p>
      <w:pPr>
        <w:pStyle w:val="BodyText"/>
        <w:spacing w:line="350" w:lineRule="auto" w:before="32"/>
        <w:ind w:left="634" w:right="2592" w:hanging="480"/>
        <w:jc w:val="left"/>
      </w:pPr>
      <w:r>
        <w:rPr/>
        <w:t>面价值进行检查，如有客观证据表明该金融资产发生减值的，计提减值准备。 金融资产发生减值的客观证据，包括但不限于：</w:t>
      </w:r>
    </w:p>
    <w:p>
      <w:pPr>
        <w:pStyle w:val="BodyText"/>
        <w:spacing w:line="240" w:lineRule="auto"/>
        <w:ind w:left="994" w:right="0"/>
        <w:jc w:val="left"/>
      </w:pPr>
      <w:r>
        <w:rPr>
          <w:rFonts w:ascii="宋体" w:hAnsi="宋体" w:cs="宋体" w:eastAsia="宋体" w:hint="default"/>
        </w:rPr>
        <w:t>1.</w:t>
      </w:r>
      <w:r>
        <w:rPr/>
        <w:t>发行方或债务人发生严重财务困难；</w:t>
      </w:r>
    </w:p>
    <w:p>
      <w:pPr>
        <w:pStyle w:val="BodyText"/>
        <w:spacing w:line="240" w:lineRule="auto" w:before="145"/>
        <w:ind w:left="994" w:right="0"/>
        <w:jc w:val="left"/>
      </w:pPr>
      <w:r>
        <w:rPr>
          <w:rFonts w:ascii="宋体" w:hAnsi="宋体" w:cs="宋体" w:eastAsia="宋体" w:hint="default"/>
        </w:rPr>
        <w:t>2.</w:t>
      </w:r>
      <w:r>
        <w:rPr/>
        <w:t>债务人违反了合同条款，如偿付利息或本金发生违约或逾期等；</w:t>
      </w:r>
    </w:p>
    <w:p>
      <w:pPr>
        <w:pStyle w:val="BodyText"/>
        <w:spacing w:line="240" w:lineRule="auto" w:before="145"/>
        <w:ind w:left="994" w:right="0"/>
        <w:jc w:val="left"/>
      </w:pPr>
      <w:r>
        <w:rPr>
          <w:rFonts w:ascii="宋体" w:hAnsi="宋体" w:cs="宋体" w:eastAsia="宋体" w:hint="default"/>
        </w:rPr>
        <w:t>3.</w:t>
      </w:r>
      <w:r>
        <w:rPr/>
        <w:t>债权人出于经济或法律等方面因素的考虑，对发生财务困难的债务人作出让步；</w:t>
      </w:r>
    </w:p>
    <w:p>
      <w:pPr>
        <w:pStyle w:val="BodyText"/>
        <w:spacing w:line="240" w:lineRule="auto" w:before="146"/>
        <w:ind w:left="994" w:right="0"/>
        <w:jc w:val="left"/>
      </w:pPr>
      <w:r>
        <w:rPr>
          <w:rFonts w:ascii="宋体" w:hAnsi="宋体" w:cs="宋体" w:eastAsia="宋体" w:hint="default"/>
        </w:rPr>
        <w:t>4.</w:t>
      </w:r>
      <w:r>
        <w:rPr/>
        <w:t>债务人很可能倒闭或进行其他财务重组；</w:t>
      </w:r>
    </w:p>
    <w:p>
      <w:pPr>
        <w:pStyle w:val="BodyText"/>
        <w:spacing w:line="240" w:lineRule="auto" w:before="145"/>
        <w:ind w:left="994" w:right="0"/>
        <w:jc w:val="left"/>
      </w:pPr>
      <w:r>
        <w:rPr>
          <w:rFonts w:ascii="宋体" w:hAnsi="宋体" w:cs="宋体" w:eastAsia="宋体" w:hint="default"/>
        </w:rPr>
        <w:t>5.</w:t>
      </w:r>
      <w:r>
        <w:rPr/>
        <w:t>因发行方发生重大财务困难，该金融资产无法在活跃市场继续交易；</w:t>
      </w:r>
    </w:p>
    <w:p>
      <w:pPr>
        <w:pStyle w:val="BodyText"/>
        <w:spacing w:line="350" w:lineRule="auto" w:before="145"/>
        <w:ind w:left="514" w:right="1131" w:firstLine="480"/>
        <w:jc w:val="both"/>
      </w:pPr>
      <w:r>
        <w:rPr>
          <w:rFonts w:ascii="宋体" w:hAnsi="宋体" w:cs="宋体" w:eastAsia="宋体" w:hint="default"/>
          <w:spacing w:val="-3"/>
        </w:rPr>
        <w:t>6.</w:t>
      </w:r>
      <w:r>
        <w:rPr>
          <w:spacing w:val="-3"/>
        </w:rPr>
        <w:t>无法辨认一组金融资产中的某项资产的现金流量是否已经减少，但根据公开的数据</w:t>
      </w:r>
      <w:r>
        <w:rPr/>
        <w:t> </w:t>
      </w:r>
      <w:r>
        <w:rPr>
          <w:spacing w:val="-3"/>
        </w:rPr>
        <w:t>对其进行总体评价后发现，该组金融资产自初始确认以来的预计未来现金流量确已减少且</w:t>
      </w:r>
      <w:r>
        <w:rPr>
          <w:spacing w:val="-85"/>
        </w:rPr>
        <w:t> </w:t>
      </w:r>
      <w:r>
        <w:rPr>
          <w:spacing w:val="-85"/>
        </w:rPr>
      </w:r>
      <w:r>
        <w:rPr>
          <w:spacing w:val="-3"/>
        </w:rPr>
        <w:t>可计量，如该组金融资产的债务人支付能力逐步恶化，或债务人所在国家或地区失业率提</w:t>
      </w:r>
      <w:r>
        <w:rPr>
          <w:spacing w:val="-85"/>
        </w:rPr>
        <w:t> </w:t>
      </w:r>
      <w:r>
        <w:rPr>
          <w:spacing w:val="-85"/>
        </w:rPr>
      </w:r>
      <w:r>
        <w:rPr/>
        <w:t>高、担保物在其所在地区的价格明显下降、所处行业不景气等；</w:t>
      </w:r>
    </w:p>
    <w:p>
      <w:pPr>
        <w:pStyle w:val="BodyText"/>
        <w:spacing w:line="350" w:lineRule="auto"/>
        <w:ind w:left="514" w:right="0" w:firstLine="480"/>
        <w:jc w:val="left"/>
      </w:pPr>
      <w:r>
        <w:rPr>
          <w:rFonts w:ascii="宋体" w:hAnsi="宋体" w:cs="宋体" w:eastAsia="宋体" w:hint="default"/>
          <w:spacing w:val="-3"/>
        </w:rPr>
        <w:t>7.</w:t>
      </w:r>
      <w:r>
        <w:rPr>
          <w:spacing w:val="-3"/>
        </w:rPr>
        <w:t>权益工具发行方经营所处的技术、市场、经济或法律环境等发生重大不利变化，使</w:t>
      </w:r>
      <w:r>
        <w:rPr/>
        <w:t> 权益工具投资人可能无法收回投资成本；</w:t>
      </w:r>
    </w:p>
    <w:p>
      <w:pPr>
        <w:pStyle w:val="BodyText"/>
        <w:spacing w:line="240" w:lineRule="auto" w:before="35"/>
        <w:ind w:left="994" w:right="0"/>
        <w:jc w:val="left"/>
      </w:pPr>
      <w:r>
        <w:rPr>
          <w:rFonts w:ascii="宋体" w:hAnsi="宋体" w:cs="宋体" w:eastAsia="宋体" w:hint="default"/>
        </w:rPr>
        <w:t>8.</w:t>
      </w:r>
      <w:r>
        <w:rPr/>
        <w:t>权益工具投资的公允价值发生严重或非暂时性下跌；</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634" w:right="0"/>
        <w:jc w:val="left"/>
      </w:pPr>
      <w:r>
        <w:rPr/>
        <w:t>金融资产的具体减值方法如下：</w:t>
      </w:r>
    </w:p>
    <w:p>
      <w:pPr>
        <w:pStyle w:val="BodyText"/>
        <w:spacing w:line="333" w:lineRule="auto" w:before="145"/>
        <w:ind w:left="634" w:right="1152"/>
        <w:jc w:val="left"/>
      </w:pPr>
      <w:r>
        <w:rPr/>
        <w:t>（</w:t>
      </w:r>
      <w:r>
        <w:rPr>
          <w:rFonts w:ascii="Times New Roman" w:hAnsi="Times New Roman" w:cs="Times New Roman" w:eastAsia="Times New Roman" w:hint="default"/>
        </w:rPr>
        <w:t>1</w:t>
      </w:r>
      <w:r>
        <w:rPr/>
        <w:t>）可供出售金融资产减值准备 本公司于资产负债表日对各项可供出售权益工具投资单独进行检查，若该权益工具投资</w:t>
      </w:r>
    </w:p>
    <w:p>
      <w:pPr>
        <w:pStyle w:val="BodyText"/>
        <w:spacing w:line="240" w:lineRule="auto" w:before="52"/>
        <w:ind w:right="0"/>
        <w:jc w:val="left"/>
      </w:pPr>
      <w:r>
        <w:rPr/>
        <w:t>于资产负债表日的公允价值低于其成本超过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）或低于其成本持续时间超过一年</w:t>
      </w:r>
    </w:p>
    <w:p>
      <w:pPr>
        <w:pStyle w:val="BodyText"/>
        <w:spacing w:line="343" w:lineRule="auto" w:before="127"/>
        <w:ind w:right="0"/>
        <w:jc w:val="left"/>
      </w:pPr>
      <w:r>
        <w:rPr/>
        <w:t>（含一年）的，则表明其发生减值；若该权益工具投资于资产负债表日的公允价值低于其成 </w:t>
      </w:r>
      <w:r>
        <w:rPr>
          <w:spacing w:val="-5"/>
        </w:rPr>
        <w:t>本超过</w:t>
      </w:r>
      <w:r>
        <w:rPr>
          <w:rFonts w:ascii="Times New Roman" w:hAnsi="Times New Roman" w:cs="Times New Roman" w:eastAsia="Times New Roman" w:hint="default"/>
          <w:spacing w:val="-5"/>
        </w:rPr>
        <w:t>20%</w:t>
      </w:r>
      <w:r>
        <w:rPr>
          <w:spacing w:val="-5"/>
        </w:rPr>
        <w:t>（含</w:t>
      </w:r>
      <w:r>
        <w:rPr>
          <w:rFonts w:ascii="Times New Roman" w:hAnsi="Times New Roman" w:cs="Times New Roman" w:eastAsia="Times New Roman" w:hint="default"/>
          <w:spacing w:val="-5"/>
        </w:rPr>
        <w:t>20%</w:t>
      </w:r>
      <w:r>
        <w:rPr>
          <w:spacing w:val="-5"/>
        </w:rPr>
        <w:t>）但尚未达到</w:t>
      </w:r>
      <w:r>
        <w:rPr>
          <w:rFonts w:ascii="Times New Roman" w:hAnsi="Times New Roman" w:cs="Times New Roman" w:eastAsia="Times New Roman" w:hint="default"/>
          <w:spacing w:val="-5"/>
        </w:rPr>
        <w:t>50%</w:t>
      </w:r>
      <w:r>
        <w:rPr>
          <w:spacing w:val="-5"/>
        </w:rPr>
        <w:t>的，本公司会综合考虑其他相关因素诸如价格波动率等，</w:t>
      </w:r>
      <w:r>
        <w:rPr>
          <w:spacing w:val="-99"/>
        </w:rPr>
        <w:t> </w:t>
      </w:r>
      <w:r>
        <w:rPr>
          <w:spacing w:val="-99"/>
        </w:rPr>
      </w:r>
      <w:r>
        <w:rPr/>
        <w:t>判断该权益工具投资是否发生减值。</w:t>
      </w:r>
    </w:p>
    <w:p>
      <w:pPr>
        <w:pStyle w:val="BodyText"/>
        <w:spacing w:line="350" w:lineRule="auto" w:before="42"/>
        <w:ind w:right="1152" w:firstLine="480"/>
        <w:jc w:val="left"/>
      </w:pPr>
      <w:r>
        <w:rPr/>
        <w:t>上段所述成本按照可供出售权益工具投资的初始取得成本扣除已收回本金和已摊销金 额、原已计入损益的减值损失确定；不存在活跃市场的可供出售权益工具投资的公允价值， 按照类似金融资产当时市场收益率对未来现金流量折现确定的现值确定；在活跃市场有报价 的可供出售权益工具投资的公允价值根据证券交易所期末收盘价确定，除非该项可供出售权 益工具投资存在限售期。对于存在限售期的可供出售权益工具投资，按照证券交易所期末收 盘价扣除市场参与者因承担指定期间内无法在公开市场上出售该权益工具的风险而要求获得 的补偿金额后确定。</w:t>
      </w:r>
    </w:p>
    <w:p>
      <w:pPr>
        <w:pStyle w:val="BodyText"/>
        <w:spacing w:line="352" w:lineRule="auto"/>
        <w:ind w:right="1171" w:firstLine="480"/>
        <w:jc w:val="both"/>
      </w:pPr>
      <w:r>
        <w:rPr/>
        <w:t>可供出售金融资产发生减值时，即使该金融资产没有终止确认，本公司将原直接计入其 他综合收益的因公允价值下降形成的累计损失从其他综合收益转出，计入当期损益。该转出 的累计损失，等于可供出售金融资产的初始取得成本扣除已收回本金和已摊余金额、当前公 允价值和原已计入损益的减值损失后的余额。</w:t>
      </w:r>
    </w:p>
    <w:p>
      <w:pPr>
        <w:pStyle w:val="BodyText"/>
        <w:spacing w:line="350" w:lineRule="auto" w:before="32"/>
        <w:ind w:right="1170" w:firstLine="480"/>
        <w:jc w:val="both"/>
      </w:pPr>
      <w:r>
        <w:rPr/>
        <w:t>对于已确认减值损失的可供出售债务工具，在随后的会计期间公允价值已上升且客观上 与确认原减值损失后发生的事项有关的，原确认的减值损失予以转回计入当期损益；对于可 供出售权益工具投资发生的减值损失，在该权益工具价值回升时通过权益转回；但在活跃市 场中没有报价且其公允价值不能可靠计量的权益工具投资，或与该权益工具挂钩并须通过交 付该权益工具结算的衍生金融资产发生的减值损失，不得转回。</w:t>
      </w:r>
    </w:p>
    <w:p>
      <w:pPr>
        <w:spacing w:line="224" w:lineRule="exact"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）持有至到期投资减值准备</w:t>
      </w:r>
    </w:p>
    <w:p>
      <w:pPr>
        <w:pStyle w:val="BodyText"/>
        <w:spacing w:line="352" w:lineRule="auto" w:before="124"/>
        <w:ind w:right="1170" w:firstLine="480"/>
        <w:jc w:val="both"/>
      </w:pPr>
      <w:r>
        <w:rPr/>
        <w:t>对于持有至到期投资，有客观证据表明其发生了减值的，根据其账面价值与预计未来现 金流量现值之间差额计算确认减值损失；计提后如有证据表明其价值已恢复，原确认的减值 损失可予以转回，记入当期损益，但该转回的账面价值不超过假定不计提减值准备情况下该 金融资产在转回日的摊余成本。</w:t>
      </w:r>
    </w:p>
    <w:p>
      <w:pPr>
        <w:pStyle w:val="BodyText"/>
        <w:spacing w:line="350" w:lineRule="auto" w:before="188"/>
        <w:ind w:left="634" w:right="1152"/>
        <w:jc w:val="left"/>
      </w:pPr>
      <w:r>
        <w:rPr/>
        <w:t>（</w:t>
      </w:r>
      <w:r>
        <w:rPr>
          <w:rFonts w:ascii="宋体" w:hAnsi="宋体" w:cs="宋体" w:eastAsia="宋体" w:hint="default"/>
        </w:rPr>
        <w:t>7</w:t>
      </w:r>
      <w:r>
        <w:rPr/>
        <w:t>）金融资产及金融负债的抵销 金融资产和金融负债在资产负债表内分别列示，没有相互抵销。但是，同时满足下列条</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right="0"/>
        <w:jc w:val="left"/>
      </w:pPr>
      <w:r>
        <w:rPr/>
        <w:t>件的，以相互抵销后的净额在资产负债表内列示：</w:t>
      </w:r>
    </w:p>
    <w:p>
      <w:pPr>
        <w:pStyle w:val="BodyText"/>
        <w:spacing w:line="240" w:lineRule="auto" w:before="145"/>
        <w:ind w:left="634" w:right="0"/>
        <w:jc w:val="left"/>
      </w:pPr>
      <w:r>
        <w:rPr/>
        <w:t>①本公司具有抵销已确认金额的法定权利，且该种法定权利是当前可执行的；</w:t>
      </w:r>
    </w:p>
    <w:p>
      <w:pPr>
        <w:pStyle w:val="BodyText"/>
        <w:spacing w:line="240" w:lineRule="auto" w:before="146"/>
        <w:ind w:left="634" w:right="0"/>
        <w:jc w:val="left"/>
      </w:pPr>
      <w:r>
        <w:rPr/>
        <w:t>②本公司计划以净额结算，或同时变现该金融资产和清偿该金融负债。</w:t>
      </w:r>
    </w:p>
    <w:p>
      <w:pPr>
        <w:pStyle w:val="Heading2"/>
        <w:spacing w:line="240" w:lineRule="auto" w:before="146"/>
        <w:ind w:right="0"/>
        <w:jc w:val="left"/>
        <w:rPr>
          <w:b w:val="0"/>
          <w:bCs w:val="0"/>
        </w:rPr>
      </w:pPr>
      <w:bookmarkStart w:name="11、应收票据及应收账款" w:id="190"/>
      <w:bookmarkEnd w:id="190"/>
      <w:r>
        <w:rPr>
          <w:b w:val="0"/>
          <w:bCs w:val="0"/>
        </w:rPr>
      </w:r>
      <w:r>
        <w:rPr>
          <w:rFonts w:ascii="Times New Roman" w:hAnsi="Times New Roman" w:cs="Times New Roman" w:eastAsia="Times New Roman" w:hint="default"/>
        </w:rPr>
        <w:t>11</w:t>
      </w:r>
      <w:r>
        <w:rPr/>
        <w:t>、应收票据及应收账款</w:t>
      </w:r>
      <w:r>
        <w:rPr>
          <w:b w:val="0"/>
          <w:bCs w:val="0"/>
        </w:rPr>
      </w:r>
    </w:p>
    <w:p>
      <w:pPr>
        <w:spacing w:before="144"/>
        <w:ind w:left="154" w:right="0" w:firstLine="0"/>
        <w:jc w:val="left"/>
        <w:rPr>
          <w:rFonts w:ascii="宋体" w:hAnsi="宋体" w:cs="宋体" w:eastAsia="宋体" w:hint="default"/>
          <w:sz w:val="21"/>
          <w:szCs w:val="21"/>
        </w:rPr>
      </w:pPr>
      <w:bookmarkStart w:name="（1）单项金额重大并单独计提坏账准备的应收款项" w:id="191"/>
      <w:bookmarkEnd w:id="1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12"/>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119"/>
        <w:gridCol w:w="6450"/>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7"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 提方法</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单独进行减值测试，按预计未来现金流量现值低于其账面价值的差额计提坏账准 </w:t>
            </w:r>
            <w:r>
              <w:rPr>
                <w:rFonts w:ascii="宋体" w:hAnsi="宋体" w:cs="宋体" w:eastAsia="宋体" w:hint="default"/>
                <w:spacing w:val="-3"/>
                <w:sz w:val="18"/>
                <w:szCs w:val="18"/>
              </w:rPr>
              <w:t>备，计入当期损益。单独测试未发生减值的应收款项，将其归入相应组合计提坏账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准备。</w:t>
            </w:r>
          </w:p>
        </w:tc>
      </w:tr>
    </w:tbl>
    <w:p>
      <w:pPr>
        <w:spacing w:line="240" w:lineRule="auto" w:before="5"/>
        <w:rPr>
          <w:rFonts w:ascii="宋体" w:hAnsi="宋体" w:cs="宋体" w:eastAsia="宋体" w:hint="default"/>
          <w:b/>
          <w:bCs/>
          <w:sz w:val="5"/>
          <w:szCs w:val="5"/>
        </w:rPr>
      </w:pPr>
    </w:p>
    <w:p>
      <w:pPr>
        <w:spacing w:before="35"/>
        <w:ind w:left="154" w:right="0" w:firstLine="0"/>
        <w:jc w:val="left"/>
        <w:rPr>
          <w:rFonts w:ascii="宋体" w:hAnsi="宋体" w:cs="宋体" w:eastAsia="宋体" w:hint="default"/>
          <w:sz w:val="21"/>
          <w:szCs w:val="21"/>
        </w:rPr>
      </w:pPr>
      <w:bookmarkStart w:name="（2）按信用风险特征组合计提坏账准备的应收款项" w:id="192"/>
      <w:bookmarkEnd w:id="1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2"/>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纳入合并范围的关联方组合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代扣个人社保、履约保证金组合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10"/>
        <w:rPr>
          <w:rFonts w:ascii="宋体" w:hAnsi="宋体" w:cs="宋体" w:eastAsia="宋体" w:hint="default"/>
          <w:b/>
          <w:bCs/>
          <w:sz w:val="4"/>
          <w:szCs w:val="4"/>
        </w:rPr>
      </w:pPr>
    </w:p>
    <w:p>
      <w:pPr>
        <w:pStyle w:val="BodyText"/>
        <w:spacing w:line="240" w:lineRule="auto" w:before="26"/>
        <w:ind w:left="634" w:right="0"/>
        <w:jc w:val="left"/>
      </w:pPr>
      <w:r>
        <w:rPr/>
        <w:t>组合中，采用账龄分析法计提坏账准备的：</w:t>
      </w:r>
    </w:p>
    <w:p>
      <w:pPr>
        <w:pStyle w:val="BodyText"/>
        <w:spacing w:line="240" w:lineRule="auto" w:before="145"/>
        <w:ind w:left="634" w:right="0"/>
        <w:jc w:val="left"/>
      </w:pPr>
      <w:r>
        <w:rPr/>
        <w:t>√ 适用 □ 不适用</w:t>
      </w:r>
    </w:p>
    <w:p>
      <w:pPr>
        <w:spacing w:line="240" w:lineRule="auto" w:before="6"/>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0"/>
        <w:rPr>
          <w:rFonts w:ascii="宋体" w:hAnsi="宋体" w:cs="宋体" w:eastAsia="宋体" w:hint="default"/>
          <w:sz w:val="4"/>
          <w:szCs w:val="4"/>
        </w:rPr>
      </w:pPr>
    </w:p>
    <w:p>
      <w:pPr>
        <w:pStyle w:val="BodyText"/>
        <w:spacing w:line="240" w:lineRule="auto" w:before="26"/>
        <w:ind w:left="634" w:right="0"/>
        <w:jc w:val="left"/>
      </w:pPr>
      <w:r>
        <w:rPr/>
        <w:t>组合中，采用余额百分比法计提坏账准备的：</w:t>
      </w:r>
    </w:p>
    <w:p>
      <w:pPr>
        <w:pStyle w:val="BodyText"/>
        <w:spacing w:line="352" w:lineRule="auto" w:before="145"/>
        <w:ind w:left="634" w:right="5952"/>
        <w:jc w:val="left"/>
      </w:pPr>
      <w:r>
        <w:rPr/>
        <w:t>□ 适用 √ 不适用 组合中，采用其他方法计提坏账准备的：</w:t>
      </w:r>
    </w:p>
    <w:p>
      <w:pPr>
        <w:pStyle w:val="BodyText"/>
        <w:spacing w:line="240" w:lineRule="auto" w:before="32"/>
        <w:ind w:left="634" w:right="0"/>
        <w:jc w:val="left"/>
      </w:pPr>
      <w:r>
        <w:rPr/>
        <w:t>□ 适用 √ 不适用</w:t>
      </w:r>
    </w:p>
    <w:p>
      <w:pPr>
        <w:spacing w:before="162"/>
        <w:ind w:left="154" w:right="0" w:firstLine="0"/>
        <w:jc w:val="left"/>
        <w:rPr>
          <w:rFonts w:ascii="宋体" w:hAnsi="宋体" w:cs="宋体" w:eastAsia="宋体" w:hint="default"/>
          <w:sz w:val="21"/>
          <w:szCs w:val="21"/>
        </w:rPr>
      </w:pPr>
      <w:bookmarkStart w:name="（3）单项金额不重大但单独计提坏账准备的应收款项"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12"/>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108"/>
        <w:gridCol w:w="6461"/>
      </w:tblGrid>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存在客观证据表明本公司将无法按应收款项的原有条款收回款项。</w:t>
            </w:r>
          </w:p>
        </w:tc>
      </w:tr>
      <w:tr>
        <w:trPr>
          <w:trHeight w:val="404"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根据应收款项的预计未来现金流量现值低于其账面价值的差额进行计提。</w:t>
            </w:r>
          </w:p>
        </w:tc>
      </w:tr>
    </w:tbl>
    <w:p>
      <w:pPr>
        <w:spacing w:line="240" w:lineRule="auto" w:before="10"/>
        <w:rPr>
          <w:rFonts w:ascii="宋体" w:hAnsi="宋体" w:cs="宋体" w:eastAsia="宋体" w:hint="default"/>
          <w:b/>
          <w:bCs/>
          <w:sz w:val="4"/>
          <w:szCs w:val="4"/>
        </w:rPr>
      </w:pPr>
    </w:p>
    <w:p>
      <w:pPr>
        <w:pStyle w:val="Heading2"/>
        <w:spacing w:line="240" w:lineRule="auto"/>
        <w:ind w:right="0"/>
        <w:jc w:val="left"/>
        <w:rPr>
          <w:b w:val="0"/>
          <w:bCs w:val="0"/>
        </w:rPr>
      </w:pPr>
      <w:bookmarkStart w:name="12、存货" w:id="194"/>
      <w:bookmarkEnd w:id="194"/>
      <w:r>
        <w:rPr>
          <w:b w:val="0"/>
          <w:bCs w:val="0"/>
        </w:rPr>
      </w:r>
      <w:r>
        <w:rPr>
          <w:rFonts w:ascii="Times New Roman" w:hAnsi="Times New Roman" w:cs="Times New Roman" w:eastAsia="Times New Roman" w:hint="default"/>
        </w:rPr>
        <w:t>12</w:t>
      </w:r>
      <w:r>
        <w:rPr/>
        <w:t>、存货</w:t>
      </w:r>
      <w:r>
        <w:rPr>
          <w:b w:val="0"/>
          <w:bCs w:val="0"/>
        </w:rPr>
      </w:r>
    </w:p>
    <w:p>
      <w:pPr>
        <w:pStyle w:val="BodyText"/>
        <w:spacing w:line="240" w:lineRule="auto" w:before="127"/>
        <w:ind w:left="634" w:right="0"/>
        <w:jc w:val="left"/>
      </w:pPr>
      <w:r>
        <w:rPr/>
        <w:t>公司是否需要遵守特殊行业的披露要求</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4" w:right="7872"/>
        <w:jc w:val="left"/>
      </w:pPr>
      <w:r>
        <w:rPr/>
        <w:t>是 软件与信息技术服务业</w:t>
      </w:r>
    </w:p>
    <w:p>
      <w:pPr>
        <w:pStyle w:val="BodyText"/>
        <w:spacing w:line="350" w:lineRule="auto"/>
        <w:ind w:left="634" w:right="0"/>
        <w:jc w:val="left"/>
      </w:pPr>
      <w:r>
        <w:rPr/>
        <w:t>（</w:t>
      </w:r>
      <w:r>
        <w:rPr>
          <w:rFonts w:ascii="宋体" w:hAnsi="宋体" w:cs="宋体" w:eastAsia="宋体" w:hint="default"/>
        </w:rPr>
        <w:t>1</w:t>
      </w:r>
      <w:r>
        <w:rPr/>
        <w:t>）存货的分类 </w:t>
      </w:r>
      <w:r>
        <w:rPr>
          <w:spacing w:val="-3"/>
        </w:rPr>
        <w:t>存货是指本公司在日常活动中持有以备出售的产成品或商品、处在生产过程中的在产品、</w:t>
      </w:r>
    </w:p>
    <w:p>
      <w:pPr>
        <w:pStyle w:val="BodyText"/>
        <w:spacing w:line="352" w:lineRule="auto" w:before="35"/>
        <w:ind w:right="1170"/>
        <w:jc w:val="both"/>
      </w:pPr>
      <w:r>
        <w:rPr/>
        <w:t>在生产过程或提供劳务过程中耗用的材料和物料等。主要包括原材料、自制半成品、委托加 工物资、在产品、库存商品等。</w:t>
      </w:r>
    </w:p>
    <w:p>
      <w:pPr>
        <w:pStyle w:val="BodyText"/>
        <w:spacing w:line="350" w:lineRule="auto" w:before="32"/>
        <w:ind w:left="634" w:right="1152"/>
        <w:jc w:val="left"/>
      </w:pPr>
      <w:r>
        <w:rPr/>
        <w:t>（</w:t>
      </w:r>
      <w:r>
        <w:rPr>
          <w:rFonts w:ascii="宋体" w:hAnsi="宋体" w:cs="宋体" w:eastAsia="宋体" w:hint="default"/>
        </w:rPr>
        <w:t>2</w:t>
      </w:r>
      <w:r>
        <w:rPr/>
        <w:t>）存货的计价方法 存货在取得时，按成本进行初始计量，包括采购成本、加工成本和其他成本。存货发出</w:t>
      </w:r>
    </w:p>
    <w:p>
      <w:pPr>
        <w:pStyle w:val="BodyText"/>
        <w:spacing w:line="240" w:lineRule="auto"/>
        <w:ind w:right="0"/>
        <w:jc w:val="both"/>
      </w:pPr>
      <w:r>
        <w:rPr/>
        <w:t>时按先月末一次加权平均法计价。</w:t>
      </w:r>
    </w:p>
    <w:p>
      <w:pPr>
        <w:pStyle w:val="BodyText"/>
        <w:spacing w:line="350" w:lineRule="auto" w:before="145"/>
        <w:ind w:left="634" w:right="0"/>
        <w:jc w:val="left"/>
      </w:pPr>
      <w:r>
        <w:rPr/>
        <w:t>（</w:t>
      </w:r>
      <w:r>
        <w:rPr>
          <w:rFonts w:ascii="宋体" w:hAnsi="宋体" w:cs="宋体" w:eastAsia="宋体" w:hint="default"/>
        </w:rPr>
        <w:t>3</w:t>
      </w:r>
      <w:r>
        <w:rPr/>
        <w:t>）存货可变现净值的确定依据及存货跌价准备的计提方法 </w:t>
      </w:r>
      <w:r>
        <w:rPr>
          <w:spacing w:val="-3"/>
        </w:rPr>
        <w:t>期末对存货进行全面清查后，按存货的成本与可变现净值孰低提取或调整存货跌价准备。</w:t>
      </w:r>
    </w:p>
    <w:p>
      <w:pPr>
        <w:pStyle w:val="BodyText"/>
        <w:spacing w:line="350" w:lineRule="auto"/>
        <w:ind w:right="1171"/>
        <w:jc w:val="both"/>
      </w:pPr>
      <w:r>
        <w:rPr/>
        <w:t>产成品、库存商品和用于出售的材料等直接用于出售的商品存货，在正常生产经营过程中， 以该存货的估计售价减去估计的销售费用和相关税费后的金额，确定其可变现净值；需要经 过加工的材料存货，在正常生产经营过程中，以所生产的产成品的估计售价减去至完工时估 计将要发生的成本、估计的销售费用和相关税费后的金额，确定其可变现净值；为执行销售 合同或者劳务合同而持有的存货，其可变现净值以合同价格为基础计算，若持有存货的数量 多于销售合同订购数量的，超出部分的存货的可变现净值以一般销售价格为基础计算。</w:t>
      </w:r>
    </w:p>
    <w:p>
      <w:pPr>
        <w:pStyle w:val="BodyText"/>
        <w:spacing w:line="350" w:lineRule="auto"/>
        <w:ind w:right="1169" w:firstLine="480"/>
        <w:jc w:val="both"/>
      </w:pPr>
      <w:r>
        <w:rPr/>
        <w:t>期末按照单个存货项目计提存货跌价准备；但对于数量繁多、单价较低的存货，按照存 货类别计提存货跌价准备；与在同一地区生产和销售的产品系列相关、具有相同或类似最终 用途或目的，且难以与其他项目分开计量的存货，则合并计提存货跌价准备。</w:t>
      </w:r>
    </w:p>
    <w:p>
      <w:pPr>
        <w:pStyle w:val="BodyText"/>
        <w:spacing w:line="350" w:lineRule="auto"/>
        <w:ind w:right="1170" w:firstLine="480"/>
        <w:jc w:val="both"/>
      </w:pPr>
      <w:r>
        <w:rPr/>
        <w:t>以前减记存货价值的影响因素已经消失的，减记的金额予以恢复，并在原已计提的存货 跌价准备金额内转回，转回的金额计入当期损益。</w:t>
      </w:r>
    </w:p>
    <w:p>
      <w:pPr>
        <w:pStyle w:val="BodyText"/>
        <w:spacing w:line="352" w:lineRule="auto" w:before="35"/>
        <w:ind w:left="634" w:right="7992"/>
        <w:jc w:val="left"/>
      </w:pPr>
      <w:r>
        <w:rPr/>
        <w:t>（</w:t>
      </w:r>
      <w:r>
        <w:rPr>
          <w:rFonts w:ascii="宋体" w:hAnsi="宋体" w:cs="宋体" w:eastAsia="宋体" w:hint="default"/>
        </w:rPr>
        <w:t>4</w:t>
      </w:r>
      <w:r>
        <w:rPr/>
        <w:t>）存货的盘存制度 采用永续盘存制</w:t>
      </w:r>
    </w:p>
    <w:p>
      <w:pPr>
        <w:pStyle w:val="BodyText"/>
        <w:spacing w:line="350" w:lineRule="auto" w:before="32"/>
        <w:ind w:left="721" w:right="6313" w:hanging="88"/>
        <w:jc w:val="left"/>
      </w:pPr>
      <w:r>
        <w:rPr/>
        <w:t>（</w:t>
      </w:r>
      <w:r>
        <w:rPr>
          <w:rFonts w:ascii="宋体" w:hAnsi="宋体" w:cs="宋体" w:eastAsia="宋体" w:hint="default"/>
        </w:rPr>
        <w:t>5</w:t>
      </w:r>
      <w:r>
        <w:rPr/>
        <w:t>）低值易耗品和包装物的摊销方法 </w:t>
      </w:r>
      <w:r>
        <w:rPr>
          <w:rFonts w:ascii="宋体" w:hAnsi="宋体" w:cs="宋体" w:eastAsia="宋体" w:hint="default"/>
        </w:rPr>
        <w:t>1.</w:t>
      </w:r>
      <w:r>
        <w:rPr/>
        <w:t>低值易耗品采用一次转销法；</w:t>
      </w:r>
    </w:p>
    <w:p>
      <w:pPr>
        <w:pStyle w:val="BodyText"/>
        <w:spacing w:line="240" w:lineRule="auto"/>
        <w:ind w:left="721" w:right="0"/>
        <w:jc w:val="left"/>
      </w:pPr>
      <w:r>
        <w:rPr>
          <w:rFonts w:ascii="宋体" w:hAnsi="宋体" w:cs="宋体" w:eastAsia="宋体" w:hint="default"/>
        </w:rPr>
        <w:t>2.</w:t>
      </w:r>
      <w:r>
        <w:rPr/>
        <w:t>包装物采用一次转销法；</w:t>
      </w:r>
    </w:p>
    <w:p>
      <w:pPr>
        <w:pStyle w:val="BodyText"/>
        <w:spacing w:line="240" w:lineRule="auto" w:before="146"/>
        <w:ind w:left="721" w:right="0"/>
        <w:jc w:val="left"/>
      </w:pPr>
      <w:r>
        <w:rPr>
          <w:rFonts w:ascii="宋体" w:hAnsi="宋体" w:cs="宋体" w:eastAsia="宋体" w:hint="default"/>
        </w:rPr>
        <w:t>3.</w:t>
      </w:r>
      <w:r>
        <w:rPr/>
        <w:t>其他周转材料采用一次转销法。</w:t>
      </w:r>
    </w:p>
    <w:p>
      <w:pPr>
        <w:pStyle w:val="Heading2"/>
        <w:spacing w:line="240" w:lineRule="auto" w:before="145"/>
        <w:ind w:right="0"/>
        <w:jc w:val="both"/>
        <w:rPr>
          <w:b w:val="0"/>
          <w:bCs w:val="0"/>
        </w:rPr>
      </w:pPr>
      <w:bookmarkStart w:name="13、持有待售资产" w:id="195"/>
      <w:bookmarkEnd w:id="195"/>
      <w:r>
        <w:rPr>
          <w:b w:val="0"/>
          <w:bCs w:val="0"/>
        </w:rPr>
      </w:r>
      <w:r>
        <w:rPr>
          <w:rFonts w:ascii="Times New Roman" w:hAnsi="Times New Roman" w:cs="Times New Roman" w:eastAsia="Times New Roman" w:hint="default"/>
        </w:rPr>
        <w:t>13</w:t>
      </w:r>
      <w:r>
        <w:rPr/>
        <w:t>、持有待售资产</w:t>
      </w:r>
      <w:r>
        <w:rPr>
          <w:b w:val="0"/>
          <w:bCs w:val="0"/>
        </w:rPr>
      </w:r>
    </w:p>
    <w:p>
      <w:pPr>
        <w:pStyle w:val="BodyText"/>
        <w:spacing w:line="240" w:lineRule="auto" w:before="128"/>
        <w:ind w:left="634" w:right="0"/>
        <w:jc w:val="left"/>
      </w:pPr>
      <w:r>
        <w:rPr/>
        <w:t>（</w:t>
      </w:r>
      <w:r>
        <w:rPr>
          <w:rFonts w:ascii="宋体" w:hAnsi="宋体" w:cs="宋体" w:eastAsia="宋体" w:hint="default"/>
        </w:rPr>
        <w:t>1</w:t>
      </w:r>
      <w:r>
        <w:rPr/>
        <w:t>）划分为持有待售确认标准</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4" w:right="1872"/>
        <w:jc w:val="left"/>
      </w:pPr>
      <w:r>
        <w:rPr/>
        <w:t>本公司将同时满足下列条件的非流动资产或处置组确认为持有待售组成部分： </w:t>
      </w:r>
      <w:r>
        <w:rPr>
          <w:rFonts w:ascii="宋体" w:hAnsi="宋体" w:cs="宋体" w:eastAsia="宋体" w:hint="default"/>
        </w:rPr>
        <w:t>1.</w:t>
      </w:r>
      <w:r>
        <w:rPr/>
        <w:t>根据类似交易中出售此类资产或处置组的惯例，在当前状况下即可立即出售；</w:t>
      </w:r>
    </w:p>
    <w:p>
      <w:pPr>
        <w:pStyle w:val="BodyText"/>
        <w:spacing w:line="350" w:lineRule="auto"/>
        <w:ind w:right="1131" w:firstLine="480"/>
        <w:jc w:val="both"/>
      </w:pPr>
      <w:r>
        <w:rPr>
          <w:rFonts w:ascii="宋体" w:hAnsi="宋体" w:cs="宋体" w:eastAsia="宋体" w:hint="default"/>
          <w:spacing w:val="-6"/>
        </w:rPr>
        <w:t>2.</w:t>
      </w:r>
      <w:r>
        <w:rPr>
          <w:spacing w:val="-6"/>
        </w:rPr>
        <w:t>出售极可能发生，即本公司已经就一项出售计划作出决议，并已获得监管部门批准（如</w:t>
      </w:r>
      <w:r>
        <w:rPr/>
        <w:t> 适用），且获得确定的购买承诺，预计出售将在一年内完成。</w:t>
      </w:r>
    </w:p>
    <w:p>
      <w:pPr>
        <w:pStyle w:val="BodyText"/>
        <w:spacing w:line="352" w:lineRule="auto" w:before="35"/>
        <w:ind w:right="1170" w:firstLine="480"/>
        <w:jc w:val="both"/>
      </w:pPr>
      <w:r>
        <w:rPr/>
        <w:t>确定的购买承诺，是指本公司与其他方签订的具有法律约束力的购买协议，该协议包含 交易价格、时间和足够严厉的违约惩罚等重要条款，使协议出现重大调整或者撤销的可能性 极小。</w:t>
      </w:r>
    </w:p>
    <w:p>
      <w:pPr>
        <w:pStyle w:val="BodyText"/>
        <w:spacing w:line="352" w:lineRule="auto" w:before="32"/>
        <w:ind w:left="634" w:right="1152"/>
        <w:jc w:val="left"/>
      </w:pPr>
      <w:r>
        <w:rPr/>
        <w:t>（</w:t>
      </w:r>
      <w:r>
        <w:rPr>
          <w:rFonts w:ascii="宋体" w:hAnsi="宋体" w:cs="宋体" w:eastAsia="宋体" w:hint="default"/>
        </w:rPr>
        <w:t>2</w:t>
      </w:r>
      <w:r>
        <w:rPr/>
        <w:t>）持有待售核算方法 本公司对于持有待售的非流动资产或处置组不计提折旧或摊销，其账面价值高于公允价</w:t>
      </w:r>
    </w:p>
    <w:p>
      <w:pPr>
        <w:pStyle w:val="BodyText"/>
        <w:spacing w:line="350" w:lineRule="auto" w:before="32"/>
        <w:ind w:right="1152"/>
        <w:jc w:val="left"/>
      </w:pPr>
      <w:r>
        <w:rPr/>
        <w:t>值减去出售费用后的净额的，应当将账面价值减记至公允价值减去出售费用后的净额，减记 的金额确认为资产减值损失，计入当期损益，同时计提持有待售资产减值准备。</w:t>
      </w:r>
    </w:p>
    <w:p>
      <w:pPr>
        <w:pStyle w:val="BodyText"/>
        <w:spacing w:line="350" w:lineRule="auto"/>
        <w:ind w:right="1170" w:firstLine="480"/>
        <w:jc w:val="both"/>
      </w:pPr>
      <w:r>
        <w:rPr/>
        <w:t>对于取得日划分为持有待售类别的非流动资产或处置组，在初始计量时比较假定其不划 分为持有待售类别情况下的初始计量金额和公允价值减去出售费用后的净额，以两者孰低计 量。</w:t>
      </w:r>
    </w:p>
    <w:p>
      <w:pPr>
        <w:pStyle w:val="BodyText"/>
        <w:spacing w:line="352" w:lineRule="auto"/>
        <w:ind w:right="1170" w:firstLine="480"/>
        <w:jc w:val="both"/>
      </w:pPr>
      <w:r>
        <w:rPr/>
        <w:t>上述原则适用于所有非流动资产，但不包括采用公允价值模式进行后续计量的投资性房 地产、采用公允价值减去出售费用后的净额计量的生物资产、职工薪酬形成的资产、递延所 得税资产、由金融工具相关会计准则规范的金融资产、由保险合同相关会计准则规范的保险 合同所产生的权利。</w:t>
      </w:r>
    </w:p>
    <w:p>
      <w:pPr>
        <w:pStyle w:val="Heading2"/>
        <w:spacing w:line="240" w:lineRule="auto" w:before="32"/>
        <w:ind w:right="0"/>
        <w:jc w:val="left"/>
        <w:rPr>
          <w:b w:val="0"/>
          <w:bCs w:val="0"/>
        </w:rPr>
      </w:pPr>
      <w:bookmarkStart w:name="14、长期股权投资" w:id="196"/>
      <w:bookmarkEnd w:id="196"/>
      <w:r>
        <w:rPr>
          <w:b w:val="0"/>
          <w:bCs w:val="0"/>
        </w:rPr>
      </w:r>
      <w:r>
        <w:rPr>
          <w:rFonts w:ascii="Times New Roman" w:hAnsi="Times New Roman" w:cs="Times New Roman" w:eastAsia="Times New Roman" w:hint="default"/>
        </w:rPr>
        <w:t>14</w:t>
      </w:r>
      <w:r>
        <w:rPr/>
        <w:t>、长期股权投资</w:t>
      </w:r>
      <w:r>
        <w:rPr>
          <w:b w:val="0"/>
          <w:bCs w:val="0"/>
        </w:rPr>
      </w:r>
    </w:p>
    <w:p>
      <w:pPr>
        <w:pStyle w:val="BodyText"/>
        <w:spacing w:line="240" w:lineRule="auto" w:before="127"/>
        <w:ind w:left="634" w:right="0"/>
        <w:jc w:val="left"/>
      </w:pPr>
      <w:r>
        <w:rPr/>
        <w:t>（</w:t>
      </w:r>
      <w:r>
        <w:rPr>
          <w:rFonts w:ascii="宋体" w:hAnsi="宋体" w:cs="宋体" w:eastAsia="宋体" w:hint="default"/>
        </w:rPr>
        <w:t>1</w:t>
      </w:r>
      <w:r>
        <w:rPr/>
        <w:t>）初始投资成本的确定</w:t>
      </w:r>
    </w:p>
    <w:p>
      <w:pPr>
        <w:pStyle w:val="BodyText"/>
        <w:spacing w:line="350" w:lineRule="auto" w:before="146"/>
        <w:ind w:right="1171" w:firstLine="480"/>
        <w:jc w:val="both"/>
      </w:pPr>
      <w:r>
        <w:rPr/>
        <w:t>①企业合并形成的长期股权投资，具体会计政策详见本附注四／（四）同一控制下和非 同一控制下企业合并的会计处理方法。</w:t>
      </w:r>
    </w:p>
    <w:p>
      <w:pPr>
        <w:pStyle w:val="BodyText"/>
        <w:spacing w:line="352" w:lineRule="auto" w:before="35"/>
        <w:ind w:left="634" w:right="1152"/>
        <w:jc w:val="left"/>
      </w:pPr>
      <w:r>
        <w:rPr/>
        <w:t>②其他方式取得的长期股权投资 以支付现金方式取得的长期股权投资，按照实际支付的购买价款作为初始投资成本。初</w:t>
      </w:r>
    </w:p>
    <w:p>
      <w:pPr>
        <w:pStyle w:val="BodyText"/>
        <w:spacing w:line="350" w:lineRule="auto" w:before="32"/>
        <w:ind w:left="634" w:right="1152" w:hanging="480"/>
        <w:jc w:val="left"/>
      </w:pPr>
      <w:r>
        <w:rPr/>
        <w:t>始投资成本包括与取得长期股权投资直接相关的费用、税金及其他必要支出。 以发行权益性证券取得的长期股权投资，按照发行权益性证券的公允价值作为初始投资</w:t>
      </w:r>
    </w:p>
    <w:p>
      <w:pPr>
        <w:pStyle w:val="BodyText"/>
        <w:spacing w:line="350" w:lineRule="auto"/>
        <w:ind w:right="1152"/>
        <w:jc w:val="left"/>
      </w:pPr>
      <w:r>
        <w:rPr/>
        <w:t>成本；发行或取得自身权益工具时发生的交易费用，可直接归属于权益性交易的从权益中扣 减。</w:t>
      </w:r>
    </w:p>
    <w:p>
      <w:pPr>
        <w:pStyle w:val="BodyText"/>
        <w:spacing w:line="352" w:lineRule="auto" w:before="35"/>
        <w:ind w:right="1170" w:firstLine="480"/>
        <w:jc w:val="both"/>
      </w:pPr>
      <w:r>
        <w:rPr/>
        <w:t>在非货币性资产交换具备商业实质和换入资产或换出资产的公允价值能够可靠计量的前 提下，非货币性资产交换换入的长期股权投资以换出资产的公允价值为基础确定其初始投资</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52"/>
        <w:jc w:val="left"/>
      </w:pPr>
      <w:r>
        <w:rPr/>
        <w:t>成本，除非有确凿证据表明换入资产的公允价值更加可靠；不满足上述前提的非货币性资产 交换，以换出资产的账面价值和应支付的相关税费作为换入长期股权投资的初始投资成本。</w:t>
      </w:r>
    </w:p>
    <w:p>
      <w:pPr>
        <w:pStyle w:val="BodyText"/>
        <w:spacing w:line="240" w:lineRule="auto"/>
        <w:ind w:left="634" w:right="0"/>
        <w:jc w:val="left"/>
      </w:pPr>
      <w:r>
        <w:rPr/>
        <w:t>通过债务重组取得的长期股权投资，其初始投资成本按照公允价值为基础确定。</w:t>
      </w:r>
    </w:p>
    <w:p>
      <w:pPr>
        <w:pStyle w:val="BodyText"/>
        <w:spacing w:line="350" w:lineRule="auto" w:before="146"/>
        <w:ind w:left="634" w:right="7512"/>
        <w:jc w:val="left"/>
      </w:pPr>
      <w:r>
        <w:rPr/>
        <w:t>（</w:t>
      </w:r>
      <w:r>
        <w:rPr>
          <w:rFonts w:ascii="宋体" w:hAnsi="宋体" w:cs="宋体" w:eastAsia="宋体" w:hint="default"/>
        </w:rPr>
        <w:t>2</w:t>
      </w:r>
      <w:r>
        <w:rPr/>
        <w:t>）后续计量及损益确认 成本法</w:t>
      </w:r>
    </w:p>
    <w:p>
      <w:pPr>
        <w:pStyle w:val="BodyText"/>
        <w:spacing w:line="350" w:lineRule="auto"/>
        <w:ind w:right="1169" w:firstLine="480"/>
        <w:jc w:val="both"/>
      </w:pPr>
      <w:r>
        <w:rPr/>
        <w:t>本公司能够对被投资单位实施控制的长期股权投资采用成本法核算，并按照初始投资成 本计价，追加或收回投资调整长期股权投资的成本。</w:t>
      </w:r>
    </w:p>
    <w:p>
      <w:pPr>
        <w:pStyle w:val="BodyText"/>
        <w:spacing w:line="352" w:lineRule="auto" w:before="35"/>
        <w:ind w:right="1170" w:firstLine="480"/>
        <w:jc w:val="both"/>
      </w:pPr>
      <w:r>
        <w:rPr/>
        <w:t>除取得投资时实际支付的价款或对价中包含的已宣告但尚未发放的现金股利或利润外， 本公司按照享有被投资单位宣告分派的现金股利或利润确认为当期投资收益。</w:t>
      </w:r>
    </w:p>
    <w:p>
      <w:pPr>
        <w:pStyle w:val="BodyText"/>
        <w:spacing w:line="350" w:lineRule="auto" w:before="32"/>
        <w:ind w:left="634" w:right="1152"/>
        <w:jc w:val="left"/>
      </w:pPr>
      <w:r>
        <w:rPr/>
        <w:t>权益法 本公司对联营企业和合营企业的长期股权投资采用权益法核算；对于其中一部分通过风</w:t>
      </w:r>
    </w:p>
    <w:p>
      <w:pPr>
        <w:pStyle w:val="BodyText"/>
        <w:spacing w:line="350" w:lineRule="auto"/>
        <w:ind w:right="1152"/>
        <w:jc w:val="left"/>
      </w:pPr>
      <w:r>
        <w:rPr/>
        <w:t>险投资机构、共同基金、信托公司或包括投连险基金在内的类似主体间接持有的联营企业的 权益性投资，采用公允价值计量且其变动计入损益。</w:t>
      </w:r>
    </w:p>
    <w:p>
      <w:pPr>
        <w:pStyle w:val="BodyText"/>
        <w:spacing w:line="352" w:lineRule="auto" w:before="35"/>
        <w:ind w:right="1169" w:firstLine="480"/>
        <w:jc w:val="both"/>
      </w:pPr>
      <w:r>
        <w:rPr/>
        <w:t>长期股权投资的初始投资成本大于投资时应享有被投资单位可辨认净资产公允价值份额 的差额，不调整长期股权投资的初始投资成本；初始投资成本小于投资时应享有被投资单位 可辨认净资产公允价值份额的差额，计入当期损益。</w:t>
      </w:r>
    </w:p>
    <w:p>
      <w:pPr>
        <w:pStyle w:val="BodyText"/>
        <w:spacing w:line="352" w:lineRule="auto" w:before="32"/>
        <w:ind w:right="1170" w:firstLine="480"/>
        <w:jc w:val="both"/>
      </w:pPr>
      <w:r>
        <w:rPr/>
        <w:t>本公司取得长期股权投资后，按照应享有或应分担的被投资单位实现的净损益和其他综 合收益的份额，分别确认投资收益和其他综合收益，同时调整长期股权投资的账面价值；并 按照被投资单位宣告分派的利润或现金股利计算应享有的部分，相应减少长期股权投资的账 面价值；对于被投资单位除净损益、其他综合收益和利润分配以外所有者权益的其他变动， 调整长期股权投资的账面价值并计入所有者权益。</w:t>
      </w:r>
    </w:p>
    <w:p>
      <w:pPr>
        <w:pStyle w:val="BodyText"/>
        <w:spacing w:line="350" w:lineRule="auto" w:before="32"/>
        <w:ind w:right="1152" w:firstLine="480"/>
        <w:jc w:val="left"/>
      </w:pPr>
      <w:r>
        <w:rPr/>
        <w:t>本公司在确认应享有被投资单位净损益的份额时，以取得投资时被投资单位各项可辨认 资产等的公允价值为基础，对被投资单位的净利润进行调整后确认。本公司与联营企业、合 营企业之间发生的未实现内部交易损益按照应享有的比例计算归属于本公司的部分予以抵 销，在此基础上确认投资损益。</w:t>
      </w:r>
    </w:p>
    <w:p>
      <w:pPr>
        <w:pStyle w:val="BodyText"/>
        <w:spacing w:line="352" w:lineRule="auto" w:before="35"/>
        <w:ind w:right="1171" w:firstLine="480"/>
        <w:jc w:val="both"/>
      </w:pPr>
      <w:r>
        <w:rPr/>
        <w:t>本公司确认应分担被投资单位发生的亏损时，按照以下顺序进行处理：首先，冲减长期 股权投资的账面价值。其次，长期股权投资的账面价值不足以冲减的，以其他实质上构成对 被投资单位净投资的长期权益账面价值为限继续确认投资损失，冲减长期应收项目等的账面 价值。最后，经过上述处理，按照投资合同或协议约定企业仍承担额外义务的，按预计承担 的义务确认预计负债，计入当期投资损失。</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1170" w:firstLine="480"/>
        <w:jc w:val="both"/>
      </w:pPr>
      <w:r>
        <w:rPr/>
        <w:t>被投资单位以后期间实现盈利的，公司在扣除未确认的亏损分担额后，按与上述相反的 顺序处理，减记已确认预计负债的账面余额、恢复其他实质上构成对被投资单位净投资的长 期权益及长期股权投资的账面价值后，恢复确认投资收益。</w:t>
      </w:r>
    </w:p>
    <w:p>
      <w:pPr>
        <w:pStyle w:val="BodyText"/>
        <w:spacing w:line="240" w:lineRule="auto" w:before="33"/>
        <w:ind w:left="634" w:right="0"/>
        <w:jc w:val="left"/>
      </w:pPr>
      <w:r>
        <w:rPr/>
        <w:t>（</w:t>
      </w:r>
      <w:r>
        <w:rPr>
          <w:rFonts w:ascii="宋体" w:hAnsi="宋体" w:cs="宋体" w:eastAsia="宋体" w:hint="default"/>
        </w:rPr>
        <w:t>3</w:t>
      </w:r>
      <w:r>
        <w:rPr/>
        <w:t>）长期股权投资核算方法的转换</w:t>
      </w:r>
    </w:p>
    <w:p>
      <w:pPr>
        <w:pStyle w:val="BodyText"/>
        <w:spacing w:line="352" w:lineRule="auto" w:before="145"/>
        <w:ind w:left="634" w:right="1152"/>
        <w:jc w:val="left"/>
      </w:pPr>
      <w:r>
        <w:rPr/>
        <w:t>①公允价值计量转权益法核算 本公司原持有的对被投资单位不具有控制、共同控制或重大影响的按金融工具确认和计</w:t>
      </w:r>
    </w:p>
    <w:p>
      <w:pPr>
        <w:pStyle w:val="BodyText"/>
        <w:spacing w:line="352" w:lineRule="auto" w:before="32"/>
        <w:ind w:right="994"/>
        <w:jc w:val="left"/>
      </w:pPr>
      <w:r>
        <w:rPr/>
        <w:t>量准则进行会计处理的权益性投资，因追加投资等原因能够对被投资单位施加重大影响或实 施共同控制但不构成控制的，按照《企业会计准则第</w:t>
      </w:r>
      <w:r>
        <w:rPr>
          <w:rFonts w:ascii="宋体" w:hAnsi="宋体" w:cs="宋体" w:eastAsia="宋体" w:hint="default"/>
        </w:rPr>
        <w:t>22</w:t>
      </w:r>
      <w:r>
        <w:rPr/>
        <w:t>号——金融工具确认和计量》确定的 </w:t>
      </w:r>
      <w:r>
        <w:rPr>
          <w:spacing w:val="-2"/>
        </w:rPr>
        <w:t>原持有的股权投资的公允价值加上新增投资成本之和，作为改按权益法核算的初始投资成本。</w:t>
      </w:r>
    </w:p>
    <w:p>
      <w:pPr>
        <w:pStyle w:val="BodyText"/>
        <w:spacing w:line="350" w:lineRule="auto" w:before="32"/>
        <w:ind w:right="1170" w:firstLine="480"/>
        <w:jc w:val="both"/>
      </w:pPr>
      <w:r>
        <w:rPr/>
        <w:t>原持有的股权投资分类为可供出售金融资产的，其公允价值与账面价值之间的差额，以 及原计入其他综合收益的累计公允价值变动转入改按权益法核算的当期损益。</w:t>
      </w:r>
    </w:p>
    <w:p>
      <w:pPr>
        <w:pStyle w:val="BodyText"/>
        <w:spacing w:line="350" w:lineRule="auto"/>
        <w:ind w:right="1169" w:firstLine="480"/>
        <w:jc w:val="both"/>
      </w:pPr>
      <w:r>
        <w:rPr/>
        <w:t>按权益法核算的初始投资成本小于按照追加投资后全新的持股比例计算确定的应享有被 投资单位在追加投资日可辨认净资产公允价值份额之间的差额，调整长期股权投资的账面价 值，并计入当期营业外收入。</w:t>
      </w:r>
    </w:p>
    <w:p>
      <w:pPr>
        <w:pStyle w:val="BodyText"/>
        <w:spacing w:line="350" w:lineRule="auto"/>
        <w:ind w:left="634" w:right="1152"/>
        <w:jc w:val="left"/>
      </w:pPr>
      <w:r>
        <w:rPr/>
        <w:t>②公允价值计量或权益法核算转成本法核算 本公司原持有的对被投资单位不具有控制、共同控制或重大影响的按金融工具确认和计</w:t>
      </w:r>
    </w:p>
    <w:p>
      <w:pPr>
        <w:pStyle w:val="BodyText"/>
        <w:spacing w:line="350" w:lineRule="auto" w:before="35"/>
        <w:ind w:left="0" w:right="1170"/>
        <w:jc w:val="right"/>
      </w:pPr>
      <w:r>
        <w:rPr/>
        <w:t>量准则进行会计处理的权益性投资，或原持有对联营企业、合营企业的长期股权投资，因追 加投资等原因能够对非同一控制下的被投资单位实施控制的，在编制个别财务报表时，按照 原持有的股权投资账面价值加上新增投资成本之和，作为改按成本法核算的初始投资成本。 购买日之前持有的股权投资因采用权益法核算而确认的其他综合收益，在处置该项投资</w:t>
      </w:r>
    </w:p>
    <w:p>
      <w:pPr>
        <w:pStyle w:val="BodyText"/>
        <w:spacing w:line="350" w:lineRule="auto"/>
        <w:ind w:left="634" w:right="1152" w:hanging="480"/>
        <w:jc w:val="left"/>
      </w:pPr>
      <w:r>
        <w:rPr/>
        <w:t>时采用与被投资单位直接处置相关资产或负债相同的基础进行会计处理。 购买日之前持有的股权投资按照《企业会计准则第</w:t>
      </w:r>
      <w:r>
        <w:rPr>
          <w:rFonts w:ascii="宋体" w:hAnsi="宋体" w:cs="宋体" w:eastAsia="宋体" w:hint="default"/>
        </w:rPr>
        <w:t>22</w:t>
      </w:r>
      <w:r>
        <w:rPr/>
        <w:t>号——金融工具确认和计量》的有</w:t>
      </w:r>
    </w:p>
    <w:p>
      <w:pPr>
        <w:pStyle w:val="BodyText"/>
        <w:spacing w:line="352" w:lineRule="auto" w:before="35"/>
        <w:ind w:right="1152"/>
        <w:jc w:val="left"/>
      </w:pPr>
      <w:r>
        <w:rPr/>
        <w:t>关规定进行会计处理的，原计入其他综合收益的累计公允价值变动在改按成本法核算时转入 当期损益。</w:t>
      </w:r>
    </w:p>
    <w:p>
      <w:pPr>
        <w:pStyle w:val="BodyText"/>
        <w:spacing w:line="350" w:lineRule="auto" w:before="32"/>
        <w:ind w:left="634" w:right="1152"/>
        <w:jc w:val="left"/>
      </w:pPr>
      <w:r>
        <w:rPr/>
        <w:t>③权益法核算转公允价值计量 本公司因处置部分股权投资等原因丧失了对被投资单位的共同控制或重大影响的，处置</w:t>
      </w:r>
    </w:p>
    <w:p>
      <w:pPr>
        <w:pStyle w:val="BodyText"/>
        <w:spacing w:line="350" w:lineRule="auto"/>
        <w:ind w:right="1152"/>
        <w:jc w:val="left"/>
      </w:pPr>
      <w:r>
        <w:rPr/>
        <w:t>后的剩余股权改按《企业会计准则第</w:t>
      </w:r>
      <w:r>
        <w:rPr>
          <w:rFonts w:ascii="宋体" w:hAnsi="宋体" w:cs="宋体" w:eastAsia="宋体" w:hint="default"/>
        </w:rPr>
        <w:t>22</w:t>
      </w:r>
      <w:r>
        <w:rPr/>
        <w:t>号——金融工具确认和计量》核算，其在丧失共同控 制或重大影响之日的公允价值与账面价值之间的差额计入当期损益。</w:t>
      </w:r>
    </w:p>
    <w:p>
      <w:pPr>
        <w:pStyle w:val="BodyText"/>
        <w:spacing w:line="352" w:lineRule="auto" w:before="35"/>
        <w:ind w:right="1171" w:firstLine="480"/>
        <w:jc w:val="both"/>
      </w:pPr>
      <w:r>
        <w:rPr/>
        <w:t>原股权投资因采用权益法核算而确认的其他综合收益，在终止采用权益法核算时采用与 被投资单位直接处置相关资产或负债相同的基础进行会计处理。</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4" w:right="1152"/>
        <w:jc w:val="left"/>
      </w:pPr>
      <w:r>
        <w:rPr/>
        <w:t>④成本法转权益法 本公司因处置部分权益性投资等原因丧失了对被投资单位的控制的，在编制个别财务报</w:t>
      </w:r>
    </w:p>
    <w:p>
      <w:pPr>
        <w:pStyle w:val="BodyText"/>
        <w:spacing w:line="350" w:lineRule="auto"/>
        <w:ind w:right="1170"/>
        <w:jc w:val="both"/>
      </w:pPr>
      <w:r>
        <w:rPr/>
        <w:t>表时，处置后的剩余股权能够对被投资单位实施共同控制或施加重大影响的，改按权益法核 算，并对该剩余股权视同自取得时即采用权益法核算进行调整。</w:t>
      </w:r>
    </w:p>
    <w:p>
      <w:pPr>
        <w:pStyle w:val="BodyText"/>
        <w:spacing w:line="352" w:lineRule="auto" w:before="35"/>
        <w:ind w:left="634" w:right="1152"/>
        <w:jc w:val="left"/>
      </w:pPr>
      <w:r>
        <w:rPr/>
        <w:t>⑤成本法转公允价值计量 本公司因处置部分权益性投资等原因丧失了对被投资单位的控制的，在编制个别财务报</w:t>
      </w:r>
    </w:p>
    <w:p>
      <w:pPr>
        <w:pStyle w:val="BodyText"/>
        <w:spacing w:line="352" w:lineRule="auto" w:before="32"/>
        <w:ind w:right="1171"/>
        <w:jc w:val="both"/>
      </w:pPr>
      <w:r>
        <w:rPr/>
        <w:t>表时，处置后的剩余股权不能对被投资单位实施共同控制或施加重大影响的，改按《企业会 计准则第</w:t>
      </w:r>
      <w:r>
        <w:rPr>
          <w:rFonts w:ascii="宋体" w:hAnsi="宋体" w:cs="宋体" w:eastAsia="宋体" w:hint="default"/>
        </w:rPr>
        <w:t>22</w:t>
      </w:r>
      <w:r>
        <w:rPr/>
        <w:t>号——金融工具确认和计量》的有关规定进行会计处理，其在丧失控制之日的公 允价值与账面价值间的差额计入当期损益。</w:t>
      </w:r>
    </w:p>
    <w:p>
      <w:pPr>
        <w:pStyle w:val="BodyText"/>
        <w:spacing w:line="350" w:lineRule="auto" w:before="32"/>
        <w:ind w:left="634" w:right="1152" w:hanging="120"/>
        <w:jc w:val="left"/>
      </w:pPr>
      <w:r>
        <w:rPr/>
        <w:t>（</w:t>
      </w:r>
      <w:r>
        <w:rPr>
          <w:rFonts w:ascii="宋体" w:hAnsi="宋体" w:cs="宋体" w:eastAsia="宋体" w:hint="default"/>
        </w:rPr>
        <w:t>4</w:t>
      </w:r>
      <w:r>
        <w:rPr/>
        <w:t>）长期股权投资的处置 处置长期股权投资，其账面价值与实际取得价款之间的差额，应当计入当期损益。采用</w:t>
      </w:r>
    </w:p>
    <w:p>
      <w:pPr>
        <w:pStyle w:val="BodyText"/>
        <w:spacing w:line="350" w:lineRule="auto"/>
        <w:ind w:right="1170"/>
        <w:jc w:val="both"/>
      </w:pPr>
      <w:r>
        <w:rPr/>
        <w:t>权益法核算的长期股权投资，在处置该项投资时，采用与被投资单位直接处置相关资产或负 债相同的基础，按相应比例对原计入其他综合收益的部分进行会计处理。</w:t>
      </w:r>
    </w:p>
    <w:p>
      <w:pPr>
        <w:pStyle w:val="BodyText"/>
        <w:spacing w:line="352" w:lineRule="auto" w:before="35"/>
        <w:ind w:right="0" w:firstLine="480"/>
        <w:jc w:val="left"/>
      </w:pPr>
      <w:r>
        <w:rPr>
          <w:spacing w:val="-3"/>
        </w:rPr>
        <w:t>处置对子公司股权投资的各项交易的条款、条件以及经济影响符合以下一种或多种情况，</w:t>
      </w:r>
      <w:r>
        <w:rPr/>
        <w:t> 将多次交易事项作为一揽子交易进行会计处理：</w:t>
      </w:r>
    </w:p>
    <w:p>
      <w:pPr>
        <w:pStyle w:val="BodyText"/>
        <w:spacing w:line="240" w:lineRule="auto" w:before="33"/>
        <w:ind w:left="634" w:right="0"/>
        <w:jc w:val="left"/>
      </w:pPr>
      <w:r>
        <w:rPr>
          <w:rFonts w:ascii="宋体" w:hAnsi="宋体" w:cs="宋体" w:eastAsia="宋体" w:hint="default"/>
        </w:rPr>
        <w:t>1.</w:t>
      </w:r>
      <w:r>
        <w:rPr/>
        <w:t>这些交易是同时或者在考虑了彼此影响的情况下订立的；</w:t>
      </w:r>
    </w:p>
    <w:p>
      <w:pPr>
        <w:pStyle w:val="BodyText"/>
        <w:spacing w:line="240" w:lineRule="auto" w:before="145"/>
        <w:ind w:left="634" w:right="0"/>
        <w:jc w:val="left"/>
      </w:pPr>
      <w:r>
        <w:rPr>
          <w:rFonts w:ascii="宋体" w:hAnsi="宋体" w:cs="宋体" w:eastAsia="宋体" w:hint="default"/>
        </w:rPr>
        <w:t>2.</w:t>
      </w:r>
      <w:r>
        <w:rPr/>
        <w:t>这些交易整体才能达成一项完整的商业结果；</w:t>
      </w:r>
    </w:p>
    <w:p>
      <w:pPr>
        <w:pStyle w:val="BodyText"/>
        <w:spacing w:line="240" w:lineRule="auto" w:before="146"/>
        <w:ind w:left="634" w:right="0"/>
        <w:jc w:val="left"/>
      </w:pPr>
      <w:r>
        <w:rPr>
          <w:rFonts w:ascii="宋体" w:hAnsi="宋体" w:cs="宋体" w:eastAsia="宋体" w:hint="default"/>
        </w:rPr>
        <w:t>3.</w:t>
      </w:r>
      <w:r>
        <w:rPr/>
        <w:t>一项交易的发生取决于其他至少一项交易的发生；</w:t>
      </w:r>
    </w:p>
    <w:p>
      <w:pPr>
        <w:pStyle w:val="BodyText"/>
        <w:spacing w:line="350" w:lineRule="auto" w:before="145"/>
        <w:ind w:left="634" w:right="1152"/>
        <w:jc w:val="left"/>
      </w:pPr>
      <w:r>
        <w:rPr>
          <w:rFonts w:ascii="宋体" w:hAnsi="宋体" w:cs="宋体" w:eastAsia="宋体" w:hint="default"/>
        </w:rPr>
        <w:t>4.</w:t>
      </w:r>
      <w:r>
        <w:rPr/>
        <w:t>一项交易单独看是不经济的，但是和其他交易一并考虑时是经济的。 因处置部分股权投资或其他原因丧失了对原有子公司控制权的，不属于一揽子交易的，</w:t>
      </w:r>
    </w:p>
    <w:p>
      <w:pPr>
        <w:pStyle w:val="BodyText"/>
        <w:spacing w:line="350" w:lineRule="auto"/>
        <w:ind w:left="634" w:right="1152" w:hanging="480"/>
        <w:jc w:val="left"/>
      </w:pPr>
      <w:r>
        <w:rPr/>
        <w:t>区分个别财务报表和合并财务报表进行相关会计处理： </w:t>
      </w:r>
      <w:r>
        <w:rPr>
          <w:rFonts w:ascii="宋体" w:hAnsi="宋体" w:cs="宋体" w:eastAsia="宋体" w:hint="default"/>
        </w:rPr>
        <w:t>1.</w:t>
      </w:r>
      <w:r>
        <w:rPr/>
        <w:t>在个别财务报表中，对于处置的股权，其账面价值与实际取得价款之间的差额计入当</w:t>
      </w:r>
    </w:p>
    <w:p>
      <w:pPr>
        <w:pStyle w:val="BodyText"/>
        <w:spacing w:line="352" w:lineRule="auto" w:before="35"/>
        <w:ind w:right="1169"/>
        <w:jc w:val="both"/>
      </w:pPr>
      <w:r>
        <w:rPr/>
        <w:t>期损益。处置后的剩余股权能够对被投资单位实施共同控制或施加重大影响的，改按权益法 核算，并对该剩余股权视同自取得时即采用权益法核算进行调整；处置后的剩余股权不能对 被投资单位实施共同控制或施加重大影响的，改按《企业会计准则第</w:t>
      </w:r>
      <w:r>
        <w:rPr>
          <w:rFonts w:ascii="宋体" w:hAnsi="宋体" w:cs="宋体" w:eastAsia="宋体" w:hint="default"/>
        </w:rPr>
        <w:t>22</w:t>
      </w:r>
      <w:r>
        <w:rPr/>
        <w:t>号——金融工具确认 和计量》的有关规定进行会计处理，其在丧失控制之日的公允价值与账面价值间的差额计入 当期损益。</w:t>
      </w:r>
    </w:p>
    <w:p>
      <w:pPr>
        <w:pStyle w:val="BodyText"/>
        <w:spacing w:line="352" w:lineRule="auto" w:before="33"/>
        <w:ind w:right="0" w:firstLine="480"/>
        <w:jc w:val="left"/>
      </w:pPr>
      <w:r>
        <w:rPr>
          <w:rFonts w:ascii="宋体" w:hAnsi="宋体" w:cs="宋体" w:eastAsia="宋体" w:hint="default"/>
        </w:rPr>
        <w:t>2.</w:t>
      </w:r>
      <w:r>
        <w:rPr/>
        <w:t>在合并财务报表中，对于在丧失对子公司控制权以前的各项交易，处置价款与处置长 期股权投资相应对享有子公司自购买日或合并日开始持续计算的净资产份额之间的差额，调 </w:t>
      </w:r>
      <w:r>
        <w:rPr>
          <w:spacing w:val="-3"/>
        </w:rPr>
        <w:t>整资本公积（股本溢价），资本公积不足冲减的，调整留存收益；在丧失对子公司控制权时，</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1170"/>
        <w:jc w:val="both"/>
      </w:pPr>
      <w:r>
        <w:rPr/>
        <w:t>对于剩余股权，按照其在丧失控制权日的公允价值进行重新计量。处置股权取得的对价与剩 余股权公允价值之和，减去按原持股比例计算应享有原有子公司自购买日开始持续计算的净 资产的份额之间的差额，计入丧失控制权当期的投资收益，同时冲减商誉。与原有子公司股 权投资相关的其他综合收益等，在丧失控制权时转为当期投资收益。</w:t>
      </w:r>
    </w:p>
    <w:p>
      <w:pPr>
        <w:pStyle w:val="BodyText"/>
        <w:spacing w:line="352" w:lineRule="auto" w:before="32"/>
        <w:ind w:right="1170" w:firstLine="480"/>
        <w:jc w:val="both"/>
      </w:pPr>
      <w:r>
        <w:rPr/>
        <w:t>处置对子公司股权投资直至丧失控制权的各项交易属于一揽子交易的，将各项交易作为 一项处置子公司股权投资并丧失控制权的交易进行会计处理，区分个别财务报表和合并财务 报表进行相关会计处理：</w:t>
      </w:r>
    </w:p>
    <w:p>
      <w:pPr>
        <w:pStyle w:val="BodyText"/>
        <w:spacing w:line="352" w:lineRule="auto" w:before="32"/>
        <w:ind w:right="1171" w:firstLine="480"/>
        <w:jc w:val="both"/>
      </w:pPr>
      <w:r>
        <w:rPr>
          <w:rFonts w:ascii="宋体" w:hAnsi="宋体" w:cs="宋体" w:eastAsia="宋体" w:hint="default"/>
        </w:rPr>
        <w:t>1.</w:t>
      </w:r>
      <w:r>
        <w:rPr/>
        <w:t>在个别财务报表中，在丧失控制权之前每一次处置价款与处置的股权对应的长期股权 投资账面价值之间的差额，确认为其他综合收益，在丧失控制权时一并转入丧失控制权当期 的损益。</w:t>
      </w:r>
    </w:p>
    <w:p>
      <w:pPr>
        <w:pStyle w:val="BodyText"/>
        <w:spacing w:line="352" w:lineRule="auto" w:before="32"/>
        <w:ind w:right="1171" w:firstLine="480"/>
        <w:jc w:val="both"/>
      </w:pPr>
      <w:r>
        <w:rPr>
          <w:rFonts w:ascii="宋体" w:hAnsi="宋体" w:cs="宋体" w:eastAsia="宋体" w:hint="default"/>
        </w:rPr>
        <w:t>2.</w:t>
      </w:r>
      <w:r>
        <w:rPr/>
        <w:t>在合并财务报表中，在丧失控制权之前每一次处置价款与处置投资对应的享有该子公 司净资产份额的差额，确认为其他综合收益，在丧失控制权时一并转入丧失控制权当期的损 益。</w:t>
      </w:r>
    </w:p>
    <w:p>
      <w:pPr>
        <w:pStyle w:val="BodyText"/>
        <w:spacing w:line="352" w:lineRule="auto" w:before="32"/>
        <w:ind w:left="634" w:right="1152" w:hanging="240"/>
        <w:jc w:val="left"/>
      </w:pPr>
      <w:r>
        <w:rPr/>
        <w:t>（</w:t>
      </w:r>
      <w:r>
        <w:rPr>
          <w:rFonts w:ascii="宋体" w:hAnsi="宋体" w:cs="宋体" w:eastAsia="宋体" w:hint="default"/>
        </w:rPr>
        <w:t>5</w:t>
      </w:r>
      <w:r>
        <w:rPr/>
        <w:t>）共同控制、重大影响的判断标准 如果本公司按照相关约定与其他参与方集体控制某项安排，并且对该安排回报具有重大</w:t>
      </w:r>
    </w:p>
    <w:p>
      <w:pPr>
        <w:pStyle w:val="BodyText"/>
        <w:spacing w:line="350" w:lineRule="auto" w:before="33"/>
        <w:ind w:right="1169"/>
        <w:jc w:val="both"/>
      </w:pPr>
      <w:r>
        <w:rPr/>
        <w:t>影响的活动决策，需要经过分享控制权的参与方一致同意时才存在，则视为本公司与其他参 与方共同控制某项安排，该安排即属于合营安排。</w:t>
      </w:r>
    </w:p>
    <w:p>
      <w:pPr>
        <w:pStyle w:val="BodyText"/>
        <w:spacing w:line="350" w:lineRule="auto"/>
        <w:ind w:right="1170" w:firstLine="480"/>
        <w:jc w:val="both"/>
      </w:pPr>
      <w:r>
        <w:rPr/>
        <w:t>合营安排通过单独主体达成的，根据相关约定判断本公司对该单独主体的净资产享有权 利时，将该单独主体作为合营企业，采用权益法核算。若根据相关约定判断本公司并非对该 单独主体的净资产享有权利时，该单独主体作为共同经营，本公司确认与共同经营利益份额 相关的项目，并按照相关企业会计准则的规定进行会计处理。</w:t>
      </w:r>
    </w:p>
    <w:p>
      <w:pPr>
        <w:pStyle w:val="BodyText"/>
        <w:spacing w:line="350" w:lineRule="auto" w:before="35"/>
        <w:ind w:right="1131" w:firstLine="480"/>
        <w:jc w:val="both"/>
      </w:pPr>
      <w:r>
        <w:rPr/>
        <w:t>重大影响，是指投资方对被投资单位的财务和经营政策有参与决策的权力，但并不能够 控制或者与其他方一起共同控制这些政策的制定。本公司通过以下一种或多种情形，并综合 </w:t>
      </w:r>
      <w:r>
        <w:rPr>
          <w:spacing w:val="-3"/>
        </w:rPr>
        <w:t>考虑所有事实和情况后，判断对被投资单位具有重大影响。（</w:t>
      </w:r>
      <w:r>
        <w:rPr>
          <w:rFonts w:ascii="宋体" w:hAnsi="宋体" w:cs="宋体" w:eastAsia="宋体" w:hint="default"/>
          <w:spacing w:val="-3"/>
        </w:rPr>
        <w:t>1</w:t>
      </w:r>
      <w:r>
        <w:rPr>
          <w:spacing w:val="-3"/>
        </w:rPr>
        <w:t>）在被投资单位的董事会或类</w:t>
      </w:r>
      <w:r>
        <w:rPr>
          <w:spacing w:val="-80"/>
        </w:rPr>
        <w:t> </w:t>
      </w:r>
      <w:r>
        <w:rPr>
          <w:spacing w:val="-80"/>
        </w:rPr>
      </w:r>
      <w:r>
        <w:rPr/>
        <w:t>似权力机构中派有代表；（</w:t>
      </w:r>
      <w:r>
        <w:rPr>
          <w:rFonts w:ascii="宋体" w:hAnsi="宋体" w:cs="宋体" w:eastAsia="宋体" w:hint="default"/>
        </w:rPr>
        <w:t>2</w:t>
      </w:r>
      <w:r>
        <w:rPr/>
        <w:t>）参与被投资单位财务和经营政策制定过程；（</w:t>
      </w:r>
      <w:r>
        <w:rPr>
          <w:rFonts w:ascii="宋体" w:hAnsi="宋体" w:cs="宋体" w:eastAsia="宋体" w:hint="default"/>
        </w:rPr>
        <w:t>3</w:t>
      </w:r>
      <w:r>
        <w:rPr/>
        <w:t>）与被投资单 位之间发生重要交易；（</w:t>
      </w:r>
      <w:r>
        <w:rPr>
          <w:rFonts w:ascii="宋体" w:hAnsi="宋体" w:cs="宋体" w:eastAsia="宋体" w:hint="default"/>
        </w:rPr>
        <w:t>4</w:t>
      </w:r>
      <w:r>
        <w:rPr/>
        <w:t>）向被投资单位派出管理人员；（</w:t>
      </w:r>
      <w:r>
        <w:rPr>
          <w:rFonts w:ascii="宋体" w:hAnsi="宋体" w:cs="宋体" w:eastAsia="宋体" w:hint="default"/>
        </w:rPr>
        <w:t>5</w:t>
      </w:r>
      <w:r>
        <w:rPr/>
        <w:t>）向被投资单位提供关键技术 资料。</w:t>
      </w:r>
    </w:p>
    <w:p>
      <w:pPr>
        <w:spacing w:line="343" w:lineRule="auto" w:before="35"/>
        <w:ind w:left="634" w:right="7872" w:hanging="480"/>
        <w:jc w:val="left"/>
        <w:rPr>
          <w:rFonts w:ascii="宋体" w:hAnsi="宋体" w:cs="宋体" w:eastAsia="宋体" w:hint="default"/>
          <w:sz w:val="24"/>
          <w:szCs w:val="24"/>
        </w:rPr>
      </w:pPr>
      <w:bookmarkStart w:name="15、投资性房地产" w:id="197"/>
      <w:bookmarkEnd w:id="197"/>
      <w:r>
        <w:rPr/>
      </w:r>
      <w:r>
        <w:rPr>
          <w:rFonts w:ascii="Times New Roman" w:hAnsi="Times New Roman" w:cs="Times New Roman" w:eastAsia="Times New Roman" w:hint="default"/>
          <w:b/>
          <w:bCs/>
          <w:sz w:val="24"/>
          <w:szCs w:val="24"/>
        </w:rPr>
        <w:t>15</w:t>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z w:val="24"/>
          <w:szCs w:val="24"/>
        </w:rPr>
        <w:t>投资性房地产计量模式 不适用</w:t>
      </w:r>
    </w:p>
    <w:p>
      <w:pPr>
        <w:spacing w:after="0" w:line="343"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0"/>
        <w:jc w:val="left"/>
        <w:rPr>
          <w:b w:val="0"/>
          <w:bCs w:val="0"/>
        </w:rPr>
      </w:pPr>
      <w:bookmarkStart w:name="16、固定资产" w:id="198"/>
      <w:bookmarkEnd w:id="198"/>
      <w:r>
        <w:rPr>
          <w:b w:val="0"/>
          <w:bCs w:val="0"/>
        </w:rPr>
      </w:r>
      <w:r>
        <w:rPr>
          <w:rFonts w:ascii="Times New Roman" w:hAnsi="Times New Roman" w:cs="Times New Roman" w:eastAsia="Times New Roman" w:hint="default"/>
        </w:rPr>
        <w:t>16</w:t>
      </w:r>
      <w:r>
        <w:rPr/>
        <w:t>、固定资产</w:t>
      </w:r>
      <w:r>
        <w:rPr>
          <w:b w:val="0"/>
          <w:bCs w:val="0"/>
        </w:rPr>
      </w:r>
    </w:p>
    <w:p>
      <w:pPr>
        <w:spacing w:before="144"/>
        <w:ind w:left="154" w:right="0" w:firstLine="0"/>
        <w:jc w:val="left"/>
        <w:rPr>
          <w:rFonts w:ascii="宋体" w:hAnsi="宋体" w:cs="宋体" w:eastAsia="宋体" w:hint="default"/>
          <w:sz w:val="21"/>
          <w:szCs w:val="21"/>
        </w:rPr>
      </w:pPr>
      <w:bookmarkStart w:name="（1）确认条件"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pStyle w:val="BodyText"/>
        <w:spacing w:line="352" w:lineRule="auto" w:before="0"/>
        <w:ind w:right="1130" w:firstLine="480"/>
        <w:jc w:val="both"/>
      </w:pPr>
      <w:r>
        <w:rPr/>
        <w:t>固定资产指为生产商品、提供劳务、出租或经营管理而持有，并且使用寿命超过一个会 </w:t>
      </w:r>
      <w:r>
        <w:rPr>
          <w:spacing w:val="-3"/>
        </w:rPr>
        <w:t>计年度的有形资产。固定资产在同时满足下列条件时予以确认：（</w:t>
      </w:r>
      <w:r>
        <w:rPr>
          <w:rFonts w:ascii="宋体" w:hAnsi="宋体" w:cs="宋体" w:eastAsia="宋体" w:hint="default"/>
          <w:spacing w:val="-3"/>
        </w:rPr>
        <w:t>1</w:t>
      </w:r>
      <w:r>
        <w:rPr>
          <w:spacing w:val="-3"/>
        </w:rPr>
        <w:t>）与该固定资产有关的经</w:t>
      </w:r>
      <w:r>
        <w:rPr>
          <w:spacing w:val="-80"/>
        </w:rPr>
        <w:t> </w:t>
      </w:r>
      <w:r>
        <w:rPr>
          <w:spacing w:val="-80"/>
        </w:rPr>
      </w:r>
      <w:r>
        <w:rPr/>
        <w:t>济利益很可能流入企业；（</w:t>
      </w:r>
      <w:r>
        <w:rPr>
          <w:rFonts w:ascii="宋体" w:hAnsi="宋体" w:cs="宋体" w:eastAsia="宋体" w:hint="default"/>
        </w:rPr>
        <w:t>2</w:t>
      </w:r>
      <w:r>
        <w:rPr/>
        <w:t>）该固定资产的成本能够可靠地计量。</w:t>
      </w:r>
    </w:p>
    <w:p>
      <w:pPr>
        <w:spacing w:line="240" w:lineRule="auto" w:before="9"/>
        <w:rPr>
          <w:rFonts w:ascii="宋体" w:hAnsi="宋体" w:cs="宋体" w:eastAsia="宋体" w:hint="default"/>
          <w:sz w:val="17"/>
          <w:szCs w:val="17"/>
        </w:rPr>
      </w:pPr>
    </w:p>
    <w:p>
      <w:pPr>
        <w:spacing w:before="0"/>
        <w:ind w:left="154" w:right="0" w:firstLine="0"/>
        <w:jc w:val="left"/>
        <w:rPr>
          <w:rFonts w:ascii="宋体" w:hAnsi="宋体" w:cs="宋体" w:eastAsia="宋体" w:hint="default"/>
          <w:sz w:val="21"/>
          <w:szCs w:val="21"/>
        </w:rPr>
      </w:pPr>
      <w:bookmarkStart w:name="（2）折旧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6.47-2.77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24.25-16.17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19.40-16.17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32.33-19.40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5"/>
        <w:rPr>
          <w:rFonts w:ascii="宋体" w:hAnsi="宋体" w:cs="宋体" w:eastAsia="宋体" w:hint="default"/>
          <w:b/>
          <w:bCs/>
          <w:sz w:val="5"/>
          <w:szCs w:val="5"/>
        </w:rPr>
      </w:pPr>
    </w:p>
    <w:p>
      <w:pPr>
        <w:spacing w:before="35"/>
        <w:ind w:left="154" w:right="0" w:firstLine="0"/>
        <w:jc w:val="left"/>
        <w:rPr>
          <w:rFonts w:ascii="宋体" w:hAnsi="宋体" w:cs="宋体" w:eastAsia="宋体" w:hint="default"/>
          <w:sz w:val="21"/>
          <w:szCs w:val="21"/>
        </w:rPr>
      </w:pPr>
      <w:bookmarkStart w:name="（3）融资租入固定资产的认定依据、计价和折旧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pStyle w:val="BodyText"/>
        <w:spacing w:line="350" w:lineRule="auto" w:before="0"/>
        <w:ind w:right="1002" w:firstLine="480"/>
        <w:jc w:val="left"/>
      </w:pPr>
      <w:r>
        <w:rPr/>
        <w:t>当本公司租入的固定资产符合下列一项或数项标准时，确认为融资租入固定资产：（</w:t>
      </w:r>
      <w:r>
        <w:rPr>
          <w:rFonts w:ascii="宋体" w:hAnsi="宋体" w:cs="宋体" w:eastAsia="宋体" w:hint="default"/>
        </w:rPr>
        <w:t>1</w:t>
      </w:r>
      <w:r>
        <w:rPr/>
        <w:t>） 在租赁期届满时，租赁资产的所有权转移给本公司。（</w:t>
      </w:r>
      <w:r>
        <w:rPr>
          <w:rFonts w:ascii="宋体" w:hAnsi="宋体" w:cs="宋体" w:eastAsia="宋体" w:hint="default"/>
        </w:rPr>
        <w:t>2</w:t>
      </w:r>
      <w:r>
        <w:rPr/>
        <w:t>）本公司有购买租赁资产的选择权， 所订立的购买价款预计将远低于行使选择权时租赁资产的公允价值，因而在租赁开始日就可 </w:t>
      </w:r>
      <w:r>
        <w:rPr>
          <w:spacing w:val="-3"/>
        </w:rPr>
        <w:t>以合理确定本公司将会行使这种选择权。（</w:t>
      </w:r>
      <w:r>
        <w:rPr>
          <w:rFonts w:ascii="宋体" w:hAnsi="宋体" w:cs="宋体" w:eastAsia="宋体" w:hint="default"/>
          <w:spacing w:val="-3"/>
        </w:rPr>
        <w:t>3</w:t>
      </w:r>
      <w:r>
        <w:rPr>
          <w:spacing w:val="-3"/>
        </w:rPr>
        <w:t>）即使资产的所有权不转移，但租赁期占租赁资</w:t>
      </w:r>
      <w:r>
        <w:rPr>
          <w:spacing w:val="-80"/>
        </w:rPr>
        <w:t> </w:t>
      </w:r>
      <w:r>
        <w:rPr>
          <w:spacing w:val="-80"/>
        </w:rPr>
      </w:r>
      <w:r>
        <w:rPr>
          <w:spacing w:val="-3"/>
        </w:rPr>
        <w:t>产使用寿命的大部分。（</w:t>
      </w:r>
      <w:r>
        <w:rPr>
          <w:rFonts w:ascii="宋体" w:hAnsi="宋体" w:cs="宋体" w:eastAsia="宋体" w:hint="default"/>
          <w:spacing w:val="-3"/>
        </w:rPr>
        <w:t>4</w:t>
      </w:r>
      <w:r>
        <w:rPr>
          <w:spacing w:val="-3"/>
        </w:rPr>
        <w:t>）本公司在租赁开始日的最低租赁付款额现值，几乎相当于租赁开</w:t>
      </w:r>
      <w:r>
        <w:rPr>
          <w:spacing w:val="-80"/>
        </w:rPr>
        <w:t> </w:t>
      </w:r>
      <w:r>
        <w:rPr>
          <w:spacing w:val="-80"/>
        </w:rPr>
      </w:r>
      <w:r>
        <w:rPr>
          <w:spacing w:val="-5"/>
        </w:rPr>
        <w:t>始日租赁资产公允价值。（</w:t>
      </w:r>
      <w:r>
        <w:rPr>
          <w:rFonts w:ascii="宋体" w:hAnsi="宋体" w:cs="宋体" w:eastAsia="宋体" w:hint="default"/>
          <w:spacing w:val="-5"/>
        </w:rPr>
        <w:t>5</w:t>
      </w:r>
      <w:r>
        <w:rPr>
          <w:spacing w:val="-5"/>
        </w:rPr>
        <w:t>）租赁资产性质特殊，如果不作较大改造，只有本公司才能使用。</w:t>
      </w:r>
      <w:r>
        <w:rPr>
          <w:spacing w:val="-115"/>
        </w:rPr>
        <w:t> </w:t>
      </w:r>
      <w:r>
        <w:rPr>
          <w:spacing w:val="-115"/>
        </w:rPr>
      </w:r>
      <w:r>
        <w:rPr/>
        <w:t>融资租赁租入的固定资产，按租赁开始日租赁资产公允价值与最低租赁付款额的现值两者中 较低者，作为入账价值。最低租赁付款额作为长期应付款的入账价值，其差额作为未确认融 资费用。在租赁谈判和签订租赁合同过程中发生的，可归属于租赁项目的手续费、律师费、 差旅费、印花税等初始直接费用，计入租入资产价值。未确认融资费用在租赁期内各个期间 采用实际利率法进行分摊。本公司采用与自有固定资产相一致的折旧政策计提融资租入固定 资产折旧。能够合理确定租赁期届满时取得租赁资产所有权的，在租赁资产使用寿命内计提 折旧。无法合理确定租赁期届满时能够取得租赁资产所有权的，在租赁期与租赁资产使用寿 命两者中较短的期间内计提折旧。</w:t>
      </w:r>
    </w:p>
    <w:p>
      <w:pPr>
        <w:pStyle w:val="Heading2"/>
        <w:spacing w:line="240" w:lineRule="auto" w:before="35"/>
        <w:ind w:right="0"/>
        <w:jc w:val="left"/>
        <w:rPr>
          <w:b w:val="0"/>
          <w:bCs w:val="0"/>
        </w:rPr>
      </w:pPr>
      <w:bookmarkStart w:name="17、在建工程" w:id="202"/>
      <w:bookmarkEnd w:id="202"/>
      <w:r>
        <w:rPr>
          <w:b w:val="0"/>
          <w:bCs w:val="0"/>
        </w:rPr>
      </w:r>
      <w:r>
        <w:rPr>
          <w:rFonts w:ascii="Times New Roman" w:hAnsi="Times New Roman" w:cs="Times New Roman" w:eastAsia="Times New Roman" w:hint="default"/>
        </w:rPr>
        <w:t>17</w:t>
      </w:r>
      <w:r>
        <w:rPr/>
        <w:t>、在建工程</w:t>
      </w:r>
      <w:r>
        <w:rPr>
          <w:b w:val="0"/>
          <w:bCs w:val="0"/>
        </w:rPr>
      </w:r>
    </w:p>
    <w:p>
      <w:pPr>
        <w:pStyle w:val="BodyText"/>
        <w:spacing w:line="350" w:lineRule="auto" w:before="128"/>
        <w:ind w:left="634" w:right="6192"/>
        <w:jc w:val="left"/>
      </w:pPr>
      <w:r>
        <w:rPr/>
        <w:t>公司是否需要遵守特殊行业的披露要求 是</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634" w:right="0"/>
        <w:jc w:val="left"/>
      </w:pPr>
      <w:r>
        <w:rPr/>
        <w:t>软件与信息技术服务业</w:t>
      </w:r>
    </w:p>
    <w:p>
      <w:pPr>
        <w:pStyle w:val="BodyText"/>
        <w:spacing w:line="352" w:lineRule="auto" w:before="145"/>
        <w:ind w:left="634" w:right="1152"/>
        <w:jc w:val="left"/>
      </w:pPr>
      <w:r>
        <w:rPr/>
        <w:t>（</w:t>
      </w:r>
      <w:r>
        <w:rPr>
          <w:rFonts w:ascii="宋体" w:hAnsi="宋体" w:cs="宋体" w:eastAsia="宋体" w:hint="default"/>
        </w:rPr>
        <w:t>1</w:t>
      </w:r>
      <w:r>
        <w:rPr/>
        <w:t>）在建工程初始计量 本公司自行建造的在建工程按实际成本计价，实际成本由建造该项资产达到预定可使用</w:t>
      </w:r>
    </w:p>
    <w:p>
      <w:pPr>
        <w:pStyle w:val="BodyText"/>
        <w:spacing w:line="350" w:lineRule="auto" w:before="33"/>
        <w:ind w:right="1170"/>
        <w:jc w:val="both"/>
      </w:pPr>
      <w:r>
        <w:rPr/>
        <w:t>状态前所发生的必要支出构成，包括工程用物资成本、人工成本、交纳的相关税费、应予资 本化的借款费用以及应分摊的间接费用等。</w:t>
      </w:r>
    </w:p>
    <w:p>
      <w:pPr>
        <w:pStyle w:val="BodyText"/>
        <w:spacing w:line="350" w:lineRule="auto"/>
        <w:ind w:left="634" w:right="1152"/>
        <w:jc w:val="left"/>
      </w:pPr>
      <w:r>
        <w:rPr/>
        <w:t>（</w:t>
      </w:r>
      <w:r>
        <w:rPr>
          <w:rFonts w:ascii="宋体" w:hAnsi="宋体" w:cs="宋体" w:eastAsia="宋体" w:hint="default"/>
        </w:rPr>
        <w:t>2</w:t>
      </w:r>
      <w:r>
        <w:rPr/>
        <w:t>）在建工程结转为固定资产的标准和时点 在建工程项目按建造该项资产达到预定可使用状态前所发生的全部支出，作为固定资产</w:t>
      </w:r>
    </w:p>
    <w:p>
      <w:pPr>
        <w:pStyle w:val="BodyText"/>
        <w:spacing w:line="350" w:lineRule="auto" w:before="35"/>
        <w:ind w:right="1169"/>
        <w:jc w:val="both"/>
      </w:pPr>
      <w:r>
        <w:rPr/>
        <w:t>的入账价值。所建造的在建工程已达到预定可使用状态，但尚未办理竣工决算的，自达到预 定可使用状态之日起，根据工程预算、造价或者工程实际成本等，按估计的价值转入固定资 产，并按本公司固定资产折旧政策计提固定资产的折旧，待办理竣工决算后，再按实际成本 调整原来的暂估价值，但不调整原已计提的折旧额。</w:t>
      </w:r>
    </w:p>
    <w:p>
      <w:pPr>
        <w:pStyle w:val="Heading2"/>
        <w:spacing w:line="240" w:lineRule="auto" w:before="36"/>
        <w:ind w:right="0"/>
        <w:jc w:val="both"/>
        <w:rPr>
          <w:b w:val="0"/>
          <w:bCs w:val="0"/>
        </w:rPr>
      </w:pPr>
      <w:bookmarkStart w:name="18、借款费用" w:id="203"/>
      <w:bookmarkEnd w:id="203"/>
      <w:r>
        <w:rPr>
          <w:b w:val="0"/>
          <w:bCs w:val="0"/>
        </w:rPr>
      </w:r>
      <w:r>
        <w:rPr>
          <w:rFonts w:ascii="Times New Roman" w:hAnsi="Times New Roman" w:cs="Times New Roman" w:eastAsia="Times New Roman" w:hint="default"/>
        </w:rPr>
        <w:t>18</w:t>
      </w:r>
      <w:r>
        <w:rPr/>
        <w:t>、借款费用</w:t>
      </w:r>
      <w:r>
        <w:rPr>
          <w:b w:val="0"/>
          <w:bCs w:val="0"/>
        </w:rPr>
      </w:r>
    </w:p>
    <w:p>
      <w:pPr>
        <w:pStyle w:val="BodyText"/>
        <w:spacing w:line="350" w:lineRule="auto" w:before="127"/>
        <w:ind w:left="634" w:right="1152"/>
        <w:jc w:val="left"/>
      </w:pPr>
      <w:r>
        <w:rPr/>
        <w:t>（</w:t>
      </w:r>
      <w:r>
        <w:rPr>
          <w:rFonts w:ascii="宋体" w:hAnsi="宋体" w:cs="宋体" w:eastAsia="宋体" w:hint="default"/>
        </w:rPr>
        <w:t>1</w:t>
      </w:r>
      <w:r>
        <w:rPr/>
        <w:t>）借款费用资本化的确认原则 本公司发生的借款费用，可直接归属于符合资本化条件的资产的购建或者生产的，予以</w:t>
      </w:r>
    </w:p>
    <w:p>
      <w:pPr>
        <w:pStyle w:val="BodyText"/>
        <w:spacing w:line="350" w:lineRule="auto"/>
        <w:ind w:right="1170"/>
        <w:jc w:val="both"/>
      </w:pPr>
      <w:r>
        <w:rPr/>
        <w:t>资本化，计入相关资产成本；其他借款费用，在发生时根据其发生额确认为费用，计入当期 损益。</w:t>
      </w:r>
    </w:p>
    <w:p>
      <w:pPr>
        <w:pStyle w:val="BodyText"/>
        <w:spacing w:line="352" w:lineRule="auto" w:before="35"/>
        <w:ind w:right="1152" w:firstLine="480"/>
        <w:jc w:val="left"/>
      </w:pPr>
      <w:r>
        <w:rPr/>
        <w:t>符合资本化条件的资产，是指需要经过相当长时间的购建或者生产活动才能达到预定可 使用或者可销售状态的固定资产、投资性房地产和存货等资产。</w:t>
      </w:r>
    </w:p>
    <w:p>
      <w:pPr>
        <w:pStyle w:val="BodyText"/>
        <w:spacing w:line="240" w:lineRule="auto" w:before="32"/>
        <w:ind w:left="634" w:right="0"/>
        <w:jc w:val="left"/>
      </w:pPr>
      <w:r>
        <w:rPr/>
        <w:t>借款费用同时满足下列条件时开始资本化：</w:t>
      </w:r>
    </w:p>
    <w:p>
      <w:pPr>
        <w:pStyle w:val="BodyText"/>
        <w:spacing w:line="352" w:lineRule="auto" w:before="145"/>
        <w:ind w:right="1152" w:firstLine="480"/>
        <w:jc w:val="left"/>
      </w:pPr>
      <w:r>
        <w:rPr/>
        <w:t>①资产支出已经发生，资产支出包括为购建或者生产符合资本化条件的资产而以支付现 金、转移非现金资产或者承担带息债务形式发生的支出；</w:t>
      </w:r>
    </w:p>
    <w:p>
      <w:pPr>
        <w:pStyle w:val="BodyText"/>
        <w:spacing w:line="240" w:lineRule="auto" w:before="32"/>
        <w:ind w:left="634" w:right="0"/>
        <w:jc w:val="left"/>
      </w:pPr>
      <w:r>
        <w:rPr/>
        <w:t>②借款费用已经发生；</w:t>
      </w:r>
    </w:p>
    <w:p>
      <w:pPr>
        <w:pStyle w:val="BodyText"/>
        <w:spacing w:line="240" w:lineRule="auto" w:before="145"/>
        <w:ind w:left="634" w:right="0"/>
        <w:jc w:val="left"/>
      </w:pPr>
      <w:r>
        <w:rPr/>
        <w:t>③为使资产达到预定可使用或者可销售状态所必要的购建或者生产活动已经开始。</w:t>
      </w:r>
    </w:p>
    <w:p>
      <w:pPr>
        <w:pStyle w:val="BodyText"/>
        <w:spacing w:line="350" w:lineRule="auto" w:before="146"/>
        <w:ind w:left="634" w:right="1152"/>
        <w:jc w:val="left"/>
      </w:pPr>
      <w:r>
        <w:rPr/>
        <w:t>（</w:t>
      </w:r>
      <w:r>
        <w:rPr>
          <w:rFonts w:ascii="宋体" w:hAnsi="宋体" w:cs="宋体" w:eastAsia="宋体" w:hint="default"/>
        </w:rPr>
        <w:t>2</w:t>
      </w:r>
      <w:r>
        <w:rPr/>
        <w:t>）借款费用资本化期间 资本化期间，指从借款费用开始资本化时点到停止资本化时点的期间，借款费用暂停资</w:t>
      </w:r>
    </w:p>
    <w:p>
      <w:pPr>
        <w:pStyle w:val="BodyText"/>
        <w:spacing w:line="352" w:lineRule="auto" w:before="35"/>
        <w:ind w:left="634" w:right="1152" w:hanging="480"/>
        <w:jc w:val="left"/>
      </w:pPr>
      <w:r>
        <w:rPr/>
        <w:t>本化的期间不包括在内。 当购建或者生产符合资本化条件的资产达到预定可使用或者可销售状态时，借款费用停</w:t>
      </w:r>
    </w:p>
    <w:p>
      <w:pPr>
        <w:pStyle w:val="BodyText"/>
        <w:spacing w:line="240" w:lineRule="auto" w:before="33"/>
        <w:ind w:right="0"/>
        <w:jc w:val="both"/>
      </w:pPr>
      <w:r>
        <w:rPr/>
        <w:t>止资本化。</w:t>
      </w:r>
    </w:p>
    <w:p>
      <w:pPr>
        <w:pStyle w:val="BodyText"/>
        <w:spacing w:line="352" w:lineRule="auto" w:before="145"/>
        <w:ind w:right="1152" w:firstLine="480"/>
        <w:jc w:val="left"/>
      </w:pPr>
      <w:r>
        <w:rPr/>
        <w:t>当购建或者生产符合资本化条件的资产中部分项目分别完工且可单独使用时，该部分资 产借款费用停止资本化。</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70" w:firstLine="480"/>
        <w:jc w:val="both"/>
      </w:pPr>
      <w:r>
        <w:rPr/>
        <w:t>购建或者生产的资产的各部分分别完工，但必须等到整体完工后才可使用或可对外销售 的，在该资产整体完工时停止借款费用资本化。</w:t>
      </w:r>
    </w:p>
    <w:p>
      <w:pPr>
        <w:pStyle w:val="BodyText"/>
        <w:spacing w:line="350" w:lineRule="auto"/>
        <w:ind w:left="634" w:right="1272"/>
        <w:jc w:val="left"/>
        <w:rPr>
          <w:rFonts w:ascii="宋体" w:hAnsi="宋体" w:cs="宋体" w:eastAsia="宋体" w:hint="default"/>
        </w:rPr>
      </w:pPr>
      <w:r>
        <w:rPr/>
        <w:t>（</w:t>
      </w:r>
      <w:r>
        <w:rPr>
          <w:rFonts w:ascii="宋体" w:hAnsi="宋体" w:cs="宋体" w:eastAsia="宋体" w:hint="default"/>
        </w:rPr>
        <w:t>3</w:t>
      </w:r>
      <w:r>
        <w:rPr/>
        <w:t>）暂停资本化期间 符合资本化条件的资产在购建或生产过程中发生的非正常中断、且中断时间连续超过</w:t>
      </w:r>
      <w:r>
        <w:rPr>
          <w:rFonts w:ascii="宋体" w:hAnsi="宋体" w:cs="宋体" w:eastAsia="宋体" w:hint="default"/>
        </w:rPr>
        <w:t>3</w:t>
      </w:r>
    </w:p>
    <w:p>
      <w:pPr>
        <w:pStyle w:val="BodyText"/>
        <w:spacing w:line="352" w:lineRule="auto" w:before="35"/>
        <w:ind w:right="1169"/>
        <w:jc w:val="both"/>
      </w:pPr>
      <w:r>
        <w:rPr/>
        <w:t>个月的，则借款费用暂停资本化；该项中断如是所购建或生产的符合资本化条件的资产达到 预定可使用状态或者可销售状态必要的程序，则借款费用继续资本化。在中断期间发生的借 款费用确认为当期损益，直至资产的购建或者生产活动重新开始后借款费用继续资本化。</w:t>
      </w:r>
    </w:p>
    <w:p>
      <w:pPr>
        <w:pStyle w:val="BodyText"/>
        <w:spacing w:line="352" w:lineRule="auto" w:before="32"/>
        <w:ind w:left="634" w:right="1152" w:firstLine="120"/>
        <w:jc w:val="left"/>
      </w:pPr>
      <w:r>
        <w:rPr/>
        <w:t>（</w:t>
      </w:r>
      <w:r>
        <w:rPr>
          <w:rFonts w:ascii="宋体" w:hAnsi="宋体" w:cs="宋体" w:eastAsia="宋体" w:hint="default"/>
        </w:rPr>
        <w:t>4</w:t>
      </w:r>
      <w:r>
        <w:rPr/>
        <w:t>）借款费用资本化金额的计算方法 专门借款的利息费用（扣除尚未动用的借款资金存入银行取得的利息收入或者进行暂时</w:t>
      </w:r>
    </w:p>
    <w:p>
      <w:pPr>
        <w:pStyle w:val="BodyText"/>
        <w:spacing w:line="350" w:lineRule="auto" w:before="32"/>
        <w:ind w:right="1152"/>
        <w:jc w:val="left"/>
      </w:pPr>
      <w:r>
        <w:rPr/>
        <w:t>性投资取得的投资收益）及其辅助费用在所购建或者生产的符合资本化条件的资产达到预定 可使用或者可销售状态前，予以资本化。</w:t>
      </w:r>
    </w:p>
    <w:p>
      <w:pPr>
        <w:pStyle w:val="BodyText"/>
        <w:spacing w:line="350" w:lineRule="auto"/>
        <w:ind w:right="1170" w:firstLine="480"/>
        <w:jc w:val="both"/>
      </w:pPr>
      <w:r>
        <w:rPr/>
        <w:t>根据累计资产支出超过专门借款部分的资产支出加权平均数乘以所占用一般借款的资本 化率，计算确定一般借款应予资本化的利息金额。资本化率根据一般借款加权平均利率计算 确定。</w:t>
      </w:r>
    </w:p>
    <w:p>
      <w:pPr>
        <w:pStyle w:val="BodyText"/>
        <w:spacing w:line="350" w:lineRule="auto"/>
        <w:ind w:right="1171" w:firstLine="480"/>
        <w:jc w:val="both"/>
      </w:pPr>
      <w:r>
        <w:rPr/>
        <w:t>借款存在折价或者溢价的，按照实际利率法确定每一会计期间应摊销的折价或者溢价金 额，调整每期利息金额。</w:t>
      </w:r>
    </w:p>
    <w:p>
      <w:pPr>
        <w:pStyle w:val="Heading2"/>
        <w:spacing w:line="240" w:lineRule="auto" w:before="35"/>
        <w:ind w:right="0"/>
        <w:jc w:val="both"/>
        <w:rPr>
          <w:b w:val="0"/>
          <w:bCs w:val="0"/>
        </w:rPr>
      </w:pPr>
      <w:bookmarkStart w:name="19、生物资产" w:id="204"/>
      <w:bookmarkEnd w:id="204"/>
      <w:r>
        <w:rPr>
          <w:b w:val="0"/>
          <w:bCs w:val="0"/>
        </w:rPr>
      </w:r>
      <w:r>
        <w:rPr>
          <w:rFonts w:ascii="Times New Roman" w:hAnsi="Times New Roman" w:cs="Times New Roman" w:eastAsia="Times New Roman" w:hint="default"/>
        </w:rPr>
        <w:t>19</w:t>
      </w:r>
      <w:r>
        <w:rPr/>
        <w:t>、生物资产</w:t>
      </w:r>
      <w:r>
        <w:rPr>
          <w:b w:val="0"/>
          <w:bCs w:val="0"/>
        </w:rPr>
      </w:r>
    </w:p>
    <w:p>
      <w:pPr>
        <w:pStyle w:val="BodyText"/>
        <w:spacing w:line="240" w:lineRule="auto" w:before="128"/>
        <w:ind w:left="634" w:right="0"/>
        <w:jc w:val="left"/>
      </w:pPr>
      <w:r>
        <w:rPr/>
        <w:t>无</w:t>
      </w:r>
    </w:p>
    <w:p>
      <w:pPr>
        <w:pStyle w:val="Heading2"/>
        <w:spacing w:line="240" w:lineRule="auto" w:before="145"/>
        <w:ind w:right="0"/>
        <w:jc w:val="both"/>
        <w:rPr>
          <w:b w:val="0"/>
          <w:bCs w:val="0"/>
        </w:rPr>
      </w:pPr>
      <w:bookmarkStart w:name="20、油气资产" w:id="205"/>
      <w:bookmarkEnd w:id="205"/>
      <w:r>
        <w:rPr>
          <w:b w:val="0"/>
          <w:bCs w:val="0"/>
        </w:rPr>
      </w:r>
      <w:r>
        <w:rPr>
          <w:rFonts w:ascii="Times New Roman" w:hAnsi="Times New Roman" w:cs="Times New Roman" w:eastAsia="Times New Roman" w:hint="default"/>
        </w:rPr>
        <w:t>20</w:t>
      </w:r>
      <w:r>
        <w:rPr/>
        <w:t>、油气资产</w:t>
      </w:r>
      <w:r>
        <w:rPr>
          <w:b w:val="0"/>
          <w:bCs w:val="0"/>
        </w:rPr>
      </w:r>
    </w:p>
    <w:p>
      <w:pPr>
        <w:pStyle w:val="BodyText"/>
        <w:spacing w:line="240" w:lineRule="auto" w:before="127"/>
        <w:ind w:left="634" w:right="0"/>
        <w:jc w:val="left"/>
      </w:pPr>
      <w:r>
        <w:rPr/>
        <w:t>无</w:t>
      </w:r>
    </w:p>
    <w:p>
      <w:pPr>
        <w:pStyle w:val="Heading2"/>
        <w:spacing w:line="240" w:lineRule="auto" w:before="146"/>
        <w:ind w:right="0"/>
        <w:jc w:val="both"/>
        <w:rPr>
          <w:b w:val="0"/>
          <w:bCs w:val="0"/>
        </w:rPr>
      </w:pPr>
      <w:bookmarkStart w:name="21、无形资产" w:id="206"/>
      <w:bookmarkEnd w:id="206"/>
      <w:r>
        <w:rPr>
          <w:b w:val="0"/>
          <w:bCs w:val="0"/>
        </w:rPr>
      </w:r>
      <w:r>
        <w:rPr>
          <w:rFonts w:ascii="Times New Roman" w:hAnsi="Times New Roman" w:cs="Times New Roman" w:eastAsia="Times New Roman" w:hint="default"/>
        </w:rPr>
        <w:t>21</w:t>
      </w:r>
      <w:r>
        <w:rPr/>
        <w:t>、无形资产</w:t>
      </w:r>
      <w:r>
        <w:rPr>
          <w:b w:val="0"/>
          <w:bCs w:val="0"/>
        </w:rPr>
      </w:r>
    </w:p>
    <w:p>
      <w:pPr>
        <w:pStyle w:val="BodyText"/>
        <w:spacing w:line="331" w:lineRule="auto" w:before="127"/>
        <w:ind w:left="634" w:right="1152" w:hanging="480"/>
        <w:jc w:val="left"/>
      </w:pPr>
      <w:bookmarkStart w:name="（1）计价方法、使用寿命、减值测试" w:id="207"/>
      <w:bookmarkEnd w:id="207"/>
      <w:r>
        <w:rPr/>
      </w:r>
      <w:r>
        <w:rPr/>
        <w:t>（</w:t>
      </w:r>
      <w:r>
        <w:rPr>
          <w:rFonts w:ascii="Times New Roman" w:hAnsi="Times New Roman" w:cs="Times New Roman" w:eastAsia="Times New Roman" w:hint="default"/>
        </w:rPr>
        <w:t>1</w:t>
      </w:r>
      <w:r>
        <w:rPr/>
        <w:t>）计价方法、使用寿命、减值测试 无形资产是指本公司拥有或者控制的没有实物形态的可辨认非货币性资产，包括土地使</w:t>
      </w:r>
    </w:p>
    <w:p>
      <w:pPr>
        <w:pStyle w:val="BodyText"/>
        <w:spacing w:line="240" w:lineRule="auto" w:before="55"/>
        <w:ind w:right="0"/>
        <w:jc w:val="both"/>
      </w:pPr>
      <w:r>
        <w:rPr/>
        <w:t>用权、软件、发明专利及非专利技术等。</w:t>
      </w:r>
    </w:p>
    <w:p>
      <w:pPr>
        <w:pStyle w:val="BodyText"/>
        <w:spacing w:line="350" w:lineRule="auto" w:before="145"/>
        <w:ind w:left="634" w:right="1152"/>
        <w:jc w:val="left"/>
      </w:pPr>
      <w:r>
        <w:rPr/>
        <w:t>⒈无形资产的初始计量 外购无形资产的成本，包括购买价款、相关税费以及直接归属于使该项资产达到预定用</w:t>
      </w:r>
    </w:p>
    <w:p>
      <w:pPr>
        <w:pStyle w:val="BodyText"/>
        <w:spacing w:line="350" w:lineRule="auto"/>
        <w:ind w:right="1152"/>
        <w:jc w:val="left"/>
      </w:pPr>
      <w:r>
        <w:rPr/>
        <w:t>途所发生的其他支出。购买无形资产的价款超过正常信用条件延期支付，实质上具有融资性 质的，无形资产的成本以购买价款的现值为基础确定。</w:t>
      </w:r>
    </w:p>
    <w:p>
      <w:pPr>
        <w:pStyle w:val="BodyText"/>
        <w:spacing w:line="352" w:lineRule="auto" w:before="35"/>
        <w:ind w:right="1170" w:firstLine="480"/>
        <w:jc w:val="both"/>
      </w:pPr>
      <w:r>
        <w:rPr/>
        <w:t>债务重组取得债务人用以抵债的无形资产，以该无形资产的公允价值为基础确定其入账 价值，并将重组债务的账面价值与该用以抵债的无形资产公允价值之间的差额，计入当期损</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right="0"/>
        <w:jc w:val="left"/>
      </w:pPr>
      <w:r>
        <w:rPr/>
        <w:t>益。</w:t>
      </w:r>
    </w:p>
    <w:p>
      <w:pPr>
        <w:pStyle w:val="BodyText"/>
        <w:spacing w:line="352" w:lineRule="auto" w:before="145"/>
        <w:ind w:right="1170" w:firstLine="480"/>
        <w:jc w:val="both"/>
      </w:pPr>
      <w:r>
        <w:rPr/>
        <w:t>在非货币性资产交换具备商业实质且换入资产或换出资产的公允价值能够可靠计量的前 提下，非货币性资产交换换入的无形资产以换出资产的公允价值为基础确定其入账价值，除 非有确凿证据表明换入资产的公允价值更加可靠；不满足上述前提的非货币性资产交换，以 换出资产的账面价值和应支付的相关税费作为换入无形资产的成本，不确认损益。</w:t>
      </w:r>
    </w:p>
    <w:p>
      <w:pPr>
        <w:pStyle w:val="BodyText"/>
        <w:spacing w:line="350" w:lineRule="auto" w:before="34"/>
        <w:ind w:right="1170" w:firstLine="480"/>
        <w:jc w:val="both"/>
      </w:pPr>
      <w:r>
        <w:rPr/>
        <w:t>以同一控制下的企业吸收合并方式取得的无形资产按被合并方的账面价值确定其入账价 值；以非同一控制下的企业吸收合并方式取得的无形资产按公允价值确定其入账价值。</w:t>
      </w:r>
    </w:p>
    <w:p>
      <w:pPr>
        <w:pStyle w:val="BodyText"/>
        <w:spacing w:line="352" w:lineRule="auto" w:before="35"/>
        <w:ind w:right="1170" w:firstLine="480"/>
        <w:jc w:val="both"/>
      </w:pPr>
      <w:r>
        <w:rPr/>
        <w:t>内部自行开发的无形资产，其成本包括：开发该无形资产时耗用的材料、劳务成本、注 册费、在开发过程中使用的其他专利权和特许权的摊销以及满足资本化条件的利息费用，以 及为使该无形资产达到预定用途前所发生的其他直接费用。</w:t>
      </w:r>
    </w:p>
    <w:p>
      <w:pPr>
        <w:pStyle w:val="BodyText"/>
        <w:spacing w:line="352" w:lineRule="auto" w:before="32"/>
        <w:ind w:left="634" w:right="1152"/>
        <w:jc w:val="left"/>
      </w:pPr>
      <w:r>
        <w:rPr/>
        <w:t>⒉无形资产的后续计量 本公司在取得无形资产时分析判断其使用寿命，划分为使用寿命有限和使用寿命不确定</w:t>
      </w:r>
    </w:p>
    <w:p>
      <w:pPr>
        <w:pStyle w:val="BodyText"/>
        <w:spacing w:line="240" w:lineRule="auto" w:before="32"/>
        <w:ind w:right="0"/>
        <w:jc w:val="left"/>
      </w:pPr>
      <w:r>
        <w:rPr/>
        <w:t>的无形资产。</w:t>
      </w:r>
    </w:p>
    <w:p>
      <w:pPr>
        <w:pStyle w:val="BodyText"/>
        <w:spacing w:line="352" w:lineRule="auto" w:before="145"/>
        <w:ind w:left="634" w:right="1152"/>
        <w:jc w:val="left"/>
      </w:pPr>
      <w:r>
        <w:rPr/>
        <w:t>①使用寿命有限的无形资产 对于使用寿命有限的无形资产，在为企业带来经济利益的期限内按直线法摊销。使用寿</w:t>
      </w:r>
    </w:p>
    <w:p>
      <w:pPr>
        <w:pStyle w:val="BodyText"/>
        <w:spacing w:line="240" w:lineRule="auto" w:before="33"/>
        <w:ind w:right="0"/>
        <w:jc w:val="left"/>
      </w:pPr>
      <w:r>
        <w:rPr/>
        <w:t>命有限的无形资产预计寿命及依据如下：</w:t>
      </w:r>
    </w:p>
    <w:p>
      <w:pPr>
        <w:spacing w:line="240" w:lineRule="auto" w:before="5"/>
        <w:rPr>
          <w:rFonts w:ascii="宋体" w:hAnsi="宋体" w:cs="宋体" w:eastAsia="宋体" w:hint="default"/>
          <w:sz w:val="4"/>
          <w:szCs w:val="4"/>
        </w:rPr>
      </w:pPr>
    </w:p>
    <w:tbl>
      <w:tblPr>
        <w:tblW w:w="0" w:type="auto"/>
        <w:jc w:val="left"/>
        <w:tblInd w:w="759" w:type="dxa"/>
        <w:tblLayout w:type="fixed"/>
        <w:tblCellMar>
          <w:top w:w="0" w:type="dxa"/>
          <w:left w:w="0" w:type="dxa"/>
          <w:bottom w:w="0" w:type="dxa"/>
          <w:right w:w="0" w:type="dxa"/>
        </w:tblCellMar>
        <w:tblLook w:val="01E0"/>
      </w:tblPr>
      <w:tblGrid>
        <w:gridCol w:w="2806"/>
        <w:gridCol w:w="1872"/>
        <w:gridCol w:w="3742"/>
      </w:tblGrid>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实际使用年限</w:t>
            </w:r>
          </w:p>
        </w:tc>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证件所载年限</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实际使用年限</w:t>
            </w:r>
          </w:p>
        </w:tc>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证件所载年限</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34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bl>
    <w:p>
      <w:pPr>
        <w:spacing w:line="240" w:lineRule="auto" w:before="10"/>
        <w:rPr>
          <w:rFonts w:ascii="宋体" w:hAnsi="宋体" w:cs="宋体" w:eastAsia="宋体" w:hint="default"/>
          <w:sz w:val="4"/>
          <w:szCs w:val="4"/>
        </w:rPr>
      </w:pPr>
    </w:p>
    <w:p>
      <w:pPr>
        <w:pStyle w:val="BodyText"/>
        <w:spacing w:line="350" w:lineRule="auto" w:before="26"/>
        <w:ind w:right="1152" w:firstLine="480"/>
        <w:jc w:val="left"/>
      </w:pPr>
      <w:r>
        <w:rPr/>
        <w:t>每期末，对使用寿命有限的无形资产的使用寿命及摊销方法进行复核，如与原先估计数 存在差异的，进行相应的调整。</w:t>
      </w:r>
    </w:p>
    <w:p>
      <w:pPr>
        <w:pStyle w:val="BodyText"/>
        <w:spacing w:line="240" w:lineRule="auto" w:before="35"/>
        <w:ind w:left="634" w:right="0"/>
        <w:jc w:val="left"/>
      </w:pPr>
      <w:r>
        <w:rPr/>
        <w:t>经复核，本期期末无形资产的使用寿命及摊销方法与以前估计未有不同。</w:t>
      </w:r>
    </w:p>
    <w:p>
      <w:pPr>
        <w:pStyle w:val="BodyText"/>
        <w:spacing w:line="350" w:lineRule="auto" w:before="146"/>
        <w:ind w:left="634" w:right="1152"/>
        <w:jc w:val="left"/>
      </w:pPr>
      <w:r>
        <w:rPr/>
        <w:t>②使用寿命不确定的无形资产 无法预见无形资产为企业带来经济利益期限的，视为使用寿命不确定的无形资产。 对于使用寿命不确定的无形资产，在持有期间内不摊销，每期末对无形资产的寿命进行</w:t>
      </w:r>
    </w:p>
    <w:p>
      <w:pPr>
        <w:pStyle w:val="BodyText"/>
        <w:spacing w:line="350" w:lineRule="auto"/>
        <w:ind w:left="634" w:right="2352" w:hanging="480"/>
        <w:jc w:val="left"/>
      </w:pPr>
      <w:r>
        <w:rPr/>
        <w:t>复核。如果期末重新复核后仍为不确定的，在每个会计期间继续进行减值测试。 经复核，该类无形资产的使用寿命仍为不确定。</w:t>
      </w:r>
    </w:p>
    <w:p>
      <w:pPr>
        <w:pStyle w:val="BodyText"/>
        <w:spacing w:line="240" w:lineRule="auto" w:before="35"/>
        <w:ind w:right="0"/>
        <w:jc w:val="left"/>
      </w:pPr>
      <w:bookmarkStart w:name="（2）内部研究开发支出会计政策" w:id="208"/>
      <w:bookmarkEnd w:id="208"/>
      <w:r>
        <w:rPr/>
      </w:r>
      <w:r>
        <w:rPr/>
        <w:t>（</w:t>
      </w:r>
      <w:r>
        <w:rPr>
          <w:rFonts w:ascii="Times New Roman" w:hAnsi="Times New Roman" w:cs="Times New Roman" w:eastAsia="Times New Roman" w:hint="default"/>
        </w:rPr>
        <w:t>2</w:t>
      </w:r>
      <w:r>
        <w:rPr/>
        <w:t>）内部研究开发支出会计政策</w:t>
      </w:r>
    </w:p>
    <w:p>
      <w:pPr>
        <w:pStyle w:val="BodyText"/>
        <w:spacing w:line="240" w:lineRule="auto" w:before="128"/>
        <w:ind w:left="634" w:right="0"/>
        <w:jc w:val="left"/>
      </w:pPr>
      <w:r>
        <w:rPr/>
        <w:t>⒈划分公司内部研究开发项目的研究阶段和开发阶段具体标准</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52" w:firstLine="480"/>
        <w:jc w:val="left"/>
      </w:pPr>
      <w:r>
        <w:rPr/>
        <w:t>研究阶段：为获取并理解新的科学或技术知识等而进行的独创性的有计划调查、研究活 动的阶段。</w:t>
      </w:r>
    </w:p>
    <w:p>
      <w:pPr>
        <w:pStyle w:val="BodyText"/>
        <w:spacing w:line="350" w:lineRule="auto"/>
        <w:ind w:right="0" w:firstLine="480"/>
        <w:jc w:val="left"/>
      </w:pPr>
      <w:r>
        <w:rPr>
          <w:spacing w:val="-3"/>
        </w:rPr>
        <w:t>开发阶段：在进行商业性生产或使用前，将研究成果或其他知识应用于某项计划或设计，</w:t>
      </w:r>
      <w:r>
        <w:rPr/>
        <w:t> 以生产出新的或具有实质性改进的材料、装置、产品等活动的阶段。</w:t>
      </w:r>
    </w:p>
    <w:p>
      <w:pPr>
        <w:pStyle w:val="BodyText"/>
        <w:spacing w:line="240" w:lineRule="auto" w:before="35"/>
        <w:ind w:left="634" w:right="0"/>
        <w:jc w:val="left"/>
      </w:pPr>
      <w:r>
        <w:rPr/>
        <w:t>内部研究开发项目研究阶段的支出，在发生时计入当期损益。</w:t>
      </w:r>
    </w:p>
    <w:p>
      <w:pPr>
        <w:pStyle w:val="BodyText"/>
        <w:spacing w:line="350" w:lineRule="auto" w:before="146"/>
        <w:ind w:left="634" w:right="2352"/>
        <w:jc w:val="left"/>
      </w:pPr>
      <w:r>
        <w:rPr/>
        <w:t>⒉开发阶段支出符合资本化的具体标准 内部研究开发项目开发阶段的支出，同时满足下列条件时确认为无形资产：</w:t>
      </w:r>
    </w:p>
    <w:p>
      <w:pPr>
        <w:pStyle w:val="BodyText"/>
        <w:spacing w:line="240" w:lineRule="auto" w:before="35"/>
        <w:ind w:left="634" w:right="0"/>
        <w:jc w:val="left"/>
      </w:pPr>
      <w:r>
        <w:rPr/>
        <w:t>①完成该无形资产以使其能够使用或出售在技术上具有可行性；</w:t>
      </w:r>
    </w:p>
    <w:p>
      <w:pPr>
        <w:pStyle w:val="BodyText"/>
        <w:spacing w:line="240" w:lineRule="auto" w:before="146"/>
        <w:ind w:left="634" w:right="0"/>
        <w:jc w:val="left"/>
      </w:pPr>
      <w:r>
        <w:rPr/>
        <w:t>②具有完成该无形资产并使用或出售的意图；</w:t>
      </w:r>
    </w:p>
    <w:p>
      <w:pPr>
        <w:pStyle w:val="BodyText"/>
        <w:spacing w:line="350" w:lineRule="auto" w:before="145"/>
        <w:ind w:right="1152" w:firstLine="480"/>
        <w:jc w:val="left"/>
      </w:pPr>
      <w:r>
        <w:rPr/>
        <w:t>③无形资产产生经济利益的方式，包括能够证明运用该无形资产生产的产品存在市场或 无形资产自身存在市场，无形资产将在内部使用的，能够证明其有用性；</w:t>
      </w:r>
    </w:p>
    <w:p>
      <w:pPr>
        <w:pStyle w:val="BodyText"/>
        <w:spacing w:line="350" w:lineRule="auto"/>
        <w:ind w:right="1152" w:firstLine="480"/>
        <w:jc w:val="left"/>
      </w:pPr>
      <w:r>
        <w:rPr/>
        <w:t>④有足够的技术、财务资源和其他资源支持，以完成该无形资产的开发，并有能力使用 或出售该无形资产；</w:t>
      </w:r>
    </w:p>
    <w:p>
      <w:pPr>
        <w:pStyle w:val="BodyText"/>
        <w:spacing w:line="352" w:lineRule="auto" w:before="35"/>
        <w:ind w:left="634" w:right="1152"/>
        <w:jc w:val="left"/>
      </w:pPr>
      <w:r>
        <w:rPr/>
        <w:t>⑤归属于该无形资产开发阶段的支出能够可靠地计量。 不满足上述条件的开发阶段的支出，于发生时计入当期损益。以前期间已计入损益的开</w:t>
      </w:r>
    </w:p>
    <w:p>
      <w:pPr>
        <w:pStyle w:val="BodyText"/>
        <w:spacing w:line="350" w:lineRule="auto" w:before="33"/>
        <w:ind w:right="1152"/>
        <w:jc w:val="left"/>
      </w:pPr>
      <w:r>
        <w:rPr/>
        <w:t>发支出不在以后期间重新确认为资产。已资本化的开发阶段的支出在资产负债表上列示为开 发支出，自该项目达到预定用途之日起转为无形资产。</w:t>
      </w:r>
    </w:p>
    <w:p>
      <w:pPr>
        <w:spacing w:line="331" w:lineRule="auto" w:before="36"/>
        <w:ind w:left="634" w:right="1152" w:hanging="480"/>
        <w:jc w:val="left"/>
        <w:rPr>
          <w:rFonts w:ascii="宋体" w:hAnsi="宋体" w:cs="宋体" w:eastAsia="宋体" w:hint="default"/>
          <w:sz w:val="24"/>
          <w:szCs w:val="24"/>
        </w:rPr>
      </w:pPr>
      <w:bookmarkStart w:name="22、长期资产减值" w:id="209"/>
      <w:bookmarkEnd w:id="209"/>
      <w:r>
        <w:rPr/>
      </w:r>
      <w:r>
        <w:rPr>
          <w:rFonts w:ascii="Times New Roman" w:hAnsi="Times New Roman" w:cs="Times New Roman" w:eastAsia="Times New Roman" w:hint="default"/>
          <w:b/>
          <w:bCs/>
          <w:sz w:val="24"/>
          <w:szCs w:val="24"/>
        </w:rPr>
        <w:t>22</w:t>
      </w:r>
      <w:r>
        <w:rPr>
          <w:rFonts w:ascii="宋体" w:hAnsi="宋体" w:cs="宋体" w:eastAsia="宋体" w:hint="default"/>
          <w:b/>
          <w:bCs/>
          <w:sz w:val="24"/>
          <w:szCs w:val="24"/>
        </w:rPr>
        <w:t>、长期资产减值</w:t>
      </w:r>
      <w:r>
        <w:rPr>
          <w:rFonts w:ascii="宋体" w:hAnsi="宋体" w:cs="宋体" w:eastAsia="宋体" w:hint="default"/>
          <w:b/>
          <w:bCs/>
          <w:w w:val="99"/>
          <w:sz w:val="24"/>
          <w:szCs w:val="24"/>
        </w:rPr>
        <w:t> </w:t>
      </w:r>
      <w:r>
        <w:rPr>
          <w:rFonts w:ascii="宋体" w:hAnsi="宋体" w:cs="宋体" w:eastAsia="宋体" w:hint="default"/>
          <w:sz w:val="24"/>
          <w:szCs w:val="24"/>
        </w:rPr>
        <w:t>本公司在资产负债表日判断长期资产是否存在可能发生减值的迹象。如果长期资产存在</w:t>
      </w:r>
    </w:p>
    <w:p>
      <w:pPr>
        <w:pStyle w:val="BodyText"/>
        <w:spacing w:line="352" w:lineRule="auto" w:before="54"/>
        <w:ind w:right="1152"/>
        <w:jc w:val="left"/>
      </w:pPr>
      <w:r>
        <w:rPr/>
        <w:t>减值迹象的，以单项资产为基础估计其可收回金额；难以对单项资产的可收回金额进行估计 的，以该资产所属的资产组为基础确定资产组的可收回金额。</w:t>
      </w:r>
    </w:p>
    <w:p>
      <w:pPr>
        <w:pStyle w:val="BodyText"/>
        <w:spacing w:line="350" w:lineRule="auto" w:before="32"/>
        <w:ind w:right="1152" w:firstLine="480"/>
        <w:jc w:val="left"/>
      </w:pPr>
      <w:r>
        <w:rPr/>
        <w:t>资产可收回金额的估计，根据其公允价值减去处置费用后的净额与资产预计未来现金流 量的现值两者之间较高者确定。</w:t>
      </w:r>
    </w:p>
    <w:p>
      <w:pPr>
        <w:pStyle w:val="BodyText"/>
        <w:spacing w:line="350" w:lineRule="auto"/>
        <w:ind w:right="1171" w:firstLine="480"/>
        <w:jc w:val="both"/>
      </w:pPr>
      <w:r>
        <w:rPr/>
        <w:t>可收回金额的计量结果表明，长期资产的可收回金额低于其账面价值的，将长期资产的 账面价值减记至可收回金额，减记的金额确认为资产减值损失，计入当期损益，同时计提相 应的资产减值准备。资产减值损失一经确认，在以后会计期间不得转回。</w:t>
      </w:r>
    </w:p>
    <w:p>
      <w:pPr>
        <w:pStyle w:val="BodyText"/>
        <w:spacing w:line="350" w:lineRule="auto"/>
        <w:ind w:right="1152" w:firstLine="480"/>
        <w:jc w:val="left"/>
      </w:pPr>
      <w:r>
        <w:rPr/>
        <w:t>资产减值损失确认后，减值资产的折旧或者摊销费用在未来期间作相应调整，以使该资 产在剩余使用寿命内，系统地分摊调整后的资产账面价值（扣除预计净残值）。</w:t>
      </w:r>
    </w:p>
    <w:p>
      <w:pPr>
        <w:pStyle w:val="BodyText"/>
        <w:spacing w:line="352" w:lineRule="auto" w:before="35"/>
        <w:ind w:right="1152" w:firstLine="480"/>
        <w:jc w:val="left"/>
      </w:pPr>
      <w:r>
        <w:rPr/>
        <w:t>因企业合并所形成的商誉和使用寿命不确定的无形资产，无论是否存在减值迹象，每年 都进行减值测试。</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69" w:firstLine="480"/>
        <w:jc w:val="both"/>
      </w:pPr>
      <w:r>
        <w:rPr/>
        <w:t>在对商誉进行减值测试时，将商誉的账面价值分摊至预期从企业合并的协同效应中受益 的资产组或资产组组合。在对包含商誉的相关资产组或者资产组组合进行减值测试时，如与 商誉相关的资产组或者资产组组合存在减值迹象的，先对不包含商誉的资产组或者资产组组 合进行减值测试，计算可收回金额，并与相关账面价值相比较，确认相应的减值损失。再对 包含商誉的资产组或者资产组组合进行减值测试，比较这些相关资产组或者资产组组合的账 面价值（包括所分摊的商誉的账面价值部分）与其可收回金额，如相关资产组或者资产组组 合的可收回金额低于其账面价值的，确认商誉的减值损失。</w:t>
      </w:r>
    </w:p>
    <w:p>
      <w:pPr>
        <w:pStyle w:val="Heading2"/>
        <w:spacing w:line="240" w:lineRule="auto" w:before="35"/>
        <w:ind w:right="0"/>
        <w:jc w:val="left"/>
        <w:rPr>
          <w:b w:val="0"/>
          <w:bCs w:val="0"/>
        </w:rPr>
      </w:pPr>
      <w:bookmarkStart w:name="23、长期待摊费用" w:id="210"/>
      <w:bookmarkEnd w:id="210"/>
      <w:r>
        <w:rPr>
          <w:b w:val="0"/>
          <w:bCs w:val="0"/>
        </w:rPr>
      </w:r>
      <w:r>
        <w:rPr>
          <w:rFonts w:ascii="Times New Roman" w:hAnsi="Times New Roman" w:cs="Times New Roman" w:eastAsia="Times New Roman" w:hint="default"/>
        </w:rPr>
        <w:t>23</w:t>
      </w:r>
      <w:r>
        <w:rPr/>
        <w:t>、长期待摊费用</w:t>
      </w:r>
      <w:r>
        <w:rPr>
          <w:b w:val="0"/>
          <w:bCs w:val="0"/>
        </w:rPr>
      </w:r>
    </w:p>
    <w:p>
      <w:pPr>
        <w:pStyle w:val="BodyText"/>
        <w:spacing w:line="350" w:lineRule="auto" w:before="128"/>
        <w:ind w:left="634" w:right="0"/>
        <w:jc w:val="left"/>
      </w:pPr>
      <w:r>
        <w:rPr/>
        <w:t>（</w:t>
      </w:r>
      <w:r>
        <w:rPr>
          <w:rFonts w:ascii="宋体" w:hAnsi="宋体" w:cs="宋体" w:eastAsia="宋体" w:hint="default"/>
        </w:rPr>
        <w:t>1</w:t>
      </w:r>
      <w:r>
        <w:rPr/>
        <w:t>）摊销方法 </w:t>
      </w:r>
      <w:r>
        <w:rPr>
          <w:spacing w:val="-3"/>
        </w:rPr>
        <w:t>长期待摊费用，是指本公司已经发生但应由本期和以后各期负担的分摊期限在</w:t>
      </w:r>
      <w:r>
        <w:rPr>
          <w:rFonts w:ascii="宋体" w:hAnsi="宋体" w:cs="宋体" w:eastAsia="宋体" w:hint="default"/>
          <w:spacing w:val="-3"/>
        </w:rPr>
        <w:t>1</w:t>
      </w:r>
      <w:r>
        <w:rPr>
          <w:spacing w:val="-3"/>
        </w:rPr>
        <w:t>年以上的</w:t>
      </w:r>
    </w:p>
    <w:p>
      <w:pPr>
        <w:pStyle w:val="BodyText"/>
        <w:spacing w:line="240" w:lineRule="auto" w:before="35"/>
        <w:ind w:right="0"/>
        <w:jc w:val="left"/>
      </w:pPr>
      <w:r>
        <w:rPr/>
        <w:t>各项费用。长期待摊费用在受益期内按直线法分期摊销。</w:t>
      </w:r>
    </w:p>
    <w:p>
      <w:pPr>
        <w:pStyle w:val="BodyText"/>
        <w:spacing w:line="240" w:lineRule="auto" w:before="146"/>
        <w:ind w:left="634" w:right="0"/>
        <w:jc w:val="left"/>
      </w:pPr>
      <w:r>
        <w:rPr/>
        <w:t>（</w:t>
      </w:r>
      <w:r>
        <w:rPr>
          <w:rFonts w:ascii="宋体" w:hAnsi="宋体" w:cs="宋体" w:eastAsia="宋体" w:hint="default"/>
        </w:rPr>
        <w:t>2</w:t>
      </w:r>
      <w:r>
        <w:rPr/>
        <w:t>）摊销年限</w:t>
      </w:r>
    </w:p>
    <w:p>
      <w:pPr>
        <w:spacing w:line="240" w:lineRule="auto" w:before="5"/>
        <w:rPr>
          <w:rFonts w:ascii="宋体" w:hAnsi="宋体" w:cs="宋体" w:eastAsia="宋体" w:hint="default"/>
          <w:sz w:val="4"/>
          <w:szCs w:val="4"/>
        </w:rPr>
      </w:pPr>
    </w:p>
    <w:tbl>
      <w:tblPr>
        <w:tblW w:w="0" w:type="auto"/>
        <w:jc w:val="left"/>
        <w:tblInd w:w="858" w:type="dxa"/>
        <w:tblLayout w:type="fixed"/>
        <w:tblCellMar>
          <w:top w:w="0" w:type="dxa"/>
          <w:left w:w="0" w:type="dxa"/>
          <w:bottom w:w="0" w:type="dxa"/>
          <w:right w:w="0" w:type="dxa"/>
        </w:tblCellMar>
        <w:tblLook w:val="01E0"/>
      </w:tblPr>
      <w:tblGrid>
        <w:gridCol w:w="1559"/>
        <w:gridCol w:w="994"/>
        <w:gridCol w:w="6237"/>
      </w:tblGrid>
      <w:tr>
        <w:trPr>
          <w:trHeight w:val="342"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0" w:right="0"/>
              <w:jc w:val="left"/>
              <w:rPr>
                <w:rFonts w:ascii="宋体" w:hAnsi="宋体" w:cs="宋体" w:eastAsia="宋体" w:hint="default"/>
                <w:sz w:val="21"/>
                <w:szCs w:val="21"/>
              </w:rPr>
            </w:pPr>
            <w:r>
              <w:rPr>
                <w:rFonts w:ascii="宋体" w:hAnsi="宋体" w:cs="宋体" w:eastAsia="宋体" w:hint="default"/>
                <w:sz w:val="21"/>
                <w:szCs w:val="21"/>
              </w:rPr>
              <w:t>摊销年限</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65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广告经营权费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1"/>
                <w:szCs w:val="21"/>
              </w:rPr>
            </w:pPr>
            <w:r>
              <w:rPr>
                <w:rFonts w:ascii="Times New Roman"/>
                <w:sz w:val="21"/>
              </w:rPr>
              <w:t>5</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4"/>
              <w:jc w:val="left"/>
              <w:rPr>
                <w:rFonts w:ascii="宋体" w:hAnsi="宋体" w:cs="宋体" w:eastAsia="宋体" w:hint="default"/>
                <w:sz w:val="21"/>
                <w:szCs w:val="21"/>
              </w:rPr>
            </w:pPr>
            <w:r>
              <w:rPr>
                <w:rFonts w:ascii="宋体" w:hAnsi="宋体" w:cs="宋体" w:eastAsia="宋体" w:hint="default"/>
                <w:spacing w:val="3"/>
                <w:sz w:val="21"/>
                <w:szCs w:val="21"/>
              </w:rPr>
              <w:t>上海申通地铁资产经营管理有限公司</w:t>
            </w:r>
            <w:r>
              <w:rPr>
                <w:rFonts w:ascii="Times New Roman" w:hAnsi="Times New Roman" w:cs="Times New Roman" w:eastAsia="Times New Roman" w:hint="default"/>
                <w:spacing w:val="3"/>
                <w:sz w:val="21"/>
                <w:szCs w:val="21"/>
              </w:rPr>
              <w:t>16</w:t>
            </w:r>
            <w:r>
              <w:rPr>
                <w:rFonts w:ascii="宋体" w:hAnsi="宋体" w:cs="宋体" w:eastAsia="宋体" w:hint="default"/>
                <w:spacing w:val="3"/>
                <w:sz w:val="21"/>
                <w:szCs w:val="21"/>
              </w:rPr>
              <w:t>号线与上海申通德高地铁广</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告有限公司上海地铁</w:t>
            </w:r>
            <w:r>
              <w:rPr>
                <w:rFonts w:ascii="Times New Roman" w:hAnsi="Times New Roman" w:cs="Times New Roman" w:eastAsia="Times New Roman" w:hint="default"/>
                <w:sz w:val="21"/>
                <w:szCs w:val="21"/>
              </w:rPr>
              <w:t>5</w:t>
            </w:r>
            <w:r>
              <w:rPr>
                <w:rFonts w:ascii="宋体" w:hAnsi="宋体" w:cs="宋体" w:eastAsia="宋体" w:hint="default"/>
                <w:sz w:val="21"/>
                <w:szCs w:val="21"/>
              </w:rPr>
              <w:t>号线广告经营权费用</w:t>
            </w:r>
          </w:p>
        </w:tc>
      </w:tr>
    </w:tbl>
    <w:p>
      <w:pPr>
        <w:spacing w:line="240" w:lineRule="auto" w:before="10"/>
        <w:rPr>
          <w:rFonts w:ascii="宋体" w:hAnsi="宋体" w:cs="宋体" w:eastAsia="宋体" w:hint="default"/>
          <w:sz w:val="4"/>
          <w:szCs w:val="4"/>
        </w:rPr>
      </w:pPr>
    </w:p>
    <w:p>
      <w:pPr>
        <w:pStyle w:val="Heading2"/>
        <w:spacing w:line="240" w:lineRule="auto"/>
        <w:ind w:right="0"/>
        <w:jc w:val="left"/>
        <w:rPr>
          <w:b w:val="0"/>
          <w:bCs w:val="0"/>
        </w:rPr>
      </w:pPr>
      <w:bookmarkStart w:name="24、职工薪酬" w:id="211"/>
      <w:bookmarkEnd w:id="211"/>
      <w:r>
        <w:rPr>
          <w:b w:val="0"/>
          <w:bCs w:val="0"/>
        </w:rPr>
      </w:r>
      <w:r>
        <w:rPr>
          <w:rFonts w:ascii="Times New Roman" w:hAnsi="Times New Roman" w:cs="Times New Roman" w:eastAsia="Times New Roman" w:hint="default"/>
        </w:rPr>
        <w:t>24</w:t>
      </w:r>
      <w:r>
        <w:rPr/>
        <w:t>、职工薪酬</w:t>
      </w:r>
      <w:r>
        <w:rPr>
          <w:b w:val="0"/>
          <w:bCs w:val="0"/>
        </w:rPr>
      </w:r>
    </w:p>
    <w:p>
      <w:pPr>
        <w:spacing w:before="146"/>
        <w:ind w:left="154" w:right="0" w:firstLine="0"/>
        <w:jc w:val="left"/>
        <w:rPr>
          <w:rFonts w:ascii="宋体" w:hAnsi="宋体" w:cs="宋体" w:eastAsia="宋体" w:hint="default"/>
          <w:sz w:val="21"/>
          <w:szCs w:val="21"/>
        </w:rPr>
      </w:pPr>
      <w:bookmarkStart w:name="（1）短期薪酬的会计处理方法"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pStyle w:val="BodyText"/>
        <w:spacing w:line="350" w:lineRule="auto" w:before="0"/>
        <w:ind w:right="1170" w:firstLine="480"/>
        <w:jc w:val="both"/>
      </w:pPr>
      <w:r>
        <w:rPr/>
        <w:t>短期薪酬是指本公司在职工提供相关服务的年度报告期间结束后十二个月内需要全部予 以支付的职工薪酬，离职后福利和辞退福利除外。本公司在职工提供服务的会计期间，将应 付的短期薪酬确认为负债，并根据职工提供服务的受益对象计入相关资产成本和费用。</w:t>
      </w:r>
    </w:p>
    <w:p>
      <w:pPr>
        <w:spacing w:before="53"/>
        <w:ind w:left="154" w:right="0" w:firstLine="0"/>
        <w:jc w:val="left"/>
        <w:rPr>
          <w:rFonts w:ascii="宋体" w:hAnsi="宋体" w:cs="宋体" w:eastAsia="宋体" w:hint="default"/>
          <w:sz w:val="21"/>
          <w:szCs w:val="21"/>
        </w:rPr>
      </w:pPr>
      <w:bookmarkStart w:name="（2）离职后福利的会计处理方法"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pStyle w:val="BodyText"/>
        <w:spacing w:line="350" w:lineRule="auto" w:before="0"/>
        <w:ind w:right="1170" w:firstLine="480"/>
        <w:jc w:val="both"/>
      </w:pPr>
      <w:r>
        <w:rPr/>
        <w:t>离职后福利是指本公司为获得职工提供的服务而在职工退休或与企业解除劳动关系后， 提供的各种形式的报酬和福利，短期薪酬和辞退福利除外。</w:t>
      </w:r>
    </w:p>
    <w:p>
      <w:pPr>
        <w:pStyle w:val="BodyText"/>
        <w:spacing w:line="352" w:lineRule="auto" w:before="35"/>
        <w:ind w:left="634" w:right="1152"/>
        <w:jc w:val="left"/>
      </w:pPr>
      <w:r>
        <w:rPr/>
        <w:t>本公司的离职后福利计划分类为设定提存计划和设定受益计划。 离职后福利设定提存计划主要为参加由各地劳动及社会保障机构组织实施的社会基本养</w:t>
      </w:r>
    </w:p>
    <w:p>
      <w:pPr>
        <w:pStyle w:val="BodyText"/>
        <w:spacing w:line="350" w:lineRule="auto" w:before="32"/>
        <w:ind w:right="1152"/>
        <w:jc w:val="left"/>
      </w:pPr>
      <w:r>
        <w:rPr/>
        <w:t>老保险、失业保险等；在职工为本公司提供服务的会计期间，将根据设定提存计划计算的应 缴存金额确认为负债，并计入当期损益或相关资产成本。</w:t>
      </w:r>
    </w:p>
    <w:p>
      <w:pPr>
        <w:pStyle w:val="BodyText"/>
        <w:spacing w:line="240" w:lineRule="auto"/>
        <w:ind w:left="634" w:right="0"/>
        <w:jc w:val="left"/>
      </w:pPr>
      <w:r>
        <w:rPr/>
        <w:t>本公司按照国家规定的标准和年金计划定期缴付上述款项后，不再有其他的支付义务。</w:t>
      </w:r>
    </w:p>
    <w:p>
      <w:pPr>
        <w:spacing w:before="162"/>
        <w:ind w:left="154" w:right="0" w:firstLine="0"/>
        <w:jc w:val="left"/>
        <w:rPr>
          <w:rFonts w:ascii="宋体" w:hAnsi="宋体" w:cs="宋体" w:eastAsia="宋体" w:hint="default"/>
          <w:sz w:val="21"/>
          <w:szCs w:val="21"/>
        </w:rPr>
      </w:pPr>
      <w:bookmarkStart w:name="（3）辞退福利的会计处理方法"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pStyle w:val="BodyText"/>
        <w:spacing w:line="240" w:lineRule="auto" w:before="0"/>
        <w:ind w:left="634" w:right="0"/>
        <w:jc w:val="left"/>
      </w:pPr>
      <w:r>
        <w:rPr/>
        <w:t>辞退福利是指本公司在职工劳动合同到期之前解除与职工的劳动关系，或者为鼓励职工</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1170"/>
        <w:jc w:val="both"/>
      </w:pPr>
      <w:r>
        <w:rPr/>
        <w:t>自愿接受裁减而给予职工的补偿，在本公司不能单方面撤回解除劳动关系计划或裁减建议时 和确认与涉及支付辞退福利的重组相关的成本费用时两者孰早日，确认因解除与职工的劳动 关系给予补偿而产生的负债，同时计入当期损益。</w:t>
      </w:r>
    </w:p>
    <w:p>
      <w:pPr>
        <w:pStyle w:val="BodyText"/>
        <w:spacing w:line="350" w:lineRule="auto" w:before="33"/>
        <w:ind w:right="1170" w:firstLine="480"/>
        <w:jc w:val="both"/>
      </w:pPr>
      <w:r>
        <w:rPr/>
        <w:t>本公司向接受内部退休安排的职工提供内退福利。内退福利是指，向未达到国家规定的 退休年龄、经本公司管理层批准自愿退出工作岗位的职工支付的工资及为其缴纳的社会保险 费等。本公司自内部退休安排开始之日起至职工达到正常退休年龄止，向内退职工支付内部 退养福利。对于内退福利，本公司比照辞退福利进行会计处理，在符合辞退福利相关确认条 件时，将自职工停止提供服务日至正常退休日期间拟支付的内退职工工资和缴纳的社会保险 费等，确认为负债，一次性计入当期损益。内退福利的精算假设变化及福利标准调整引起的 差异于发生时计入当期损益。</w:t>
      </w:r>
    </w:p>
    <w:p>
      <w:pPr>
        <w:spacing w:before="52"/>
        <w:ind w:left="154" w:right="0" w:firstLine="0"/>
        <w:jc w:val="both"/>
        <w:rPr>
          <w:rFonts w:ascii="宋体" w:hAnsi="宋体" w:cs="宋体" w:eastAsia="宋体" w:hint="default"/>
          <w:sz w:val="21"/>
          <w:szCs w:val="21"/>
        </w:rPr>
      </w:pPr>
      <w:bookmarkStart w:name="（4）其他长期职工福利的会计处理方法"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pStyle w:val="BodyText"/>
        <w:spacing w:line="240" w:lineRule="auto" w:before="0"/>
        <w:ind w:left="634" w:right="0"/>
        <w:jc w:val="left"/>
      </w:pPr>
      <w:r>
        <w:rPr/>
        <w:t>其他长期职工福利是指除短期薪酬、离职后福利、辞退福利之外的其他所有职工福利。</w:t>
      </w:r>
    </w:p>
    <w:p>
      <w:pPr>
        <w:pStyle w:val="Heading2"/>
        <w:spacing w:line="240" w:lineRule="auto" w:before="146"/>
        <w:ind w:right="0"/>
        <w:jc w:val="both"/>
        <w:rPr>
          <w:b w:val="0"/>
          <w:bCs w:val="0"/>
        </w:rPr>
      </w:pPr>
      <w:bookmarkStart w:name="25、预计负债" w:id="216"/>
      <w:bookmarkEnd w:id="216"/>
      <w:r>
        <w:rPr>
          <w:b w:val="0"/>
          <w:bCs w:val="0"/>
        </w:rPr>
      </w:r>
      <w:r>
        <w:rPr>
          <w:rFonts w:ascii="Times New Roman" w:hAnsi="Times New Roman" w:cs="Times New Roman" w:eastAsia="Times New Roman" w:hint="default"/>
        </w:rPr>
        <w:t>25</w:t>
      </w:r>
      <w:r>
        <w:rPr/>
        <w:t>、预计负债</w:t>
      </w:r>
      <w:r>
        <w:rPr>
          <w:b w:val="0"/>
          <w:bCs w:val="0"/>
        </w:rPr>
      </w:r>
    </w:p>
    <w:p>
      <w:pPr>
        <w:pStyle w:val="BodyText"/>
        <w:spacing w:line="350" w:lineRule="auto" w:before="127"/>
        <w:ind w:left="634" w:right="2832"/>
        <w:jc w:val="left"/>
      </w:pPr>
      <w:r>
        <w:rPr/>
        <w:t>（</w:t>
      </w:r>
      <w:r>
        <w:rPr>
          <w:rFonts w:ascii="宋体" w:hAnsi="宋体" w:cs="宋体" w:eastAsia="宋体" w:hint="default"/>
        </w:rPr>
        <w:t>1</w:t>
      </w:r>
      <w:r>
        <w:rPr/>
        <w:t>）预计负债的确认标准 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350" w:lineRule="auto"/>
        <w:ind w:left="634" w:right="1152"/>
        <w:jc w:val="left"/>
      </w:pPr>
      <w:r>
        <w:rPr/>
        <w:t>（</w:t>
      </w:r>
      <w:r>
        <w:rPr>
          <w:rFonts w:ascii="宋体" w:hAnsi="宋体" w:cs="宋体" w:eastAsia="宋体" w:hint="default"/>
        </w:rPr>
        <w:t>2</w:t>
      </w:r>
      <w:r>
        <w:rPr/>
        <w:t>）预计负债的计量方法 本公司预计负债按履行相关现时义务所需的支出的最佳估计数进行初始计量。 本公司在确定最佳估计数时，综合考虑与或有事项有关的风险、不确定性和货币时间价</w:t>
      </w:r>
    </w:p>
    <w:p>
      <w:pPr>
        <w:pStyle w:val="BodyText"/>
        <w:spacing w:line="350" w:lineRule="auto"/>
        <w:ind w:right="1170"/>
        <w:jc w:val="both"/>
      </w:pPr>
      <w:r>
        <w:rPr/>
        <w:t>值等因素。对于货币时间价值影响重大的，通过对相关未来现金流出进行折现后确定最佳估 计数。</w:t>
      </w:r>
    </w:p>
    <w:p>
      <w:pPr>
        <w:pStyle w:val="BodyText"/>
        <w:spacing w:line="352" w:lineRule="auto" w:before="35"/>
        <w:ind w:left="634" w:right="1152"/>
        <w:jc w:val="left"/>
      </w:pPr>
      <w:r>
        <w:rPr/>
        <w:t>最佳估计数分别以下情况处理： 所需支出存在一个连续范围（或区间），且该范围内各种结果发生的可能性相同的，则</w:t>
      </w:r>
    </w:p>
    <w:p>
      <w:pPr>
        <w:pStyle w:val="BodyText"/>
        <w:spacing w:line="350" w:lineRule="auto" w:before="32"/>
        <w:ind w:left="634" w:right="1152" w:hanging="480"/>
        <w:jc w:val="left"/>
      </w:pPr>
      <w:r>
        <w:rPr/>
        <w:t>最佳估计数按照该范围的中间值即上下限金额的平均数确定。 所需支出不存在一个连续范围（或区间），或虽然存在一个连续范围但该范围内各种结</w:t>
      </w:r>
    </w:p>
    <w:p>
      <w:pPr>
        <w:pStyle w:val="BodyText"/>
        <w:spacing w:line="350" w:lineRule="auto"/>
        <w:ind w:right="1170"/>
        <w:jc w:val="both"/>
      </w:pPr>
      <w:r>
        <w:rPr/>
        <w:t>果发生的可能性不相同的，如或有事项涉及单个项目的，则最佳估计数按照最可能发生金额 确定；如或有事项涉及多个项目的，则最佳估计数按各种可能结果及相关概率计算确定。</w:t>
      </w:r>
    </w:p>
    <w:p>
      <w:pPr>
        <w:pStyle w:val="BodyText"/>
        <w:spacing w:line="240" w:lineRule="auto" w:before="35"/>
        <w:ind w:left="634" w:right="0"/>
        <w:jc w:val="left"/>
      </w:pPr>
      <w:r>
        <w:rPr/>
        <w:t>本公司清偿预计负债所需支出全部或部分预期由第三方补偿的，补偿金额在基本确定能</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right="0"/>
        <w:jc w:val="both"/>
      </w:pPr>
      <w:r>
        <w:rPr/>
        <w:t>够收到时，作为资产单独确认，确认的补偿金额不超过预计负债的账面价值。</w:t>
      </w:r>
    </w:p>
    <w:p>
      <w:pPr>
        <w:pStyle w:val="Heading2"/>
        <w:spacing w:line="240" w:lineRule="auto" w:before="145"/>
        <w:ind w:right="0"/>
        <w:jc w:val="both"/>
        <w:rPr>
          <w:b w:val="0"/>
          <w:bCs w:val="0"/>
        </w:rPr>
      </w:pPr>
      <w:bookmarkStart w:name="26、股份支付" w:id="217"/>
      <w:bookmarkEnd w:id="217"/>
      <w:r>
        <w:rPr>
          <w:b w:val="0"/>
          <w:bCs w:val="0"/>
        </w:rPr>
      </w:r>
      <w:r>
        <w:rPr>
          <w:rFonts w:ascii="Times New Roman" w:hAnsi="Times New Roman" w:cs="Times New Roman" w:eastAsia="Times New Roman" w:hint="default"/>
        </w:rPr>
        <w:t>26</w:t>
      </w:r>
      <w:r>
        <w:rPr/>
        <w:t>、股份支付</w:t>
      </w:r>
      <w:r>
        <w:rPr>
          <w:b w:val="0"/>
          <w:bCs w:val="0"/>
        </w:rPr>
      </w:r>
    </w:p>
    <w:p>
      <w:pPr>
        <w:pStyle w:val="BodyText"/>
        <w:spacing w:line="240" w:lineRule="auto" w:before="128"/>
        <w:ind w:left="634" w:right="0"/>
        <w:jc w:val="left"/>
      </w:pPr>
      <w:r>
        <w:rPr/>
        <w:t>无</w:t>
      </w:r>
    </w:p>
    <w:p>
      <w:pPr>
        <w:pStyle w:val="Heading2"/>
        <w:spacing w:line="331" w:lineRule="auto" w:before="146"/>
        <w:ind w:left="634" w:right="6910" w:hanging="480"/>
        <w:jc w:val="left"/>
        <w:rPr>
          <w:rFonts w:ascii="宋体" w:hAnsi="宋体" w:cs="宋体" w:eastAsia="宋体" w:hint="default"/>
          <w:b w:val="0"/>
          <w:bCs w:val="0"/>
        </w:rPr>
      </w:pPr>
      <w:bookmarkStart w:name="27、优先股、永续债等其他金融工具" w:id="218"/>
      <w:bookmarkEnd w:id="218"/>
      <w:r>
        <w:rPr>
          <w:b w:val="0"/>
          <w:bCs w:val="0"/>
        </w:rPr>
      </w:r>
      <w:r>
        <w:rPr>
          <w:rFonts w:ascii="Times New Roman" w:hAnsi="Times New Roman" w:cs="Times New Roman" w:eastAsia="Times New Roman" w:hint="default"/>
          <w:w w:val="95"/>
        </w:rPr>
        <w:t>27</w:t>
      </w:r>
      <w:r>
        <w:rPr>
          <w:w w:val="95"/>
        </w:rPr>
        <w:t>、优先股、永续债等其他金融工具</w:t>
      </w:r>
      <w:r>
        <w:rPr>
          <w:spacing w:val="63"/>
          <w:w w:val="95"/>
        </w:rPr>
        <w:t> </w:t>
      </w:r>
      <w:r>
        <w:rPr>
          <w:rFonts w:ascii="宋体" w:hAnsi="宋体" w:cs="宋体" w:eastAsia="宋体" w:hint="default"/>
          <w:b w:val="0"/>
          <w:bCs w:val="0"/>
        </w:rPr>
        <w:t>无</w:t>
      </w:r>
    </w:p>
    <w:p>
      <w:pPr>
        <w:pStyle w:val="Heading2"/>
        <w:spacing w:line="240" w:lineRule="auto" w:before="55"/>
        <w:ind w:right="0"/>
        <w:jc w:val="both"/>
        <w:rPr>
          <w:b w:val="0"/>
          <w:bCs w:val="0"/>
        </w:rPr>
      </w:pPr>
      <w:bookmarkStart w:name="28、收入" w:id="219"/>
      <w:bookmarkEnd w:id="219"/>
      <w:r>
        <w:rPr>
          <w:b w:val="0"/>
          <w:bCs w:val="0"/>
        </w:rPr>
      </w:r>
      <w:r>
        <w:rPr>
          <w:rFonts w:ascii="Times New Roman" w:hAnsi="Times New Roman" w:cs="Times New Roman" w:eastAsia="Times New Roman" w:hint="default"/>
        </w:rPr>
        <w:t>28</w:t>
      </w:r>
      <w:r>
        <w:rPr/>
        <w:t>、收入</w:t>
      </w:r>
      <w:r>
        <w:rPr>
          <w:b w:val="0"/>
          <w:bCs w:val="0"/>
        </w:rPr>
      </w:r>
    </w:p>
    <w:p>
      <w:pPr>
        <w:pStyle w:val="BodyText"/>
        <w:spacing w:line="350" w:lineRule="auto" w:before="127"/>
        <w:ind w:left="634" w:right="6192"/>
        <w:jc w:val="left"/>
      </w:pPr>
      <w:r>
        <w:rPr/>
        <w:t>公司是否需要遵守特殊行业的披露要求 是</w:t>
      </w:r>
    </w:p>
    <w:p>
      <w:pPr>
        <w:pStyle w:val="BodyText"/>
        <w:spacing w:line="350" w:lineRule="auto"/>
        <w:ind w:left="634" w:right="1152"/>
        <w:jc w:val="left"/>
      </w:pPr>
      <w:r>
        <w:rPr/>
        <w:t>软件与信息技术服务业 公司需遵守《深圳证券交易所行业信息披露指引第</w:t>
      </w:r>
      <w:r>
        <w:rPr>
          <w:rFonts w:ascii="宋体" w:hAnsi="宋体" w:cs="宋体" w:eastAsia="宋体" w:hint="default"/>
        </w:rPr>
        <w:t>12</w:t>
      </w:r>
      <w:r>
        <w:rPr/>
        <w:t>号——上市公司从事软件与信息技</w:t>
      </w:r>
    </w:p>
    <w:p>
      <w:pPr>
        <w:pStyle w:val="BodyText"/>
        <w:spacing w:line="240" w:lineRule="auto" w:before="35"/>
        <w:ind w:right="0"/>
        <w:jc w:val="both"/>
      </w:pPr>
      <w:r>
        <w:rPr/>
        <w:t>术服务业务》的披露要求</w:t>
      </w:r>
    </w:p>
    <w:p>
      <w:pPr>
        <w:spacing w:line="240" w:lineRule="auto" w:before="2"/>
        <w:rPr>
          <w:rFonts w:ascii="宋体" w:hAnsi="宋体" w:cs="宋体" w:eastAsia="宋体" w:hint="default"/>
          <w:sz w:val="23"/>
          <w:szCs w:val="23"/>
        </w:rPr>
      </w:pPr>
    </w:p>
    <w:p>
      <w:pPr>
        <w:pStyle w:val="BodyText"/>
        <w:spacing w:line="350" w:lineRule="auto" w:before="0"/>
        <w:ind w:left="634" w:right="1152" w:hanging="3"/>
        <w:jc w:val="left"/>
      </w:pPr>
      <w:r>
        <w:rPr/>
        <w:t>（</w:t>
      </w:r>
      <w:r>
        <w:rPr>
          <w:rFonts w:ascii="宋体" w:hAnsi="宋体" w:cs="宋体" w:eastAsia="宋体" w:hint="default"/>
        </w:rPr>
        <w:t>1</w:t>
      </w:r>
      <w:r>
        <w:rPr/>
        <w:t>）销售商品收入确认时间的具体判断标准 公司已将商品所有权上的主要风险和报酬转移给购买方；公司既没有保留与所有权相联</w:t>
      </w:r>
    </w:p>
    <w:p>
      <w:pPr>
        <w:pStyle w:val="BodyText"/>
        <w:spacing w:line="352" w:lineRule="auto" w:before="35"/>
        <w:ind w:right="1170"/>
        <w:jc w:val="both"/>
      </w:pPr>
      <w:r>
        <w:rPr/>
        <w:t>系的继续管理权，也没有对已售出的商品实施有效控制；收入的金额能够可靠地计量；相关 的经济利益很可能流入企业；相关的已发生或将发生的成本能够可靠地计量时，确认商品销 售收入实现。</w:t>
      </w:r>
    </w:p>
    <w:p>
      <w:pPr>
        <w:pStyle w:val="BodyText"/>
        <w:spacing w:line="350" w:lineRule="auto" w:before="32"/>
        <w:ind w:right="0" w:firstLine="480"/>
        <w:jc w:val="left"/>
      </w:pPr>
      <w:r>
        <w:rPr/>
        <w:t>公司的主要产品为铁路通信信号和铁路运输调度指挥管理领域的软件和系统集成产品， 具体为：设备监测类产品：包括信号集中监测及子系统、融雪系统、信号维护支持系统、道 岔缺口监测、道岔综合监测、电务设备动态监测分析系统等；安防类产品：包括铁路防灾安 全监控系统、铁路综合视频监控系统、城轨综合监控系统、动力环境监控等；生产指挥及运 </w:t>
      </w:r>
      <w:r>
        <w:rPr>
          <w:spacing w:val="-3"/>
        </w:rPr>
        <w:t>输调度信息化类产品：包括电务生产指挥、铁路安全生产指挥综合系统等；信号控制类产品：</w:t>
      </w:r>
      <w:r>
        <w:rPr>
          <w:spacing w:val="-81"/>
        </w:rPr>
        <w:t> </w:t>
      </w:r>
      <w:r>
        <w:rPr>
          <w:spacing w:val="-81"/>
        </w:rPr>
      </w:r>
      <w:r>
        <w:rPr/>
        <w:t>包括无线调车机车信号和监控系统等；电源类设备产品：包括电源屏设备及子系统；信号设 备及器材产品：包括信号设备及器材、转辙机、水冲洗设备产品等。公司采取以销定产的经 营模式，销售业务主要通过参与客户招标取得。公司中标后，与客户洽谈合同的具体条款并</w:t>
      </w:r>
      <w:r>
        <w:rPr/>
        <w:t> 最终签定合同。公司产品定价主要依据铁路总公司的指导价，最终销售价格则由招标确定。 其主要业务模式、结算方式和收入确认方法具体如下：</w:t>
      </w:r>
    </w:p>
    <w:p>
      <w:pPr>
        <w:pStyle w:val="BodyText"/>
        <w:spacing w:line="350" w:lineRule="auto"/>
        <w:ind w:right="1152" w:firstLine="480"/>
        <w:jc w:val="left"/>
      </w:pPr>
      <w:r>
        <w:rPr/>
        <w:t>⒈对于不需要安装调试的铁路方面产品、电源维护测试产品和其它产品按普通商品销售 原则核算，于客户收到发出产品且公司取得收款的权利时确认收入。</w:t>
      </w:r>
    </w:p>
    <w:p>
      <w:pPr>
        <w:pStyle w:val="BodyText"/>
        <w:spacing w:line="352" w:lineRule="auto" w:before="35"/>
        <w:ind w:right="1152" w:firstLine="480"/>
        <w:jc w:val="left"/>
      </w:pPr>
      <w:r>
        <w:rPr/>
        <w:t>⒉对于铁路通信信号和铁路运输调度指挥管理领域的集成产品，公司销售环节和业务流 程主要为：签订销售合同－组织设计生产－产品发送到现场并经委托方验收－进行配线安装</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1171"/>
        <w:jc w:val="both"/>
      </w:pPr>
      <w:r>
        <w:rPr/>
        <w:t>－进行站机调试并经委托方验收合格。该类产品在同时具备以下条件时确认收入：①已与委 托方签订销售合同；②站机调试完成并经委托方验收合格；③销售发票已开具给委托方；④ 收到全部合同价款或已收到部分价款但已约定剩余款项的付款计划。</w:t>
      </w:r>
    </w:p>
    <w:p>
      <w:pPr>
        <w:pStyle w:val="BodyText"/>
        <w:spacing w:line="352" w:lineRule="auto" w:before="33"/>
        <w:ind w:right="1171" w:firstLine="480"/>
        <w:jc w:val="both"/>
      </w:pPr>
      <w:r>
        <w:rPr/>
        <w:t>⒊对于软件产品，如果属于集成产品的组成部分，软件产品随同集成产品确认收入；如 果属于客户单独购买的软件，于软件发出给客户经验收合格并取得收取货款的权利时确认收 入。</w:t>
      </w:r>
    </w:p>
    <w:p>
      <w:pPr>
        <w:pStyle w:val="BodyText"/>
        <w:spacing w:line="350" w:lineRule="auto" w:before="32"/>
        <w:ind w:right="1170" w:firstLine="480"/>
        <w:jc w:val="both"/>
      </w:pPr>
      <w:r>
        <w:rPr/>
        <w:t>合同或协议价款的收取采用递延方式，实质上具有融资性质的，按照应收的合同或协议 价款的公允价值确定销售商品收入金额。</w:t>
      </w:r>
    </w:p>
    <w:p>
      <w:pPr>
        <w:pStyle w:val="BodyText"/>
        <w:spacing w:line="350" w:lineRule="auto" w:before="192"/>
        <w:ind w:left="634" w:right="1152" w:hanging="3"/>
        <w:jc w:val="left"/>
      </w:pPr>
      <w:r>
        <w:rPr/>
        <w:t>（</w:t>
      </w:r>
      <w:r>
        <w:rPr>
          <w:rFonts w:ascii="宋体" w:hAnsi="宋体" w:cs="宋体" w:eastAsia="宋体" w:hint="default"/>
        </w:rPr>
        <w:t>2</w:t>
      </w:r>
      <w:r>
        <w:rPr/>
        <w:t>）确认让渡资产使用权收入的依据 与交易相关的经济利益很可能流入企业，收入的金额能够可靠地计量时，分别下列情况</w:t>
      </w:r>
    </w:p>
    <w:p>
      <w:pPr>
        <w:pStyle w:val="BodyText"/>
        <w:spacing w:line="240" w:lineRule="auto" w:before="35"/>
        <w:ind w:right="0"/>
        <w:jc w:val="both"/>
      </w:pPr>
      <w:r>
        <w:rPr/>
        <w:t>确定让渡资产使用权收入金额：</w:t>
      </w:r>
    </w:p>
    <w:p>
      <w:pPr>
        <w:pStyle w:val="BodyText"/>
        <w:spacing w:line="240" w:lineRule="auto" w:before="146"/>
        <w:ind w:left="814" w:right="0"/>
        <w:jc w:val="left"/>
      </w:pPr>
      <w:r>
        <w:rPr/>
        <w:t>⒈利息收入金额，按照他人使用本企业货币资金的时间和实际利率计算确定。</w:t>
      </w:r>
    </w:p>
    <w:p>
      <w:pPr>
        <w:pStyle w:val="BodyText"/>
        <w:spacing w:line="240" w:lineRule="auto" w:before="145"/>
        <w:ind w:left="814" w:right="0"/>
        <w:jc w:val="left"/>
      </w:pPr>
      <w:r>
        <w:rPr/>
        <w:t>⒉使用费收入金额，按照有关合同或协议约定的收费时间和方法计算确定。</w:t>
      </w:r>
    </w:p>
    <w:p>
      <w:pPr>
        <w:spacing w:line="240" w:lineRule="auto" w:before="1"/>
        <w:rPr>
          <w:rFonts w:ascii="宋体" w:hAnsi="宋体" w:cs="宋体" w:eastAsia="宋体" w:hint="default"/>
          <w:sz w:val="23"/>
          <w:szCs w:val="23"/>
        </w:rPr>
      </w:pPr>
    </w:p>
    <w:p>
      <w:pPr>
        <w:pStyle w:val="BodyText"/>
        <w:spacing w:line="352" w:lineRule="auto" w:before="0"/>
        <w:ind w:left="634" w:right="1152" w:hanging="3"/>
        <w:jc w:val="left"/>
      </w:pPr>
      <w:r>
        <w:rPr/>
        <w:t>（</w:t>
      </w:r>
      <w:r>
        <w:rPr>
          <w:rFonts w:ascii="宋体" w:hAnsi="宋体" w:cs="宋体" w:eastAsia="宋体" w:hint="default"/>
        </w:rPr>
        <w:t>3</w:t>
      </w:r>
      <w:r>
        <w:rPr/>
        <w:t>）提供劳务收入的确认依据和方法 在资产负债表日提供劳务交易的结果能够可靠估计的，采用完工百分比法确认提供劳务</w:t>
      </w:r>
    </w:p>
    <w:p>
      <w:pPr>
        <w:pStyle w:val="BodyText"/>
        <w:spacing w:line="350" w:lineRule="auto" w:before="32"/>
        <w:ind w:left="634" w:right="3792" w:hanging="480"/>
        <w:jc w:val="left"/>
      </w:pPr>
      <w:r>
        <w:rPr/>
        <w:t>收入。提供劳务交易的完工进度，依据已完工作的测量确定。 提供劳务交易的结果能够可靠估计，是指同时满足下列条件：</w:t>
      </w:r>
    </w:p>
    <w:p>
      <w:pPr>
        <w:pStyle w:val="BodyText"/>
        <w:spacing w:line="240" w:lineRule="auto"/>
        <w:ind w:left="814" w:right="0"/>
        <w:jc w:val="left"/>
      </w:pPr>
      <w:r>
        <w:rPr/>
        <w:t>⒈收入的金额能够可靠地计量；</w:t>
      </w:r>
    </w:p>
    <w:p>
      <w:pPr>
        <w:pStyle w:val="BodyText"/>
        <w:spacing w:line="240" w:lineRule="auto" w:before="145"/>
        <w:ind w:left="814" w:right="0"/>
        <w:jc w:val="left"/>
      </w:pPr>
      <w:r>
        <w:rPr/>
        <w:t>⒉相关的经济利益很可能流入企业；</w:t>
      </w:r>
    </w:p>
    <w:p>
      <w:pPr>
        <w:pStyle w:val="BodyText"/>
        <w:spacing w:line="240" w:lineRule="auto" w:before="145"/>
        <w:ind w:left="814" w:right="0"/>
        <w:jc w:val="left"/>
      </w:pPr>
      <w:r>
        <w:rPr/>
        <w:t>⒊交易的完工进度能够可靠地确定；</w:t>
      </w:r>
    </w:p>
    <w:p>
      <w:pPr>
        <w:pStyle w:val="BodyText"/>
        <w:spacing w:line="350" w:lineRule="auto" w:before="146"/>
        <w:ind w:left="634" w:right="1152" w:firstLine="180"/>
        <w:jc w:val="left"/>
      </w:pPr>
      <w:r>
        <w:rPr/>
        <w:t>⒋交易中已发生和将发生的成本能够可靠地计量。 按照已收或应收的合同或协议价款确定提供劳务收入总额，但已收或应收的合同或协议</w:t>
      </w:r>
    </w:p>
    <w:p>
      <w:pPr>
        <w:pStyle w:val="BodyText"/>
        <w:spacing w:line="352" w:lineRule="auto" w:before="35"/>
        <w:ind w:right="1169"/>
        <w:jc w:val="both"/>
      </w:pPr>
      <w:r>
        <w:rPr/>
        <w:t>价款不公允的除外。资产负债表日按照提供劳务收入总额乘以完工进度扣除以前会计期间累 计已确认提供劳务收入后的金额，确认当期提供劳务收入；同时，按照提供劳务估计总成本 乘以完工进度扣除以前会计期间累计已确认劳务成本后的金额，结转当期劳务成本。</w:t>
      </w:r>
    </w:p>
    <w:p>
      <w:pPr>
        <w:pStyle w:val="BodyText"/>
        <w:spacing w:line="240" w:lineRule="auto" w:before="32"/>
        <w:ind w:left="634" w:right="0"/>
        <w:jc w:val="left"/>
      </w:pPr>
      <w:r>
        <w:rPr/>
        <w:t>在资产负债表日提供劳务交易结果不能够可靠估计的，分别下列情况处理：</w:t>
      </w:r>
    </w:p>
    <w:p>
      <w:pPr>
        <w:pStyle w:val="BodyText"/>
        <w:spacing w:line="350" w:lineRule="auto" w:before="147"/>
        <w:ind w:left="334" w:right="1212" w:firstLine="480"/>
        <w:jc w:val="left"/>
      </w:pPr>
      <w:r>
        <w:rPr/>
        <w:t>⒈已经发生的劳务成本预计能够得到补偿的，按照已经发生的劳务成本金额确认提供 劳务收入，并按相同金额结转劳务成本。</w:t>
      </w:r>
    </w:p>
    <w:p>
      <w:pPr>
        <w:pStyle w:val="BodyText"/>
        <w:spacing w:line="240" w:lineRule="auto" w:before="35"/>
        <w:ind w:left="814" w:right="0"/>
        <w:jc w:val="left"/>
      </w:pPr>
      <w:r>
        <w:rPr/>
        <w:t>⒉已经发生的劳务成本预计不能够得到补偿的，将已经发生的劳务成本计入当期损益，</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4" w:right="1152" w:hanging="300"/>
        <w:jc w:val="left"/>
      </w:pPr>
      <w:r>
        <w:rPr/>
        <w:t>不确认提供劳务收入。 本公司与其他企业签订的合同或协议包括销售商品和提供劳务时，销售商品部分和提供</w:t>
      </w:r>
    </w:p>
    <w:p>
      <w:pPr>
        <w:pStyle w:val="BodyText"/>
        <w:spacing w:line="350" w:lineRule="auto"/>
        <w:ind w:right="1170"/>
        <w:jc w:val="both"/>
      </w:pPr>
      <w:r>
        <w:rPr/>
        <w:t>劳务部分能够区分且能够单独计量的，将销售商品的部分作为销售商品处理，将提供劳务的 部分作为提供劳务处理。销售商品部分和提供劳务部分不能够区分，或虽能区分但不能够单 独计量的，将销售商品部分和提供劳务部分全部作为销售商品处理。</w:t>
      </w:r>
    </w:p>
    <w:p>
      <w:pPr>
        <w:pStyle w:val="BodyText"/>
        <w:spacing w:line="240" w:lineRule="auto" w:before="192"/>
        <w:ind w:left="631" w:right="0"/>
        <w:jc w:val="left"/>
      </w:pPr>
      <w:r>
        <w:rPr/>
        <w:t>（</w:t>
      </w:r>
      <w:r>
        <w:rPr>
          <w:rFonts w:ascii="宋体" w:hAnsi="宋体" w:cs="宋体" w:eastAsia="宋体" w:hint="default"/>
        </w:rPr>
        <w:t>4</w:t>
      </w:r>
      <w:r>
        <w:rPr/>
        <w:t>）建造合同收入的确认依据和方法</w:t>
      </w:r>
    </w:p>
    <w:p>
      <w:pPr>
        <w:pStyle w:val="BodyText"/>
        <w:spacing w:line="352" w:lineRule="auto" w:before="145"/>
        <w:ind w:right="1171" w:firstLine="480"/>
        <w:jc w:val="both"/>
      </w:pPr>
      <w:r>
        <w:rPr/>
        <w:t>⒈当建造合同的结果能够可靠地估计时，与其相关的合同收入和合同费用在资产负债表 日按完工百分比法予以确认。完工百分比法，是指根据合同完工进度确认合同收入和合同费 用的方法。合同完工进度按照累计实际发生的合同费用占合同预计总成本的比例确定。</w:t>
      </w:r>
    </w:p>
    <w:p>
      <w:pPr>
        <w:pStyle w:val="BodyText"/>
        <w:spacing w:line="350" w:lineRule="auto" w:before="32"/>
        <w:ind w:left="634" w:right="3792"/>
        <w:jc w:val="left"/>
      </w:pPr>
      <w:r>
        <w:rPr/>
        <w:t>固定造价合同的结果能够可靠估计，是指同时满足下列条件： </w:t>
      </w:r>
      <w:r>
        <w:rPr>
          <w:rFonts w:ascii="宋体" w:hAnsi="宋体" w:cs="宋体" w:eastAsia="宋体" w:hint="default"/>
        </w:rPr>
        <w:t>1</w:t>
      </w:r>
      <w:r>
        <w:rPr/>
        <w:t>）合同总收入能够可靠地计量；</w:t>
      </w:r>
    </w:p>
    <w:p>
      <w:pPr>
        <w:pStyle w:val="BodyText"/>
        <w:spacing w:line="240" w:lineRule="auto"/>
        <w:ind w:left="634" w:right="0"/>
        <w:jc w:val="left"/>
      </w:pPr>
      <w:r>
        <w:rPr>
          <w:rFonts w:ascii="宋体" w:hAnsi="宋体" w:cs="宋体" w:eastAsia="宋体" w:hint="default"/>
        </w:rPr>
        <w:t>2</w:t>
      </w:r>
      <w:r>
        <w:rPr/>
        <w:t>）与合同相关的经济利益很可能流入企业；</w:t>
      </w:r>
    </w:p>
    <w:p>
      <w:pPr>
        <w:pStyle w:val="BodyText"/>
        <w:spacing w:line="240" w:lineRule="auto" w:before="145"/>
        <w:ind w:left="634" w:right="0"/>
        <w:jc w:val="left"/>
      </w:pPr>
      <w:r>
        <w:rPr>
          <w:rFonts w:ascii="宋体" w:hAnsi="宋体" w:cs="宋体" w:eastAsia="宋体" w:hint="default"/>
        </w:rPr>
        <w:t>3</w:t>
      </w:r>
      <w:r>
        <w:rPr/>
        <w:t>）实际发生的合同成本能够清楚地区分和可靠地计量；</w:t>
      </w:r>
    </w:p>
    <w:p>
      <w:pPr>
        <w:pStyle w:val="BodyText"/>
        <w:spacing w:line="352" w:lineRule="auto" w:before="145"/>
        <w:ind w:left="634" w:right="3432"/>
        <w:jc w:val="left"/>
      </w:pPr>
      <w:r>
        <w:rPr>
          <w:rFonts w:ascii="宋体" w:hAnsi="宋体" w:cs="宋体" w:eastAsia="宋体" w:hint="default"/>
        </w:rPr>
        <w:t>4</w:t>
      </w:r>
      <w:r>
        <w:rPr/>
        <w:t>）合同完工进度和为完成合同尚需发生的成本能够可靠地确定。 成本加成合同的结果能够可靠估计，是指同时满足下列条件： </w:t>
      </w:r>
      <w:r>
        <w:rPr>
          <w:rFonts w:ascii="宋体" w:hAnsi="宋体" w:cs="宋体" w:eastAsia="宋体" w:hint="default"/>
        </w:rPr>
        <w:t>1</w:t>
      </w:r>
      <w:r>
        <w:rPr/>
        <w:t>）与合同相关的经济利益很可能流入企业；</w:t>
      </w:r>
    </w:p>
    <w:p>
      <w:pPr>
        <w:pStyle w:val="BodyText"/>
        <w:spacing w:line="352" w:lineRule="auto" w:before="32"/>
        <w:ind w:left="634" w:right="1152"/>
        <w:jc w:val="left"/>
      </w:pPr>
      <w:r>
        <w:rPr>
          <w:rFonts w:ascii="宋体" w:hAnsi="宋体" w:cs="宋体" w:eastAsia="宋体" w:hint="default"/>
        </w:rPr>
        <w:t>2</w:t>
      </w:r>
      <w:r>
        <w:rPr/>
        <w:t>）实际发生的合同成本能够清楚地区分和可靠地计量。 在资产负债表日，按照合同总收入乘以完工进度扣除以前会计期间累计已确认收入后的</w:t>
      </w:r>
    </w:p>
    <w:p>
      <w:pPr>
        <w:pStyle w:val="BodyText"/>
        <w:spacing w:line="352" w:lineRule="auto" w:before="32"/>
        <w:ind w:right="1171"/>
        <w:jc w:val="both"/>
      </w:pPr>
      <w:r>
        <w:rPr/>
        <w:t>金额，确认为当期合同收入；同时，按照合同预计总成本乘以完工进度扣除以前会计期间累 计已确认费用后的金额，确认为当期合同费用。合同工程的变动、索赔及奖金以可能带来收 入并能可靠计算的数额为限计入合同总收入。</w:t>
      </w:r>
    </w:p>
    <w:p>
      <w:pPr>
        <w:pStyle w:val="BodyText"/>
        <w:spacing w:line="350" w:lineRule="auto" w:before="32"/>
        <w:ind w:left="634" w:right="0"/>
        <w:jc w:val="left"/>
      </w:pPr>
      <w:r>
        <w:rPr/>
        <w:t>⒉建造合同的结果不能可靠估计的，分别下列情况处理： </w:t>
      </w:r>
      <w:r>
        <w:rPr>
          <w:rFonts w:ascii="宋体" w:hAnsi="宋体" w:cs="宋体" w:eastAsia="宋体" w:hint="default"/>
          <w:spacing w:val="-3"/>
        </w:rPr>
        <w:t>1</w:t>
      </w:r>
      <w:r>
        <w:rPr>
          <w:spacing w:val="-3"/>
        </w:rPr>
        <w:t>）合同成本能够收回的，合同收入根据能够收回的实际合同成本予以确认，合同成本在</w:t>
      </w:r>
    </w:p>
    <w:p>
      <w:pPr>
        <w:pStyle w:val="BodyText"/>
        <w:spacing w:line="350" w:lineRule="auto"/>
        <w:ind w:left="634" w:right="1992" w:hanging="480"/>
        <w:jc w:val="left"/>
      </w:pPr>
      <w:r>
        <w:rPr/>
        <w:t>其发生的当期确认为合同费用。 </w:t>
      </w:r>
      <w:r>
        <w:rPr>
          <w:rFonts w:ascii="宋体" w:hAnsi="宋体" w:cs="宋体" w:eastAsia="宋体" w:hint="default"/>
        </w:rPr>
        <w:t>2</w:t>
      </w:r>
      <w:r>
        <w:rPr/>
        <w:t>）合同成本不可能收回的，在发生时立即确认为合同费用，不确认合同收入。</w:t>
      </w:r>
    </w:p>
    <w:p>
      <w:pPr>
        <w:pStyle w:val="BodyText"/>
        <w:spacing w:line="240" w:lineRule="auto" w:before="35"/>
        <w:ind w:left="634" w:right="0"/>
        <w:jc w:val="left"/>
      </w:pPr>
      <w:r>
        <w:rPr/>
        <w:t>⒊如果合同总成本很可能超过合同总收入，则预期损失立即确认为费用。</w:t>
      </w:r>
    </w:p>
    <w:p>
      <w:pPr>
        <w:spacing w:line="240" w:lineRule="auto" w:before="2"/>
        <w:rPr>
          <w:rFonts w:ascii="宋体" w:hAnsi="宋体" w:cs="宋体" w:eastAsia="宋体" w:hint="default"/>
          <w:sz w:val="23"/>
          <w:szCs w:val="23"/>
        </w:rPr>
      </w:pPr>
    </w:p>
    <w:p>
      <w:pPr>
        <w:pStyle w:val="BodyText"/>
        <w:spacing w:line="350" w:lineRule="auto" w:before="0"/>
        <w:ind w:left="634" w:right="1152" w:hanging="3"/>
        <w:jc w:val="left"/>
      </w:pPr>
      <w:r>
        <w:rPr/>
        <w:t>（</w:t>
      </w:r>
      <w:r>
        <w:rPr>
          <w:rFonts w:ascii="宋体" w:hAnsi="宋体" w:cs="宋体" w:eastAsia="宋体" w:hint="default"/>
        </w:rPr>
        <w:t>5</w:t>
      </w:r>
      <w:r>
        <w:rPr/>
        <w:t>）附回购条件的资产转让 公司销售产品或转让其他资产时，与购买方签订了所销售的产品或转让资产回购协议，</w:t>
      </w:r>
    </w:p>
    <w:p>
      <w:pPr>
        <w:pStyle w:val="BodyText"/>
        <w:spacing w:line="240" w:lineRule="auto" w:before="35"/>
        <w:ind w:right="0"/>
        <w:jc w:val="both"/>
      </w:pPr>
      <w:r>
        <w:rPr/>
        <w:t>根据协议条款判断销售商品是否满足收入确认条件。如售后回购属于融资交易，则在交付产</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52"/>
        <w:jc w:val="left"/>
      </w:pPr>
      <w:r>
        <w:rPr/>
        <w:t>品或资产时，本公司不确认销售收入。回购价款大于销售价款的差额，在回购期间按期计提 利息，计入财务费用。</w:t>
      </w:r>
    </w:p>
    <w:p>
      <w:pPr>
        <w:pStyle w:val="Heading2"/>
        <w:spacing w:line="240" w:lineRule="auto" w:before="36"/>
        <w:ind w:right="0"/>
        <w:jc w:val="left"/>
        <w:rPr>
          <w:b w:val="0"/>
          <w:bCs w:val="0"/>
        </w:rPr>
      </w:pPr>
      <w:bookmarkStart w:name="29、政府补助" w:id="220"/>
      <w:bookmarkEnd w:id="220"/>
      <w:r>
        <w:rPr>
          <w:b w:val="0"/>
          <w:bCs w:val="0"/>
        </w:rPr>
      </w:r>
      <w:r>
        <w:rPr>
          <w:rFonts w:ascii="Times New Roman" w:hAnsi="Times New Roman" w:cs="Times New Roman" w:eastAsia="Times New Roman" w:hint="default"/>
        </w:rPr>
        <w:t>29</w:t>
      </w:r>
      <w:r>
        <w:rPr/>
        <w:t>、政府补助</w:t>
      </w:r>
      <w:r>
        <w:rPr>
          <w:b w:val="0"/>
          <w:bCs w:val="0"/>
        </w:rPr>
      </w:r>
    </w:p>
    <w:p>
      <w:pPr>
        <w:spacing w:before="25"/>
        <w:ind w:left="681" w:right="0" w:firstLine="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p>
      <w:pPr>
        <w:pStyle w:val="BodyText"/>
        <w:spacing w:line="350" w:lineRule="auto" w:before="140"/>
        <w:ind w:right="1170" w:firstLine="480"/>
        <w:jc w:val="both"/>
      </w:pPr>
      <w:r>
        <w:rPr/>
        <w:t>政府补助，是本公司从政府无偿取得的货币性资产与非货币性资产。根据相关政府文件 规定的补助对象，将政府补助划分为与资产相关的政府补助和与收益相关的政府补助。</w:t>
      </w:r>
    </w:p>
    <w:p>
      <w:pPr>
        <w:pStyle w:val="BodyText"/>
        <w:spacing w:line="350" w:lineRule="auto"/>
        <w:ind w:right="1171" w:firstLine="480"/>
        <w:jc w:val="both"/>
      </w:pPr>
      <w:r>
        <w:rPr/>
        <w:t>与资产相关的政府补助，是指本公司取得的、用于购建或以其他方式形成长期资产的政 府补助。与收益相关的政府补助，是指除与资产相关的政府补助之外的政府补助。</w:t>
      </w:r>
    </w:p>
    <w:p>
      <w:pPr>
        <w:spacing w:before="70"/>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政府补助的确认</w:t>
      </w:r>
      <w:r>
        <w:rPr>
          <w:rFonts w:ascii="宋体" w:hAnsi="宋体" w:cs="宋体" w:eastAsia="宋体" w:hint="default"/>
          <w:sz w:val="21"/>
          <w:szCs w:val="21"/>
        </w:rPr>
      </w:r>
    </w:p>
    <w:p>
      <w:pPr>
        <w:pStyle w:val="BodyText"/>
        <w:spacing w:line="350" w:lineRule="auto" w:before="151"/>
        <w:ind w:right="1170" w:firstLine="480"/>
        <w:jc w:val="both"/>
      </w:pPr>
      <w:r>
        <w:rPr/>
        <w:t>对期末有证据表明公司能够符合财政扶持政策规定的相关条件且预计能够收到财政扶持 资金的，按应收金额确认政府补助。除此之外，政府补助均在实际收到时确认。</w:t>
      </w:r>
    </w:p>
    <w:p>
      <w:pPr>
        <w:pStyle w:val="BodyText"/>
        <w:spacing w:line="352" w:lineRule="auto" w:before="35"/>
        <w:ind w:right="1132" w:firstLine="480"/>
        <w:jc w:val="both"/>
      </w:pPr>
      <w:r>
        <w:rPr/>
        <w:t>政府补助为货币性资产的，按照收到或应收的金额计量。政府补助为非货币性资产的， </w:t>
      </w:r>
      <w:r>
        <w:rPr>
          <w:spacing w:val="-3"/>
        </w:rPr>
        <w:t>按照公允价值计量；公允价值不能够可靠取得的，按照名义金额（人民币</w:t>
      </w:r>
      <w:r>
        <w:rPr>
          <w:rFonts w:ascii="宋体" w:hAnsi="宋体" w:cs="宋体" w:eastAsia="宋体" w:hint="default"/>
          <w:spacing w:val="-3"/>
        </w:rPr>
        <w:t>1</w:t>
      </w:r>
      <w:r>
        <w:rPr>
          <w:spacing w:val="-3"/>
        </w:rPr>
        <w:t>元）计量。按照名</w:t>
      </w:r>
      <w:r>
        <w:rPr>
          <w:spacing w:val="-81"/>
        </w:rPr>
        <w:t> </w:t>
      </w:r>
      <w:r>
        <w:rPr>
          <w:spacing w:val="-81"/>
        </w:rPr>
      </w:r>
      <w:r>
        <w:rPr/>
        <w:t>义金额计量的政府补助，直接计入当期损益。</w:t>
      </w:r>
    </w:p>
    <w:p>
      <w:pPr>
        <w:spacing w:before="67"/>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会计处理方法</w:t>
      </w:r>
      <w:r>
        <w:rPr>
          <w:rFonts w:ascii="宋体" w:hAnsi="宋体" w:cs="宋体" w:eastAsia="宋体" w:hint="default"/>
          <w:sz w:val="21"/>
          <w:szCs w:val="21"/>
        </w:rPr>
      </w:r>
    </w:p>
    <w:p>
      <w:pPr>
        <w:pStyle w:val="BodyText"/>
        <w:spacing w:line="350" w:lineRule="auto" w:before="151"/>
        <w:ind w:right="1171" w:firstLine="480"/>
        <w:jc w:val="both"/>
      </w:pPr>
      <w:r>
        <w:rPr/>
        <w:pict>
          <v:shape style="position:absolute;margin-left:89.900002pt;margin-top:72.145645pt;width:415.85pt;height:51.8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4"/>
                    <w:gridCol w:w="5468"/>
                  </w:tblGrid>
                  <w:tr>
                    <w:trPr>
                      <w:trHeight w:val="34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核算内容</w:t>
                        </w:r>
                      </w:p>
                    </w:tc>
                  </w:tr>
                  <w:tr>
                    <w:trPr>
                      <w:trHeight w:val="34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采用总额法核算的政府补助类别</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所有政府补助业务</w:t>
                        </w:r>
                      </w:p>
                    </w:tc>
                  </w:tr>
                  <w:tr>
                    <w:trPr>
                      <w:trHeight w:val="34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采用净额法核算的政府补助类别</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本公司根据经济业务的实质，确定某一类政府补助业务应当采用总额法还是净额法进行 会计处理。通常情况下，本公司对于同类或类似政府补助业务只选用一种方法，且对该业务 一贯地运用该方法。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50" w:lineRule="auto" w:before="26"/>
        <w:ind w:right="1152" w:firstLine="480"/>
        <w:jc w:val="left"/>
      </w:pPr>
      <w:r>
        <w:rPr/>
        <w:t>与资产相关的政府补助，确认为递延收益，按照所建造或购买的资产使用年限内按照合 理、系统的方法分期计入损益；</w:t>
      </w:r>
    </w:p>
    <w:p>
      <w:pPr>
        <w:pStyle w:val="BodyText"/>
        <w:spacing w:line="350" w:lineRule="auto"/>
        <w:ind w:right="0" w:firstLine="480"/>
        <w:jc w:val="left"/>
      </w:pPr>
      <w:r>
        <w:rPr>
          <w:spacing w:val="-3"/>
        </w:rPr>
        <w:t>与收益相关的政府补助，用于补偿企业以后期间的相关费用或损失的，确认为递延收益，</w:t>
      </w:r>
      <w:r>
        <w:rPr/>
        <w:t> 在确认相关费用或损失的期间计入当期损益；用于补偿企业已发生的相关费用或损失的，取 得时直接计入当期损益。</w:t>
      </w:r>
    </w:p>
    <w:p>
      <w:pPr>
        <w:pStyle w:val="BodyText"/>
        <w:spacing w:line="350" w:lineRule="auto"/>
        <w:ind w:right="1152" w:firstLine="480"/>
        <w:jc w:val="left"/>
      </w:pPr>
      <w:r>
        <w:rPr/>
        <w:t>与企业日常活动相关的政府补助计入其他收益；与企业日常活动无关的政府补助计入营 业外收支。</w:t>
      </w:r>
    </w:p>
    <w:p>
      <w:pPr>
        <w:pStyle w:val="BodyText"/>
        <w:spacing w:line="352" w:lineRule="auto" w:before="35"/>
        <w:ind w:right="1170" w:firstLine="480"/>
        <w:jc w:val="both"/>
      </w:pPr>
      <w:r>
        <w:rPr/>
        <w:t>收到与政策性优惠贷款贴息相关的政府补助冲减相关借款费用；取得贷款银行提供的政 策性优惠利率贷款的，以实际收到的借款金额作为借款的入账价值，按照借款本金和该政策 性优惠利率计算相关借款费用。</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1170" w:firstLine="480"/>
        <w:jc w:val="both"/>
      </w:pPr>
      <w:r>
        <w:rPr/>
        <w:t>已确认的政府补助需要返还时，初始确认时冲减相关资产账面价值的，调整资产账面价 值；存在相关递延收益余额的，冲减相关递延收益账面余额，超出部分计入当期损益；不存 在相关递延收益的，直接计入当期损益。</w:t>
      </w:r>
    </w:p>
    <w:p>
      <w:pPr>
        <w:spacing w:line="331" w:lineRule="auto" w:before="33"/>
        <w:ind w:left="634" w:right="1272" w:hanging="480"/>
        <w:jc w:val="left"/>
        <w:rPr>
          <w:rFonts w:ascii="宋体" w:hAnsi="宋体" w:cs="宋体" w:eastAsia="宋体" w:hint="default"/>
          <w:sz w:val="24"/>
          <w:szCs w:val="24"/>
        </w:rPr>
      </w:pPr>
      <w:bookmarkStart w:name="30、递延所得税资产/递延所得税负债" w:id="221"/>
      <w:bookmarkEnd w:id="221"/>
      <w:r>
        <w:rPr/>
      </w:r>
      <w:r>
        <w:rPr>
          <w:rFonts w:ascii="Times New Roman" w:hAnsi="Times New Roman" w:cs="Times New Roman" w:eastAsia="Times New Roman" w:hint="default"/>
          <w:b/>
          <w:bCs/>
          <w:sz w:val="24"/>
          <w:szCs w:val="24"/>
        </w:rPr>
        <w:t>30</w:t>
      </w:r>
      <w:r>
        <w:rPr>
          <w:rFonts w:ascii="宋体" w:hAnsi="宋体" w:cs="宋体" w:eastAsia="宋体" w:hint="default"/>
          <w:b/>
          <w:bCs/>
          <w:sz w:val="24"/>
          <w:szCs w:val="24"/>
        </w:rPr>
        <w:t>、递延所得税资产</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递延所得税负债</w:t>
      </w:r>
      <w:r>
        <w:rPr>
          <w:rFonts w:ascii="宋体" w:hAnsi="宋体" w:cs="宋体" w:eastAsia="宋体" w:hint="default"/>
          <w:b/>
          <w:bCs/>
          <w:w w:val="99"/>
          <w:sz w:val="24"/>
          <w:szCs w:val="24"/>
        </w:rPr>
        <w:t> </w:t>
      </w:r>
      <w:r>
        <w:rPr>
          <w:rFonts w:ascii="宋体" w:hAnsi="宋体" w:cs="宋体" w:eastAsia="宋体" w:hint="default"/>
          <w:sz w:val="24"/>
          <w:szCs w:val="24"/>
        </w:rPr>
        <w:t>递延所得税资产和递延所得税负债根据资产和负债的计税基础与其账面价值的差额</w:t>
      </w:r>
      <w:r>
        <w:rPr>
          <w:rFonts w:ascii="宋体" w:hAnsi="宋体" w:cs="宋体" w:eastAsia="宋体" w:hint="default"/>
          <w:sz w:val="24"/>
          <w:szCs w:val="24"/>
        </w:rPr>
        <w:t>(</w:t>
      </w:r>
      <w:r>
        <w:rPr>
          <w:rFonts w:ascii="宋体" w:hAnsi="宋体" w:cs="宋体" w:eastAsia="宋体" w:hint="default"/>
          <w:sz w:val="24"/>
          <w:szCs w:val="24"/>
        </w:rPr>
        <w:t>暂</w:t>
      </w:r>
    </w:p>
    <w:p>
      <w:pPr>
        <w:pStyle w:val="BodyText"/>
        <w:spacing w:line="350" w:lineRule="auto" w:before="55"/>
        <w:ind w:right="0"/>
        <w:jc w:val="left"/>
      </w:pPr>
      <w:r>
        <w:rPr>
          <w:spacing w:val="-3"/>
        </w:rPr>
        <w:t>时性差异</w:t>
      </w:r>
      <w:r>
        <w:rPr>
          <w:rFonts w:ascii="宋体" w:hAnsi="宋体" w:cs="宋体" w:eastAsia="宋体" w:hint="default"/>
          <w:spacing w:val="-3"/>
        </w:rPr>
        <w:t>)</w:t>
      </w:r>
      <w:r>
        <w:rPr>
          <w:spacing w:val="-3"/>
        </w:rPr>
        <w:t>计算确认。于资产负债表日，递延所得税资产和递延所得税负债，按照预期收回该</w:t>
      </w:r>
      <w:r>
        <w:rPr>
          <w:spacing w:val="-81"/>
        </w:rPr>
        <w:t> </w:t>
      </w:r>
      <w:r>
        <w:rPr>
          <w:spacing w:val="-81"/>
        </w:rPr>
      </w:r>
      <w:r>
        <w:rPr/>
        <w:t>资产或清偿该负债期间的适用税率计量。</w:t>
      </w:r>
    </w:p>
    <w:p>
      <w:pPr>
        <w:spacing w:line="352" w:lineRule="auto" w:before="35"/>
        <w:ind w:left="634" w:right="1152" w:hanging="123"/>
        <w:jc w:val="left"/>
        <w:rPr>
          <w:rFonts w:ascii="宋体" w:hAnsi="宋体" w:cs="宋体" w:eastAsia="宋体" w:hint="default"/>
          <w:sz w:val="24"/>
          <w:szCs w:val="24"/>
        </w:rPr>
      </w:pPr>
      <w:r>
        <w:rPr>
          <w:rFonts w:ascii="宋体" w:hAnsi="宋体" w:cs="宋体" w:eastAsia="宋体" w:hint="default"/>
          <w:b/>
          <w:bCs/>
          <w:sz w:val="24"/>
          <w:szCs w:val="24"/>
        </w:rPr>
        <w:t>确认递延所得税资产的依据</w:t>
      </w:r>
      <w:r>
        <w:rPr>
          <w:rFonts w:ascii="宋体" w:hAnsi="宋体" w:cs="宋体" w:eastAsia="宋体" w:hint="default"/>
          <w:b/>
          <w:bCs/>
          <w:w w:val="99"/>
          <w:sz w:val="24"/>
          <w:szCs w:val="24"/>
        </w:rPr>
        <w:t> </w:t>
      </w:r>
      <w:r>
        <w:rPr>
          <w:rFonts w:ascii="宋体" w:hAnsi="宋体" w:cs="宋体" w:eastAsia="宋体" w:hint="default"/>
          <w:sz w:val="24"/>
          <w:szCs w:val="24"/>
        </w:rPr>
        <w:t>本公司以很可能取得用来抵扣可抵扣暂时性差异、能够结转以后年度的可抵扣亏损和税</w:t>
      </w:r>
    </w:p>
    <w:p>
      <w:pPr>
        <w:pStyle w:val="BodyText"/>
        <w:spacing w:line="352" w:lineRule="auto" w:before="32"/>
        <w:ind w:right="1011"/>
        <w:jc w:val="both"/>
      </w:pPr>
      <w:r>
        <w:rPr/>
        <w:t>款抵减的应纳税所得额为限，确认由可抵扣暂时性差异产生的递延所得税资产。但是，同时 </w:t>
      </w:r>
      <w:r>
        <w:rPr>
          <w:spacing w:val="-3"/>
        </w:rPr>
        <w:t>具有下列特征的交易中因资产或负债的初始确认所产生的递延所得税资产不予确认：（</w:t>
      </w:r>
      <w:r>
        <w:rPr>
          <w:rFonts w:ascii="宋体" w:hAnsi="宋体" w:cs="宋体" w:eastAsia="宋体" w:hint="default"/>
          <w:spacing w:val="-3"/>
        </w:rPr>
        <w:t>1</w:t>
      </w:r>
      <w:r>
        <w:rPr>
          <w:spacing w:val="-3"/>
        </w:rPr>
        <w:t>）该</w:t>
      </w:r>
      <w:r>
        <w:rPr>
          <w:spacing w:val="-106"/>
        </w:rPr>
        <w:t> </w:t>
      </w:r>
      <w:r>
        <w:rPr>
          <w:spacing w:val="-5"/>
        </w:rPr>
        <w:t>交易不是企业合并；（</w:t>
      </w:r>
      <w:r>
        <w:rPr>
          <w:rFonts w:ascii="宋体" w:hAnsi="宋体" w:cs="宋体" w:eastAsia="宋体" w:hint="default"/>
          <w:spacing w:val="-5"/>
        </w:rPr>
        <w:t>2</w:t>
      </w:r>
      <w:r>
        <w:rPr>
          <w:spacing w:val="-5"/>
        </w:rPr>
        <w:t>）交易发生时既不影响会计利润也不影响应纳税所得额或可抵扣亏损。</w:t>
      </w:r>
    </w:p>
    <w:p>
      <w:pPr>
        <w:pStyle w:val="BodyText"/>
        <w:spacing w:line="352" w:lineRule="auto" w:before="32"/>
        <w:ind w:right="1170" w:firstLine="480"/>
        <w:jc w:val="both"/>
      </w:pPr>
      <w:r>
        <w:rPr/>
        <w:t>对于与联营企业投资相关的可抵扣暂时性差异，同时满足下列条件的，确认相应的递延 所得税资产：暂时性差异在可预见的未来很可能转回，且未来很可能获得用来抵扣可抵扣暂 时性差异的应纳税所得额。</w:t>
      </w:r>
    </w:p>
    <w:p>
      <w:pPr>
        <w:spacing w:line="350" w:lineRule="auto" w:before="33"/>
        <w:ind w:left="634" w:right="0" w:hanging="123"/>
        <w:jc w:val="left"/>
        <w:rPr>
          <w:rFonts w:ascii="宋体" w:hAnsi="宋体" w:cs="宋体" w:eastAsia="宋体" w:hint="default"/>
          <w:sz w:val="24"/>
          <w:szCs w:val="24"/>
        </w:rPr>
      </w:pPr>
      <w:r>
        <w:rPr>
          <w:rFonts w:ascii="宋体" w:hAnsi="宋体" w:cs="宋体" w:eastAsia="宋体" w:hint="default"/>
          <w:b/>
          <w:bCs/>
          <w:sz w:val="24"/>
          <w:szCs w:val="24"/>
        </w:rPr>
        <w:t>确认递延所得税负债的依据</w:t>
      </w:r>
      <w:r>
        <w:rPr>
          <w:rFonts w:ascii="宋体" w:hAnsi="宋体" w:cs="宋体" w:eastAsia="宋体" w:hint="default"/>
          <w:b/>
          <w:bCs/>
          <w:w w:val="99"/>
          <w:sz w:val="24"/>
          <w:szCs w:val="24"/>
        </w:rPr>
        <w:t> </w:t>
      </w:r>
      <w:r>
        <w:rPr>
          <w:rFonts w:ascii="宋体" w:hAnsi="宋体" w:cs="宋体" w:eastAsia="宋体" w:hint="default"/>
          <w:spacing w:val="-3"/>
          <w:sz w:val="24"/>
          <w:szCs w:val="24"/>
        </w:rPr>
        <w:t>公司将当期与以前期间应交未交的应纳税暂时性差异确认为递延所得税负债。但不包括：</w:t>
      </w:r>
    </w:p>
    <w:p>
      <w:pPr>
        <w:pStyle w:val="BodyText"/>
        <w:spacing w:line="240" w:lineRule="auto"/>
        <w:ind w:left="634" w:right="0"/>
        <w:jc w:val="left"/>
      </w:pPr>
      <w:r>
        <w:rPr/>
        <w:t>（</w:t>
      </w:r>
      <w:r>
        <w:rPr>
          <w:rFonts w:ascii="宋体" w:hAnsi="宋体" w:cs="宋体" w:eastAsia="宋体" w:hint="default"/>
        </w:rPr>
        <w:t>1</w:t>
      </w:r>
      <w:r>
        <w:rPr/>
        <w:t>）商誉的初始确认所形成的暂时性差异；</w:t>
      </w:r>
    </w:p>
    <w:p>
      <w:pPr>
        <w:pStyle w:val="BodyText"/>
        <w:spacing w:line="350" w:lineRule="auto" w:before="145"/>
        <w:ind w:right="1132" w:firstLine="480"/>
        <w:jc w:val="both"/>
      </w:pPr>
      <w:r>
        <w:rPr>
          <w:spacing w:val="-3"/>
        </w:rPr>
        <w:t>（</w:t>
      </w:r>
      <w:r>
        <w:rPr>
          <w:rFonts w:ascii="宋体" w:hAnsi="宋体" w:cs="宋体" w:eastAsia="宋体" w:hint="default"/>
          <w:spacing w:val="-3"/>
        </w:rPr>
        <w:t>2</w:t>
      </w:r>
      <w:r>
        <w:rPr>
          <w:spacing w:val="-3"/>
        </w:rPr>
        <w:t>）非企业合并形成的交易或事项，且该交易或事项发生时既不影响会计利润，也不影</w:t>
      </w:r>
      <w:r>
        <w:rPr/>
        <w:t> 响应纳税所得额（或可抵扣亏损）所形成的暂时性差异；</w:t>
      </w:r>
    </w:p>
    <w:p>
      <w:pPr>
        <w:pStyle w:val="BodyText"/>
        <w:spacing w:line="350" w:lineRule="auto"/>
        <w:ind w:right="1132" w:firstLine="480"/>
        <w:jc w:val="both"/>
      </w:pPr>
      <w:r>
        <w:rPr>
          <w:spacing w:val="-3"/>
        </w:rPr>
        <w:t>（</w:t>
      </w:r>
      <w:r>
        <w:rPr>
          <w:rFonts w:ascii="宋体" w:hAnsi="宋体" w:cs="宋体" w:eastAsia="宋体" w:hint="default"/>
          <w:spacing w:val="-3"/>
        </w:rPr>
        <w:t>3</w:t>
      </w:r>
      <w:r>
        <w:rPr>
          <w:spacing w:val="-3"/>
        </w:rPr>
        <w:t>）对于与子公司、联营企业投资相关的应纳税暂时性差异，该暂时性差异转回的时间</w:t>
      </w:r>
      <w:r>
        <w:rPr/>
        <w:t> 能够控制并且该暂时性差异在可预见的未来很可能不会转回。</w:t>
      </w:r>
    </w:p>
    <w:p>
      <w:pPr>
        <w:pStyle w:val="Heading2"/>
        <w:spacing w:line="240" w:lineRule="auto" w:before="35"/>
        <w:ind w:right="0"/>
        <w:jc w:val="left"/>
        <w:rPr>
          <w:b w:val="0"/>
          <w:bCs w:val="0"/>
        </w:rPr>
      </w:pPr>
      <w:bookmarkStart w:name="31、租赁" w:id="222"/>
      <w:bookmarkEnd w:id="222"/>
      <w:r>
        <w:rPr>
          <w:b w:val="0"/>
          <w:bCs w:val="0"/>
        </w:rPr>
      </w:r>
      <w:r>
        <w:rPr>
          <w:rFonts w:ascii="Times New Roman" w:hAnsi="Times New Roman" w:cs="Times New Roman" w:eastAsia="Times New Roman" w:hint="default"/>
        </w:rPr>
        <w:t>31</w:t>
      </w:r>
      <w:r>
        <w:rPr/>
        <w:t>、租赁</w:t>
      </w:r>
      <w:r>
        <w:rPr>
          <w:b w:val="0"/>
          <w:bCs w:val="0"/>
        </w:rPr>
      </w:r>
    </w:p>
    <w:p>
      <w:pPr>
        <w:pStyle w:val="Heading2"/>
        <w:spacing w:line="240" w:lineRule="auto" w:before="128"/>
        <w:ind w:right="0"/>
        <w:jc w:val="left"/>
        <w:rPr>
          <w:b w:val="0"/>
          <w:bCs w:val="0"/>
        </w:rPr>
      </w:pPr>
      <w:bookmarkStart w:name="（1）经营租赁的会计处理方法" w:id="223"/>
      <w:bookmarkEnd w:id="223"/>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350" w:lineRule="auto" w:before="127"/>
        <w:ind w:left="634" w:right="1152"/>
        <w:jc w:val="left"/>
      </w:pPr>
      <w:r>
        <w:rPr/>
        <w:t>①经营租入资产 公司租入资产所支付的租赁费，在不扣除免租期的整个租赁期内，按直线法进行分摊，</w:t>
      </w:r>
    </w:p>
    <w:p>
      <w:pPr>
        <w:pStyle w:val="BodyText"/>
        <w:spacing w:line="350" w:lineRule="auto"/>
        <w:ind w:left="634" w:right="1152" w:hanging="480"/>
        <w:jc w:val="left"/>
      </w:pPr>
      <w:r>
        <w:rPr/>
        <w:t>计入当期费用。公司支付的与租赁交易相关的初始直接费用，计入当期费用。 资产出租方承担了应由公司承担的与租赁相关的费用时，公司将该部分费用从租金总额</w:t>
      </w:r>
    </w:p>
    <w:p>
      <w:pPr>
        <w:pStyle w:val="BodyText"/>
        <w:spacing w:line="240" w:lineRule="auto" w:before="35"/>
        <w:ind w:right="0"/>
        <w:jc w:val="left"/>
      </w:pPr>
      <w:r>
        <w:rPr/>
        <w:t>中扣除，按扣除后的租金费用在租赁期内分摊，计入当期费用。</w:t>
      </w:r>
    </w:p>
    <w:p>
      <w:pPr>
        <w:pStyle w:val="BodyText"/>
        <w:spacing w:line="240" w:lineRule="auto" w:before="146"/>
        <w:ind w:left="634" w:right="0"/>
        <w:jc w:val="left"/>
      </w:pPr>
      <w:r>
        <w:rPr/>
        <w:t>②经营租出资产</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1170" w:firstLine="480"/>
        <w:jc w:val="right"/>
      </w:pPr>
      <w:r>
        <w:rPr/>
        <w:t>公司出租资产所收取的租赁费，在不扣除免租期的整个租赁期内，按直线法进行分摊， 确认为租赁收入。公司支付的与租赁交易相关的初始直接费用，计入当期费用；如金额较大 的，则予以资本化，在整个租赁期间内按照与租赁收入确认相同的基础分期计入当期收益。 公司承担了应由承租方承担的与租赁相关的费用时，公司将该部分费用从租金收入总额</w:t>
      </w:r>
    </w:p>
    <w:p>
      <w:pPr>
        <w:pStyle w:val="BodyText"/>
        <w:spacing w:line="240" w:lineRule="auto" w:before="32"/>
        <w:ind w:right="0"/>
        <w:jc w:val="left"/>
      </w:pPr>
      <w:r>
        <w:rPr/>
        <w:t>中扣除，按扣除后的租金费用在租赁期内分配。</w:t>
      </w:r>
    </w:p>
    <w:p>
      <w:pPr>
        <w:pStyle w:val="Heading2"/>
        <w:spacing w:line="240" w:lineRule="auto" w:before="146"/>
        <w:ind w:right="0"/>
        <w:jc w:val="left"/>
        <w:rPr>
          <w:b w:val="0"/>
          <w:bCs w:val="0"/>
        </w:rPr>
      </w:pPr>
      <w:bookmarkStart w:name="（2）融资租赁的会计处理方法" w:id="224"/>
      <w:bookmarkEnd w:id="22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350" w:lineRule="auto" w:before="127"/>
        <w:ind w:right="0" w:firstLine="480"/>
        <w:jc w:val="left"/>
      </w:pPr>
      <w:r>
        <w:rPr/>
        <w:t>①融资租入资产：公司在承租开始日，将租赁资产公允价值与最低租赁付款额现值两者 中较低者作为租入资产的入账价值，将最低租赁付款额作为长期应付款的入账价值，其差额 </w:t>
      </w:r>
      <w:r>
        <w:rPr>
          <w:spacing w:val="-3"/>
        </w:rPr>
        <w:t>作为未确认的融资费用。融资租入资产的认定依据、计价和折旧方法详见本附注四／（十三）</w:t>
      </w:r>
      <w:r>
        <w:rPr>
          <w:spacing w:val="-81"/>
        </w:rPr>
        <w:t> </w:t>
      </w:r>
      <w:r>
        <w:rPr>
          <w:spacing w:val="-81"/>
        </w:rPr>
      </w:r>
      <w:r>
        <w:rPr/>
        <w:t>固定资产。</w:t>
      </w:r>
    </w:p>
    <w:p>
      <w:pPr>
        <w:pStyle w:val="BodyText"/>
        <w:spacing w:line="240" w:lineRule="auto" w:before="35"/>
        <w:ind w:left="634" w:right="0"/>
        <w:jc w:val="left"/>
      </w:pPr>
      <w:r>
        <w:rPr/>
        <w:t>公司采用实际利率法对未确认的融资费用，在资产租赁期间内摊销，计入财务费用。</w:t>
      </w:r>
    </w:p>
    <w:p>
      <w:pPr>
        <w:pStyle w:val="BodyText"/>
        <w:spacing w:line="350" w:lineRule="auto" w:before="146"/>
        <w:ind w:right="1169" w:firstLine="480"/>
        <w:jc w:val="both"/>
      </w:pPr>
      <w:r>
        <w:rPr/>
        <w:t>②融资租出资产：公司在租赁开始日，将应收融资租赁款，未担保余值之和与其现值的 差额确认为未实现融资收益，在将来收到租金的各期间内确认为租赁收入，公司发生的与出 租交易相关的初始直接费用，计入应收融资租赁款的初始计量中，并减少租赁期内确认的收 益金额。</w:t>
      </w:r>
    </w:p>
    <w:p>
      <w:pPr>
        <w:pStyle w:val="Heading2"/>
        <w:spacing w:line="331" w:lineRule="auto" w:before="35"/>
        <w:ind w:left="634" w:right="6192" w:hanging="480"/>
        <w:jc w:val="left"/>
        <w:rPr>
          <w:rFonts w:ascii="宋体" w:hAnsi="宋体" w:cs="宋体" w:eastAsia="宋体" w:hint="default"/>
          <w:b w:val="0"/>
          <w:bCs w:val="0"/>
        </w:rPr>
      </w:pPr>
      <w:bookmarkStart w:name="32、其他重要的会计政策和会计估计" w:id="225"/>
      <w:bookmarkEnd w:id="225"/>
      <w:r>
        <w:rPr>
          <w:b w:val="0"/>
          <w:bCs w:val="0"/>
        </w:rPr>
      </w:r>
      <w:r>
        <w:rPr>
          <w:rFonts w:ascii="Times New Roman" w:hAnsi="Times New Roman" w:cs="Times New Roman" w:eastAsia="Times New Roman" w:hint="default"/>
          <w:w w:val="95"/>
        </w:rPr>
        <w:t>32</w:t>
      </w:r>
      <w:r>
        <w:rPr>
          <w:w w:val="95"/>
        </w:rPr>
        <w:t>、其他重要的会计政策和会计估计</w:t>
      </w:r>
      <w:r>
        <w:rPr>
          <w:spacing w:val="63"/>
          <w:w w:val="95"/>
        </w:rPr>
        <w:t> </w:t>
      </w:r>
      <w:r>
        <w:rPr>
          <w:rFonts w:ascii="宋体" w:hAnsi="宋体" w:cs="宋体" w:eastAsia="宋体" w:hint="default"/>
          <w:b w:val="0"/>
          <w:bCs w:val="0"/>
        </w:rPr>
        <w:t>终止经营</w:t>
      </w:r>
    </w:p>
    <w:p>
      <w:pPr>
        <w:pStyle w:val="BodyText"/>
        <w:spacing w:line="350" w:lineRule="auto" w:before="55"/>
        <w:ind w:right="1152" w:firstLine="480"/>
        <w:jc w:val="left"/>
      </w:pPr>
      <w:r>
        <w:rPr/>
        <w:t>本公司将满足下列条件之一的，且该组成部分已经处置或划归为持有待售类别的、能够 单独区分的组成部分确认为终止经营组成部分：</w:t>
      </w:r>
    </w:p>
    <w:p>
      <w:pPr>
        <w:pStyle w:val="BodyText"/>
        <w:spacing w:line="240" w:lineRule="auto" w:before="35"/>
        <w:ind w:left="634" w:right="0"/>
        <w:jc w:val="left"/>
      </w:pPr>
      <w:r>
        <w:rPr/>
        <w:t>（</w:t>
      </w:r>
      <w:r>
        <w:rPr>
          <w:rFonts w:ascii="宋体" w:hAnsi="宋体" w:cs="宋体" w:eastAsia="宋体" w:hint="default"/>
        </w:rPr>
        <w:t>1</w:t>
      </w:r>
      <w:r>
        <w:rPr/>
        <w:t>）该组成部分代表一项独立的主要业务或一个单独的主要经营地区。</w:t>
      </w:r>
    </w:p>
    <w:p>
      <w:pPr>
        <w:pStyle w:val="BodyText"/>
        <w:spacing w:line="350" w:lineRule="auto" w:before="146"/>
        <w:ind w:right="0" w:firstLine="480"/>
        <w:jc w:val="left"/>
      </w:pPr>
      <w:r>
        <w:rPr>
          <w:spacing w:val="-3"/>
        </w:rPr>
        <w:t>（</w:t>
      </w:r>
      <w:r>
        <w:rPr>
          <w:rFonts w:ascii="宋体" w:hAnsi="宋体" w:cs="宋体" w:eastAsia="宋体" w:hint="default"/>
          <w:spacing w:val="-3"/>
        </w:rPr>
        <w:t>2</w:t>
      </w:r>
      <w:r>
        <w:rPr>
          <w:spacing w:val="-3"/>
        </w:rPr>
        <w:t>）该组成部分是拟对一项独立的主要业务或一个单独的主要经营地区进行处置的一项</w:t>
      </w:r>
      <w:r>
        <w:rPr/>
        <w:t> 相关联计划的一部分。</w:t>
      </w:r>
    </w:p>
    <w:p>
      <w:pPr>
        <w:pStyle w:val="BodyText"/>
        <w:spacing w:line="352" w:lineRule="auto" w:before="35"/>
        <w:ind w:left="634" w:right="1152"/>
        <w:jc w:val="left"/>
      </w:pPr>
      <w:r>
        <w:rPr/>
        <w:t>（</w:t>
      </w:r>
      <w:r>
        <w:rPr>
          <w:rFonts w:ascii="宋体" w:hAnsi="宋体" w:cs="宋体" w:eastAsia="宋体" w:hint="default"/>
        </w:rPr>
        <w:t>3</w:t>
      </w:r>
      <w:r>
        <w:rPr/>
        <w:t>）该组成部分是专为转售而取得的子公司。 终止经营的减值损失和转回金额等经营损益及处置损益作为终止经营损益在利润表中列</w:t>
      </w:r>
    </w:p>
    <w:p>
      <w:pPr>
        <w:pStyle w:val="BodyText"/>
        <w:spacing w:line="240" w:lineRule="auto" w:before="32"/>
        <w:ind w:right="0"/>
        <w:jc w:val="left"/>
      </w:pPr>
      <w:r>
        <w:rPr/>
        <w:t>示。</w:t>
      </w:r>
    </w:p>
    <w:p>
      <w:pPr>
        <w:pStyle w:val="Heading2"/>
        <w:spacing w:line="240" w:lineRule="auto" w:before="145"/>
        <w:ind w:right="0"/>
        <w:jc w:val="left"/>
        <w:rPr>
          <w:b w:val="0"/>
          <w:bCs w:val="0"/>
        </w:rPr>
      </w:pPr>
      <w:bookmarkStart w:name="33、重要会计政策和会计估计变更" w:id="226"/>
      <w:bookmarkEnd w:id="226"/>
      <w:r>
        <w:rPr>
          <w:b w:val="0"/>
          <w:bCs w:val="0"/>
        </w:rPr>
      </w:r>
      <w:r>
        <w:rPr>
          <w:rFonts w:ascii="Times New Roman" w:hAnsi="Times New Roman" w:cs="Times New Roman" w:eastAsia="Times New Roman" w:hint="default"/>
        </w:rPr>
        <w:t>33</w:t>
      </w:r>
      <w:r>
        <w:rPr/>
        <w:t>、重要会计政策和会计估计变更</w:t>
      </w:r>
      <w:r>
        <w:rPr>
          <w:b w:val="0"/>
          <w:bCs w:val="0"/>
        </w:rPr>
      </w:r>
    </w:p>
    <w:p>
      <w:pPr>
        <w:pStyle w:val="Heading2"/>
        <w:spacing w:line="240" w:lineRule="auto" w:before="128"/>
        <w:ind w:right="0"/>
        <w:jc w:val="left"/>
        <w:rPr>
          <w:b w:val="0"/>
          <w:bCs w:val="0"/>
        </w:rPr>
      </w:pPr>
      <w:bookmarkStart w:name="（1）重要会计政策变更" w:id="227"/>
      <w:bookmarkEnd w:id="227"/>
      <w:r>
        <w:rPr>
          <w:b w:val="0"/>
          <w:bCs w:val="0"/>
        </w:rPr>
      </w:r>
      <w:r>
        <w:rPr/>
        <w:t>（</w:t>
      </w:r>
      <w:r>
        <w:rPr>
          <w:rFonts w:ascii="Times New Roman" w:hAnsi="Times New Roman" w:cs="Times New Roman" w:eastAsia="Times New Roman" w:hint="default"/>
        </w:rPr>
        <w:t>1</w:t>
      </w:r>
      <w:r>
        <w:rPr/>
        <w:t>）重要会计政策变更</w:t>
      </w:r>
      <w:r>
        <w:rPr>
          <w:b w:val="0"/>
          <w:bCs w:val="0"/>
        </w:rPr>
      </w:r>
    </w:p>
    <w:p>
      <w:pPr>
        <w:pStyle w:val="BodyText"/>
        <w:spacing w:line="240" w:lineRule="auto" w:before="127"/>
        <w:ind w:left="634" w:right="0"/>
        <w:jc w:val="left"/>
      </w:pPr>
      <w:r>
        <w:rPr/>
        <w:t>□ 适用 √ 不适用</w:t>
      </w:r>
    </w:p>
    <w:p>
      <w:pPr>
        <w:pStyle w:val="Heading2"/>
        <w:spacing w:line="240" w:lineRule="auto" w:before="145"/>
        <w:ind w:right="0"/>
        <w:jc w:val="left"/>
        <w:rPr>
          <w:b w:val="0"/>
          <w:bCs w:val="0"/>
        </w:rPr>
      </w:pPr>
      <w:bookmarkStart w:name="（2）重要会计估计变更" w:id="228"/>
      <w:bookmarkEnd w:id="228"/>
      <w:r>
        <w:rPr>
          <w:b w:val="0"/>
          <w:bCs w:val="0"/>
        </w:rPr>
      </w:r>
      <w:r>
        <w:rPr/>
        <w:t>（</w:t>
      </w:r>
      <w:r>
        <w:rPr>
          <w:rFonts w:ascii="Times New Roman" w:hAnsi="Times New Roman" w:cs="Times New Roman" w:eastAsia="Times New Roman" w:hint="default"/>
        </w:rPr>
        <w:t>2</w:t>
      </w:r>
      <w:r>
        <w:rPr/>
        <w:t>）重要会计估计变更</w:t>
      </w:r>
      <w:r>
        <w:rPr>
          <w:b w:val="0"/>
          <w:bCs w:val="0"/>
        </w:rPr>
      </w:r>
    </w:p>
    <w:p>
      <w:pPr>
        <w:pStyle w:val="BodyText"/>
        <w:spacing w:line="240" w:lineRule="auto" w:before="128"/>
        <w:ind w:left="634"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0"/>
        <w:jc w:val="both"/>
        <w:rPr>
          <w:b w:val="0"/>
          <w:bCs w:val="0"/>
        </w:rPr>
      </w:pPr>
      <w:bookmarkStart w:name="34、其他" w:id="229"/>
      <w:bookmarkEnd w:id="229"/>
      <w:r>
        <w:rPr>
          <w:b w:val="0"/>
          <w:bCs w:val="0"/>
        </w:rPr>
      </w:r>
      <w:r>
        <w:rPr>
          <w:rFonts w:ascii="Times New Roman" w:hAnsi="Times New Roman" w:cs="Times New Roman" w:eastAsia="Times New Roman" w:hint="default"/>
        </w:rPr>
        <w:t>34</w:t>
      </w:r>
      <w:r>
        <w:rPr/>
        <w:t>、其他</w:t>
      </w:r>
      <w:r>
        <w:rPr>
          <w:b w:val="0"/>
          <w:bCs w:val="0"/>
        </w:rPr>
      </w:r>
    </w:p>
    <w:p>
      <w:pPr>
        <w:pStyle w:val="BodyText"/>
        <w:spacing w:line="352" w:lineRule="auto" w:before="127"/>
        <w:ind w:left="634" w:right="1032"/>
        <w:jc w:val="left"/>
      </w:pPr>
      <w:r>
        <w:rPr/>
        <w:t>财务报表列报项目变更说明 财政部于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15</w:t>
      </w:r>
      <w:r>
        <w:rPr/>
        <w:t>日发布了《关于修订印发</w:t>
      </w:r>
      <w:r>
        <w:rPr>
          <w:rFonts w:ascii="宋体" w:hAnsi="宋体" w:cs="宋体" w:eastAsia="宋体" w:hint="default"/>
        </w:rPr>
        <w:t>2018</w:t>
      </w:r>
      <w:r>
        <w:rPr/>
        <w:t>年度一般企业财务报表格式的通知》</w:t>
      </w:r>
    </w:p>
    <w:p>
      <w:pPr>
        <w:pStyle w:val="BodyText"/>
        <w:spacing w:line="350" w:lineRule="auto" w:before="33"/>
        <w:ind w:right="1169"/>
        <w:jc w:val="both"/>
      </w:pPr>
      <w:r>
        <w:rPr/>
        <w:t>（财会〔</w:t>
      </w:r>
      <w:r>
        <w:rPr>
          <w:rFonts w:ascii="宋体" w:hAnsi="宋体" w:cs="宋体" w:eastAsia="宋体" w:hint="default"/>
        </w:rPr>
        <w:t>2018</w:t>
      </w:r>
      <w:r>
        <w:rPr/>
        <w:t>〕</w:t>
      </w:r>
      <w:r>
        <w:rPr>
          <w:rFonts w:ascii="宋体" w:hAnsi="宋体" w:cs="宋体" w:eastAsia="宋体" w:hint="default"/>
        </w:rPr>
        <w:t>15</w:t>
      </w:r>
      <w:r>
        <w:rPr/>
        <w:t>号），对一般企业财务报表格式进行了修订，归并部分资产负债表项目， 拆分部分利润表项目；并于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7</w:t>
      </w:r>
      <w:r>
        <w:rPr/>
        <w:t>日发布了《关于</w:t>
      </w:r>
      <w:r>
        <w:rPr>
          <w:rFonts w:ascii="宋体" w:hAnsi="宋体" w:cs="宋体" w:eastAsia="宋体" w:hint="default"/>
        </w:rPr>
        <w:t>2018</w:t>
      </w:r>
      <w:r>
        <w:rPr/>
        <w:t>年度一般企业财务报表格式有关 问题的解读》，明确要求代扣个人所得税手续费返还在“其他收益”列报，实际收到的政府 补助，无论是与资产相关还是与收益相关，在编制现金流量表时均作为经营活动产生的现金 流量列报等。</w:t>
      </w:r>
    </w:p>
    <w:p>
      <w:pPr>
        <w:pStyle w:val="BodyText"/>
        <w:spacing w:line="350" w:lineRule="auto"/>
        <w:ind w:right="1169" w:firstLine="480"/>
        <w:jc w:val="both"/>
      </w:pPr>
      <w:r>
        <w:rPr/>
        <w:t>本公司已经根据新的企业财务报表格式的要求编制财务报表，财务报表的列报项目因此 发生变更的，已经按照《企业会计准则第</w:t>
      </w:r>
      <w:r>
        <w:rPr>
          <w:rFonts w:ascii="宋体" w:hAnsi="宋体" w:cs="宋体" w:eastAsia="宋体" w:hint="default"/>
        </w:rPr>
        <w:t>30</w:t>
      </w:r>
      <w:r>
        <w:rPr/>
        <w:t>号——财务报表列报》等的相关规定，对可比期 间的比较数据进行调整。</w:t>
      </w:r>
    </w:p>
    <w:p>
      <w:pPr>
        <w:pStyle w:val="BodyText"/>
        <w:spacing w:line="240" w:lineRule="auto"/>
        <w:ind w:left="634" w:right="0"/>
        <w:jc w:val="left"/>
      </w:pPr>
      <w:r>
        <w:rPr/>
        <w:t>对可比期间的财务报表列报项目及金额的影响如下：</w:t>
      </w:r>
    </w:p>
    <w:p>
      <w:pPr>
        <w:spacing w:line="240" w:lineRule="auto" w:before="5"/>
        <w:rPr>
          <w:rFonts w:ascii="宋体" w:hAnsi="宋体" w:cs="宋体" w:eastAsia="宋体" w:hint="default"/>
          <w:sz w:val="4"/>
          <w:szCs w:val="4"/>
        </w:rPr>
      </w:pPr>
    </w:p>
    <w:tbl>
      <w:tblPr>
        <w:tblW w:w="0" w:type="auto"/>
        <w:jc w:val="left"/>
        <w:tblInd w:w="409" w:type="dxa"/>
        <w:tblLayout w:type="fixed"/>
        <w:tblCellMar>
          <w:top w:w="0" w:type="dxa"/>
          <w:left w:w="0" w:type="dxa"/>
          <w:bottom w:w="0" w:type="dxa"/>
          <w:right w:w="0" w:type="dxa"/>
        </w:tblCellMar>
        <w:tblLook w:val="01E0"/>
      </w:tblPr>
      <w:tblGrid>
        <w:gridCol w:w="2150"/>
        <w:gridCol w:w="2127"/>
        <w:gridCol w:w="2128"/>
        <w:gridCol w:w="1842"/>
        <w:gridCol w:w="871"/>
      </w:tblGrid>
      <w:tr>
        <w:trPr>
          <w:trHeight w:val="654"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649"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743" w:right="5" w:hanging="735"/>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日之前列 报金额</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638" w:right="0"/>
              <w:jc w:val="left"/>
              <w:rPr>
                <w:rFonts w:ascii="宋体" w:hAnsi="宋体" w:cs="宋体" w:eastAsia="宋体" w:hint="default"/>
                <w:sz w:val="21"/>
                <w:szCs w:val="21"/>
              </w:rPr>
            </w:pPr>
            <w:r>
              <w:rPr>
                <w:rFonts w:ascii="宋体" w:hAnsi="宋体" w:cs="宋体" w:eastAsia="宋体" w:hint="default"/>
                <w:sz w:val="21"/>
                <w:szCs w:val="21"/>
              </w:rPr>
              <w:t>影响金额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95" w:right="74" w:hanging="421"/>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日经重 列后金额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0"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42"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30,643,134.07</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-30,643,134.07</w:t>
            </w:r>
          </w:p>
        </w:tc>
        <w:tc>
          <w:tcPr>
            <w:tcW w:w="1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567,489,218.42</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-567,489,218.42</w:t>
            </w:r>
          </w:p>
        </w:tc>
        <w:tc>
          <w:tcPr>
            <w:tcW w:w="1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598,132,352.49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598,132,352.49</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208,504,797.03</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-208,504,797.03</w:t>
            </w:r>
          </w:p>
        </w:tc>
        <w:tc>
          <w:tcPr>
            <w:tcW w:w="1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208,504,797.03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208,504,797.03</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15,889,500.00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-15,889,500.00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6,513,653.83</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15,889,500.00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22,403,153.83</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108,189,529.40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-59,787,351.00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48,402,178.40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59,787,351.00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59,787,351.00</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六、税项" w:id="230"/>
      <w:bookmarkEnd w:id="230"/>
      <w:r>
        <w:rPr>
          <w:b w:val="0"/>
          <w:bCs w:val="0"/>
        </w:rPr>
      </w:r>
      <w:r>
        <w:rPr/>
        <w:t>六、税项</w:t>
      </w:r>
      <w:r>
        <w:rPr>
          <w:b w:val="0"/>
          <w:bCs w:val="0"/>
        </w:rPr>
      </w:r>
    </w:p>
    <w:p>
      <w:pPr>
        <w:spacing w:line="240" w:lineRule="auto" w:before="5"/>
        <w:rPr>
          <w:rFonts w:ascii="宋体" w:hAnsi="宋体" w:cs="宋体" w:eastAsia="宋体" w:hint="default"/>
          <w:b/>
          <w:bCs/>
          <w:sz w:val="32"/>
          <w:szCs w:val="32"/>
        </w:rPr>
      </w:pPr>
    </w:p>
    <w:p>
      <w:pPr>
        <w:pStyle w:val="Heading2"/>
        <w:spacing w:line="240" w:lineRule="auto" w:before="0"/>
        <w:ind w:right="0"/>
        <w:jc w:val="left"/>
        <w:rPr>
          <w:b w:val="0"/>
          <w:bCs w:val="0"/>
        </w:rPr>
      </w:pPr>
      <w:bookmarkStart w:name="1、主要税种及税率" w:id="231"/>
      <w:bookmarkEnd w:id="23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73" w:lineRule="auto" w:before="26"/>
              <w:ind w:left="16" w:right="22"/>
              <w:jc w:val="left"/>
              <w:rPr>
                <w:rFonts w:ascii="宋体" w:hAnsi="宋体" w:cs="宋体" w:eastAsia="宋体" w:hint="default"/>
                <w:sz w:val="21"/>
                <w:szCs w:val="21"/>
              </w:rPr>
            </w:pPr>
            <w:r>
              <w:rPr>
                <w:rFonts w:ascii="宋体" w:hAnsi="宋体" w:cs="宋体" w:eastAsia="宋体" w:hint="default"/>
                <w:spacing w:val="-2"/>
                <w:sz w:val="21"/>
                <w:szCs w:val="21"/>
              </w:rPr>
              <w:t>销售货物、应税销售服务收入、无</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形资产或者不动产</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82"/>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16%</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参见下表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按照房产原值的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为纳税基准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1.2%</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240" w:lineRule="auto" w:before="199"/>
        <w:ind w:left="634" w:right="0"/>
        <w:jc w:val="left"/>
      </w:pPr>
      <w:r>
        <w:rPr/>
        <w:t>存在不同企业所得税税率纳税主体的，披露情况说明</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6522"/>
        <w:gridCol w:w="3047"/>
      </w:tblGrid>
      <w:tr>
        <w:trPr>
          <w:trHeight w:val="401"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3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93" w:right="0"/>
              <w:jc w:val="left"/>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15%</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河南辉煌软件有限公司（简称：辉煌软件）</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15%</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河南辉煌信通软件有限公司（简称：辉煌信通软件）</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25%</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北京全路信通软件科技有限公司（简称：全路信通软件）</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25%</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河南辉煌城轨科技有限公司（简称：辉煌城轨）</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15%</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天津智信源科技有限公司（简称：智信源科技）</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25%</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北京国铁路阳技术有限公司（简称：国铁路阳）</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15%</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天津信通铁路电气技术有限公司（简称：天津信通）</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20%</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北京国铁路阳软件有限公司（简称：路阳软件）</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15%</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天津辉煌路阳科技有限公司（简称：辉煌路阳）</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25%</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成都西南交大驱动技术有限责任公司（简称：交大驱动）</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15%</w:t>
            </w:r>
          </w:p>
        </w:tc>
      </w:tr>
      <w:tr>
        <w:trPr>
          <w:trHeight w:val="403"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成都新一驱动科技有限责任公司（简称：新一驱动）</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20%</w:t>
            </w:r>
          </w:p>
        </w:tc>
      </w:tr>
    </w:tbl>
    <w:p>
      <w:pPr>
        <w:spacing w:line="240" w:lineRule="auto" w:before="10"/>
        <w:rPr>
          <w:rFonts w:ascii="宋体" w:hAnsi="宋体" w:cs="宋体" w:eastAsia="宋体" w:hint="default"/>
          <w:sz w:val="4"/>
          <w:szCs w:val="4"/>
        </w:rPr>
      </w:pPr>
    </w:p>
    <w:p>
      <w:pPr>
        <w:pStyle w:val="Heading2"/>
        <w:spacing w:line="240" w:lineRule="auto"/>
        <w:ind w:right="0"/>
        <w:jc w:val="both"/>
        <w:rPr>
          <w:b w:val="0"/>
          <w:bCs w:val="0"/>
        </w:rPr>
      </w:pPr>
      <w:bookmarkStart w:name="2、税收优惠" w:id="232"/>
      <w:bookmarkEnd w:id="232"/>
      <w:r>
        <w:rPr>
          <w:b w:val="0"/>
          <w:bCs w:val="0"/>
        </w:rPr>
      </w:r>
      <w:r>
        <w:rPr>
          <w:rFonts w:ascii="Times New Roman" w:hAnsi="Times New Roman" w:cs="Times New Roman" w:eastAsia="Times New Roman" w:hint="default"/>
        </w:rPr>
        <w:t>2</w:t>
      </w:r>
      <w:r>
        <w:rPr/>
        <w:t>、税收优惠</w:t>
      </w:r>
      <w:r>
        <w:rPr>
          <w:b w:val="0"/>
          <w:bCs w:val="0"/>
        </w:rPr>
      </w:r>
    </w:p>
    <w:p>
      <w:pPr>
        <w:pStyle w:val="BodyText"/>
        <w:spacing w:line="352" w:lineRule="auto" w:before="127"/>
        <w:ind w:right="1169" w:firstLine="480"/>
        <w:jc w:val="both"/>
      </w:pPr>
      <w:r>
        <w:rPr/>
        <w:t>增值税：按应税销售收入适用</w:t>
      </w:r>
      <w:r>
        <w:rPr>
          <w:rFonts w:ascii="宋体" w:hAnsi="宋体" w:cs="宋体" w:eastAsia="宋体" w:hint="default"/>
        </w:rPr>
        <w:t>17%</w:t>
      </w:r>
      <w:r>
        <w:rPr/>
        <w:t>、</w:t>
      </w:r>
      <w:r>
        <w:rPr>
          <w:rFonts w:ascii="宋体" w:hAnsi="宋体" w:cs="宋体" w:eastAsia="宋体" w:hint="default"/>
        </w:rPr>
        <w:t>16%</w:t>
      </w:r>
      <w:r>
        <w:rPr/>
        <w:t>的销项税率，扣除可以抵扣的进项税后缴纳。① 本公司经河南省软件服务业协会评定为软件企业，取得编号为豫</w:t>
      </w:r>
      <w:r>
        <w:rPr>
          <w:rFonts w:ascii="宋体" w:hAnsi="宋体" w:cs="宋体" w:eastAsia="宋体" w:hint="default"/>
        </w:rPr>
        <w:t>RQ-2018-0201</w:t>
      </w:r>
      <w:r>
        <w:rPr/>
        <w:t>的软件企业认 定证书 ；②辉煌软件由河南省软件服务业协会评定为软件企业，并取得编号为豫</w:t>
      </w:r>
    </w:p>
    <w:p>
      <w:pPr>
        <w:pStyle w:val="BodyText"/>
        <w:spacing w:line="350" w:lineRule="auto" w:before="32"/>
        <w:ind w:right="1130"/>
        <w:jc w:val="both"/>
      </w:pPr>
      <w:r>
        <w:rPr>
          <w:rFonts w:ascii="宋体" w:hAnsi="宋体" w:cs="宋体" w:eastAsia="宋体" w:hint="default"/>
        </w:rPr>
        <w:t>RQ-2018-0202</w:t>
      </w:r>
      <w:r>
        <w:rPr/>
        <w:t>的软件企业认定证书；③辉煌信通软件由河南省软件服务业协会评定为软件企 业，并取得编号为豫</w:t>
      </w:r>
      <w:r>
        <w:rPr>
          <w:rFonts w:ascii="宋体" w:hAnsi="宋体" w:cs="宋体" w:eastAsia="宋体" w:hint="default"/>
        </w:rPr>
        <w:t>RQ-2018-0203</w:t>
      </w:r>
      <w:r>
        <w:rPr/>
        <w:t>的软件企业认定证书；④辉煌城轨由河南省软件服务业协 会评定为软件企业，并取得编号为豫</w:t>
      </w:r>
      <w:r>
        <w:rPr>
          <w:rFonts w:ascii="宋体" w:hAnsi="宋体" w:cs="宋体" w:eastAsia="宋体" w:hint="default"/>
        </w:rPr>
        <w:t>RQ-2018-0204</w:t>
      </w:r>
      <w:r>
        <w:rPr/>
        <w:t>的软件企业认定证书；⑤全路信通软件由 </w:t>
      </w:r>
      <w:r>
        <w:rPr>
          <w:spacing w:val="-2"/>
        </w:rPr>
        <w:t>北京市经济和信息化委员会认定为软件企业，并取得编号为京</w:t>
      </w:r>
      <w:r>
        <w:rPr>
          <w:rFonts w:ascii="宋体" w:hAnsi="宋体" w:cs="宋体" w:eastAsia="宋体" w:hint="default"/>
          <w:spacing w:val="-2"/>
        </w:rPr>
        <w:t>R-2014-0617</w:t>
      </w:r>
      <w:r>
        <w:rPr>
          <w:spacing w:val="-2"/>
        </w:rPr>
        <w:t>的软件企业认定证</w:t>
      </w:r>
      <w:r>
        <w:rPr>
          <w:spacing w:val="-110"/>
        </w:rPr>
        <w:t> </w:t>
      </w:r>
      <w:r>
        <w:rPr/>
        <w:t>书；以上公司根据国务院国发</w:t>
      </w:r>
      <w:r>
        <w:rPr>
          <w:rFonts w:ascii="宋体" w:hAnsi="宋体" w:cs="宋体" w:eastAsia="宋体" w:hint="default"/>
        </w:rPr>
        <w:t>[2011]4 </w:t>
      </w:r>
      <w:r>
        <w:rPr/>
        <w:t>号《国务院关于印发进一步鼓励软件产业和集成电路 </w:t>
      </w:r>
      <w:r>
        <w:rPr>
          <w:spacing w:val="-2"/>
        </w:rPr>
        <w:t>产业发展若干政策的通知》及财政部、国家税务总局下发的财税</w:t>
      </w:r>
      <w:r>
        <w:rPr>
          <w:rFonts w:ascii="宋体" w:hAnsi="宋体" w:cs="宋体" w:eastAsia="宋体" w:hint="default"/>
          <w:spacing w:val="-2"/>
        </w:rPr>
        <w:t>[2011]100</w:t>
      </w:r>
      <w:r>
        <w:rPr>
          <w:spacing w:val="-2"/>
        </w:rPr>
        <w:t>号《关于软件产品</w:t>
      </w:r>
      <w:r>
        <w:rPr>
          <w:spacing w:val="-114"/>
        </w:rPr>
        <w:t> </w:t>
      </w:r>
      <w:r>
        <w:rPr>
          <w:spacing w:val="-114"/>
        </w:rPr>
      </w:r>
      <w:r>
        <w:rPr/>
        <w:t>增值税政策的通知》的规定，对增值税一般纳税人销售其自行开发生产的软件产品，实际税 负超过</w:t>
      </w:r>
      <w:r>
        <w:rPr>
          <w:rFonts w:ascii="宋体" w:hAnsi="宋体" w:cs="宋体" w:eastAsia="宋体" w:hint="default"/>
        </w:rPr>
        <w:t>3%</w:t>
      </w:r>
      <w:r>
        <w:rPr/>
        <w:t>的部分即征即退。</w:t>
      </w:r>
    </w:p>
    <w:p>
      <w:pPr>
        <w:pStyle w:val="BodyText"/>
        <w:spacing w:line="350" w:lineRule="auto"/>
        <w:ind w:right="2251" w:firstLine="480"/>
        <w:jc w:val="left"/>
      </w:pPr>
      <w:r>
        <w:rPr/>
        <w:t>所得税：根据豫科</w:t>
      </w:r>
      <w:r>
        <w:rPr>
          <w:rFonts w:ascii="宋体" w:hAnsi="宋体" w:cs="宋体" w:eastAsia="宋体" w:hint="default"/>
        </w:rPr>
        <w:t>[2018]9</w:t>
      </w:r>
      <w:r>
        <w:rPr/>
        <w:t>号文，本公司被认定为高新技术企业，证书编号： </w:t>
      </w:r>
      <w:r>
        <w:rPr>
          <w:rFonts w:ascii="宋体" w:hAnsi="宋体" w:cs="宋体" w:eastAsia="宋体" w:hint="default"/>
        </w:rPr>
        <w:t>GR201741000758</w:t>
      </w:r>
      <w:r>
        <w:rPr/>
        <w:t>，本公司</w:t>
      </w:r>
      <w:r>
        <w:rPr>
          <w:rFonts w:ascii="宋体" w:hAnsi="宋体" w:cs="宋体" w:eastAsia="宋体" w:hint="default"/>
        </w:rPr>
        <w:t>2017-2019</w:t>
      </w:r>
      <w:r>
        <w:rPr/>
        <w:t>年度所得税税率为</w:t>
      </w:r>
      <w:r>
        <w:rPr>
          <w:rFonts w:ascii="宋体" w:hAnsi="宋体" w:cs="宋体" w:eastAsia="宋体" w:hint="default"/>
        </w:rPr>
        <w:t>15%</w:t>
      </w:r>
      <w:r>
        <w:rPr/>
        <w:t>。</w:t>
      </w:r>
    </w:p>
    <w:p>
      <w:pPr>
        <w:pStyle w:val="BodyText"/>
        <w:spacing w:line="352" w:lineRule="auto" w:before="35"/>
        <w:ind w:right="1169" w:firstLine="480"/>
        <w:jc w:val="both"/>
      </w:pP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29</w:t>
      </w:r>
      <w:r>
        <w:rPr/>
        <w:t>日，辉煌软件被认定为高新技术企业，证书编号：</w:t>
      </w:r>
      <w:r>
        <w:rPr>
          <w:rFonts w:ascii="宋体" w:hAnsi="宋体" w:cs="宋体" w:eastAsia="宋体" w:hint="default"/>
        </w:rPr>
        <w:t>GR201841000826</w:t>
      </w:r>
      <w:r>
        <w:rPr/>
        <w:t>，本公 司</w:t>
      </w:r>
      <w:r>
        <w:rPr>
          <w:rFonts w:ascii="宋体" w:hAnsi="宋体" w:cs="宋体" w:eastAsia="宋体" w:hint="default"/>
        </w:rPr>
        <w:t>2018-2020</w:t>
      </w:r>
      <w:r>
        <w:rPr/>
        <w:t>年度所得税税率为</w:t>
      </w:r>
      <w:r>
        <w:rPr>
          <w:rFonts w:ascii="宋体" w:hAnsi="宋体" w:cs="宋体" w:eastAsia="宋体" w:hint="default"/>
        </w:rPr>
        <w:t>15%</w:t>
      </w:r>
      <w:r>
        <w:rPr/>
        <w:t>。</w:t>
      </w:r>
    </w:p>
    <w:p>
      <w:pPr>
        <w:pStyle w:val="BodyText"/>
        <w:spacing w:line="240" w:lineRule="auto" w:before="32"/>
        <w:ind w:left="634" w:right="0"/>
        <w:jc w:val="left"/>
      </w:pP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29</w:t>
      </w:r>
      <w:r>
        <w:rPr/>
        <w:t>日，辉煌城轨被认定为高新技术企业，证书编号：</w:t>
      </w:r>
      <w:r>
        <w:rPr>
          <w:rFonts w:ascii="宋体" w:hAnsi="宋体" w:cs="宋体" w:eastAsia="宋体" w:hint="default"/>
        </w:rPr>
        <w:t>GR201841000954</w:t>
      </w:r>
      <w:r>
        <w:rPr/>
        <w:t>，本公</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4" w:right="1152" w:hanging="480"/>
        <w:jc w:val="left"/>
      </w:pPr>
      <w:r>
        <w:rPr/>
        <w:t>司</w:t>
      </w:r>
      <w:r>
        <w:rPr>
          <w:rFonts w:ascii="宋体" w:hAnsi="宋体" w:cs="宋体" w:eastAsia="宋体" w:hint="default"/>
        </w:rPr>
        <w:t>2018-2020</w:t>
      </w:r>
      <w:r>
        <w:rPr/>
        <w:t>年度所得税税率为</w:t>
      </w:r>
      <w:r>
        <w:rPr>
          <w:rFonts w:ascii="宋体" w:hAnsi="宋体" w:cs="宋体" w:eastAsia="宋体" w:hint="default"/>
        </w:rPr>
        <w:t>15%</w:t>
      </w:r>
      <w:r>
        <w:rPr/>
        <w:t>。 国铁路阳</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日经北京市科学技术委员会认证为高新技术企业，高新技术企业</w:t>
      </w:r>
    </w:p>
    <w:p>
      <w:pPr>
        <w:pStyle w:val="BodyText"/>
        <w:spacing w:line="350" w:lineRule="auto"/>
        <w:ind w:right="0"/>
        <w:jc w:val="left"/>
      </w:pPr>
      <w:r>
        <w:rPr>
          <w:spacing w:val="-11"/>
        </w:rPr>
        <w:t>证书编号：</w:t>
      </w:r>
      <w:r>
        <w:rPr>
          <w:rFonts w:ascii="宋体" w:hAnsi="宋体" w:cs="宋体" w:eastAsia="宋体" w:hint="default"/>
          <w:spacing w:val="-11"/>
        </w:rPr>
        <w:t>GR201711003418</w:t>
      </w:r>
      <w:r>
        <w:rPr>
          <w:spacing w:val="-11"/>
        </w:rPr>
        <w:t>。根据《中华人民共和国企业所得税法》的规定，国铁路阳</w:t>
      </w:r>
      <w:r>
        <w:rPr>
          <w:rFonts w:ascii="宋体" w:hAnsi="宋体" w:cs="宋体" w:eastAsia="宋体" w:hint="default"/>
          <w:spacing w:val="-11"/>
        </w:rPr>
        <w:t>2017-2019</w:t>
      </w:r>
      <w:r>
        <w:rPr>
          <w:rFonts w:ascii="宋体" w:hAnsi="宋体" w:cs="宋体" w:eastAsia="宋体" w:hint="default"/>
          <w:spacing w:val="-90"/>
        </w:rPr>
        <w:t> </w:t>
      </w:r>
      <w:r>
        <w:rPr/>
        <w:t>年度所得税适用税率为</w:t>
      </w:r>
      <w:r>
        <w:rPr>
          <w:rFonts w:ascii="宋体" w:hAnsi="宋体" w:cs="宋体" w:eastAsia="宋体" w:hint="default"/>
        </w:rPr>
        <w:t>15%</w:t>
      </w:r>
      <w:r>
        <w:rPr/>
        <w:t>。</w:t>
      </w:r>
    </w:p>
    <w:p>
      <w:pPr>
        <w:pStyle w:val="BodyText"/>
        <w:spacing w:line="352" w:lineRule="auto" w:before="35"/>
        <w:ind w:right="1170" w:firstLine="480"/>
        <w:jc w:val="both"/>
      </w:pPr>
      <w:r>
        <w:rPr/>
        <w:t>天津信通为符合条件的小型微利企业，根据《中华人民共和国企业所得税法》的规定， 所得税适用税率为 </w:t>
      </w:r>
      <w:r>
        <w:rPr>
          <w:rFonts w:ascii="宋体" w:hAnsi="宋体" w:cs="宋体" w:eastAsia="宋体" w:hint="default"/>
        </w:rPr>
        <w:t>20%</w:t>
      </w:r>
      <w:r>
        <w:rPr/>
        <w:t>。</w:t>
      </w:r>
    </w:p>
    <w:p>
      <w:pPr>
        <w:pStyle w:val="BodyText"/>
        <w:spacing w:line="352" w:lineRule="auto" w:before="32"/>
        <w:ind w:right="1132" w:firstLine="480"/>
        <w:jc w:val="both"/>
      </w:pPr>
      <w:r>
        <w:rPr/>
        <w:t>路阳软件</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30</w:t>
      </w:r>
      <w:r>
        <w:rPr/>
        <w:t>日经北京市科学技术委员会认证为高新技术企业，高新技术企业 </w:t>
      </w:r>
      <w:r>
        <w:rPr>
          <w:spacing w:val="-11"/>
        </w:rPr>
        <w:t>证书编号：</w:t>
      </w:r>
      <w:r>
        <w:rPr>
          <w:rFonts w:ascii="宋体" w:hAnsi="宋体" w:cs="宋体" w:eastAsia="宋体" w:hint="default"/>
          <w:spacing w:val="-11"/>
        </w:rPr>
        <w:t>GR201811007009</w:t>
      </w:r>
      <w:r>
        <w:rPr>
          <w:spacing w:val="-11"/>
        </w:rPr>
        <w:t>。根据《中华人民共和国企业所得税法》的规定，国铁路阳</w:t>
      </w:r>
      <w:r>
        <w:rPr>
          <w:rFonts w:ascii="宋体" w:hAnsi="宋体" w:cs="宋体" w:eastAsia="宋体" w:hint="default"/>
          <w:spacing w:val="-11"/>
        </w:rPr>
        <w:t>2018-2020</w:t>
      </w:r>
      <w:r>
        <w:rPr>
          <w:rFonts w:ascii="宋体" w:hAnsi="宋体" w:cs="宋体" w:eastAsia="宋体" w:hint="default"/>
          <w:spacing w:val="-90"/>
        </w:rPr>
        <w:t> </w:t>
      </w:r>
      <w:r>
        <w:rPr/>
        <w:t>年度所得税适用税率为</w:t>
      </w:r>
      <w:r>
        <w:rPr>
          <w:rFonts w:ascii="宋体" w:hAnsi="宋体" w:cs="宋体" w:eastAsia="宋体" w:hint="default"/>
        </w:rPr>
        <w:t>15%</w:t>
      </w:r>
      <w:r>
        <w:rPr/>
        <w:t>。</w:t>
      </w:r>
    </w:p>
    <w:p>
      <w:pPr>
        <w:pStyle w:val="BodyText"/>
        <w:spacing w:line="352" w:lineRule="auto" w:before="32"/>
        <w:ind w:right="1169" w:firstLine="480"/>
        <w:jc w:val="both"/>
      </w:pPr>
      <w:r>
        <w:rPr/>
        <w:t>交大驱动根据成都高新技术产业开发区国家税务局高国家税通</w:t>
      </w:r>
      <w:r>
        <w:rPr>
          <w:rFonts w:ascii="宋体" w:hAnsi="宋体" w:cs="宋体" w:eastAsia="宋体" w:hint="default"/>
        </w:rPr>
        <w:t>[2017]9156</w:t>
      </w:r>
      <w:r>
        <w:rPr/>
        <w:t>号文件，交大 驱动被认定为高新技术企业，证书编号：</w:t>
      </w:r>
      <w:r>
        <w:rPr>
          <w:rFonts w:ascii="宋体" w:hAnsi="宋体" w:cs="宋体" w:eastAsia="宋体" w:hint="default"/>
        </w:rPr>
        <w:t>GR201651000093</w:t>
      </w:r>
      <w:r>
        <w:rPr/>
        <w:t>。根据《中华人民共和国企业所得 税法》的规定，交大驱动</w:t>
      </w:r>
      <w:r>
        <w:rPr>
          <w:rFonts w:ascii="宋体" w:hAnsi="宋体" w:cs="宋体" w:eastAsia="宋体" w:hint="default"/>
        </w:rPr>
        <w:t>2016-2018</w:t>
      </w:r>
      <w:r>
        <w:rPr/>
        <w:t>年度所得税适用税率为</w:t>
      </w:r>
      <w:r>
        <w:rPr>
          <w:rFonts w:ascii="宋体" w:hAnsi="宋体" w:cs="宋体" w:eastAsia="宋体" w:hint="default"/>
        </w:rPr>
        <w:t>15%</w:t>
      </w:r>
      <w:r>
        <w:rPr/>
        <w:t>。</w:t>
      </w:r>
    </w:p>
    <w:p>
      <w:pPr>
        <w:pStyle w:val="BodyText"/>
        <w:spacing w:line="350" w:lineRule="auto" w:before="32"/>
        <w:ind w:right="1170" w:firstLine="480"/>
        <w:jc w:val="both"/>
      </w:pPr>
      <w:r>
        <w:rPr/>
        <w:t>新一驱动为符合条件的小型微利企业，根据《中华人民共和国企业所得税法》的规定， 所得税适用税率为 </w:t>
      </w:r>
      <w:r>
        <w:rPr>
          <w:rFonts w:ascii="宋体" w:hAnsi="宋体" w:cs="宋体" w:eastAsia="宋体" w:hint="default"/>
        </w:rPr>
        <w:t>20%</w:t>
      </w:r>
      <w:r>
        <w:rPr/>
        <w:t>。</w:t>
      </w:r>
    </w:p>
    <w:p>
      <w:pPr>
        <w:pStyle w:val="BodyText"/>
        <w:spacing w:line="350" w:lineRule="auto"/>
        <w:ind w:right="1169" w:firstLine="480"/>
        <w:jc w:val="both"/>
      </w:pPr>
      <w:r>
        <w:rPr/>
        <w:t>公司需遵守《深圳证券交易所行业信息披露指引第</w:t>
      </w:r>
      <w:r>
        <w:rPr>
          <w:rFonts w:ascii="宋体" w:hAnsi="宋体" w:cs="宋体" w:eastAsia="宋体" w:hint="default"/>
        </w:rPr>
        <w:t>12</w:t>
      </w:r>
      <w:r>
        <w:rPr/>
        <w:t>号——上市公司从事软件与信息技 术服务业务》的披露要求</w:t>
      </w:r>
    </w:p>
    <w:p>
      <w:pPr>
        <w:pStyle w:val="BodyText"/>
        <w:spacing w:line="240" w:lineRule="auto" w:before="35"/>
        <w:ind w:left="634" w:right="0"/>
        <w:jc w:val="left"/>
      </w:pPr>
      <w:r>
        <w:rPr>
          <w:rFonts w:ascii="宋体" w:hAnsi="宋体" w:cs="宋体" w:eastAsia="宋体" w:hint="default"/>
        </w:rPr>
        <w:t>2018</w:t>
      </w:r>
      <w:r>
        <w:rPr/>
        <w:t>年度软件增值税即征即退金额为</w:t>
      </w:r>
      <w:r>
        <w:rPr>
          <w:rFonts w:ascii="宋体" w:hAnsi="宋体" w:cs="宋体" w:eastAsia="宋体" w:hint="default"/>
        </w:rPr>
        <w:t>19,152,802.19</w:t>
      </w:r>
      <w:r>
        <w:rPr/>
        <w:t>元。</w:t>
      </w:r>
    </w:p>
    <w:p>
      <w:pPr>
        <w:pStyle w:val="Heading2"/>
        <w:spacing w:line="240" w:lineRule="auto" w:before="146"/>
        <w:ind w:right="0"/>
        <w:jc w:val="left"/>
        <w:rPr>
          <w:b w:val="0"/>
          <w:bCs w:val="0"/>
        </w:rPr>
      </w:pPr>
      <w:bookmarkStart w:name="3、其他" w:id="233"/>
      <w:bookmarkEnd w:id="233"/>
      <w:r>
        <w:rPr>
          <w:b w:val="0"/>
          <w:bCs w:val="0"/>
        </w:rPr>
      </w:r>
      <w:r>
        <w:rPr>
          <w:rFonts w:ascii="Times New Roman" w:hAnsi="Times New Roman" w:cs="Times New Roman" w:eastAsia="Times New Roman" w:hint="default"/>
        </w:rPr>
        <w:t>3</w:t>
      </w:r>
      <w:r>
        <w:rPr/>
        <w:t>、其他</w:t>
      </w:r>
      <w:r>
        <w:rPr>
          <w:b w:val="0"/>
          <w:bCs w:val="0"/>
        </w:rPr>
      </w:r>
    </w:p>
    <w:p>
      <w:pPr>
        <w:pStyle w:val="Heading2"/>
        <w:spacing w:line="484" w:lineRule="auto" w:before="127"/>
        <w:ind w:right="7691" w:firstLine="480"/>
        <w:jc w:val="left"/>
        <w:rPr>
          <w:b w:val="0"/>
          <w:bCs w:val="0"/>
        </w:rPr>
      </w:pPr>
      <w:r>
        <w:rPr>
          <w:rFonts w:ascii="宋体" w:hAnsi="宋体" w:cs="宋体" w:eastAsia="宋体" w:hint="default"/>
          <w:b w:val="0"/>
          <w:bCs w:val="0"/>
        </w:rPr>
        <w:t>无 </w:t>
      </w:r>
      <w:bookmarkStart w:name="七、合并财务报表项目注释" w:id="234"/>
      <w:bookmarkEnd w:id="234"/>
      <w:r>
        <w:rPr>
          <w:rFonts w:ascii="宋体" w:hAnsi="宋体" w:cs="宋体" w:eastAsia="宋体" w:hint="default"/>
          <w:b w:val="0"/>
          <w:bCs w:val="0"/>
        </w:rPr>
      </w:r>
      <w:r>
        <w:rPr>
          <w:w w:val="95"/>
        </w:rPr>
        <w:t>七、合并财务报表项目注释</w:t>
      </w:r>
      <w:r>
        <w:rPr>
          <w:b w:val="0"/>
          <w:bCs w:val="0"/>
        </w:rPr>
      </w:r>
    </w:p>
    <w:p>
      <w:pPr>
        <w:spacing w:line="240" w:lineRule="auto" w:before="9"/>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747" w:footer="979" w:top="1060" w:bottom="1160" w:left="980" w:right="0"/>
        </w:sectPr>
      </w:pPr>
    </w:p>
    <w:p>
      <w:pPr>
        <w:pStyle w:val="Heading2"/>
        <w:spacing w:line="240" w:lineRule="auto"/>
        <w:ind w:right="0"/>
        <w:jc w:val="left"/>
        <w:rPr>
          <w:b w:val="0"/>
          <w:bCs w:val="0"/>
        </w:rPr>
      </w:pPr>
      <w:bookmarkStart w:name="1、货币资金" w:id="235"/>
      <w:bookmarkEnd w:id="235"/>
      <w:r>
        <w:rPr>
          <w:b w:val="0"/>
          <w:bCs w:val="0"/>
        </w:rPr>
      </w:r>
      <w:r>
        <w:rPr>
          <w:rFonts w:ascii="Times New Roman" w:hAnsi="Times New Roman" w:cs="Times New Roman" w:eastAsia="Times New Roman" w:hint="default"/>
          <w:w w:val="95"/>
        </w:rPr>
        <w:t>1</w:t>
      </w:r>
      <w:r>
        <w:rPr>
          <w:w w:val="95"/>
        </w:rPr>
        <w:t>、货币资金</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477" w:space="7352"/>
            <w:col w:w="210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110,141.18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150,031.69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467,072,959.71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874,919,611.35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21,875,625.67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13,864,603.88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489,058,726.56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888,934,246.92</w:t>
            </w:r>
          </w:p>
        </w:tc>
      </w:tr>
    </w:tbl>
    <w:p>
      <w:pPr>
        <w:spacing w:line="240" w:lineRule="auto" w:before="10"/>
        <w:rPr>
          <w:rFonts w:ascii="宋体" w:hAnsi="宋体" w:cs="宋体" w:eastAsia="宋体" w:hint="default"/>
          <w:sz w:val="4"/>
          <w:szCs w:val="4"/>
        </w:rPr>
      </w:pPr>
    </w:p>
    <w:p>
      <w:pPr>
        <w:pStyle w:val="BodyText"/>
        <w:spacing w:line="350" w:lineRule="auto" w:before="26"/>
        <w:ind w:left="634" w:right="2112"/>
        <w:jc w:val="left"/>
      </w:pPr>
      <w:r>
        <w:rPr/>
        <w:t>其他说明 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日，本公司不存在质押、冻结，或有潜在收回风险的款项。 其中受限制的货币资金明细如下：</w:t>
      </w:r>
    </w:p>
    <w:p>
      <w:pPr>
        <w:spacing w:after="0" w:line="350" w:lineRule="auto"/>
        <w:jc w:val="lef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572" w:type="dxa"/>
        <w:tblLayout w:type="fixed"/>
        <w:tblCellMar>
          <w:top w:w="0" w:type="dxa"/>
          <w:left w:w="0" w:type="dxa"/>
          <w:bottom w:w="0" w:type="dxa"/>
          <w:right w:w="0" w:type="dxa"/>
        </w:tblCellMar>
        <w:tblLook w:val="01E0"/>
      </w:tblPr>
      <w:tblGrid>
        <w:gridCol w:w="3262"/>
        <w:gridCol w:w="2829"/>
        <w:gridCol w:w="2700"/>
      </w:tblGrid>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415"/>
              <w:jc w:val="right"/>
              <w:rPr>
                <w:rFonts w:ascii="宋体" w:hAnsi="宋体" w:cs="宋体" w:eastAsia="宋体" w:hint="default"/>
                <w:sz w:val="21"/>
                <w:szCs w:val="21"/>
              </w:rPr>
            </w:pPr>
            <w:r>
              <w:rPr>
                <w:rFonts w:ascii="宋体" w:hAnsi="宋体" w:cs="宋体" w:eastAsia="宋体" w:hint="default"/>
                <w:sz w:val="21"/>
                <w:szCs w:val="21"/>
              </w:rPr>
              <w:t>项目</w:t>
            </w:r>
          </w:p>
        </w:tc>
        <w:tc>
          <w:tcPr>
            <w:tcW w:w="28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21,875,625.67</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13,864,603.88</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415"/>
              <w:jc w:val="right"/>
              <w:rPr>
                <w:rFonts w:ascii="宋体" w:hAnsi="宋体" w:cs="宋体" w:eastAsia="宋体" w:hint="default"/>
                <w:sz w:val="21"/>
                <w:szCs w:val="21"/>
              </w:rPr>
            </w:pPr>
            <w:r>
              <w:rPr>
                <w:rFonts w:ascii="宋体" w:hAnsi="宋体" w:cs="宋体" w:eastAsia="宋体" w:hint="default"/>
                <w:sz w:val="21"/>
                <w:szCs w:val="21"/>
              </w:rPr>
              <w:t>合计</w:t>
            </w:r>
          </w:p>
        </w:tc>
        <w:tc>
          <w:tcPr>
            <w:tcW w:w="2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21,875,625.67</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13,864,603.88</w:t>
            </w:r>
          </w:p>
        </w:tc>
      </w:tr>
    </w:tbl>
    <w:p>
      <w:pPr>
        <w:spacing w:line="240" w:lineRule="auto" w:before="10"/>
        <w:rPr>
          <w:rFonts w:ascii="宋体" w:hAnsi="宋体" w:cs="宋体" w:eastAsia="宋体" w:hint="default"/>
          <w:sz w:val="4"/>
          <w:szCs w:val="4"/>
        </w:rPr>
      </w:pPr>
    </w:p>
    <w:p>
      <w:pPr>
        <w:pStyle w:val="BodyText"/>
        <w:spacing w:line="352" w:lineRule="auto" w:before="26"/>
        <w:ind w:left="634" w:right="1124"/>
        <w:jc w:val="left"/>
      </w:pPr>
      <w:r>
        <w:rPr/>
        <w:t>货币资金其他说明： </w:t>
      </w:r>
      <w:r>
        <w:rPr>
          <w:spacing w:val="-2"/>
        </w:rPr>
        <w:t>货币资金期末余额比期初余额减少</w:t>
      </w:r>
      <w:r>
        <w:rPr>
          <w:rFonts w:ascii="宋体" w:hAnsi="宋体" w:cs="宋体" w:eastAsia="宋体" w:hint="default"/>
          <w:spacing w:val="-2"/>
        </w:rPr>
        <w:t>44.98%</w:t>
      </w:r>
      <w:r>
        <w:rPr>
          <w:spacing w:val="-2"/>
        </w:rPr>
        <w:t>，主要系本期末购买理财产品</w:t>
      </w:r>
      <w:r>
        <w:rPr>
          <w:rFonts w:ascii="宋体" w:hAnsi="宋体" w:cs="宋体" w:eastAsia="宋体" w:hint="default"/>
          <w:spacing w:val="-2"/>
        </w:rPr>
        <w:t>15,300.00</w:t>
      </w:r>
      <w:r>
        <w:rPr>
          <w:spacing w:val="-2"/>
        </w:rPr>
        <w:t>万元尚</w:t>
      </w:r>
    </w:p>
    <w:p>
      <w:pPr>
        <w:pStyle w:val="BodyText"/>
        <w:spacing w:line="240" w:lineRule="auto" w:before="32"/>
        <w:ind w:right="0"/>
        <w:jc w:val="left"/>
      </w:pPr>
      <w:r>
        <w:rPr/>
        <w:t>未到期列示至其他流动资产、本期偿付债券本金及利息</w:t>
      </w:r>
      <w:r>
        <w:rPr>
          <w:rFonts w:ascii="宋体" w:hAnsi="宋体" w:cs="宋体" w:eastAsia="宋体" w:hint="default"/>
        </w:rPr>
        <w:t>23,326.00</w:t>
      </w:r>
      <w:r>
        <w:rPr/>
        <w:t>万元所致。</w:t>
      </w:r>
    </w:p>
    <w:p>
      <w:pPr>
        <w:pStyle w:val="Heading2"/>
        <w:spacing w:line="333" w:lineRule="auto" w:before="145"/>
        <w:ind w:left="634" w:right="5230" w:hanging="480"/>
        <w:jc w:val="left"/>
        <w:rPr>
          <w:rFonts w:ascii="宋体" w:hAnsi="宋体" w:cs="宋体" w:eastAsia="宋体" w:hint="default"/>
          <w:b w:val="0"/>
          <w:bCs w:val="0"/>
        </w:rPr>
      </w:pPr>
      <w:bookmarkStart w:name="2、以公允价值计量且其变动计入当期损益的金融资产" w:id="236"/>
      <w:bookmarkEnd w:id="236"/>
      <w:r>
        <w:rPr>
          <w:b w:val="0"/>
          <w:bCs w:val="0"/>
        </w:rPr>
      </w:r>
      <w:r>
        <w:rPr>
          <w:rFonts w:ascii="Times New Roman" w:hAnsi="Times New Roman" w:cs="Times New Roman" w:eastAsia="Times New Roman" w:hint="default"/>
          <w:w w:val="95"/>
        </w:rPr>
        <w:t>2</w:t>
      </w:r>
      <w:r>
        <w:rPr>
          <w:w w:val="95"/>
        </w:rPr>
        <w:t>、以公允价值计量且其变动计入当期损益的金融资产 </w:t>
      </w:r>
      <w:r>
        <w:rPr>
          <w:spacing w:val="31"/>
          <w:w w:val="95"/>
        </w:rPr>
        <w:t> </w:t>
      </w:r>
      <w:r>
        <w:rPr>
          <w:rFonts w:ascii="宋体" w:hAnsi="宋体" w:cs="宋体" w:eastAsia="宋体" w:hint="default"/>
          <w:b w:val="0"/>
          <w:bCs w:val="0"/>
        </w:rPr>
        <w:t>无</w:t>
      </w:r>
    </w:p>
    <w:p>
      <w:pPr>
        <w:pStyle w:val="Heading2"/>
        <w:spacing w:line="240" w:lineRule="auto" w:before="52"/>
        <w:ind w:right="0"/>
        <w:jc w:val="left"/>
        <w:rPr>
          <w:b w:val="0"/>
          <w:bCs w:val="0"/>
        </w:rPr>
      </w:pPr>
      <w:bookmarkStart w:name="3、衍生金融资产" w:id="237"/>
      <w:bookmarkEnd w:id="237"/>
      <w:r>
        <w:rPr>
          <w:b w:val="0"/>
          <w:bCs w:val="0"/>
        </w:rPr>
      </w:r>
      <w:r>
        <w:rPr>
          <w:rFonts w:ascii="Times New Roman" w:hAnsi="Times New Roman" w:cs="Times New Roman" w:eastAsia="Times New Roman" w:hint="default"/>
        </w:rPr>
        <w:t>3</w:t>
      </w:r>
      <w:r>
        <w:rPr/>
        <w:t>、衍生金融资产</w:t>
      </w:r>
      <w:r>
        <w:rPr>
          <w:b w:val="0"/>
          <w:bCs w:val="0"/>
        </w:rPr>
      </w:r>
    </w:p>
    <w:p>
      <w:pPr>
        <w:pStyle w:val="BodyText"/>
        <w:spacing w:line="240" w:lineRule="auto" w:before="127"/>
        <w:ind w:left="634" w:right="0"/>
        <w:jc w:val="left"/>
      </w:pPr>
      <w:r>
        <w:rPr/>
        <w:t>□ 适用 √ 不适用</w:t>
      </w:r>
    </w:p>
    <w:p>
      <w:pPr>
        <w:pStyle w:val="Heading2"/>
        <w:spacing w:line="240" w:lineRule="auto" w:before="146"/>
        <w:ind w:right="0"/>
        <w:jc w:val="left"/>
        <w:rPr>
          <w:b w:val="0"/>
          <w:bCs w:val="0"/>
        </w:rPr>
      </w:pPr>
      <w:bookmarkStart w:name="4、应收票据及应收账款" w:id="238"/>
      <w:bookmarkEnd w:id="238"/>
      <w:r>
        <w:rPr>
          <w:b w:val="0"/>
          <w:bCs w:val="0"/>
        </w:rPr>
      </w:r>
      <w:r>
        <w:rPr>
          <w:rFonts w:ascii="Times New Roman" w:hAnsi="Times New Roman" w:cs="Times New Roman" w:eastAsia="Times New Roman" w:hint="default"/>
        </w:rPr>
        <w:t>4</w:t>
      </w:r>
      <w:r>
        <w:rPr/>
        <w:t>、应收票据及应收账款</w:t>
      </w:r>
      <w:r>
        <w:rPr>
          <w:b w:val="0"/>
          <w:bCs w:val="0"/>
        </w:rPr>
      </w:r>
    </w:p>
    <w:p>
      <w:pPr>
        <w:spacing w:before="9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50,283,048.28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30,643,134.07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528,156,486.84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567,489,218.42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578,439,535.12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598,132,352.49</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240" w:lineRule="auto"/>
        <w:ind w:right="-20"/>
        <w:jc w:val="left"/>
        <w:rPr>
          <w:b w:val="0"/>
          <w:bCs w:val="0"/>
        </w:rPr>
      </w:pPr>
      <w:bookmarkStart w:name="（1）应收票据" w:id="239"/>
      <w:bookmarkEnd w:id="239"/>
      <w:r>
        <w:rPr>
          <w:b w:val="0"/>
          <w:bCs w:val="0"/>
        </w:rPr>
      </w:r>
      <w:r>
        <w:rPr/>
        <w:t>（</w:t>
      </w:r>
      <w:r>
        <w:rPr>
          <w:rFonts w:ascii="Times New Roman" w:hAnsi="Times New Roman" w:cs="Times New Roman" w:eastAsia="Times New Roman" w:hint="default"/>
        </w:rPr>
        <w:t>1</w:t>
      </w:r>
      <w:r>
        <w:rPr/>
        <w:t>）应收票据</w:t>
      </w:r>
      <w:r>
        <w:rPr>
          <w:b w:val="0"/>
          <w:bCs w:val="0"/>
        </w:rPr>
      </w:r>
    </w:p>
    <w:p>
      <w:pPr>
        <w:pStyle w:val="BodyText"/>
        <w:spacing w:line="240" w:lineRule="auto" w:before="127"/>
        <w:ind w:right="-20"/>
        <w:jc w:val="left"/>
      </w:pPr>
      <w:r>
        <w:rPr>
          <w:rFonts w:ascii="Times New Roman" w:hAnsi="Times New Roman" w:cs="Times New Roman" w:eastAsia="Times New Roman" w:hint="default"/>
        </w:rPr>
        <w:t>1)</w:t>
      </w:r>
      <w:r>
        <w:rPr/>
        <w:t>应收票据分类列示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275" w:space="65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12,134,124.88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15,677,565.47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38,148,923.40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14,965,568.60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50,283,048.28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30,643,134.07</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240" w:lineRule="auto" w:before="26"/>
        <w:ind w:right="-20"/>
        <w:jc w:val="left"/>
      </w:pPr>
      <w:r>
        <w:rPr>
          <w:rFonts w:ascii="Times New Roman" w:hAnsi="Times New Roman" w:cs="Times New Roman" w:eastAsia="Times New Roman" w:hint="default"/>
        </w:rPr>
        <w:t>2)</w:t>
      </w:r>
      <w:r>
        <w:rPr/>
        <w:t>期末公司已质押的应收票据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35" w:space="559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240" w:lineRule="auto" w:before="26"/>
        <w:ind w:right="-20"/>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835" w:space="199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2"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054" w:right="0"/>
              <w:jc w:val="left"/>
              <w:rPr>
                <w:rFonts w:ascii="Times New Roman" w:hAnsi="Times New Roman" w:cs="Times New Roman" w:eastAsia="Times New Roman" w:hint="default"/>
                <w:sz w:val="21"/>
                <w:szCs w:val="21"/>
              </w:rPr>
            </w:pPr>
            <w:r>
              <w:rPr>
                <w:rFonts w:ascii="Times New Roman"/>
                <w:sz w:val="21"/>
              </w:rPr>
              <w:t>8,326,028.60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4,601,821.00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12,927,849.60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10"/>
        <w:rPr>
          <w:rFonts w:ascii="宋体" w:hAnsi="宋体" w:cs="宋体" w:eastAsia="宋体" w:hint="default"/>
          <w:sz w:val="4"/>
          <w:szCs w:val="4"/>
        </w:rPr>
      </w:pPr>
    </w:p>
    <w:p>
      <w:pPr>
        <w:pStyle w:val="BodyText"/>
        <w:spacing w:line="333" w:lineRule="auto" w:before="26"/>
        <w:ind w:left="634" w:right="5272" w:hanging="480"/>
        <w:jc w:val="left"/>
      </w:pPr>
      <w:r>
        <w:rPr>
          <w:rFonts w:ascii="Times New Roman" w:hAnsi="Times New Roman" w:cs="Times New Roman" w:eastAsia="Times New Roman" w:hint="default"/>
        </w:rPr>
        <w:t>4)</w:t>
      </w:r>
      <w:r>
        <w:rPr/>
        <w:t>期末公司因出票人未履约而将其转应收账款的票据</w:t>
      </w:r>
      <w:r>
        <w:rPr>
          <w:w w:val="99"/>
        </w:rPr>
        <w:t> </w:t>
      </w:r>
      <w:r>
        <w:rPr/>
        <w:t>无</w:t>
      </w:r>
    </w:p>
    <w:p>
      <w:pPr>
        <w:pStyle w:val="BodyText"/>
        <w:spacing w:line="350" w:lineRule="auto" w:before="52"/>
        <w:ind w:right="1152" w:firstLine="480"/>
        <w:jc w:val="left"/>
      </w:pPr>
      <w:r>
        <w:rPr/>
        <w:t>其他说明：期末应收票据中无持本公司</w:t>
      </w:r>
      <w:r>
        <w:rPr>
          <w:rFonts w:ascii="宋体" w:hAnsi="宋体" w:cs="宋体" w:eastAsia="宋体" w:hint="default"/>
        </w:rPr>
        <w:t>5</w:t>
      </w:r>
      <w:r>
        <w:rPr/>
        <w:t>％以上（含</w:t>
      </w:r>
      <w:r>
        <w:rPr>
          <w:rFonts w:ascii="宋体" w:hAnsi="宋体" w:cs="宋体" w:eastAsia="宋体" w:hint="default"/>
        </w:rPr>
        <w:t>5</w:t>
      </w:r>
      <w:r>
        <w:rPr/>
        <w:t>％）表决权股份的股东单位欠款， 无应收其他关联方款项。</w:t>
      </w:r>
    </w:p>
    <w:p>
      <w:pPr>
        <w:pStyle w:val="Heading2"/>
        <w:spacing w:line="240" w:lineRule="auto" w:before="36"/>
        <w:ind w:right="0"/>
        <w:jc w:val="left"/>
        <w:rPr>
          <w:b w:val="0"/>
          <w:bCs w:val="0"/>
        </w:rPr>
      </w:pPr>
      <w:bookmarkStart w:name="（2）应收账款" w:id="240"/>
      <w:bookmarkEnd w:id="240"/>
      <w:r>
        <w:rPr>
          <w:b w:val="0"/>
          <w:bCs w:val="0"/>
        </w:rPr>
      </w:r>
      <w:r>
        <w:rPr/>
        <w:t>（</w:t>
      </w:r>
      <w:r>
        <w:rPr>
          <w:rFonts w:ascii="Times New Roman" w:hAnsi="Times New Roman" w:cs="Times New Roman" w:eastAsia="Times New Roman" w:hint="default"/>
        </w:rPr>
        <w:t>2</w:t>
      </w:r>
      <w:r>
        <w:rPr/>
        <w:t>）应收账款</w:t>
      </w:r>
      <w:r>
        <w:rPr>
          <w:b w:val="0"/>
          <w:bCs w:val="0"/>
        </w:rPr>
      </w:r>
    </w:p>
    <w:p>
      <w:pPr>
        <w:pStyle w:val="BodyText"/>
        <w:spacing w:line="240" w:lineRule="auto" w:before="127"/>
        <w:ind w:right="0"/>
        <w:jc w:val="left"/>
      </w:pPr>
      <w:r>
        <w:rPr>
          <w:rFonts w:ascii="Times New Roman" w:hAnsi="Times New Roman" w:cs="Times New Roman" w:eastAsia="Times New Roman" w:hint="default"/>
        </w:rPr>
        <w:t>1)</w:t>
      </w:r>
      <w:r>
        <w:rPr/>
        <w:t>应收账款分类披露</w:t>
      </w:r>
    </w:p>
    <w:p>
      <w:pPr>
        <w:spacing w:before="9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644,035,</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933.19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115,879,</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446.35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17.99%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528,156,4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86.84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674,670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,353.86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107,181,1</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35.44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567,489,21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8.42</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644,035,</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933.19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115,879,</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446.35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17.99%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528,156,4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86.84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674,670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,353.86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107,181,1</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35.44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15.89%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567,489,21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8.42</w:t>
            </w:r>
          </w:p>
        </w:tc>
      </w:tr>
      <w:tr>
        <w:trPr>
          <w:trHeight w:val="393"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BodyText"/>
        <w:spacing w:line="240" w:lineRule="auto" w:before="26"/>
        <w:ind w:left="634" w:right="-20"/>
        <w:jc w:val="left"/>
      </w:pPr>
      <w:r>
        <w:rPr/>
        <w:t>期末单项金额重大并单项计提坏账准备的应收账款：</w:t>
      </w:r>
    </w:p>
    <w:p>
      <w:pPr>
        <w:pStyle w:val="BodyText"/>
        <w:spacing w:line="350" w:lineRule="auto" w:before="146"/>
        <w:ind w:left="634" w:right="220"/>
        <w:jc w:val="left"/>
      </w:pPr>
      <w:r>
        <w:rPr/>
        <w:t>□ 适用 √ 不适用 组合中，按账龄分析法计提坏账准备的应收账款：</w:t>
      </w:r>
    </w:p>
    <w:p>
      <w:pPr>
        <w:pStyle w:val="BodyText"/>
        <w:spacing w:line="240" w:lineRule="auto" w:before="35"/>
        <w:ind w:left="6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155" w:space="2195"/>
            <w:col w:w="258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6"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4"/>
              <w:jc w:val="center"/>
              <w:rPr>
                <w:rFonts w:ascii="宋体" w:hAnsi="宋体" w:cs="宋体" w:eastAsia="宋体" w:hint="default"/>
                <w:sz w:val="21"/>
                <w:szCs w:val="21"/>
              </w:rPr>
            </w:pPr>
            <w:r>
              <w:rPr>
                <w:rFonts w:ascii="宋体" w:hAnsi="宋体" w:cs="宋体" w:eastAsia="宋体" w:hint="default"/>
                <w:sz w:val="21"/>
                <w:szCs w:val="21"/>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7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354,259,698.15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17,712,984.92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147,096,158.24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14,709,615.83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65,329,764.35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19,598,929.31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77,350,312.45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63,857,916.29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23,934,369.53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14,360,621.72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19,593,241.74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15,674,593.39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80.00%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33,822,701.18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33,822,701.18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644,035,933.19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115,879,446.35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4" w:right="4512"/>
        <w:jc w:val="left"/>
      </w:pPr>
      <w:r>
        <w:rPr/>
        <w:t>确定该组合依据的说明：无 组合中，采用余额百分比法计提坏账准备的应收账款：</w:t>
      </w:r>
    </w:p>
    <w:p>
      <w:pPr>
        <w:pStyle w:val="BodyText"/>
        <w:spacing w:line="350" w:lineRule="auto"/>
        <w:ind w:left="634" w:right="4752"/>
        <w:jc w:val="left"/>
      </w:pPr>
      <w:r>
        <w:rPr/>
        <w:t>□ 适用 √ 不适用 组合中，采用其他方法计提坏账准备的应收账款：无</w:t>
      </w:r>
    </w:p>
    <w:p>
      <w:pPr>
        <w:pStyle w:val="BodyText"/>
        <w:spacing w:line="352" w:lineRule="auto" w:before="35"/>
        <w:ind w:right="1152" w:firstLine="480"/>
        <w:jc w:val="left"/>
      </w:pPr>
      <w:r>
        <w:rPr/>
        <w:t>公司需遵守《深圳证券交易所行业信息披露指引第</w:t>
      </w:r>
      <w:r>
        <w:rPr>
          <w:rFonts w:ascii="宋体" w:hAnsi="宋体" w:cs="宋体" w:eastAsia="宋体" w:hint="default"/>
        </w:rPr>
        <w:t>12</w:t>
      </w:r>
      <w:r>
        <w:rPr/>
        <w:t>号——上市公司从事软件与信息技 术服务业务》的披露要求</w:t>
      </w:r>
    </w:p>
    <w:p>
      <w:pPr>
        <w:pStyle w:val="BodyText"/>
        <w:spacing w:line="240" w:lineRule="auto" w:before="32"/>
        <w:ind w:left="634" w:right="0"/>
        <w:jc w:val="left"/>
      </w:pPr>
      <w:r>
        <w:rPr/>
        <w:t>报告期内，不存在账龄超过三年的单项金额重大的应收账款。</w:t>
      </w:r>
    </w:p>
    <w:p>
      <w:pPr>
        <w:pStyle w:val="BodyText"/>
        <w:spacing w:line="343" w:lineRule="auto" w:before="145"/>
        <w:ind w:left="634" w:right="1872" w:hanging="480"/>
        <w:jc w:val="left"/>
      </w:pPr>
      <w:r>
        <w:rPr>
          <w:rFonts w:ascii="Times New Roman" w:hAnsi="Times New Roman" w:cs="Times New Roman" w:eastAsia="Times New Roman" w:hint="default"/>
        </w:rPr>
        <w:t>2)</w:t>
      </w:r>
      <w:r>
        <w:rPr/>
        <w:t>本期计提、收回或转回的坏账准备情况</w:t>
      </w:r>
      <w:r>
        <w:rPr>
          <w:w w:val="99"/>
        </w:rPr>
        <w:t> </w:t>
      </w:r>
      <w:r>
        <w:rPr/>
        <w:t>本期计提坏账准备金额</w:t>
      </w:r>
      <w:r>
        <w:rPr>
          <w:rFonts w:ascii="宋体" w:hAnsi="宋体" w:cs="宋体" w:eastAsia="宋体" w:hint="default"/>
        </w:rPr>
        <w:t>8,698,310.91</w:t>
      </w:r>
      <w:r>
        <w:rPr/>
        <w:t>元；本期收回或转回坏账准备金额</w:t>
      </w:r>
      <w:r>
        <w:rPr>
          <w:rFonts w:ascii="宋体" w:hAnsi="宋体" w:cs="宋体" w:eastAsia="宋体" w:hint="default"/>
        </w:rPr>
        <w:t>0.00</w:t>
      </w:r>
      <w:r>
        <w:rPr/>
        <w:t>元。</w:t>
      </w:r>
      <w:r>
        <w:rPr>
          <w:w w:val="99"/>
        </w:rPr>
        <w:t> </w:t>
      </w:r>
      <w:r>
        <w:rPr/>
        <w:t>其中本期坏账准备收回或转回金额重要的：无</w:t>
      </w:r>
    </w:p>
    <w:p>
      <w:pPr>
        <w:pStyle w:val="BodyText"/>
        <w:spacing w:line="333" w:lineRule="auto" w:before="42"/>
        <w:ind w:left="634" w:right="7432" w:hanging="480"/>
        <w:jc w:val="left"/>
      </w:pPr>
      <w:r>
        <w:rPr>
          <w:rFonts w:ascii="Times New Roman" w:hAnsi="Times New Roman" w:cs="Times New Roman" w:eastAsia="Times New Roman" w:hint="default"/>
        </w:rPr>
        <w:t>3)</w:t>
      </w:r>
      <w:r>
        <w:rPr/>
        <w:t>本期实际核销的应收账款情况</w:t>
      </w:r>
      <w:r>
        <w:rPr>
          <w:w w:val="99"/>
        </w:rPr>
        <w:t> </w:t>
      </w:r>
      <w:r>
        <w:rPr/>
        <w:t>无</w:t>
      </w:r>
    </w:p>
    <w:p>
      <w:pPr>
        <w:pStyle w:val="BodyText"/>
        <w:spacing w:line="240" w:lineRule="auto" w:before="52"/>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093"/>
        <w:gridCol w:w="1650"/>
        <w:gridCol w:w="1772"/>
        <w:gridCol w:w="1559"/>
      </w:tblGrid>
      <w:tr>
        <w:trPr>
          <w:trHeight w:val="653" w:hRule="exact"/>
        </w:trPr>
        <w:tc>
          <w:tcPr>
            <w:tcW w:w="4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left="39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302" w:right="40" w:hanging="26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占应收账款期末余 额的比例</w:t>
            </w:r>
            <w:r>
              <w:rPr>
                <w:rFonts w:ascii="Times New Roman" w:hAnsi="Times New Roman" w:cs="Times New Roman" w:eastAsia="Times New Roman" w:hint="default"/>
                <w:sz w:val="21"/>
                <w:szCs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right="38"/>
              <w:jc w:val="right"/>
              <w:rPr>
                <w:rFonts w:ascii="宋体" w:hAnsi="宋体" w:cs="宋体" w:eastAsia="宋体" w:hint="default"/>
                <w:sz w:val="21"/>
                <w:szCs w:val="21"/>
              </w:rPr>
            </w:pPr>
            <w:r>
              <w:rPr>
                <w:rFonts w:ascii="宋体" w:hAnsi="宋体" w:cs="宋体" w:eastAsia="宋体" w:hint="default"/>
                <w:sz w:val="21"/>
                <w:szCs w:val="21"/>
              </w:rPr>
              <w:t>已计提坏账准备</w:t>
            </w:r>
          </w:p>
        </w:tc>
      </w:tr>
      <w:tr>
        <w:trPr>
          <w:trHeight w:val="342" w:hRule="exact"/>
        </w:trPr>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中国铁建电气化局集团有限公司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27" w:right="0"/>
              <w:jc w:val="left"/>
              <w:rPr>
                <w:rFonts w:ascii="Times New Roman" w:hAnsi="Times New Roman" w:cs="Times New Roman" w:eastAsia="Times New Roman" w:hint="default"/>
                <w:sz w:val="21"/>
                <w:szCs w:val="21"/>
              </w:rPr>
            </w:pPr>
            <w:r>
              <w:rPr>
                <w:rFonts w:ascii="Times New Roman"/>
                <w:sz w:val="21"/>
              </w:rPr>
              <w:t>25,951,504.12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4.03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1,370,992.60</w:t>
            </w:r>
          </w:p>
        </w:tc>
      </w:tr>
      <w:tr>
        <w:trPr>
          <w:trHeight w:val="342" w:hRule="exact"/>
        </w:trPr>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北京继瑜宏业物资有限公司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27" w:right="0"/>
              <w:jc w:val="left"/>
              <w:rPr>
                <w:rFonts w:ascii="Times New Roman" w:hAnsi="Times New Roman" w:cs="Times New Roman" w:eastAsia="Times New Roman" w:hint="default"/>
                <w:sz w:val="21"/>
                <w:szCs w:val="21"/>
              </w:rPr>
            </w:pPr>
            <w:r>
              <w:rPr>
                <w:rFonts w:ascii="Times New Roman"/>
                <w:sz w:val="21"/>
              </w:rPr>
              <w:t>18,406,304.00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2.86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920,315.20</w:t>
            </w:r>
          </w:p>
        </w:tc>
      </w:tr>
      <w:tr>
        <w:trPr>
          <w:trHeight w:val="342" w:hRule="exact"/>
        </w:trPr>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广州铁路物资有限公司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27" w:right="0"/>
              <w:jc w:val="left"/>
              <w:rPr>
                <w:rFonts w:ascii="Times New Roman" w:hAnsi="Times New Roman" w:cs="Times New Roman" w:eastAsia="Times New Roman" w:hint="default"/>
                <w:sz w:val="21"/>
                <w:szCs w:val="21"/>
              </w:rPr>
            </w:pPr>
            <w:r>
              <w:rPr>
                <w:rFonts w:ascii="Times New Roman"/>
                <w:sz w:val="21"/>
              </w:rPr>
              <w:t>17,932,088.83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2.78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2,090,804.01</w:t>
            </w:r>
          </w:p>
        </w:tc>
      </w:tr>
      <w:tr>
        <w:trPr>
          <w:trHeight w:val="342" w:hRule="exact"/>
        </w:trPr>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上海铁路电务实业有限公司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27" w:right="0"/>
              <w:jc w:val="left"/>
              <w:rPr>
                <w:rFonts w:ascii="Times New Roman" w:hAnsi="Times New Roman" w:cs="Times New Roman" w:eastAsia="Times New Roman" w:hint="default"/>
                <w:sz w:val="21"/>
                <w:szCs w:val="21"/>
              </w:rPr>
            </w:pPr>
            <w:r>
              <w:rPr>
                <w:rFonts w:ascii="Times New Roman"/>
                <w:sz w:val="21"/>
              </w:rPr>
              <w:t>15,133,174.99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2.35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1,215,768.30</w:t>
            </w:r>
          </w:p>
        </w:tc>
      </w:tr>
      <w:tr>
        <w:trPr>
          <w:trHeight w:val="342" w:hRule="exact"/>
        </w:trPr>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中国铁建电气化局集团第二工程有限公司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27" w:right="0"/>
              <w:jc w:val="left"/>
              <w:rPr>
                <w:rFonts w:ascii="Times New Roman" w:hAnsi="Times New Roman" w:cs="Times New Roman" w:eastAsia="Times New Roman" w:hint="default"/>
                <w:sz w:val="21"/>
                <w:szCs w:val="21"/>
              </w:rPr>
            </w:pPr>
            <w:r>
              <w:rPr>
                <w:rFonts w:ascii="Times New Roman"/>
                <w:sz w:val="21"/>
              </w:rPr>
              <w:t>14,307,736.35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2.22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715,386.82</w:t>
            </w:r>
          </w:p>
        </w:tc>
      </w:tr>
      <w:tr>
        <w:trPr>
          <w:trHeight w:val="343" w:hRule="exact"/>
        </w:trPr>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27" w:right="0"/>
              <w:jc w:val="left"/>
              <w:rPr>
                <w:rFonts w:ascii="Times New Roman" w:hAnsi="Times New Roman" w:cs="Times New Roman" w:eastAsia="Times New Roman" w:hint="default"/>
                <w:sz w:val="21"/>
                <w:szCs w:val="21"/>
              </w:rPr>
            </w:pPr>
            <w:r>
              <w:rPr>
                <w:rFonts w:ascii="Times New Roman"/>
                <w:sz w:val="21"/>
              </w:rPr>
              <w:t>91,730,808.29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14.24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6,313,266.93</w:t>
            </w:r>
          </w:p>
        </w:tc>
      </w:tr>
    </w:tbl>
    <w:p>
      <w:pPr>
        <w:spacing w:line="240" w:lineRule="auto" w:before="10"/>
        <w:rPr>
          <w:rFonts w:ascii="宋体" w:hAnsi="宋体" w:cs="宋体" w:eastAsia="宋体" w:hint="default"/>
          <w:sz w:val="4"/>
          <w:szCs w:val="4"/>
        </w:rPr>
      </w:pPr>
    </w:p>
    <w:p>
      <w:pPr>
        <w:pStyle w:val="BodyText"/>
        <w:spacing w:line="331" w:lineRule="auto" w:before="26"/>
        <w:ind w:left="634" w:right="6472" w:hanging="480"/>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33" w:lineRule="auto" w:before="54"/>
        <w:ind w:left="634" w:right="5512" w:hanging="480"/>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pStyle w:val="BodyText"/>
        <w:spacing w:line="240" w:lineRule="auto" w:before="52"/>
        <w:ind w:left="634" w:right="0"/>
        <w:jc w:val="left"/>
      </w:pPr>
      <w:r>
        <w:rPr/>
        <w:t>其他说明：</w:t>
      </w:r>
    </w:p>
    <w:p>
      <w:pPr>
        <w:pStyle w:val="BodyText"/>
        <w:spacing w:line="333" w:lineRule="auto" w:before="145"/>
        <w:ind w:right="1117" w:firstLine="480"/>
        <w:jc w:val="left"/>
      </w:pPr>
      <w:r>
        <w:rPr/>
        <w:t>期末应收账款中无持本公司</w:t>
      </w:r>
      <w:r>
        <w:rPr>
          <w:spacing w:val="-56"/>
        </w:rPr>
        <w:t> </w:t>
      </w:r>
      <w:r>
        <w:rPr>
          <w:rFonts w:ascii="Times New Roman" w:hAnsi="Times New Roman" w:cs="Times New Roman" w:eastAsia="Times New Roman" w:hint="default"/>
          <w:spacing w:val="-5"/>
        </w:rPr>
        <w:t>5</w:t>
      </w:r>
      <w:r>
        <w:rPr>
          <w:spacing w:val="-5"/>
        </w:rPr>
        <w:t>％以上（含</w:t>
      </w:r>
      <w:r>
        <w:rPr>
          <w:spacing w:val="-56"/>
        </w:rPr>
        <w:t> </w:t>
      </w:r>
      <w:r>
        <w:rPr>
          <w:rFonts w:ascii="Times New Roman" w:hAnsi="Times New Roman" w:cs="Times New Roman" w:eastAsia="Times New Roman" w:hint="default"/>
          <w:spacing w:val="-3"/>
        </w:rPr>
        <w:t>5</w:t>
      </w:r>
      <w:r>
        <w:rPr>
          <w:spacing w:val="-3"/>
        </w:rPr>
        <w:t>％）表决权股份的股东单位欠款，无应收关联</w:t>
      </w:r>
      <w:r>
        <w:rPr/>
        <w:t> 方款项。期末不存在应收账款质押的情况。</w:t>
      </w:r>
    </w:p>
    <w:p>
      <w:pPr>
        <w:pStyle w:val="Heading2"/>
        <w:spacing w:line="240" w:lineRule="auto" w:before="52"/>
        <w:ind w:right="0"/>
        <w:jc w:val="left"/>
        <w:rPr>
          <w:b w:val="0"/>
          <w:bCs w:val="0"/>
        </w:rPr>
      </w:pPr>
      <w:bookmarkStart w:name="5、预付款项" w:id="241"/>
      <w:bookmarkEnd w:id="241"/>
      <w:r>
        <w:rPr>
          <w:b w:val="0"/>
          <w:bCs w:val="0"/>
        </w:rPr>
      </w:r>
      <w:r>
        <w:rPr>
          <w:rFonts w:ascii="Times New Roman" w:hAnsi="Times New Roman" w:cs="Times New Roman" w:eastAsia="Times New Roman" w:hint="default"/>
        </w:rPr>
        <w:t>5</w:t>
      </w:r>
      <w:r>
        <w:rPr/>
        <w:t>、预付款项</w:t>
      </w:r>
      <w:r>
        <w:rPr>
          <w:b w:val="0"/>
          <w:bCs w:val="0"/>
        </w:rPr>
      </w:r>
    </w:p>
    <w:p>
      <w:pPr>
        <w:pStyle w:val="Heading2"/>
        <w:spacing w:line="240" w:lineRule="auto" w:before="127"/>
        <w:ind w:right="0"/>
        <w:jc w:val="left"/>
        <w:rPr>
          <w:b w:val="0"/>
          <w:bCs w:val="0"/>
        </w:rPr>
      </w:pPr>
      <w:bookmarkStart w:name="（1）预付款项按账龄列示" w:id="242"/>
      <w:bookmarkEnd w:id="24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before="9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0"/>
        <w:gridCol w:w="381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35,743,011.01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4,667,112.52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70.39%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175,037.40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1,420,706.00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21.43%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786,680.00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418,765.00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136,538.00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122,993.00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36,841,266.41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6,629,576.52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8"/>
        <w:rPr>
          <w:rFonts w:ascii="宋体" w:hAnsi="宋体" w:cs="宋体" w:eastAsia="宋体" w:hint="default"/>
          <w:sz w:val="28"/>
          <w:szCs w:val="28"/>
        </w:rPr>
      </w:pPr>
    </w:p>
    <w:p>
      <w:pPr>
        <w:pStyle w:val="BodyText"/>
        <w:spacing w:line="240" w:lineRule="auto" w:before="26"/>
        <w:ind w:left="634" w:right="0"/>
        <w:jc w:val="left"/>
      </w:pPr>
      <w:r>
        <w:rPr/>
        <w:t>账龄超过</w:t>
      </w:r>
      <w:r>
        <w:rPr>
          <w:rFonts w:ascii="宋体" w:hAnsi="宋体" w:cs="宋体" w:eastAsia="宋体" w:hint="default"/>
        </w:rPr>
        <w:t>1</w:t>
      </w:r>
      <w:r>
        <w:rPr/>
        <w:t>年且金额重要的预付款项未及时结算原因的说明：</w:t>
      </w:r>
    </w:p>
    <w:p>
      <w:pPr>
        <w:spacing w:line="240" w:lineRule="auto" w:before="5"/>
        <w:rPr>
          <w:rFonts w:ascii="宋体" w:hAnsi="宋体" w:cs="宋体" w:eastAsia="宋体" w:hint="default"/>
          <w:sz w:val="16"/>
          <w:szCs w:val="16"/>
        </w:rPr>
      </w:pPr>
    </w:p>
    <w:tbl>
      <w:tblPr>
        <w:tblW w:w="0" w:type="auto"/>
        <w:jc w:val="left"/>
        <w:tblInd w:w="705" w:type="dxa"/>
        <w:tblLayout w:type="fixed"/>
        <w:tblCellMar>
          <w:top w:w="0" w:type="dxa"/>
          <w:left w:w="0" w:type="dxa"/>
          <w:bottom w:w="0" w:type="dxa"/>
          <w:right w:w="0" w:type="dxa"/>
        </w:tblCellMar>
        <w:tblLook w:val="01E0"/>
      </w:tblPr>
      <w:tblGrid>
        <w:gridCol w:w="2952"/>
        <w:gridCol w:w="1890"/>
        <w:gridCol w:w="1200"/>
        <w:gridCol w:w="2486"/>
      </w:tblGrid>
      <w:tr>
        <w:trPr>
          <w:trHeight w:val="326" w:hRule="exact"/>
        </w:trPr>
        <w:tc>
          <w:tcPr>
            <w:tcW w:w="29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1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38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4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03" w:right="0"/>
              <w:jc w:val="left"/>
              <w:rPr>
                <w:rFonts w:ascii="宋体" w:hAnsi="宋体" w:cs="宋体" w:eastAsia="宋体" w:hint="default"/>
                <w:sz w:val="21"/>
                <w:szCs w:val="21"/>
              </w:rPr>
            </w:pPr>
            <w:r>
              <w:rPr>
                <w:rFonts w:ascii="宋体" w:hAnsi="宋体" w:cs="宋体" w:eastAsia="宋体" w:hint="default"/>
                <w:sz w:val="21"/>
                <w:szCs w:val="21"/>
              </w:rPr>
              <w:t>未及时结算原因</w:t>
            </w:r>
          </w:p>
        </w:tc>
      </w:tr>
      <w:tr>
        <w:trPr>
          <w:trHeight w:val="358" w:hRule="exact"/>
        </w:trPr>
        <w:tc>
          <w:tcPr>
            <w:tcW w:w="29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1"/>
                <w:szCs w:val="21"/>
              </w:rPr>
            </w:pPr>
            <w:r>
              <w:rPr>
                <w:rFonts w:ascii="宋体" w:hAnsi="宋体" w:cs="宋体" w:eastAsia="宋体" w:hint="default"/>
                <w:sz w:val="21"/>
                <w:szCs w:val="21"/>
              </w:rPr>
              <w:t>河北网来网络科技有限公司</w:t>
            </w:r>
          </w:p>
        </w:tc>
        <w:tc>
          <w:tcPr>
            <w:tcW w:w="189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4"/>
              <w:ind w:left="4" w:right="0"/>
              <w:jc w:val="left"/>
              <w:rPr>
                <w:rFonts w:ascii="Times New Roman" w:hAnsi="Times New Roman" w:cs="Times New Roman" w:eastAsia="Times New Roman" w:hint="default"/>
                <w:sz w:val="21"/>
                <w:szCs w:val="21"/>
              </w:rPr>
            </w:pPr>
            <w:r>
              <w:rPr>
                <w:rFonts w:ascii="Times New Roman"/>
                <w:sz w:val="21"/>
              </w:rPr>
              <w:t>424,200.00</w:t>
            </w:r>
          </w:p>
        </w:tc>
        <w:tc>
          <w:tcPr>
            <w:tcW w:w="12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248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654"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1"/>
              <w:jc w:val="left"/>
              <w:rPr>
                <w:rFonts w:ascii="宋体" w:hAnsi="宋体" w:cs="宋体" w:eastAsia="宋体" w:hint="default"/>
                <w:sz w:val="21"/>
                <w:szCs w:val="21"/>
              </w:rPr>
            </w:pPr>
            <w:r>
              <w:rPr>
                <w:rFonts w:ascii="宋体" w:hAnsi="宋体" w:cs="宋体" w:eastAsia="宋体" w:hint="default"/>
                <w:spacing w:val="16"/>
                <w:sz w:val="21"/>
                <w:szCs w:val="21"/>
              </w:rPr>
              <w:t>北京市华铁信息技术开发有限 </w:t>
            </w:r>
            <w:r>
              <w:rPr>
                <w:rFonts w:ascii="宋体" w:hAnsi="宋体" w:cs="宋体" w:eastAsia="宋体" w:hint="default"/>
                <w:sz w:val="21"/>
                <w:szCs w:val="21"/>
              </w:rPr>
              <w:t>公司</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1"/>
                <w:szCs w:val="21"/>
              </w:rPr>
            </w:pPr>
            <w:r>
              <w:rPr>
                <w:rFonts w:ascii="Times New Roman"/>
                <w:sz w:val="21"/>
              </w:rPr>
              <w:t>242,343.00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42"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30" w:right="0"/>
              <w:jc w:val="left"/>
              <w:rPr>
                <w:rFonts w:ascii="Times New Roman" w:hAnsi="Times New Roman" w:cs="Times New Roman" w:eastAsia="Times New Roman" w:hint="default"/>
                <w:sz w:val="21"/>
                <w:szCs w:val="21"/>
              </w:rPr>
            </w:pPr>
            <w:r>
              <w:rPr>
                <w:rFonts w:ascii="Times New Roman"/>
                <w:sz w:val="21"/>
              </w:rPr>
              <w:t>666,543.00</w:t>
            </w:r>
          </w:p>
        </w:tc>
        <w:tc>
          <w:tcPr>
            <w:tcW w:w="1200" w:type="dxa"/>
            <w:tcBorders>
              <w:top w:val="single" w:sz="4" w:space="0" w:color="000000"/>
              <w:left w:val="single" w:sz="4" w:space="0" w:color="000000"/>
              <w:bottom w:val="single" w:sz="4" w:space="0" w:color="000000"/>
              <w:right w:val="single" w:sz="4" w:space="0" w:color="000000"/>
            </w:tcBorders>
          </w:tcPr>
          <w:p>
            <w:pPr/>
          </w:p>
        </w:tc>
        <w:tc>
          <w:tcPr>
            <w:tcW w:w="2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Heading2"/>
        <w:spacing w:line="240" w:lineRule="auto"/>
        <w:ind w:right="0"/>
        <w:jc w:val="left"/>
        <w:rPr>
          <w:b w:val="0"/>
          <w:bCs w:val="0"/>
        </w:rPr>
      </w:pPr>
      <w:bookmarkStart w:name="（2）按预付对象归集的期末余额前五名的预付款情况" w:id="243"/>
      <w:bookmarkEnd w:id="24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spacing w:before="35"/>
        <w:ind w:left="0" w:right="1582" w:firstLine="0"/>
        <w:jc w:val="right"/>
        <w:rPr>
          <w:rFonts w:ascii="宋体" w:hAnsi="宋体" w:cs="宋体" w:eastAsia="宋体" w:hint="default"/>
          <w:sz w:val="21"/>
          <w:szCs w:val="21"/>
        </w:rPr>
      </w:pPr>
      <w:r>
        <w:rPr/>
        <w:pict>
          <v:shape style="position:absolute;margin-left:81.260002pt;margin-top:-49.796322pt;width:433.1pt;height:137.8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7"/>
                    <w:gridCol w:w="1237"/>
                    <w:gridCol w:w="1283"/>
                    <w:gridCol w:w="1275"/>
                    <w:gridCol w:w="1445"/>
                  </w:tblGrid>
                  <w:tr>
                    <w:trPr>
                      <w:trHeight w:val="488" w:hRule="exact"/>
                    </w:trPr>
                    <w:tc>
                      <w:tcPr>
                        <w:tcW w:w="340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37"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151"/>
                          <w:ind w:left="120"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1283" w:type="dxa"/>
                        <w:vMerge w:val="restart"/>
                        <w:tcBorders>
                          <w:top w:val="single" w:sz="4" w:space="0" w:color="000000"/>
                          <w:left w:val="single" w:sz="4" w:space="0" w:color="000000"/>
                          <w:right w:val="single" w:sz="4" w:space="0" w:color="000000"/>
                        </w:tcBorders>
                        <w:shd w:val="clear" w:color="auto" w:fill="D9D9D9"/>
                      </w:tcPr>
                      <w:p>
                        <w:pPr>
                          <w:pStyle w:val="TableParagraph"/>
                          <w:spacing w:line="273" w:lineRule="auto"/>
                          <w:ind w:left="58" w:right="5"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占预付账款总 额的比例</w:t>
                        </w:r>
                        <w:r>
                          <w:rPr>
                            <w:rFonts w:ascii="Times New Roman" w:hAnsi="Times New Roman" w:cs="Times New Roman" w:eastAsia="Times New Roman" w:hint="default"/>
                            <w:sz w:val="21"/>
                            <w:szCs w:val="21"/>
                          </w:rPr>
                          <w:t>(%)</w:t>
                        </w:r>
                      </w:p>
                    </w:tc>
                    <w:tc>
                      <w:tcPr>
                        <w:tcW w:w="127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51"/>
                          <w:ind w:left="106" w:right="0"/>
                          <w:jc w:val="left"/>
                          <w:rPr>
                            <w:rFonts w:ascii="宋体" w:hAnsi="宋体" w:cs="宋体" w:eastAsia="宋体" w:hint="default"/>
                            <w:sz w:val="21"/>
                            <w:szCs w:val="21"/>
                          </w:rPr>
                        </w:pPr>
                        <w:r>
                          <w:rPr>
                            <w:rFonts w:ascii="宋体" w:hAnsi="宋体" w:cs="宋体" w:eastAsia="宋体" w:hint="default"/>
                            <w:sz w:val="21"/>
                            <w:szCs w:val="21"/>
                          </w:rPr>
                          <w:t>预付款时间</w:t>
                        </w:r>
                      </w:p>
                    </w:tc>
                    <w:tc>
                      <w:tcPr>
                        <w:tcW w:w="144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51"/>
                          <w:ind w:left="193"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166" w:hRule="exact"/>
                    </w:trPr>
                    <w:tc>
                      <w:tcPr>
                        <w:tcW w:w="3407" w:type="dxa"/>
                        <w:vMerge/>
                        <w:tcBorders>
                          <w:left w:val="single" w:sz="4" w:space="0" w:color="000000"/>
                          <w:bottom w:val="single" w:sz="4" w:space="0" w:color="000000"/>
                          <w:right w:val="single" w:sz="4" w:space="0" w:color="000000"/>
                        </w:tcBorders>
                        <w:shd w:val="clear" w:color="auto" w:fill="D9D9D9"/>
                      </w:tcPr>
                      <w:p>
                        <w:pPr/>
                      </w:p>
                    </w:tc>
                    <w:tc>
                      <w:tcPr>
                        <w:tcW w:w="1237" w:type="dxa"/>
                        <w:tcBorders>
                          <w:top w:val="single" w:sz="4" w:space="0" w:color="FFFFFF"/>
                          <w:left w:val="single" w:sz="4" w:space="0" w:color="000000"/>
                          <w:bottom w:val="single" w:sz="4" w:space="0" w:color="000000"/>
                          <w:right w:val="single" w:sz="4" w:space="0" w:color="000000"/>
                        </w:tcBorders>
                        <w:shd w:val="clear" w:color="auto" w:fill="D9D9D9"/>
                      </w:tcPr>
                      <w:p>
                        <w:pPr/>
                      </w:p>
                    </w:tc>
                    <w:tc>
                      <w:tcPr>
                        <w:tcW w:w="1283" w:type="dxa"/>
                        <w:vMerge/>
                        <w:tcBorders>
                          <w:left w:val="single" w:sz="4" w:space="0" w:color="000000"/>
                          <w:bottom w:val="single" w:sz="4" w:space="0" w:color="000000"/>
                          <w:right w:val="single" w:sz="4" w:space="0" w:color="000000"/>
                        </w:tcBorders>
                        <w:shd w:val="clear" w:color="auto" w:fill="D9D9D9"/>
                      </w:tcPr>
                      <w:p>
                        <w:pPr/>
                      </w:p>
                    </w:tc>
                    <w:tc>
                      <w:tcPr>
                        <w:tcW w:w="1275" w:type="dxa"/>
                        <w:vMerge/>
                        <w:tcBorders>
                          <w:left w:val="single" w:sz="4" w:space="0" w:color="000000"/>
                          <w:bottom w:val="single" w:sz="4" w:space="0" w:color="000000"/>
                          <w:right w:val="single" w:sz="4" w:space="0" w:color="000000"/>
                        </w:tcBorders>
                        <w:shd w:val="clear" w:color="auto" w:fill="D9D9D9"/>
                      </w:tcPr>
                      <w:p>
                        <w:pPr/>
                      </w:p>
                    </w:tc>
                    <w:tc>
                      <w:tcPr>
                        <w:tcW w:w="1445" w:type="dxa"/>
                        <w:vMerge/>
                        <w:tcBorders>
                          <w:left w:val="single" w:sz="4" w:space="0" w:color="000000"/>
                          <w:bottom w:val="single" w:sz="4" w:space="0" w:color="000000"/>
                          <w:right w:val="single" w:sz="4" w:space="0" w:color="000000"/>
                        </w:tcBorders>
                        <w:shd w:val="clear" w:color="auto" w:fill="D9D9D9"/>
                      </w:tcPr>
                      <w:p>
                        <w:pPr/>
                      </w:p>
                    </w:tc>
                  </w:tr>
                  <w:tr>
                    <w:trPr>
                      <w:trHeight w:val="36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深圳世威电气有限公司</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Times New Roman" w:hAnsi="Times New Roman" w:cs="Times New Roman" w:eastAsia="Times New Roman" w:hint="default"/>
                            <w:sz w:val="21"/>
                            <w:szCs w:val="21"/>
                          </w:rPr>
                        </w:pPr>
                        <w:r>
                          <w:rPr>
                            <w:rFonts w:ascii="Times New Roman"/>
                            <w:sz w:val="21"/>
                          </w:rPr>
                          <w:t>5,496,224.71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Times New Roman" w:hAnsi="Times New Roman" w:cs="Times New Roman" w:eastAsia="Times New Roman" w:hint="default"/>
                            <w:sz w:val="21"/>
                            <w:szCs w:val="21"/>
                          </w:rPr>
                        </w:pPr>
                        <w:r>
                          <w:rPr>
                            <w:rFonts w:ascii="Times New Roman"/>
                            <w:sz w:val="21"/>
                          </w:rPr>
                          <w:t>14.92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预付材料款</w:t>
                        </w:r>
                      </w:p>
                    </w:tc>
                  </w:tr>
                  <w:tr>
                    <w:trPr>
                      <w:trHeight w:val="36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上海飞宇网络技术有限公司</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Times New Roman" w:hAnsi="Times New Roman" w:cs="Times New Roman" w:eastAsia="Times New Roman" w:hint="default"/>
                            <w:sz w:val="21"/>
                            <w:szCs w:val="21"/>
                          </w:rPr>
                        </w:pPr>
                        <w:r>
                          <w:rPr>
                            <w:rFonts w:ascii="Times New Roman"/>
                            <w:sz w:val="21"/>
                          </w:rPr>
                          <w:t>3,000,000.00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Times New Roman" w:hAnsi="Times New Roman" w:cs="Times New Roman" w:eastAsia="Times New Roman" w:hint="default"/>
                            <w:sz w:val="21"/>
                            <w:szCs w:val="21"/>
                          </w:rPr>
                        </w:pPr>
                        <w:r>
                          <w:rPr>
                            <w:rFonts w:ascii="Times New Roman"/>
                            <w:sz w:val="21"/>
                          </w:rPr>
                          <w:t>8.14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 w:right="0"/>
                          <w:jc w:val="left"/>
                          <w:rPr>
                            <w:rFonts w:ascii="宋体" w:hAnsi="宋体" w:cs="宋体" w:eastAsia="宋体" w:hint="default"/>
                            <w:sz w:val="21"/>
                            <w:szCs w:val="21"/>
                          </w:rPr>
                        </w:pPr>
                        <w:r>
                          <w:rPr>
                            <w:rFonts w:ascii="宋体" w:hAnsi="宋体" w:cs="宋体" w:eastAsia="宋体" w:hint="default"/>
                            <w:sz w:val="21"/>
                            <w:szCs w:val="21"/>
                          </w:rPr>
                          <w:t>预付技术开发</w:t>
                        </w:r>
                      </w:p>
                    </w:tc>
                  </w:tr>
                  <w:tr>
                    <w:trPr>
                      <w:trHeight w:val="34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山东诚通铁路电气化器材有限公司</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3,000,000.00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8.14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预付材料款</w:t>
                        </w:r>
                      </w:p>
                    </w:tc>
                  </w:tr>
                  <w:tr>
                    <w:trPr>
                      <w:trHeight w:val="34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北京润通利科技有限公司</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2,885,193.70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7.83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预付材料款</w:t>
                        </w:r>
                      </w:p>
                    </w:tc>
                  </w:tr>
                  <w:tr>
                    <w:trPr>
                      <w:trHeight w:val="34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国电南瑞科技股份有限公司</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2,683,500.00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7.28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预付材料款</w:t>
                        </w:r>
                      </w:p>
                    </w:tc>
                  </w:tr>
                  <w:tr>
                    <w:trPr>
                      <w:trHeight w:val="34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17,064,918.41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46.31</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21"/>
          <w:szCs w:val="21"/>
        </w:rPr>
        <w:t>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52" w:lineRule="auto" w:before="26"/>
        <w:ind w:left="634" w:right="1152"/>
        <w:jc w:val="left"/>
      </w:pPr>
      <w:r>
        <w:rPr/>
        <w:t>其他说明： 预付款项期末余额较期初余额增加</w:t>
      </w:r>
      <w:r>
        <w:rPr>
          <w:rFonts w:ascii="宋体" w:hAnsi="宋体" w:cs="宋体" w:eastAsia="宋体" w:hint="default"/>
        </w:rPr>
        <w:t>455.71%</w:t>
      </w:r>
      <w:r>
        <w:rPr/>
        <w:t>，主要系期末预付采购款增加所致。 期末预付款项中无持本公司</w:t>
      </w:r>
      <w:r>
        <w:rPr>
          <w:rFonts w:ascii="宋体" w:hAnsi="宋体" w:cs="宋体" w:eastAsia="宋体" w:hint="default"/>
        </w:rPr>
        <w:t>5</w:t>
      </w:r>
      <w:r>
        <w:rPr/>
        <w:t>％以上（含</w:t>
      </w:r>
      <w:r>
        <w:rPr>
          <w:rFonts w:ascii="宋体" w:hAnsi="宋体" w:cs="宋体" w:eastAsia="宋体" w:hint="default"/>
        </w:rPr>
        <w:t>5</w:t>
      </w:r>
      <w:r>
        <w:rPr/>
        <w:t>％）表决权股份的股东单位欠款，无预付其他</w:t>
      </w:r>
    </w:p>
    <w:p>
      <w:pPr>
        <w:pStyle w:val="BodyText"/>
        <w:spacing w:line="240" w:lineRule="auto" w:before="32"/>
        <w:ind w:right="0"/>
        <w:jc w:val="left"/>
      </w:pPr>
      <w:r>
        <w:rPr/>
        <w:t>关联方款项 。</w:t>
      </w:r>
    </w:p>
    <w:p>
      <w:pPr>
        <w:pStyle w:val="Heading2"/>
        <w:spacing w:line="240" w:lineRule="auto" w:before="145"/>
        <w:ind w:right="0"/>
        <w:jc w:val="left"/>
        <w:rPr>
          <w:b w:val="0"/>
          <w:bCs w:val="0"/>
        </w:rPr>
      </w:pPr>
      <w:bookmarkStart w:name="6、其他应收款" w:id="244"/>
      <w:bookmarkEnd w:id="244"/>
      <w:r>
        <w:rPr>
          <w:b w:val="0"/>
          <w:bCs w:val="0"/>
        </w:rPr>
      </w:r>
      <w:r>
        <w:rPr>
          <w:rFonts w:ascii="Times New Roman" w:hAnsi="Times New Roman" w:cs="Times New Roman" w:eastAsia="Times New Roman" w:hint="default"/>
        </w:rPr>
        <w:t>6</w:t>
      </w:r>
      <w:r>
        <w:rPr/>
        <w:t>、其他应收款</w:t>
      </w:r>
      <w:r>
        <w:rPr>
          <w:b w:val="0"/>
          <w:bCs w:val="0"/>
        </w:rPr>
      </w:r>
    </w:p>
    <w:p>
      <w:pPr>
        <w:spacing w:before="9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27,706,647.14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23,550,638.98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27,706,647.14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23,550,638.98</w:t>
            </w:r>
          </w:p>
        </w:tc>
      </w:tr>
    </w:tbl>
    <w:p>
      <w:pPr>
        <w:spacing w:line="240" w:lineRule="auto" w:before="10"/>
        <w:rPr>
          <w:rFonts w:ascii="宋体" w:hAnsi="宋体" w:cs="宋体" w:eastAsia="宋体" w:hint="default"/>
          <w:sz w:val="4"/>
          <w:szCs w:val="4"/>
        </w:rPr>
      </w:pPr>
    </w:p>
    <w:p>
      <w:pPr>
        <w:pStyle w:val="Heading2"/>
        <w:spacing w:line="240" w:lineRule="auto"/>
        <w:ind w:right="0"/>
        <w:jc w:val="left"/>
        <w:rPr>
          <w:b w:val="0"/>
          <w:bCs w:val="0"/>
        </w:rPr>
      </w:pPr>
      <w:bookmarkStart w:name="（1）应收利息" w:id="245"/>
      <w:bookmarkEnd w:id="245"/>
      <w:r>
        <w:rPr>
          <w:b w:val="0"/>
          <w:bCs w:val="0"/>
        </w:rPr>
      </w:r>
      <w:r>
        <w:rPr/>
        <w:t>（</w:t>
      </w:r>
      <w:r>
        <w:rPr>
          <w:rFonts w:ascii="Times New Roman" w:hAnsi="Times New Roman" w:cs="Times New Roman" w:eastAsia="Times New Roman" w:hint="default"/>
        </w:rPr>
        <w:t>1</w:t>
      </w:r>
      <w:r>
        <w:rPr/>
        <w:t>）应收利息</w:t>
      </w:r>
      <w:r>
        <w:rPr>
          <w:b w:val="0"/>
          <w:bCs w:val="0"/>
        </w:rPr>
      </w:r>
    </w:p>
    <w:p>
      <w:pPr>
        <w:pStyle w:val="BodyText"/>
        <w:spacing w:line="240" w:lineRule="auto" w:before="127"/>
        <w:ind w:left="634" w:right="0"/>
        <w:jc w:val="left"/>
      </w:pPr>
      <w:r>
        <w:rPr/>
        <w:t>无</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Heading2"/>
        <w:spacing w:line="240" w:lineRule="auto" w:before="199"/>
        <w:ind w:right="-20"/>
        <w:jc w:val="left"/>
        <w:rPr>
          <w:b w:val="0"/>
          <w:bCs w:val="0"/>
        </w:rPr>
      </w:pPr>
      <w:bookmarkStart w:name="（2）应收股利" w:id="246"/>
      <w:bookmarkEnd w:id="246"/>
      <w:r>
        <w:rPr>
          <w:b w:val="0"/>
          <w:bCs w:val="0"/>
        </w:rPr>
      </w:r>
      <w:r>
        <w:rPr/>
        <w:t>（</w:t>
      </w:r>
      <w:r>
        <w:rPr>
          <w:rFonts w:ascii="Times New Roman" w:hAnsi="Times New Roman" w:cs="Times New Roman" w:eastAsia="Times New Roman" w:hint="default"/>
        </w:rPr>
        <w:t>2</w:t>
      </w:r>
      <w:r>
        <w:rPr/>
        <w:t>）应收股利</w:t>
      </w:r>
      <w:r>
        <w:rPr>
          <w:b w:val="0"/>
          <w:bCs w:val="0"/>
        </w:rPr>
      </w:r>
    </w:p>
    <w:p>
      <w:pPr>
        <w:pStyle w:val="BodyText"/>
        <w:spacing w:line="240" w:lineRule="auto" w:before="127"/>
        <w:ind w:left="634" w:right="-20"/>
        <w:jc w:val="left"/>
      </w:pPr>
      <w:r>
        <w:rPr/>
        <w:t>无</w:t>
      </w:r>
    </w:p>
    <w:p>
      <w:pPr>
        <w:pStyle w:val="Heading2"/>
        <w:spacing w:line="240" w:lineRule="auto" w:before="146"/>
        <w:ind w:right="-20"/>
        <w:jc w:val="left"/>
        <w:rPr>
          <w:b w:val="0"/>
          <w:bCs w:val="0"/>
        </w:rPr>
      </w:pPr>
      <w:bookmarkStart w:name="（3）其他应收款" w:id="247"/>
      <w:bookmarkEnd w:id="247"/>
      <w:r>
        <w:rPr>
          <w:b w:val="0"/>
          <w:bCs w:val="0"/>
        </w:rPr>
      </w:r>
      <w:r>
        <w:rPr/>
        <w:t>（</w:t>
      </w:r>
      <w:r>
        <w:rPr>
          <w:rFonts w:ascii="Times New Roman" w:hAnsi="Times New Roman" w:cs="Times New Roman" w:eastAsia="Times New Roman" w:hint="default"/>
        </w:rPr>
        <w:t>3</w:t>
      </w:r>
      <w:r>
        <w:rPr/>
        <w:t>）其他应收款</w:t>
      </w:r>
      <w:r>
        <w:rPr>
          <w:b w:val="0"/>
          <w:bCs w:val="0"/>
        </w:rPr>
      </w:r>
    </w:p>
    <w:p>
      <w:pPr>
        <w:pStyle w:val="BodyText"/>
        <w:spacing w:line="240" w:lineRule="auto" w:before="127"/>
        <w:ind w:right="-20"/>
        <w:jc w:val="left"/>
      </w:pPr>
      <w:r>
        <w:rPr>
          <w:rFonts w:ascii="Times New Roman" w:hAnsi="Times New Roman" w:cs="Times New Roman" w:eastAsia="Times New Roman" w:hint="default"/>
        </w:rPr>
        <w:t>1)</w:t>
      </w:r>
      <w:r>
        <w:rPr/>
        <w:t>其他应收款分类披露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1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15" w:space="631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29,864,8</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51.18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2,158,20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27,706,64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24,979,</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179.75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1,428,540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23,550,638.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29,864,8</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51.18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2,158,20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7.23%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27,706,64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7.14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24,979,</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179.75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1,428,540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5.72%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23,550,638.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240" w:lineRule="auto" w:before="26"/>
        <w:ind w:left="634" w:right="-20"/>
        <w:jc w:val="left"/>
      </w:pPr>
      <w:r>
        <w:rPr/>
        <w:t>期末单项金额重大并单项计提坏账准备的其他应收款：</w:t>
      </w:r>
    </w:p>
    <w:p>
      <w:pPr>
        <w:pStyle w:val="BodyText"/>
        <w:spacing w:line="350" w:lineRule="auto" w:before="146"/>
        <w:ind w:left="634" w:right="220"/>
        <w:jc w:val="left"/>
      </w:pPr>
      <w:r>
        <w:rPr/>
        <w:t>□ 适用 √ 不适用 组合中，按账龄分析法计提坏账准备的其他应收款：</w:t>
      </w:r>
    </w:p>
    <w:p>
      <w:pPr>
        <w:pStyle w:val="BodyText"/>
        <w:spacing w:line="240" w:lineRule="auto" w:before="35"/>
        <w:ind w:left="6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395" w:space="1955"/>
            <w:col w:w="258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160"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45"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70" w:lineRule="exact"/>
              <w:ind w:right="9"/>
              <w:jc w:val="center"/>
              <w:rPr>
                <w:rFonts w:ascii="宋体" w:hAnsi="宋体" w:cs="宋体" w:eastAsia="宋体" w:hint="default"/>
                <w:sz w:val="21"/>
                <w:szCs w:val="21"/>
              </w:rPr>
            </w:pPr>
            <w:r>
              <w:rPr>
                <w:rFonts w:ascii="宋体" w:hAnsi="宋体" w:cs="宋体" w:eastAsia="宋体" w:hint="default"/>
                <w:sz w:val="21"/>
                <w:szCs w:val="21"/>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55"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74" w:lineRule="exact"/>
              <w:ind w:left="66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74" w:lineRule="exact"/>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74" w:lineRule="exact"/>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164"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05"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31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sz w:val="21"/>
              </w:rPr>
              <w:t>15,653,452.63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spacing w:val="-1"/>
                <w:sz w:val="21"/>
              </w:rPr>
              <w:t>782,672.63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sz w:val="21"/>
              </w:rPr>
              <w:t>5.00%</w:t>
            </w:r>
          </w:p>
        </w:tc>
      </w:tr>
      <w:tr>
        <w:trPr>
          <w:trHeight w:val="310"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6,390,122.58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639,012.26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10.00%</w:t>
            </w:r>
          </w:p>
        </w:tc>
      </w:tr>
      <w:tr>
        <w:trPr>
          <w:trHeight w:val="310"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1,420,658.28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426,197.48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30.00%</w:t>
            </w:r>
          </w:p>
        </w:tc>
      </w:tr>
      <w:tr>
        <w:trPr>
          <w:trHeight w:val="31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spacing w:val="-1"/>
                <w:sz w:val="21"/>
              </w:rPr>
              <w:t>392,745.01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spacing w:val="-1"/>
                <w:sz w:val="21"/>
              </w:rPr>
              <w:t>300,321.67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184,558.35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pacing w:val="-1"/>
                <w:sz w:val="21"/>
              </w:rPr>
              <w:t>110,735.01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60.00%</w:t>
            </w:r>
          </w:p>
        </w:tc>
      </w:tr>
      <w:tr>
        <w:trPr>
          <w:trHeight w:val="310"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93,000.00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z w:val="21"/>
              </w:rPr>
              <w:t>74,400.00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80.00%</w:t>
            </w:r>
          </w:p>
        </w:tc>
      </w:tr>
      <w:tr>
        <w:trPr>
          <w:trHeight w:val="31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spacing w:val="-1"/>
                <w:sz w:val="21"/>
              </w:rPr>
              <w:t>115,186.66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spacing w:val="-1"/>
                <w:sz w:val="21"/>
              </w:rPr>
              <w:t>115,186.66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sz w:val="21"/>
              </w:rPr>
              <w:t>100.00%</w:t>
            </w:r>
          </w:p>
        </w:tc>
      </w:tr>
      <w:tr>
        <w:trPr>
          <w:trHeight w:val="310"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23,856,978.50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2,148,204.04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352" w:lineRule="auto" w:before="26"/>
        <w:ind w:left="634" w:right="4272"/>
        <w:jc w:val="left"/>
      </w:pPr>
      <w:r>
        <w:rPr/>
        <w:t>确定该组合依据的说明：无 组合中，采用余额百分比法计提坏账准备的其他应收款：</w:t>
      </w:r>
    </w:p>
    <w:p>
      <w:pPr>
        <w:pStyle w:val="BodyText"/>
        <w:spacing w:line="350" w:lineRule="auto" w:before="32"/>
        <w:ind w:left="634" w:right="4752"/>
        <w:jc w:val="left"/>
      </w:pPr>
      <w:r>
        <w:rPr/>
        <w:t>□ 适用 √ 不适用 组合中，采用其他方法计提坏账准备的其他应收款：</w:t>
      </w:r>
    </w:p>
    <w:p>
      <w:pPr>
        <w:pStyle w:val="BodyText"/>
        <w:spacing w:line="240" w:lineRule="auto"/>
        <w:ind w:left="634" w:right="0"/>
        <w:jc w:val="left"/>
      </w:pPr>
      <w:r>
        <w:rPr/>
        <w:t>□ 适用 √ 不适用</w:t>
      </w:r>
    </w:p>
    <w:p>
      <w:pPr>
        <w:pStyle w:val="BodyText"/>
        <w:spacing w:line="240" w:lineRule="auto" w:before="145"/>
        <w:ind w:right="0"/>
        <w:jc w:val="left"/>
      </w:pPr>
      <w:r>
        <w:rPr>
          <w:rFonts w:ascii="Times New Roman" w:hAnsi="Times New Roman" w:cs="Times New Roman" w:eastAsia="Times New Roman" w:hint="default"/>
        </w:rPr>
        <w:t>2)</w:t>
      </w:r>
      <w:r>
        <w:rPr/>
        <w:t>本期计提、收回或转回的坏账准备情况</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840" w:right="0"/>
        </w:sectPr>
      </w:pPr>
    </w:p>
    <w:p>
      <w:pPr>
        <w:pStyle w:val="BodyText"/>
        <w:spacing w:line="350" w:lineRule="auto" w:before="199"/>
        <w:ind w:left="774" w:right="-19"/>
        <w:jc w:val="left"/>
      </w:pPr>
      <w:r>
        <w:rPr/>
        <w:t>本期计提坏账准备金额</w:t>
      </w:r>
      <w:r>
        <w:rPr>
          <w:rFonts w:ascii="宋体" w:hAnsi="宋体" w:cs="宋体" w:eastAsia="宋体" w:hint="default"/>
        </w:rPr>
        <w:t>729,663.27</w:t>
      </w:r>
      <w:r>
        <w:rPr/>
        <w:t>元；本期收回或转回坏账准备金额</w:t>
      </w:r>
      <w:r>
        <w:rPr>
          <w:rFonts w:ascii="宋体" w:hAnsi="宋体" w:cs="宋体" w:eastAsia="宋体" w:hint="default"/>
        </w:rPr>
        <w:t>0.00</w:t>
      </w:r>
      <w:r>
        <w:rPr/>
        <w:t>元。 其中本期坏账准备转回或收回金额重要的：无</w:t>
      </w:r>
    </w:p>
    <w:p>
      <w:pPr>
        <w:pStyle w:val="BodyText"/>
        <w:spacing w:line="331" w:lineRule="auto"/>
        <w:ind w:left="774" w:right="5061" w:hanging="480"/>
        <w:jc w:val="left"/>
      </w:pPr>
      <w:r>
        <w:rPr>
          <w:rFonts w:ascii="Times New Roman" w:hAnsi="Times New Roman" w:cs="Times New Roman" w:eastAsia="Times New Roman" w:hint="default"/>
        </w:rPr>
        <w:t>3)</w:t>
      </w:r>
      <w:r>
        <w:rPr/>
        <w:t>本期实际核销的其他应收款情况</w:t>
      </w:r>
      <w:r>
        <w:rPr>
          <w:w w:val="99"/>
        </w:rPr>
        <w:t> </w:t>
      </w:r>
      <w:r>
        <w:rPr/>
        <w:t>无</w:t>
      </w:r>
    </w:p>
    <w:p>
      <w:pPr>
        <w:pStyle w:val="BodyText"/>
        <w:spacing w:line="240" w:lineRule="auto" w:before="54"/>
        <w:ind w:left="294" w:right="-19"/>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840" w:right="0"/>
          <w:cols w:num="2" w:equalWidth="0">
            <w:col w:w="8936" w:space="40"/>
            <w:col w:w="2094"/>
          </w:cols>
        </w:sectPr>
      </w:pPr>
    </w:p>
    <w:p>
      <w:pPr>
        <w:spacing w:line="240" w:lineRule="auto" w:before="0"/>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1,989,041.81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4,130,394.30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17,833,910.63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15,130,292.90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代缴代扣款项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807,872.68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596,697.06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6,635,170.20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3,494,940.00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2,598,855.86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1,626,855.49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29,864,851.18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24,979,179.75</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840" w:right="0"/>
        </w:sectPr>
      </w:pPr>
    </w:p>
    <w:p>
      <w:pPr>
        <w:pStyle w:val="BodyText"/>
        <w:spacing w:line="240" w:lineRule="auto" w:before="26"/>
        <w:ind w:left="294" w:right="-20"/>
        <w:jc w:val="left"/>
      </w:pPr>
      <w:r>
        <w:rPr>
          <w:rFonts w:ascii="Times New Roman" w:hAnsi="Times New Roman" w:cs="Times New Roman" w:eastAsia="Times New Roman" w:hint="default"/>
        </w:rPr>
        <w:t>5)</w:t>
      </w:r>
      <w:r>
        <w:rPr/>
        <w:t>按欠款方归集的期末余额前五名的其他应收款情况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6"/>
          <w:szCs w:val="16"/>
        </w:rPr>
      </w:pPr>
    </w:p>
    <w:p>
      <w:pPr>
        <w:spacing w:before="0"/>
        <w:ind w:left="29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840" w:right="0"/>
          <w:cols w:num="2" w:equalWidth="0">
            <w:col w:w="5775" w:space="3055"/>
            <w:col w:w="2240"/>
          </w:cols>
        </w:sectPr>
      </w:pP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189"/>
        <w:gridCol w:w="1276"/>
        <w:gridCol w:w="1380"/>
        <w:gridCol w:w="1030"/>
        <w:gridCol w:w="1844"/>
        <w:gridCol w:w="1276"/>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5" w:right="76"/>
              <w:jc w:val="left"/>
              <w:rPr>
                <w:rFonts w:ascii="宋体" w:hAnsi="宋体" w:cs="宋体" w:eastAsia="宋体" w:hint="default"/>
                <w:sz w:val="21"/>
                <w:szCs w:val="21"/>
              </w:rPr>
            </w:pPr>
            <w:r>
              <w:rPr>
                <w:rFonts w:ascii="宋体" w:hAnsi="宋体" w:cs="宋体" w:eastAsia="宋体" w:hint="default"/>
                <w:sz w:val="21"/>
                <w:szCs w:val="21"/>
              </w:rPr>
              <w:t>占其他应收款期末 余额合计数的比例</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17" w:right="107" w:hanging="210"/>
              <w:jc w:val="left"/>
              <w:rPr>
                <w:rFonts w:ascii="宋体" w:hAnsi="宋体" w:cs="宋体" w:eastAsia="宋体" w:hint="default"/>
                <w:sz w:val="21"/>
                <w:szCs w:val="21"/>
              </w:rPr>
            </w:pPr>
            <w:r>
              <w:rPr>
                <w:rFonts w:ascii="宋体" w:hAnsi="宋体" w:cs="宋体" w:eastAsia="宋体" w:hint="default"/>
                <w:sz w:val="21"/>
                <w:szCs w:val="21"/>
              </w:rPr>
              <w:t>坏账准备期 末余额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上海申通德高地铁广告有限公司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3,000,000.00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10.05%</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上海飞宇网络技术有限公司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2,500,000.00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250,000.00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4"/>
              <w:jc w:val="left"/>
              <w:rPr>
                <w:rFonts w:ascii="宋体" w:hAnsi="宋体" w:cs="宋体" w:eastAsia="宋体" w:hint="default"/>
                <w:sz w:val="21"/>
                <w:szCs w:val="21"/>
              </w:rPr>
            </w:pPr>
            <w:r>
              <w:rPr>
                <w:rFonts w:ascii="宋体" w:hAnsi="宋体" w:cs="宋体" w:eastAsia="宋体" w:hint="default"/>
                <w:sz w:val="21"/>
                <w:szCs w:val="21"/>
              </w:rPr>
              <w:t>上海申通地铁资产经营管理有限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2,100,000.00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7.03%</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通号（北京）招标有限公司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1,838,411.94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91,920.60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土地保证金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840,000.00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252,000.00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2"/>
              <w:jc w:val="center"/>
              <w:rPr>
                <w:rFonts w:ascii="Times New Roman" w:hAnsi="Times New Roman" w:cs="Times New Roman" w:eastAsia="Times New Roman" w:hint="default"/>
                <w:sz w:val="21"/>
                <w:szCs w:val="21"/>
              </w:rPr>
            </w:pPr>
            <w:r>
              <w:rPr>
                <w:rFonts w:ascii="Times New Roman"/>
                <w:sz w:val="21"/>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10,278,411.94</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8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34.42%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593,920.60</w:t>
            </w:r>
          </w:p>
        </w:tc>
      </w:tr>
    </w:tbl>
    <w:p>
      <w:pPr>
        <w:spacing w:line="240" w:lineRule="auto" w:before="10"/>
        <w:rPr>
          <w:rFonts w:ascii="宋体" w:hAnsi="宋体" w:cs="宋体" w:eastAsia="宋体" w:hint="default"/>
          <w:sz w:val="4"/>
          <w:szCs w:val="4"/>
        </w:rPr>
      </w:pPr>
    </w:p>
    <w:p>
      <w:pPr>
        <w:pStyle w:val="BodyText"/>
        <w:spacing w:line="331" w:lineRule="auto" w:before="26"/>
        <w:ind w:left="774" w:right="7912" w:hanging="480"/>
        <w:jc w:val="left"/>
      </w:pPr>
      <w:r>
        <w:rPr>
          <w:rFonts w:ascii="Times New Roman" w:hAnsi="Times New Roman" w:cs="Times New Roman" w:eastAsia="Times New Roman" w:hint="default"/>
        </w:rPr>
        <w:t>6)</w:t>
      </w:r>
      <w:r>
        <w:rPr/>
        <w:t>涉及政府补助的应收款项</w:t>
      </w:r>
      <w:r>
        <w:rPr>
          <w:w w:val="99"/>
        </w:rPr>
        <w:t> </w:t>
      </w:r>
      <w:r>
        <w:rPr/>
        <w:t>无</w:t>
      </w:r>
    </w:p>
    <w:p>
      <w:pPr>
        <w:pStyle w:val="BodyText"/>
        <w:spacing w:line="331" w:lineRule="auto" w:before="55"/>
        <w:ind w:left="774" w:right="6232" w:hanging="480"/>
        <w:jc w:val="left"/>
      </w:pPr>
      <w:r>
        <w:rPr>
          <w:rFonts w:ascii="Times New Roman" w:hAnsi="Times New Roman" w:cs="Times New Roman" w:eastAsia="Times New Roman" w:hint="default"/>
        </w:rPr>
        <w:t>7)</w:t>
      </w:r>
      <w:r>
        <w:rPr/>
        <w:t>因金融资产转移而终止确认的其他应收款</w:t>
      </w:r>
      <w:r>
        <w:rPr>
          <w:w w:val="99"/>
        </w:rPr>
        <w:t> </w:t>
      </w:r>
      <w:r>
        <w:rPr/>
        <w:t>无</w:t>
      </w:r>
    </w:p>
    <w:p>
      <w:pPr>
        <w:pStyle w:val="BodyText"/>
        <w:spacing w:line="333" w:lineRule="auto" w:before="54"/>
        <w:ind w:left="774" w:right="5272" w:hanging="480"/>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pStyle w:val="BodyText"/>
        <w:spacing w:line="350" w:lineRule="auto" w:before="52"/>
        <w:ind w:left="294" w:right="1152" w:firstLine="480"/>
        <w:jc w:val="left"/>
      </w:pPr>
      <w:r>
        <w:rPr/>
        <w:t>其他说明：期末其他应收款中无持本公司</w:t>
      </w:r>
      <w:r>
        <w:rPr>
          <w:rFonts w:ascii="宋体" w:hAnsi="宋体" w:cs="宋体" w:eastAsia="宋体" w:hint="default"/>
        </w:rPr>
        <w:t>5%</w:t>
      </w:r>
      <w:r>
        <w:rPr/>
        <w:t>以上（含</w:t>
      </w:r>
      <w:r>
        <w:rPr>
          <w:rFonts w:ascii="宋体" w:hAnsi="宋体" w:cs="宋体" w:eastAsia="宋体" w:hint="default"/>
        </w:rPr>
        <w:t>5%</w:t>
      </w:r>
      <w:r>
        <w:rPr/>
        <w:t>）表决权股份的股东单位欠款， 无应收其他关联方款项。</w:t>
      </w:r>
    </w:p>
    <w:p>
      <w:pPr>
        <w:spacing w:after="0" w:line="350" w:lineRule="auto"/>
        <w:jc w:val="left"/>
        <w:sectPr>
          <w:type w:val="continuous"/>
          <w:pgSz w:w="11910" w:h="16840"/>
          <w:pgMar w:top="1060" w:bottom="1160" w:left="84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Heading2"/>
        <w:spacing w:line="240" w:lineRule="auto" w:before="199"/>
        <w:ind w:right="-20"/>
        <w:jc w:val="left"/>
        <w:rPr>
          <w:b w:val="0"/>
          <w:bCs w:val="0"/>
        </w:rPr>
      </w:pPr>
      <w:bookmarkStart w:name="7、存货" w:id="248"/>
      <w:bookmarkEnd w:id="248"/>
      <w:r>
        <w:rPr>
          <w:b w:val="0"/>
          <w:bCs w:val="0"/>
        </w:rPr>
      </w:r>
      <w:r>
        <w:rPr>
          <w:rFonts w:ascii="Times New Roman" w:hAnsi="Times New Roman" w:cs="Times New Roman" w:eastAsia="Times New Roman" w:hint="default"/>
        </w:rPr>
        <w:t>7</w:t>
      </w:r>
      <w:r>
        <w:rPr/>
        <w:t>、存货</w:t>
      </w:r>
      <w:r>
        <w:rPr>
          <w:b w:val="0"/>
          <w:bCs w:val="0"/>
        </w:rPr>
      </w:r>
    </w:p>
    <w:p>
      <w:pPr>
        <w:pStyle w:val="BodyText"/>
        <w:spacing w:line="352" w:lineRule="auto" w:before="127"/>
        <w:ind w:left="634" w:right="-20"/>
        <w:jc w:val="left"/>
      </w:pPr>
      <w:r>
        <w:rPr/>
        <w:t>公司是否需要遵守房地产行业的披露要求 否</w:t>
      </w:r>
    </w:p>
    <w:p>
      <w:pPr>
        <w:pStyle w:val="Heading2"/>
        <w:spacing w:line="240" w:lineRule="auto" w:before="33"/>
        <w:ind w:right="-20"/>
        <w:jc w:val="left"/>
        <w:rPr>
          <w:b w:val="0"/>
          <w:bCs w:val="0"/>
        </w:rPr>
      </w:pPr>
      <w:bookmarkStart w:name="（1）存货分类" w:id="249"/>
      <w:bookmarkEnd w:id="24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1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955" w:space="387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1274"/>
        <w:gridCol w:w="851"/>
        <w:gridCol w:w="1217"/>
        <w:gridCol w:w="1368"/>
        <w:gridCol w:w="960"/>
        <w:gridCol w:w="1134"/>
      </w:tblGrid>
      <w:tr>
        <w:trPr>
          <w:trHeight w:val="206" w:hRule="exact"/>
        </w:trPr>
        <w:tc>
          <w:tcPr>
            <w:tcW w:w="2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6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1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2" w:type="dxa"/>
            <w:gridSpan w:val="3"/>
            <w:vMerge/>
            <w:tcBorders>
              <w:left w:val="single" w:sz="4" w:space="0" w:color="000000"/>
              <w:bottom w:val="single" w:sz="4" w:space="0" w:color="000000"/>
              <w:right w:val="single" w:sz="4" w:space="0" w:color="000000"/>
            </w:tcBorders>
            <w:shd w:val="clear" w:color="auto" w:fill="D2D2D2"/>
          </w:tcPr>
          <w:p>
            <w:pPr/>
          </w:p>
        </w:tc>
        <w:tc>
          <w:tcPr>
            <w:tcW w:w="346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128"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4"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1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96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33,761,267.37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33,761,267.37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41,877,223.62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41,877,223.62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74,316,058.01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74,316,058.01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46,893,337.94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46,893,337.94</w:t>
            </w:r>
          </w:p>
        </w:tc>
      </w:tr>
      <w:tr>
        <w:trPr>
          <w:trHeight w:val="161" w:hRule="exact"/>
        </w:trPr>
        <w:tc>
          <w:tcPr>
            <w:tcW w:w="2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106,462,895.53</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0.00</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106,462,895.53</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100,796,506.87</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100,796,506.8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392" w:hRule="exact"/>
        </w:trPr>
        <w:tc>
          <w:tcPr>
            <w:tcW w:w="21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74"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161" w:hRule="exact"/>
        </w:trPr>
        <w:tc>
          <w:tcPr>
            <w:tcW w:w="2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建造合同形成的已完工未 结算资产</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1,431,096.31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1,431,096.31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1,499,276.99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1,499,276.99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2,460,672.69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2,460,672.69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2,752,523.69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2,752,523.69</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218,431,989.91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218,431,989.91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193,818,869.11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193,818,869.1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10"/>
        <w:rPr>
          <w:rFonts w:ascii="宋体" w:hAnsi="宋体" w:cs="宋体" w:eastAsia="宋体" w:hint="default"/>
          <w:sz w:val="4"/>
          <w:szCs w:val="4"/>
        </w:rPr>
      </w:pPr>
    </w:p>
    <w:p>
      <w:pPr>
        <w:pStyle w:val="BodyText"/>
        <w:spacing w:line="352" w:lineRule="auto" w:before="26"/>
        <w:ind w:right="0" w:firstLine="480"/>
        <w:jc w:val="left"/>
      </w:pPr>
      <w:r>
        <w:rPr>
          <w:spacing w:val="-3"/>
        </w:rPr>
        <w:t>公司是否需遵守《深圳证券交易所行业信息披露指引第</w:t>
      </w:r>
      <w:r>
        <w:rPr>
          <w:rFonts w:ascii="宋体" w:hAnsi="宋体" w:cs="宋体" w:eastAsia="宋体" w:hint="default"/>
          <w:spacing w:val="-3"/>
        </w:rPr>
        <w:t>4</w:t>
      </w:r>
      <w:r>
        <w:rPr>
          <w:spacing w:val="-3"/>
        </w:rPr>
        <w:t>号—上市公司从事种业、种植业</w:t>
      </w:r>
      <w:r>
        <w:rPr/>
        <w:t> 务》的披露要求</w:t>
      </w:r>
    </w:p>
    <w:p>
      <w:pPr>
        <w:pStyle w:val="BodyText"/>
        <w:spacing w:line="350" w:lineRule="auto" w:before="32"/>
        <w:ind w:left="634" w:right="994"/>
        <w:jc w:val="left"/>
      </w:pPr>
      <w:r>
        <w:rPr/>
        <w:t>否 </w:t>
      </w:r>
      <w:r>
        <w:rPr>
          <w:spacing w:val="-3"/>
        </w:rPr>
        <w:t>公司需遵守《深圳证券交易所行业信息披露指引第</w:t>
      </w:r>
      <w:r>
        <w:rPr>
          <w:rFonts w:ascii="宋体" w:hAnsi="宋体" w:cs="宋体" w:eastAsia="宋体" w:hint="default"/>
          <w:spacing w:val="-3"/>
        </w:rPr>
        <w:t>11</w:t>
      </w:r>
      <w:r>
        <w:rPr>
          <w:spacing w:val="-3"/>
        </w:rPr>
        <w:t>号——上市公司从事珠宝相关业务》</w:t>
      </w:r>
    </w:p>
    <w:p>
      <w:pPr>
        <w:pStyle w:val="BodyText"/>
        <w:spacing w:line="350" w:lineRule="auto"/>
        <w:ind w:left="634" w:right="9552" w:hanging="480"/>
        <w:jc w:val="left"/>
      </w:pPr>
      <w:r>
        <w:rPr/>
        <w:t>的披露要求 否</w:t>
      </w:r>
    </w:p>
    <w:p>
      <w:pPr>
        <w:spacing w:line="333" w:lineRule="auto" w:before="35"/>
        <w:ind w:left="634" w:right="4272" w:hanging="480"/>
        <w:jc w:val="left"/>
        <w:rPr>
          <w:rFonts w:ascii="宋体" w:hAnsi="宋体" w:cs="宋体" w:eastAsia="宋体" w:hint="default"/>
          <w:sz w:val="24"/>
          <w:szCs w:val="24"/>
        </w:rPr>
      </w:pPr>
      <w:bookmarkStart w:name="（2）存货跌价准备" w:id="250"/>
      <w:bookmarkEnd w:id="250"/>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）存货跌价准备</w:t>
      </w:r>
      <w:r>
        <w:rPr>
          <w:rFonts w:ascii="宋体" w:hAnsi="宋体" w:cs="宋体" w:eastAsia="宋体" w:hint="default"/>
          <w:b/>
          <w:bCs/>
          <w:w w:val="99"/>
          <w:sz w:val="24"/>
          <w:szCs w:val="24"/>
        </w:rPr>
        <w:t> </w:t>
      </w:r>
      <w:r>
        <w:rPr>
          <w:rFonts w:ascii="宋体" w:hAnsi="宋体" w:cs="宋体" w:eastAsia="宋体" w:hint="default"/>
          <w:sz w:val="24"/>
          <w:szCs w:val="24"/>
        </w:rPr>
        <w:t>期末存货可收回净值高于账面价值，无需计提跌价准备。</w:t>
      </w:r>
    </w:p>
    <w:p>
      <w:pPr>
        <w:spacing w:line="331" w:lineRule="auto" w:before="52"/>
        <w:ind w:left="634" w:right="4270" w:hanging="480"/>
        <w:jc w:val="left"/>
        <w:rPr>
          <w:rFonts w:ascii="宋体" w:hAnsi="宋体" w:cs="宋体" w:eastAsia="宋体" w:hint="default"/>
          <w:sz w:val="24"/>
          <w:szCs w:val="24"/>
        </w:rPr>
      </w:pPr>
      <w:bookmarkStart w:name="（3）存货期末余额含有借款费用资本化金额的说明" w:id="251"/>
      <w:bookmarkEnd w:id="251"/>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3</w:t>
      </w:r>
      <w:r>
        <w:rPr>
          <w:rFonts w:ascii="宋体" w:hAnsi="宋体" w:cs="宋体" w:eastAsia="宋体" w:hint="default"/>
          <w:b/>
          <w:bCs/>
          <w:w w:val="95"/>
          <w:sz w:val="24"/>
          <w:szCs w:val="24"/>
        </w:rPr>
        <w:t>）存货期末余额含有借款费用资本化金额的说明</w:t>
      </w:r>
      <w:r>
        <w:rPr>
          <w:rFonts w:ascii="宋体" w:hAnsi="宋体" w:cs="宋体" w:eastAsia="宋体" w:hint="default"/>
          <w:b/>
          <w:bCs/>
          <w:spacing w:val="21"/>
          <w:w w:val="95"/>
          <w:sz w:val="24"/>
          <w:szCs w:val="24"/>
        </w:rPr>
        <w:t> </w:t>
      </w:r>
      <w:r>
        <w:rPr>
          <w:rFonts w:ascii="宋体" w:hAnsi="宋体" w:cs="宋体" w:eastAsia="宋体" w:hint="default"/>
          <w:sz w:val="24"/>
          <w:szCs w:val="24"/>
        </w:rPr>
        <w:t>存货期末余额中无借款费用资本化金额。</w:t>
      </w:r>
    </w:p>
    <w:p>
      <w:pPr>
        <w:pStyle w:val="Heading2"/>
        <w:spacing w:line="331" w:lineRule="auto" w:before="55"/>
        <w:ind w:left="634" w:right="5710" w:hanging="480"/>
        <w:jc w:val="left"/>
        <w:rPr>
          <w:rFonts w:ascii="宋体" w:hAnsi="宋体" w:cs="宋体" w:eastAsia="宋体" w:hint="default"/>
          <w:b w:val="0"/>
          <w:bCs w:val="0"/>
        </w:rPr>
      </w:pPr>
      <w:bookmarkStart w:name="（4）期末建造合同形成的已完工未结算资产情况" w:id="252"/>
      <w:bookmarkEnd w:id="252"/>
      <w:r>
        <w:rPr>
          <w:b w:val="0"/>
          <w:bCs w:val="0"/>
        </w:rPr>
      </w:r>
      <w:r>
        <w:rPr>
          <w:w w:val="95"/>
        </w:rPr>
        <w:t>（</w:t>
      </w:r>
      <w:r>
        <w:rPr>
          <w:rFonts w:ascii="Times New Roman" w:hAnsi="Times New Roman" w:cs="Times New Roman" w:eastAsia="Times New Roman" w:hint="default"/>
          <w:w w:val="95"/>
        </w:rPr>
        <w:t>4</w:t>
      </w:r>
      <w:r>
        <w:rPr>
          <w:w w:val="95"/>
        </w:rPr>
        <w:t>）期末建造合同形成的已完工未结算资产情况 </w:t>
      </w:r>
      <w:r>
        <w:rPr>
          <w:spacing w:val="10"/>
          <w:w w:val="95"/>
        </w:rPr>
        <w:t> </w:t>
      </w:r>
      <w:r>
        <w:rPr>
          <w:rFonts w:ascii="宋体" w:hAnsi="宋体" w:cs="宋体" w:eastAsia="宋体" w:hint="default"/>
          <w:b w:val="0"/>
          <w:bCs w:val="0"/>
        </w:rPr>
        <w:t>无</w:t>
      </w:r>
    </w:p>
    <w:p>
      <w:pPr>
        <w:spacing w:after="0" w:line="331" w:lineRule="auto"/>
        <w:jc w:val="left"/>
        <w:rPr>
          <w:rFonts w:ascii="宋体" w:hAnsi="宋体" w:cs="宋体" w:eastAsia="宋体" w:hint="default"/>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Heading2"/>
        <w:spacing w:line="331" w:lineRule="auto" w:before="199"/>
        <w:ind w:left="634" w:right="1072" w:hanging="480"/>
        <w:jc w:val="left"/>
        <w:rPr>
          <w:rFonts w:ascii="宋体" w:hAnsi="宋体" w:cs="宋体" w:eastAsia="宋体" w:hint="default"/>
          <w:b w:val="0"/>
          <w:bCs w:val="0"/>
        </w:rPr>
      </w:pPr>
      <w:bookmarkStart w:name="8、持有待售资产" w:id="253"/>
      <w:bookmarkEnd w:id="253"/>
      <w:r>
        <w:rPr>
          <w:b w:val="0"/>
          <w:bCs w:val="0"/>
        </w:rPr>
      </w:r>
      <w:r>
        <w:rPr>
          <w:rFonts w:ascii="Times New Roman" w:hAnsi="Times New Roman" w:cs="Times New Roman" w:eastAsia="Times New Roman" w:hint="default"/>
          <w:w w:val="95"/>
        </w:rPr>
        <w:t>8</w:t>
      </w:r>
      <w:r>
        <w:rPr>
          <w:w w:val="95"/>
        </w:rPr>
        <w:t>、持有待售资产</w:t>
      </w:r>
      <w:r>
        <w:rPr>
          <w:spacing w:val="-32"/>
          <w:w w:val="95"/>
        </w:rPr>
        <w:t> </w:t>
      </w:r>
      <w:r>
        <w:rPr>
          <w:rFonts w:ascii="宋体" w:hAnsi="宋体" w:cs="宋体" w:eastAsia="宋体" w:hint="default"/>
          <w:b w:val="0"/>
          <w:bCs w:val="0"/>
        </w:rPr>
        <w:t>无</w:t>
      </w:r>
    </w:p>
    <w:p>
      <w:pPr>
        <w:pStyle w:val="Heading2"/>
        <w:spacing w:line="331" w:lineRule="auto" w:before="55"/>
        <w:ind w:left="634" w:right="0" w:hanging="480"/>
        <w:jc w:val="left"/>
        <w:rPr>
          <w:rFonts w:ascii="宋体" w:hAnsi="宋体" w:cs="宋体" w:eastAsia="宋体" w:hint="default"/>
          <w:b w:val="0"/>
          <w:bCs w:val="0"/>
        </w:rPr>
      </w:pPr>
      <w:bookmarkStart w:name="9、一年内到期的非流动资产" w:id="254"/>
      <w:bookmarkEnd w:id="254"/>
      <w:r>
        <w:rPr>
          <w:b w:val="0"/>
          <w:bCs w:val="0"/>
        </w:rPr>
      </w:r>
      <w:r>
        <w:rPr>
          <w:rFonts w:ascii="Times New Roman" w:hAnsi="Times New Roman" w:cs="Times New Roman" w:eastAsia="Times New Roman" w:hint="default"/>
          <w:w w:val="95"/>
        </w:rPr>
        <w:t>9</w:t>
      </w:r>
      <w:r>
        <w:rPr>
          <w:w w:val="95"/>
        </w:rPr>
        <w:t>、一年内到期的非流动资产</w:t>
      </w:r>
      <w:r>
        <w:rPr>
          <w:spacing w:val="24"/>
          <w:w w:val="95"/>
        </w:rPr>
        <w:t> </w:t>
      </w:r>
      <w:r>
        <w:rPr>
          <w:rFonts w:ascii="宋体" w:hAnsi="宋体" w:cs="宋体" w:eastAsia="宋体" w:hint="default"/>
          <w:b w:val="0"/>
          <w:bCs w:val="0"/>
        </w:rPr>
        <w:t>无</w:t>
      </w:r>
    </w:p>
    <w:p>
      <w:pPr>
        <w:pStyle w:val="Heading2"/>
        <w:spacing w:line="240" w:lineRule="auto" w:before="54"/>
        <w:ind w:right="0"/>
        <w:jc w:val="left"/>
        <w:rPr>
          <w:b w:val="0"/>
          <w:bCs w:val="0"/>
        </w:rPr>
      </w:pPr>
      <w:bookmarkStart w:name="10、其他流动资产" w:id="255"/>
      <w:bookmarkEnd w:id="255"/>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163" w:space="5666"/>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待抵扣税金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7,213,435.94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4,354,303.29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166,197.79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690,287.48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288,364.73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153,000,000.00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161,069,921.21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4,642,668.02</w:t>
            </w:r>
          </w:p>
        </w:tc>
      </w:tr>
    </w:tbl>
    <w:p>
      <w:pPr>
        <w:spacing w:line="240" w:lineRule="auto" w:before="10"/>
        <w:rPr>
          <w:rFonts w:ascii="宋体" w:hAnsi="宋体" w:cs="宋体" w:eastAsia="宋体" w:hint="default"/>
          <w:sz w:val="4"/>
          <w:szCs w:val="4"/>
        </w:rPr>
      </w:pPr>
    </w:p>
    <w:p>
      <w:pPr>
        <w:pStyle w:val="BodyText"/>
        <w:spacing w:line="350" w:lineRule="auto" w:before="26"/>
        <w:ind w:left="634" w:right="1118"/>
        <w:jc w:val="left"/>
      </w:pPr>
      <w:r>
        <w:rPr/>
        <w:t>其他说明： </w:t>
      </w:r>
      <w:r>
        <w:rPr>
          <w:spacing w:val="-2"/>
        </w:rPr>
        <w:t>其他流动资产期末余额较期初余额增加</w:t>
      </w:r>
      <w:r>
        <w:rPr>
          <w:rFonts w:ascii="宋体" w:hAnsi="宋体" w:cs="宋体" w:eastAsia="宋体" w:hint="default"/>
          <w:spacing w:val="-2"/>
        </w:rPr>
        <w:t>3,369.34%</w:t>
      </w:r>
      <w:r>
        <w:rPr>
          <w:spacing w:val="-2"/>
        </w:rPr>
        <w:t>，主要系本期新增银行理财产品期末尚</w:t>
      </w:r>
    </w:p>
    <w:p>
      <w:pPr>
        <w:pStyle w:val="BodyText"/>
        <w:spacing w:line="240" w:lineRule="auto" w:before="35"/>
        <w:ind w:right="0"/>
        <w:jc w:val="left"/>
      </w:pPr>
      <w:r>
        <w:rPr/>
        <w:t>未到期所致。</w:t>
      </w:r>
    </w:p>
    <w:p>
      <w:pPr>
        <w:pStyle w:val="Heading2"/>
        <w:spacing w:line="240" w:lineRule="auto" w:before="146"/>
        <w:ind w:right="0"/>
        <w:jc w:val="left"/>
        <w:rPr>
          <w:b w:val="0"/>
          <w:bCs w:val="0"/>
        </w:rPr>
      </w:pPr>
      <w:bookmarkStart w:name="11、可供出售金融资产" w:id="256"/>
      <w:bookmarkEnd w:id="256"/>
      <w:r>
        <w:rPr>
          <w:b w:val="0"/>
          <w:bCs w:val="0"/>
        </w:rPr>
      </w:r>
      <w:r>
        <w:rPr>
          <w:rFonts w:ascii="Times New Roman" w:hAnsi="Times New Roman" w:cs="Times New Roman" w:eastAsia="Times New Roman" w:hint="default"/>
        </w:rPr>
        <w:t>11</w:t>
      </w:r>
      <w:r>
        <w:rPr/>
        <w:t>、可供出售金融资产</w:t>
      </w:r>
      <w:r>
        <w:rPr>
          <w:b w:val="0"/>
          <w:bCs w:val="0"/>
        </w:rPr>
      </w:r>
    </w:p>
    <w:p>
      <w:pPr>
        <w:pStyle w:val="Heading2"/>
        <w:spacing w:line="240" w:lineRule="auto" w:before="127"/>
        <w:ind w:right="0"/>
        <w:jc w:val="left"/>
        <w:rPr>
          <w:b w:val="0"/>
          <w:bCs w:val="0"/>
        </w:rPr>
      </w:pPr>
      <w:bookmarkStart w:name="（1）可供出售金融资产情况" w:id="257"/>
      <w:bookmarkEnd w:id="25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before="9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114,634,100.00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35,365,900.00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114,634,100.00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35,365,900.00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114,634,100.00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35,365,900.00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114,634,100.00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35,365,900.00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114,634,100.00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35,365,900.00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114,634,100.00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35,365,900.00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333" w:lineRule="auto"/>
        <w:ind w:left="634" w:right="2" w:hanging="480"/>
        <w:jc w:val="left"/>
        <w:rPr>
          <w:rFonts w:ascii="宋体" w:hAnsi="宋体" w:cs="宋体" w:eastAsia="宋体" w:hint="default"/>
          <w:b w:val="0"/>
          <w:bCs w:val="0"/>
        </w:rPr>
      </w:pPr>
      <w:bookmarkStart w:name="（2）期末按公允价值计量的可供出售金融资产" w:id="258"/>
      <w:bookmarkEnd w:id="258"/>
      <w:r>
        <w:rPr>
          <w:b w:val="0"/>
          <w:bCs w:val="0"/>
        </w:rPr>
      </w:r>
      <w:r>
        <w:rPr>
          <w:w w:val="95"/>
        </w:rPr>
        <w:t>（</w:t>
      </w:r>
      <w:r>
        <w:rPr>
          <w:rFonts w:ascii="Times New Roman" w:hAnsi="Times New Roman" w:cs="Times New Roman" w:eastAsia="Times New Roman" w:hint="default"/>
          <w:w w:val="95"/>
        </w:rPr>
        <w:t>2</w:t>
      </w:r>
      <w:r>
        <w:rPr>
          <w:w w:val="95"/>
        </w:rPr>
        <w:t>）期末按公允价值计量的可供出售金融资产</w:t>
      </w:r>
      <w:r>
        <w:rPr>
          <w:spacing w:val="114"/>
          <w:w w:val="95"/>
        </w:rPr>
        <w:t> </w:t>
      </w:r>
      <w:r>
        <w:rPr>
          <w:rFonts w:ascii="宋体" w:hAnsi="宋体" w:cs="宋体" w:eastAsia="宋体" w:hint="default"/>
          <w:b w:val="0"/>
          <w:bCs w:val="0"/>
        </w:rPr>
        <w:t>无</w:t>
      </w:r>
    </w:p>
    <w:p>
      <w:pPr>
        <w:pStyle w:val="Heading2"/>
        <w:spacing w:line="240" w:lineRule="auto" w:before="52"/>
        <w:ind w:right="2"/>
        <w:jc w:val="left"/>
        <w:rPr>
          <w:b w:val="0"/>
          <w:bCs w:val="0"/>
        </w:rPr>
      </w:pPr>
      <w:bookmarkStart w:name="（3）期末按成本计量的可供出售金融资产" w:id="259"/>
      <w:bookmarkEnd w:id="259"/>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089" w:space="3740"/>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9"/>
        <w:gridCol w:w="1276"/>
        <w:gridCol w:w="568"/>
        <w:gridCol w:w="567"/>
        <w:gridCol w:w="992"/>
        <w:gridCol w:w="991"/>
        <w:gridCol w:w="568"/>
        <w:gridCol w:w="574"/>
        <w:gridCol w:w="870"/>
        <w:gridCol w:w="870"/>
        <w:gridCol w:w="870"/>
      </w:tblGrid>
      <w:tr>
        <w:trPr>
          <w:trHeight w:val="402"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4"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6"/>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北京七彩通达传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110,000,000.00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 w:right="0"/>
              <w:jc w:val="center"/>
              <w:rPr>
                <w:rFonts w:ascii="Times New Roman" w:hAnsi="Times New Roman" w:cs="Times New Roman" w:eastAsia="Times New Roman" w:hint="default"/>
                <w:sz w:val="18"/>
                <w:szCs w:val="18"/>
              </w:rPr>
            </w:pPr>
            <w:r>
              <w:rPr>
                <w:rFonts w:ascii="Times New Roman"/>
                <w:sz w:val="18"/>
              </w:rPr>
              <w:t>110,000,000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center"/>
              <w:rPr>
                <w:rFonts w:ascii="Times New Roman" w:hAnsi="Times New Roman" w:cs="Times New Roman" w:eastAsia="Times New Roman" w:hint="default"/>
                <w:sz w:val="18"/>
                <w:szCs w:val="18"/>
              </w:rPr>
            </w:pPr>
            <w:r>
              <w:rPr>
                <w:rFonts w:ascii="Times New Roman"/>
                <w:sz w:val="18"/>
              </w:rPr>
              <w:t>110,000,000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110,000,00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9.03%</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9"/>
        <w:gridCol w:w="1276"/>
        <w:gridCol w:w="568"/>
        <w:gridCol w:w="567"/>
        <w:gridCol w:w="992"/>
        <w:gridCol w:w="991"/>
        <w:gridCol w:w="568"/>
        <w:gridCol w:w="574"/>
        <w:gridCol w:w="870"/>
        <w:gridCol w:w="870"/>
        <w:gridCol w:w="870"/>
      </w:tblGrid>
      <w:tr>
        <w:trPr>
          <w:trHeight w:val="36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媒股份有限公司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北京智慧图科技 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4,634,100.0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4,634,100.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2.15%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深圳丰图辉煌基 金管理中心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114,634,100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114,634,10</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Heading2"/>
        <w:spacing w:line="331" w:lineRule="auto"/>
        <w:ind w:left="634" w:right="5710" w:hanging="480"/>
        <w:jc w:val="left"/>
        <w:rPr>
          <w:rFonts w:ascii="宋体" w:hAnsi="宋体" w:cs="宋体" w:eastAsia="宋体" w:hint="default"/>
          <w:b w:val="0"/>
          <w:bCs w:val="0"/>
        </w:rPr>
      </w:pPr>
      <w:bookmarkStart w:name="（4）报告期内可供出售金融资产减值的变动情况" w:id="260"/>
      <w:bookmarkEnd w:id="260"/>
      <w:r>
        <w:rPr>
          <w:b w:val="0"/>
          <w:bCs w:val="0"/>
        </w:rPr>
      </w:r>
      <w:r>
        <w:rPr>
          <w:w w:val="95"/>
        </w:rPr>
        <w:t>（</w:t>
      </w:r>
      <w:r>
        <w:rPr>
          <w:rFonts w:ascii="Times New Roman" w:hAnsi="Times New Roman" w:cs="Times New Roman" w:eastAsia="Times New Roman" w:hint="default"/>
          <w:w w:val="95"/>
        </w:rPr>
        <w:t>4</w:t>
      </w:r>
      <w:r>
        <w:rPr>
          <w:w w:val="95"/>
        </w:rPr>
        <w:t>）报告期内可供出售金融资产减值的变动情况 </w:t>
      </w:r>
      <w:r>
        <w:rPr>
          <w:spacing w:val="10"/>
          <w:w w:val="95"/>
        </w:rPr>
        <w:t> </w:t>
      </w:r>
      <w:r>
        <w:rPr>
          <w:rFonts w:ascii="宋体" w:hAnsi="宋体" w:cs="宋体" w:eastAsia="宋体" w:hint="default"/>
          <w:b w:val="0"/>
          <w:bCs w:val="0"/>
        </w:rPr>
        <w:t>无</w:t>
      </w:r>
    </w:p>
    <w:p>
      <w:pPr>
        <w:pStyle w:val="Heading2"/>
        <w:spacing w:line="331" w:lineRule="auto" w:before="55"/>
        <w:ind w:left="634" w:right="1092" w:hanging="480"/>
        <w:jc w:val="left"/>
        <w:rPr>
          <w:rFonts w:ascii="宋体" w:hAnsi="宋体" w:cs="宋体" w:eastAsia="宋体" w:hint="default"/>
          <w:b w:val="0"/>
          <w:bCs w:val="0"/>
        </w:rPr>
      </w:pPr>
      <w:bookmarkStart w:name="（5）可供出售权益工具期末公允价值严重下跌或非暂时性下跌但未计提减值准备的相关说" w:id="261"/>
      <w:bookmarkEnd w:id="261"/>
      <w:r>
        <w:rPr>
          <w:b w:val="0"/>
          <w:bCs w:val="0"/>
        </w:rPr>
      </w:r>
      <w:r>
        <w:rPr>
          <w:spacing w:val="-3"/>
          <w:w w:val="99"/>
        </w:rPr>
        <w:t>（</w:t>
      </w:r>
      <w:r>
        <w:rPr>
          <w:rFonts w:ascii="Times New Roman" w:hAnsi="Times New Roman" w:cs="Times New Roman" w:eastAsia="Times New Roman" w:hint="default"/>
          <w:spacing w:val="-3"/>
          <w:w w:val="99"/>
        </w:rPr>
        <w:t>5</w:t>
      </w:r>
      <w:r>
        <w:rPr>
          <w:spacing w:val="-3"/>
          <w:w w:val="99"/>
        </w:rPr>
        <w:t>）可供出售权益工具期末公允价值严重下跌或非暂时性下跌但未计提减值准备的相关说明</w:t>
      </w:r>
      <w:r>
        <w:rPr>
          <w:spacing w:val="-116"/>
          <w:w w:val="99"/>
        </w:rPr>
        <w:t> </w:t>
      </w:r>
      <w:r>
        <w:rPr>
          <w:spacing w:val="-116"/>
          <w:w w:val="99"/>
        </w:rPr>
      </w:r>
      <w:r>
        <w:rPr>
          <w:rFonts w:ascii="宋体" w:hAnsi="宋体" w:cs="宋体" w:eastAsia="宋体" w:hint="default"/>
          <w:b w:val="0"/>
          <w:bCs w:val="0"/>
        </w:rPr>
        <w:t>无</w:t>
      </w:r>
    </w:p>
    <w:p>
      <w:pPr>
        <w:pStyle w:val="Heading2"/>
        <w:spacing w:line="333" w:lineRule="auto" w:before="54"/>
        <w:ind w:left="634" w:right="8584" w:hanging="480"/>
        <w:jc w:val="left"/>
        <w:rPr>
          <w:rFonts w:ascii="宋体" w:hAnsi="宋体" w:cs="宋体" w:eastAsia="宋体" w:hint="default"/>
          <w:b w:val="0"/>
          <w:bCs w:val="0"/>
        </w:rPr>
      </w:pPr>
      <w:bookmarkStart w:name="12、持有至到期投资" w:id="262"/>
      <w:bookmarkEnd w:id="262"/>
      <w:r>
        <w:rPr>
          <w:b w:val="0"/>
          <w:bCs w:val="0"/>
        </w:rPr>
      </w:r>
      <w:r>
        <w:rPr>
          <w:rFonts w:ascii="Times New Roman" w:hAnsi="Times New Roman" w:cs="Times New Roman" w:eastAsia="Times New Roman" w:hint="default"/>
        </w:rPr>
        <w:t>12</w:t>
      </w:r>
      <w:r>
        <w:rPr/>
        <w:t>、持有至到期投资</w:t>
      </w:r>
      <w:r>
        <w:rPr>
          <w:w w:val="99"/>
        </w:rPr>
        <w:t> </w:t>
      </w:r>
      <w:r>
        <w:rPr>
          <w:rFonts w:ascii="宋体" w:hAnsi="宋体" w:cs="宋体" w:eastAsia="宋体" w:hint="default"/>
          <w:b w:val="0"/>
          <w:bCs w:val="0"/>
        </w:rPr>
        <w:t>无</w:t>
      </w:r>
    </w:p>
    <w:p>
      <w:pPr>
        <w:pStyle w:val="Heading2"/>
        <w:spacing w:line="331" w:lineRule="auto" w:before="52"/>
        <w:ind w:left="634" w:right="9066" w:hanging="480"/>
        <w:jc w:val="left"/>
        <w:rPr>
          <w:rFonts w:ascii="宋体" w:hAnsi="宋体" w:cs="宋体" w:eastAsia="宋体" w:hint="default"/>
          <w:b w:val="0"/>
          <w:bCs w:val="0"/>
        </w:rPr>
      </w:pPr>
      <w:bookmarkStart w:name="13、长期应收款" w:id="263"/>
      <w:bookmarkEnd w:id="263"/>
      <w:r>
        <w:rPr>
          <w:b w:val="0"/>
          <w:bCs w:val="0"/>
        </w:rPr>
      </w:r>
      <w:r>
        <w:rPr>
          <w:rFonts w:ascii="Times New Roman" w:hAnsi="Times New Roman" w:cs="Times New Roman" w:eastAsia="Times New Roman" w:hint="default"/>
        </w:rPr>
        <w:t>13</w:t>
      </w:r>
      <w:r>
        <w:rPr/>
        <w:t>、长期应收款</w:t>
      </w:r>
      <w:r>
        <w:rPr>
          <w:w w:val="99"/>
        </w:rPr>
        <w:t> </w:t>
      </w:r>
      <w:r>
        <w:rPr>
          <w:rFonts w:ascii="宋体" w:hAnsi="宋体" w:cs="宋体" w:eastAsia="宋体" w:hint="default"/>
          <w:b w:val="0"/>
          <w:bCs w:val="0"/>
        </w:rPr>
        <w:t>无</w:t>
      </w:r>
    </w:p>
    <w:p>
      <w:pPr>
        <w:pStyle w:val="Heading2"/>
        <w:spacing w:line="240" w:lineRule="auto" w:before="55"/>
        <w:ind w:right="0"/>
        <w:jc w:val="left"/>
        <w:rPr>
          <w:b w:val="0"/>
          <w:bCs w:val="0"/>
        </w:rPr>
      </w:pPr>
      <w:bookmarkStart w:name="14、长期股权投资" w:id="264"/>
      <w:bookmarkEnd w:id="264"/>
      <w:r>
        <w:rPr>
          <w:b w:val="0"/>
          <w:bCs w:val="0"/>
        </w:rPr>
      </w:r>
      <w:r>
        <w:rPr>
          <w:rFonts w:ascii="Times New Roman" w:hAnsi="Times New Roman" w:cs="Times New Roman" w:eastAsia="Times New Roman" w:hint="default"/>
        </w:rPr>
        <w:t>14</w:t>
      </w:r>
      <w:r>
        <w:rPr/>
        <w:t>、长期股权投资</w:t>
      </w:r>
      <w:r>
        <w:rPr>
          <w:b w:val="0"/>
          <w:bCs w:val="0"/>
        </w:rPr>
      </w:r>
    </w:p>
    <w:p>
      <w:pPr>
        <w:spacing w:before="9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566"/>
        <w:gridCol w:w="425"/>
        <w:gridCol w:w="1134"/>
        <w:gridCol w:w="568"/>
        <w:gridCol w:w="1134"/>
        <w:gridCol w:w="710"/>
        <w:gridCol w:w="566"/>
        <w:gridCol w:w="322"/>
        <w:gridCol w:w="798"/>
        <w:gridCol w:w="798"/>
      </w:tblGrid>
      <w:tr>
        <w:trPr>
          <w:trHeight w:val="402"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2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33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2" w:right="111"/>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6"/>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71" w:right="110"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4" w:right="65"/>
              <w:jc w:val="left"/>
              <w:rPr>
                <w:rFonts w:ascii="宋体" w:hAnsi="宋体" w:cs="宋体" w:eastAsia="宋体" w:hint="default"/>
                <w:sz w:val="18"/>
                <w:szCs w:val="18"/>
              </w:rPr>
            </w:pPr>
            <w:r>
              <w:rPr>
                <w:rFonts w:ascii="宋体" w:hAnsi="宋体" w:cs="宋体" w:eastAsia="宋体" w:hint="default"/>
                <w:sz w:val="18"/>
                <w:szCs w:val="18"/>
              </w:rPr>
              <w:t>其 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0.00</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73" w:right="0"/>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0.00</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0.00</w:t>
            </w:r>
          </w:p>
        </w:tc>
        <w:tc>
          <w:tcPr>
            <w:tcW w:w="322"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73" w:right="0"/>
              <w:jc w:val="center"/>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7"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2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32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飞天联合</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系统技术有限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73,098,570.01</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-6,619,103.93</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12,731,085.49</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79,210,55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北京赛弗网络 科技有限责任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80,742,568.85</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-1,481,732.78</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79,260,83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70,369,71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153,841,138.86</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-8,100,836.71</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12,731,085.49</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158,471,3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4"/>
              <w:jc w:val="right"/>
              <w:rPr>
                <w:rFonts w:ascii="Times New Roman" w:hAnsi="Times New Roman" w:cs="Times New Roman" w:eastAsia="Times New Roman" w:hint="default"/>
                <w:sz w:val="18"/>
                <w:szCs w:val="18"/>
              </w:rPr>
            </w:pPr>
            <w:r>
              <w:rPr>
                <w:rFonts w:ascii="Times New Roman"/>
                <w:sz w:val="18"/>
              </w:rPr>
              <w:t>70,369,71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566"/>
        <w:gridCol w:w="425"/>
        <w:gridCol w:w="1134"/>
        <w:gridCol w:w="568"/>
        <w:gridCol w:w="1134"/>
        <w:gridCol w:w="710"/>
        <w:gridCol w:w="566"/>
        <w:gridCol w:w="322"/>
        <w:gridCol w:w="798"/>
        <w:gridCol w:w="798"/>
      </w:tblGrid>
      <w:tr>
        <w:trPr>
          <w:trHeight w:val="36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87.64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1.34</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153,841,138.86</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-8,100,836.71</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12,731,085.49</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158,471,3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87.64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70,369,71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1.34</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BodyText"/>
        <w:spacing w:line="240" w:lineRule="auto" w:before="26"/>
        <w:ind w:left="634" w:right="-16"/>
        <w:jc w:val="left"/>
      </w:pPr>
      <w:r>
        <w:rPr/>
        <w:t>其他说明：无</w:t>
      </w:r>
    </w:p>
    <w:p>
      <w:pPr>
        <w:pStyle w:val="Heading2"/>
        <w:spacing w:line="333" w:lineRule="auto" w:before="145"/>
        <w:ind w:left="634" w:right="-16" w:hanging="480"/>
        <w:jc w:val="left"/>
        <w:rPr>
          <w:rFonts w:ascii="宋体" w:hAnsi="宋体" w:cs="宋体" w:eastAsia="宋体" w:hint="default"/>
          <w:b w:val="0"/>
          <w:bCs w:val="0"/>
        </w:rPr>
      </w:pPr>
      <w:bookmarkStart w:name="15、投资性房地产" w:id="265"/>
      <w:bookmarkEnd w:id="265"/>
      <w:r>
        <w:rPr>
          <w:b w:val="0"/>
          <w:bCs w:val="0"/>
        </w:rPr>
      </w:r>
      <w:r>
        <w:rPr>
          <w:rFonts w:ascii="Times New Roman" w:hAnsi="Times New Roman" w:cs="Times New Roman" w:eastAsia="Times New Roman" w:hint="default"/>
          <w:w w:val="95"/>
        </w:rPr>
        <w:t>15</w:t>
      </w:r>
      <w:r>
        <w:rPr>
          <w:w w:val="95"/>
        </w:rPr>
        <w:t>、投资性房地产</w:t>
      </w:r>
      <w:r>
        <w:rPr>
          <w:spacing w:val="-26"/>
          <w:w w:val="95"/>
        </w:rPr>
        <w:t> </w:t>
      </w:r>
      <w:r>
        <w:rPr>
          <w:rFonts w:ascii="宋体" w:hAnsi="宋体" w:cs="宋体" w:eastAsia="宋体" w:hint="default"/>
          <w:b w:val="0"/>
          <w:bCs w:val="0"/>
        </w:rPr>
        <w:t>无</w:t>
      </w:r>
    </w:p>
    <w:p>
      <w:pPr>
        <w:pStyle w:val="Heading2"/>
        <w:spacing w:line="240" w:lineRule="auto" w:before="52"/>
        <w:ind w:right="-16"/>
        <w:jc w:val="left"/>
        <w:rPr>
          <w:b w:val="0"/>
          <w:bCs w:val="0"/>
        </w:rPr>
      </w:pPr>
      <w:bookmarkStart w:name="16、固定资产" w:id="266"/>
      <w:bookmarkEnd w:id="26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079" w:space="6750"/>
            <w:col w:w="210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99,753,841.47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102,475,593.67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99,753,841.47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102,475,593.67</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0"/>
        <w:jc w:val="left"/>
        <w:rPr>
          <w:b w:val="0"/>
          <w:bCs w:val="0"/>
        </w:rPr>
      </w:pPr>
      <w:bookmarkStart w:name="（1）固定资产情况" w:id="267"/>
      <w:bookmarkEnd w:id="267"/>
      <w:r>
        <w:rPr>
          <w:b w:val="0"/>
          <w:bCs w:val="0"/>
        </w:rPr>
      </w:r>
      <w:r>
        <w:rPr>
          <w:w w:val="95"/>
        </w:rPr>
        <w:t>（</w:t>
      </w:r>
      <w:r>
        <w:rPr>
          <w:rFonts w:ascii="Times New Roman" w:hAnsi="Times New Roman" w:cs="Times New Roman" w:eastAsia="Times New Roman" w:hint="default"/>
          <w:w w:val="95"/>
        </w:rPr>
        <w:t>1</w:t>
      </w:r>
      <w:r>
        <w:rPr>
          <w:w w:val="95"/>
        </w:rPr>
        <w:t>）固定资产情况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201" w:space="6629"/>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4"/>
        <w:gridCol w:w="1431"/>
        <w:gridCol w:w="1274"/>
        <w:gridCol w:w="1276"/>
        <w:gridCol w:w="1277"/>
        <w:gridCol w:w="1342"/>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7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7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31" w:type="dxa"/>
            <w:tcBorders>
              <w:top w:val="single" w:sz="4" w:space="0" w:color="000000"/>
              <w:left w:val="single" w:sz="13" w:space="0" w:color="D9D9D9"/>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3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112,732,203.27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92,050,679.73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11,363,771.55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6,808,943.01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222,955,597.56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3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2,135,922.33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613,557.29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1,132,139.71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3,318,318.12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7,199,937.45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3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2,135,922.33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613,557.29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1,132,139.71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558,160.91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4,439,780.24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04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431" w:type="dxa"/>
            <w:tcBorders>
              <w:top w:val="single" w:sz="4" w:space="0" w:color="000000"/>
              <w:left w:val="single" w:sz="13" w:space="0" w:color="D9D9D9"/>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04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31" w:type="dxa"/>
            <w:tcBorders>
              <w:top w:val="single" w:sz="4" w:space="0" w:color="000000"/>
              <w:left w:val="single" w:sz="13" w:space="0" w:color="D9D9D9"/>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431" w:type="dxa"/>
            <w:tcBorders>
              <w:top w:val="single" w:sz="4" w:space="0" w:color="000000"/>
              <w:left w:val="single" w:sz="13" w:space="0" w:color="D9D9D9"/>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2,760,157.21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2,760,157.21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3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2,760,157.21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763,075.74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868,785.00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381,267.51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4,773,285.46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31" w:type="dxa"/>
            <w:tcBorders>
              <w:top w:val="single" w:sz="4" w:space="0" w:color="000000"/>
              <w:left w:val="single" w:sz="13" w:space="0" w:color="D9D9D9"/>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763,075.74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868,785.00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381,267.51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2,013,128.25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43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2,760,157.21</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2,760,157.21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3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112,107,968.39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91,901,161.28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11,627,126.26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9,745,993.62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225,382,249.55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31" w:type="dxa"/>
            <w:tcBorders>
              <w:top w:val="single" w:sz="4" w:space="0" w:color="000000"/>
              <w:left w:val="single" w:sz="13" w:space="0" w:color="D9D9D9"/>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3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18,439,733.55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85,698,331.09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10,518,728.75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5,823,210.50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120,480,003.89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3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3,264,966.47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2,578,664.05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289,119.32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936,897.00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7,069,646.84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3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3,264,966.47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2,578,664.05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289,119.32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879,525.16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7,012,275.00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431" w:type="dxa"/>
            <w:tcBorders>
              <w:top w:val="single" w:sz="4" w:space="0" w:color="000000"/>
              <w:left w:val="single" w:sz="13" w:space="0" w:color="D9D9D9"/>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57,371.84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57,371.84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3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57,371.84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674,631.47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842,721.45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346,517.89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1,921,242.65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31" w:type="dxa"/>
            <w:tcBorders>
              <w:top w:val="single" w:sz="4" w:space="0" w:color="000000"/>
              <w:left w:val="single" w:sz="13" w:space="0" w:color="D9D9D9"/>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674,631.47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842,721.45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346,517.89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1,863,870.81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43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57,371.84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57,371.84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3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21,647,328.18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87,602,363.67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9,965,126.62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6,413,589.61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125,628,408.08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8"/>
        <w:gridCol w:w="1419"/>
        <w:gridCol w:w="1274"/>
        <w:gridCol w:w="1276"/>
        <w:gridCol w:w="1277"/>
        <w:gridCol w:w="1342"/>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90,460,640.21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4,298,797.61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1,661,999.64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3,332,404.01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99,753,841.47</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94,292,469.72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6,352,348.64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845,042.80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985,732.51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102,475,593.67</w:t>
            </w:r>
          </w:p>
        </w:tc>
      </w:tr>
    </w:tbl>
    <w:p>
      <w:pPr>
        <w:spacing w:line="240" w:lineRule="auto" w:before="10"/>
        <w:rPr>
          <w:rFonts w:ascii="宋体" w:hAnsi="宋体" w:cs="宋体" w:eastAsia="宋体" w:hint="default"/>
          <w:sz w:val="4"/>
          <w:szCs w:val="4"/>
        </w:rPr>
      </w:pPr>
    </w:p>
    <w:p>
      <w:pPr>
        <w:pStyle w:val="BodyText"/>
        <w:spacing w:line="352" w:lineRule="auto" w:before="26"/>
        <w:ind w:right="1131" w:firstLine="480"/>
        <w:jc w:val="both"/>
      </w:pPr>
      <w:r>
        <w:rPr/>
        <w:t>其他说明：公司子公司辉煌路阳上期末在建工程新建厂房达到预计可使用状态暂估转入 </w:t>
      </w:r>
      <w:r>
        <w:rPr>
          <w:spacing w:val="-2"/>
        </w:rPr>
        <w:t>固定资产</w:t>
      </w:r>
      <w:r>
        <w:rPr>
          <w:rFonts w:ascii="宋体" w:hAnsi="宋体" w:cs="宋体" w:eastAsia="宋体" w:hint="default"/>
          <w:spacing w:val="-2"/>
        </w:rPr>
        <w:t>-</w:t>
      </w:r>
      <w:r>
        <w:rPr>
          <w:spacing w:val="-2"/>
        </w:rPr>
        <w:t>房屋及建筑物。报告期内相关固定资产竣工验收，企业将其涉及到的固定资产明细</w:t>
      </w:r>
      <w:r>
        <w:rPr/>
        <w:t> 按照正确类别重新划分，其中三项固定资产（电力变压器、燃气减压站、自来水地下管网原 值合计为</w:t>
      </w:r>
      <w:r>
        <w:rPr>
          <w:rFonts w:ascii="宋体" w:hAnsi="宋体" w:cs="宋体" w:eastAsia="宋体" w:hint="default"/>
        </w:rPr>
        <w:t>2,760,157.21</w:t>
      </w:r>
      <w:r>
        <w:rPr/>
        <w:t>元）从房屋及建筑物划分为其他设备。附注中房屋及建筑物账面原值 的其他减少以及其他设备中原值的其他增加变动情况系以上原因所致。</w:t>
      </w:r>
    </w:p>
    <w:p>
      <w:pPr>
        <w:pStyle w:val="BodyText"/>
        <w:spacing w:line="240" w:lineRule="auto" w:before="32"/>
        <w:ind w:left="634" w:right="0"/>
        <w:jc w:val="left"/>
      </w:pPr>
      <w:r>
        <w:rPr/>
        <w:t>期末无通过融资租赁租入的固定资产。期末无未办妥产权证书的固定资产。</w:t>
      </w:r>
    </w:p>
    <w:p>
      <w:pPr>
        <w:pStyle w:val="Heading2"/>
        <w:spacing w:line="240" w:lineRule="auto" w:before="146"/>
        <w:ind w:right="0"/>
        <w:jc w:val="left"/>
        <w:rPr>
          <w:b w:val="0"/>
          <w:bCs w:val="0"/>
        </w:rPr>
      </w:pPr>
      <w:bookmarkStart w:name="17、在建工程" w:id="268"/>
      <w:bookmarkEnd w:id="268"/>
      <w:r>
        <w:rPr>
          <w:b w:val="0"/>
          <w:bCs w:val="0"/>
        </w:rPr>
      </w:r>
      <w:r>
        <w:rPr>
          <w:rFonts w:ascii="Times New Roman" w:hAnsi="Times New Roman" w:cs="Times New Roman" w:eastAsia="Times New Roman" w:hint="default"/>
        </w:rPr>
        <w:t>17</w:t>
      </w:r>
      <w:r>
        <w:rPr/>
        <w:t>、在建工程</w:t>
      </w:r>
      <w:r>
        <w:rPr>
          <w:b w:val="0"/>
          <w:bCs w:val="0"/>
        </w:rPr>
      </w:r>
    </w:p>
    <w:p>
      <w:pPr>
        <w:spacing w:before="9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196,734,387.43</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141,627,602.21</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196,734,387.43</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141,627,602.21</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240" w:lineRule="auto"/>
        <w:ind w:right="0"/>
        <w:jc w:val="left"/>
        <w:rPr>
          <w:b w:val="0"/>
          <w:bCs w:val="0"/>
        </w:rPr>
      </w:pPr>
      <w:bookmarkStart w:name="（1）在建工程情况" w:id="269"/>
      <w:bookmarkEnd w:id="269"/>
      <w:r>
        <w:rPr>
          <w:b w:val="0"/>
          <w:bCs w:val="0"/>
        </w:rPr>
      </w:r>
      <w:r>
        <w:rPr>
          <w:w w:val="95"/>
        </w:rPr>
        <w:t>（</w:t>
      </w:r>
      <w:r>
        <w:rPr>
          <w:rFonts w:ascii="Times New Roman" w:hAnsi="Times New Roman" w:cs="Times New Roman" w:eastAsia="Times New Roman" w:hint="default"/>
          <w:w w:val="95"/>
        </w:rPr>
        <w:t>1</w:t>
      </w:r>
      <w:r>
        <w:rPr>
          <w:w w:val="95"/>
        </w:rPr>
        <w:t>）在建工程情况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201" w:space="6629"/>
            <w:col w:w="2100"/>
          </w:cols>
        </w:sectPr>
      </w:pPr>
    </w:p>
    <w:p>
      <w:pPr>
        <w:spacing w:line="240" w:lineRule="auto" w:before="1"/>
        <w:rPr>
          <w:rFonts w:ascii="宋体" w:hAnsi="宋体" w:cs="宋体" w:eastAsia="宋体" w:hint="default"/>
          <w:sz w:val="8"/>
          <w:szCs w:val="8"/>
        </w:rPr>
      </w:pPr>
    </w:p>
    <w:tbl>
      <w:tblPr>
        <w:tblW w:w="0" w:type="auto"/>
        <w:jc w:val="left"/>
        <w:tblInd w:w="254" w:type="dxa"/>
        <w:tblLayout w:type="fixed"/>
        <w:tblCellMar>
          <w:top w:w="0" w:type="dxa"/>
          <w:left w:w="0" w:type="dxa"/>
          <w:bottom w:w="0" w:type="dxa"/>
          <w:right w:w="0" w:type="dxa"/>
        </w:tblCellMar>
        <w:tblLook w:val="01E0"/>
      </w:tblPr>
      <w:tblGrid>
        <w:gridCol w:w="2907"/>
        <w:gridCol w:w="1276"/>
        <w:gridCol w:w="851"/>
        <w:gridCol w:w="1217"/>
        <w:gridCol w:w="1193"/>
        <w:gridCol w:w="850"/>
        <w:gridCol w:w="1134"/>
      </w:tblGrid>
      <w:tr>
        <w:trPr>
          <w:trHeight w:val="402" w:hRule="exact"/>
        </w:trPr>
        <w:tc>
          <w:tcPr>
            <w:tcW w:w="29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07"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工程主体</w:t>
            </w:r>
            <w:r>
              <w:rPr>
                <w:rFonts w:ascii="Times New Roman" w:hAnsi="Times New Roman" w:cs="Times New Roman" w:eastAsia="Times New Roman" w:hint="default"/>
                <w:sz w:val="18"/>
                <w:szCs w:val="18"/>
              </w:rPr>
              <w:t>--</w:t>
            </w:r>
            <w:r>
              <w:rPr>
                <w:rFonts w:ascii="宋体" w:hAnsi="宋体" w:cs="宋体" w:eastAsia="宋体" w:hint="default"/>
                <w:sz w:val="18"/>
                <w:szCs w:val="18"/>
              </w:rPr>
              <w:t>新厂区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49,676,122.13</w:t>
            </w:r>
          </w:p>
        </w:tc>
        <w:tc>
          <w:tcPr>
            <w:tcW w:w="85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49,676,122.13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24,667,348.76</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24,667,348.76</w:t>
            </w:r>
          </w:p>
        </w:tc>
      </w:tr>
      <w:tr>
        <w:trPr>
          <w:trHeight w:val="714"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1"/>
              <w:jc w:val="left"/>
              <w:rPr>
                <w:rFonts w:ascii="宋体" w:hAnsi="宋体" w:cs="宋体" w:eastAsia="宋体" w:hint="default"/>
                <w:sz w:val="18"/>
                <w:szCs w:val="18"/>
              </w:rPr>
            </w:pPr>
            <w:r>
              <w:rPr>
                <w:rFonts w:ascii="宋体" w:hAnsi="宋体" w:cs="宋体" w:eastAsia="宋体" w:hint="default"/>
                <w:sz w:val="18"/>
                <w:szCs w:val="18"/>
              </w:rPr>
              <w:t>北斗铁路列车卫星定位与辅助预警 系统应用示范</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5,617,680.60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5,617,680.60</w:t>
            </w:r>
          </w:p>
        </w:tc>
      </w:tr>
      <w:tr>
        <w:trPr>
          <w:trHeight w:val="402"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铁路综合视频监控系统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10,441,807.36</w:t>
            </w:r>
          </w:p>
        </w:tc>
        <w:tc>
          <w:tcPr>
            <w:tcW w:w="85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10,441,807.36</w:t>
            </w:r>
          </w:p>
        </w:tc>
        <w:tc>
          <w:tcPr>
            <w:tcW w:w="11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轨道交通运营安全服务系统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110,235,441.35</w:t>
            </w:r>
          </w:p>
        </w:tc>
        <w:tc>
          <w:tcPr>
            <w:tcW w:w="85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110,235,441.35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91,673,210.25</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91,673,210.25</w:t>
            </w:r>
          </w:p>
        </w:tc>
      </w:tr>
      <w:tr>
        <w:trPr>
          <w:trHeight w:val="714"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1"/>
              <w:jc w:val="left"/>
              <w:rPr>
                <w:rFonts w:ascii="宋体" w:hAnsi="宋体" w:cs="宋体" w:eastAsia="宋体" w:hint="default"/>
                <w:sz w:val="18"/>
                <w:szCs w:val="18"/>
              </w:rPr>
            </w:pPr>
            <w:r>
              <w:rPr>
                <w:rFonts w:ascii="宋体" w:hAnsi="宋体" w:cs="宋体" w:eastAsia="宋体" w:hint="default"/>
                <w:sz w:val="18"/>
                <w:szCs w:val="18"/>
              </w:rPr>
              <w:t>轨道交通信息集成与网络化运营调 度指挥系统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3,067,539.94</w:t>
            </w:r>
          </w:p>
        </w:tc>
        <w:tc>
          <w:tcPr>
            <w:tcW w:w="85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3,067,539.94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3,067,539.94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3,067,539.94</w:t>
            </w:r>
          </w:p>
        </w:tc>
      </w:tr>
      <w:tr>
        <w:trPr>
          <w:trHeight w:val="714"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1"/>
              <w:jc w:val="left"/>
              <w:rPr>
                <w:rFonts w:ascii="宋体" w:hAnsi="宋体" w:cs="宋体" w:eastAsia="宋体" w:hint="default"/>
                <w:sz w:val="18"/>
                <w:szCs w:val="18"/>
              </w:rPr>
            </w:pPr>
            <w:r>
              <w:rPr>
                <w:rFonts w:ascii="宋体" w:hAnsi="宋体" w:cs="宋体" w:eastAsia="宋体" w:hint="default"/>
                <w:sz w:val="18"/>
                <w:szCs w:val="18"/>
              </w:rPr>
              <w:t>城轨自动化监控平台系统关键技术 研究与应用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8,081,630.53</w:t>
            </w:r>
          </w:p>
        </w:tc>
        <w:tc>
          <w:tcPr>
            <w:tcW w:w="85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8,081,630.53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7,092,323.80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7,092,323.80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54" w:type="dxa"/>
        <w:tblLayout w:type="fixed"/>
        <w:tblCellMar>
          <w:top w:w="0" w:type="dxa"/>
          <w:left w:w="0" w:type="dxa"/>
          <w:bottom w:w="0" w:type="dxa"/>
          <w:right w:w="0" w:type="dxa"/>
        </w:tblCellMar>
        <w:tblLook w:val="01E0"/>
      </w:tblPr>
      <w:tblGrid>
        <w:gridCol w:w="2907"/>
        <w:gridCol w:w="1276"/>
        <w:gridCol w:w="851"/>
        <w:gridCol w:w="1217"/>
        <w:gridCol w:w="1193"/>
        <w:gridCol w:w="850"/>
        <w:gridCol w:w="1134"/>
      </w:tblGrid>
      <w:tr>
        <w:trPr>
          <w:trHeight w:val="714"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1"/>
              <w:jc w:val="left"/>
              <w:rPr>
                <w:rFonts w:ascii="宋体" w:hAnsi="宋体" w:cs="宋体" w:eastAsia="宋体" w:hint="default"/>
                <w:sz w:val="18"/>
                <w:szCs w:val="18"/>
              </w:rPr>
            </w:pPr>
            <w:r>
              <w:rPr>
                <w:rFonts w:ascii="宋体" w:hAnsi="宋体" w:cs="宋体" w:eastAsia="宋体" w:hint="default"/>
                <w:sz w:val="18"/>
                <w:szCs w:val="18"/>
              </w:rPr>
              <w:t>成都新一驱动科技有限责任公司新 建厂房项目工程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15,231,846.12</w:t>
            </w:r>
          </w:p>
        </w:tc>
        <w:tc>
          <w:tcPr>
            <w:tcW w:w="85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15,231,846.12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9,509,498.86</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9,509,498.86</w:t>
            </w:r>
          </w:p>
        </w:tc>
      </w:tr>
      <w:tr>
        <w:trPr>
          <w:trHeight w:val="714" w:hRule="exact"/>
        </w:trPr>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196,734,387.43</w:t>
            </w:r>
          </w:p>
        </w:tc>
        <w:tc>
          <w:tcPr>
            <w:tcW w:w="85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196,734,387.43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141,627,602.21</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141,627,602.2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240" w:lineRule="auto"/>
        <w:ind w:right="0"/>
        <w:jc w:val="left"/>
        <w:rPr>
          <w:b w:val="0"/>
          <w:bCs w:val="0"/>
        </w:rPr>
      </w:pPr>
      <w:bookmarkStart w:name="（2）重要在建工程项目本期变动情况" w:id="270"/>
      <w:bookmarkEnd w:id="270"/>
      <w:r>
        <w:rPr>
          <w:b w:val="0"/>
          <w:bCs w:val="0"/>
        </w:rPr>
      </w:r>
      <w:r>
        <w:rPr>
          <w:w w:val="95"/>
        </w:rPr>
        <w:t>（</w:t>
      </w:r>
      <w:r>
        <w:rPr>
          <w:rFonts w:ascii="Times New Roman" w:hAnsi="Times New Roman" w:cs="Times New Roman" w:eastAsia="Times New Roman" w:hint="default"/>
          <w:w w:val="95"/>
        </w:rPr>
        <w:t>2</w:t>
      </w:r>
      <w:r>
        <w:rPr>
          <w:w w:val="95"/>
        </w:rPr>
        <w:t>）重要在建工程项目本期变动情况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26" w:space="4703"/>
            <w:col w:w="2101"/>
          </w:cols>
        </w:sectPr>
      </w:pPr>
    </w:p>
    <w:p>
      <w:pPr>
        <w:spacing w:line="240" w:lineRule="auto" w:before="0"/>
        <w:rPr>
          <w:rFonts w:ascii="宋体" w:hAnsi="宋体" w:cs="宋体" w:eastAsia="宋体" w:hint="default"/>
          <w:sz w:val="8"/>
          <w:szCs w:val="8"/>
        </w:rPr>
      </w:pPr>
    </w:p>
    <w:tbl>
      <w:tblPr>
        <w:tblW w:w="0" w:type="auto"/>
        <w:jc w:val="left"/>
        <w:tblInd w:w="123" w:type="dxa"/>
        <w:tblLayout w:type="fixed"/>
        <w:tblCellMar>
          <w:top w:w="0" w:type="dxa"/>
          <w:left w:w="0" w:type="dxa"/>
          <w:bottom w:w="0" w:type="dxa"/>
          <w:right w:w="0" w:type="dxa"/>
        </w:tblCellMar>
        <w:tblLook w:val="01E0"/>
      </w:tblPr>
      <w:tblGrid>
        <w:gridCol w:w="1769"/>
        <w:gridCol w:w="828"/>
        <w:gridCol w:w="992"/>
        <w:gridCol w:w="850"/>
        <w:gridCol w:w="568"/>
        <w:gridCol w:w="709"/>
        <w:gridCol w:w="851"/>
        <w:gridCol w:w="708"/>
        <w:gridCol w:w="566"/>
        <w:gridCol w:w="552"/>
        <w:gridCol w:w="568"/>
        <w:gridCol w:w="728"/>
      </w:tblGrid>
      <w:tr>
        <w:trPr>
          <w:trHeight w:val="1649"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40" w:right="58" w:hanging="181"/>
              <w:jc w:val="left"/>
              <w:rPr>
                <w:rFonts w:ascii="宋体" w:hAnsi="宋体" w:cs="宋体" w:eastAsia="宋体" w:hint="default"/>
                <w:sz w:val="18"/>
                <w:szCs w:val="18"/>
              </w:rPr>
            </w:pPr>
            <w:r>
              <w:rPr>
                <w:rFonts w:ascii="宋体" w:hAnsi="宋体" w:cs="宋体" w:eastAsia="宋体" w:hint="default"/>
                <w:sz w:val="18"/>
                <w:szCs w:val="18"/>
              </w:rPr>
              <w:t>本期增加 金额</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6"/>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8"/>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8" w:right="78"/>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9" w:right="96"/>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68" w:right="89"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911"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工程主体</w:t>
            </w:r>
            <w:r>
              <w:rPr>
                <w:rFonts w:ascii="Times New Roman" w:hAnsi="Times New Roman" w:cs="Times New Roman" w:eastAsia="Times New Roman" w:hint="default"/>
                <w:sz w:val="18"/>
                <w:szCs w:val="18"/>
              </w:rPr>
              <w:t>--</w:t>
            </w:r>
            <w:r>
              <w:rPr>
                <w:rFonts w:ascii="宋体" w:hAnsi="宋体" w:cs="宋体" w:eastAsia="宋体" w:hint="default"/>
                <w:sz w:val="18"/>
                <w:szCs w:val="18"/>
              </w:rPr>
              <w:t>新厂区</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00 .00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24,667,348.</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25,008,77</w:t>
            </w:r>
          </w:p>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3.37</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49,676,12</w:t>
            </w:r>
          </w:p>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1"/>
              <w:jc w:val="right"/>
              <w:rPr>
                <w:rFonts w:ascii="Times New Roman" w:hAnsi="Times New Roman" w:cs="Times New Roman" w:eastAsia="Times New Roman" w:hint="default"/>
                <w:sz w:val="18"/>
                <w:szCs w:val="18"/>
              </w:rPr>
            </w:pPr>
            <w:r>
              <w:rPr>
                <w:rFonts w:ascii="Times New Roman"/>
                <w:sz w:val="18"/>
              </w:rPr>
              <w:t>17.81%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17.81</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90" w:lineRule="auto"/>
              <w:ind w:left="22" w:right="67"/>
              <w:jc w:val="left"/>
              <w:rPr>
                <w:rFonts w:ascii="宋体" w:hAnsi="宋体" w:cs="宋体" w:eastAsia="宋体" w:hint="default"/>
                <w:sz w:val="18"/>
                <w:szCs w:val="18"/>
              </w:rPr>
            </w:pPr>
            <w:r>
              <w:rPr>
                <w:rFonts w:ascii="宋体" w:hAnsi="宋体" w:cs="宋体" w:eastAsia="宋体" w:hint="default"/>
                <w:sz w:val="18"/>
                <w:szCs w:val="18"/>
              </w:rPr>
              <w:t>自筹</w:t>
            </w:r>
            <w:r>
              <w:rPr>
                <w:rFonts w:ascii="Arial Narrow" w:hAnsi="Arial Narrow" w:cs="Arial Narrow" w:eastAsia="Arial Narrow" w:hint="default"/>
                <w:sz w:val="18"/>
                <w:szCs w:val="18"/>
              </w:rPr>
              <w:t>+</w:t>
            </w:r>
            <w:r>
              <w:rPr>
                <w:rFonts w:ascii="宋体" w:hAnsi="宋体" w:cs="宋体" w:eastAsia="宋体" w:hint="default"/>
                <w:sz w:val="18"/>
                <w:szCs w:val="18"/>
              </w:rPr>
              <w:t>募 集资金</w:t>
            </w:r>
          </w:p>
        </w:tc>
      </w:tr>
      <w:tr>
        <w:trPr>
          <w:trHeight w:val="910"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22" w:right="114"/>
              <w:jc w:val="both"/>
              <w:rPr>
                <w:rFonts w:ascii="宋体" w:hAnsi="宋体" w:cs="宋体" w:eastAsia="宋体" w:hint="default"/>
                <w:sz w:val="18"/>
                <w:szCs w:val="18"/>
              </w:rPr>
            </w:pPr>
            <w:r>
              <w:rPr>
                <w:rFonts w:ascii="宋体" w:hAnsi="宋体" w:cs="宋体" w:eastAsia="宋体" w:hint="default"/>
                <w:sz w:val="18"/>
                <w:szCs w:val="18"/>
              </w:rPr>
              <w:t>北斗铁路列车卫星定 位与辅助预警系统应 用示范</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4" w:right="0"/>
              <w:jc w:val="left"/>
              <w:rPr>
                <w:rFonts w:ascii="Times New Roman" w:hAnsi="Times New Roman" w:cs="Times New Roman" w:eastAsia="Times New Roman" w:hint="default"/>
                <w:sz w:val="18"/>
                <w:szCs w:val="18"/>
              </w:rPr>
            </w:pPr>
            <w:r>
              <w:rPr>
                <w:rFonts w:ascii="Times New Roman"/>
                <w:sz w:val="18"/>
              </w:rPr>
              <w:t>34,013,00</w:t>
            </w:r>
          </w:p>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0 .00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5,617,680.6</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5,617,68</w:t>
            </w:r>
          </w:p>
          <w:p>
            <w:pPr>
              <w:pStyle w:val="TableParagraph"/>
              <w:spacing w:line="240" w:lineRule="auto" w:before="93"/>
              <w:ind w:left="361" w:right="0"/>
              <w:jc w:val="left"/>
              <w:rPr>
                <w:rFonts w:ascii="Times New Roman" w:hAnsi="Times New Roman" w:cs="Times New Roman" w:eastAsia="Times New Roman" w:hint="default"/>
                <w:sz w:val="18"/>
                <w:szCs w:val="18"/>
              </w:rPr>
            </w:pPr>
            <w:r>
              <w:rPr>
                <w:rFonts w:ascii="Times New Roman"/>
                <w:sz w:val="18"/>
              </w:rPr>
              <w:t>0.60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16.52%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16.52</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90" w:lineRule="auto"/>
              <w:ind w:left="22" w:right="67"/>
              <w:jc w:val="left"/>
              <w:rPr>
                <w:rFonts w:ascii="宋体" w:hAnsi="宋体" w:cs="宋体" w:eastAsia="宋体" w:hint="default"/>
                <w:sz w:val="18"/>
                <w:szCs w:val="18"/>
              </w:rPr>
            </w:pPr>
            <w:r>
              <w:rPr>
                <w:rFonts w:ascii="宋体" w:hAnsi="宋体" w:cs="宋体" w:eastAsia="宋体" w:hint="default"/>
                <w:sz w:val="18"/>
                <w:szCs w:val="18"/>
              </w:rPr>
              <w:t>自筹</w:t>
            </w:r>
            <w:r>
              <w:rPr>
                <w:rFonts w:ascii="Arial Narrow" w:hAnsi="Arial Narrow" w:cs="Arial Narrow" w:eastAsia="Arial Narrow" w:hint="default"/>
                <w:sz w:val="18"/>
                <w:szCs w:val="18"/>
              </w:rPr>
              <w:t>+</w:t>
            </w:r>
            <w:r>
              <w:rPr>
                <w:rFonts w:ascii="宋体" w:hAnsi="宋体" w:cs="宋体" w:eastAsia="宋体" w:hint="default"/>
                <w:sz w:val="18"/>
                <w:szCs w:val="18"/>
              </w:rPr>
              <w:t>募 集资金</w:t>
            </w:r>
          </w:p>
        </w:tc>
      </w:tr>
      <w:tr>
        <w:trPr>
          <w:trHeight w:val="910"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22" w:right="114"/>
              <w:jc w:val="left"/>
              <w:rPr>
                <w:rFonts w:ascii="宋体" w:hAnsi="宋体" w:cs="宋体" w:eastAsia="宋体" w:hint="default"/>
                <w:sz w:val="18"/>
                <w:szCs w:val="18"/>
              </w:rPr>
            </w:pPr>
            <w:r>
              <w:rPr>
                <w:rFonts w:ascii="宋体" w:hAnsi="宋体" w:cs="宋体" w:eastAsia="宋体" w:hint="default"/>
                <w:sz w:val="18"/>
                <w:szCs w:val="18"/>
              </w:rPr>
              <w:t>铁路综合视频监控系 统</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4" w:right="0"/>
              <w:jc w:val="left"/>
              <w:rPr>
                <w:rFonts w:ascii="Times New Roman" w:hAnsi="Times New Roman" w:cs="Times New Roman" w:eastAsia="Times New Roman" w:hint="default"/>
                <w:sz w:val="18"/>
                <w:szCs w:val="18"/>
              </w:rPr>
            </w:pPr>
            <w:r>
              <w:rPr>
                <w:rFonts w:ascii="Times New Roman"/>
                <w:sz w:val="18"/>
              </w:rPr>
              <w:t>138,955,0</w:t>
            </w:r>
          </w:p>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00 .00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10,441,80</w:t>
            </w:r>
          </w:p>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7.36</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10,441,80</w:t>
            </w:r>
          </w:p>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7.36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7.51%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47" w:right="0"/>
              <w:jc w:val="center"/>
              <w:rPr>
                <w:rFonts w:ascii="Times New Roman" w:hAnsi="Times New Roman" w:cs="Times New Roman" w:eastAsia="Times New Roman" w:hint="default"/>
                <w:sz w:val="18"/>
                <w:szCs w:val="18"/>
              </w:rPr>
            </w:pPr>
            <w:r>
              <w:rPr>
                <w:rFonts w:ascii="Times New Roman"/>
                <w:sz w:val="18"/>
              </w:rPr>
              <w:t>7.51%</w:t>
            </w:r>
          </w:p>
        </w:tc>
        <w:tc>
          <w:tcPr>
            <w:tcW w:w="55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90" w:lineRule="auto"/>
              <w:ind w:left="22" w:right="67"/>
              <w:jc w:val="left"/>
              <w:rPr>
                <w:rFonts w:ascii="宋体" w:hAnsi="宋体" w:cs="宋体" w:eastAsia="宋体" w:hint="default"/>
                <w:sz w:val="18"/>
                <w:szCs w:val="18"/>
              </w:rPr>
            </w:pPr>
            <w:r>
              <w:rPr>
                <w:rFonts w:ascii="宋体" w:hAnsi="宋体" w:cs="宋体" w:eastAsia="宋体" w:hint="default"/>
                <w:sz w:val="18"/>
                <w:szCs w:val="18"/>
              </w:rPr>
              <w:t>自筹</w:t>
            </w:r>
            <w:r>
              <w:rPr>
                <w:rFonts w:ascii="Arial Narrow" w:hAnsi="Arial Narrow" w:cs="Arial Narrow" w:eastAsia="Arial Narrow" w:hint="default"/>
                <w:sz w:val="18"/>
                <w:szCs w:val="18"/>
              </w:rPr>
              <w:t>+</w:t>
            </w:r>
            <w:r>
              <w:rPr>
                <w:rFonts w:ascii="宋体" w:hAnsi="宋体" w:cs="宋体" w:eastAsia="宋体" w:hint="default"/>
                <w:sz w:val="18"/>
                <w:szCs w:val="18"/>
              </w:rPr>
              <w:t>募 集资金</w:t>
            </w:r>
          </w:p>
        </w:tc>
      </w:tr>
      <w:tr>
        <w:trPr>
          <w:trHeight w:val="911"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04" w:lineRule="auto"/>
              <w:ind w:left="22" w:right="114"/>
              <w:jc w:val="left"/>
              <w:rPr>
                <w:rFonts w:ascii="宋体" w:hAnsi="宋体" w:cs="宋体" w:eastAsia="宋体" w:hint="default"/>
                <w:sz w:val="18"/>
                <w:szCs w:val="18"/>
              </w:rPr>
            </w:pPr>
            <w:r>
              <w:rPr>
                <w:rFonts w:ascii="宋体" w:hAnsi="宋体" w:cs="宋体" w:eastAsia="宋体" w:hint="default"/>
                <w:sz w:val="18"/>
                <w:szCs w:val="18"/>
              </w:rPr>
              <w:t>轨道交通运营安全服 务系统</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4" w:right="0"/>
              <w:jc w:val="left"/>
              <w:rPr>
                <w:rFonts w:ascii="Times New Roman" w:hAnsi="Times New Roman" w:cs="Times New Roman" w:eastAsia="Times New Roman" w:hint="default"/>
                <w:sz w:val="18"/>
                <w:szCs w:val="18"/>
              </w:rPr>
            </w:pPr>
            <w:r>
              <w:rPr>
                <w:rFonts w:ascii="Times New Roman"/>
                <w:sz w:val="18"/>
              </w:rPr>
              <w:t>240,342,0</w:t>
            </w:r>
          </w:p>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00 .00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91,673,210.</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18,562,23</w:t>
            </w:r>
          </w:p>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1.10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110,235,4</w:t>
            </w:r>
          </w:p>
          <w:p>
            <w:pPr>
              <w:pStyle w:val="TableParagraph"/>
              <w:spacing w:line="240" w:lineRule="auto" w:before="93"/>
              <w:ind w:left="413" w:right="0"/>
              <w:jc w:val="left"/>
              <w:rPr>
                <w:rFonts w:ascii="Times New Roman" w:hAnsi="Times New Roman" w:cs="Times New Roman" w:eastAsia="Times New Roman" w:hint="default"/>
                <w:sz w:val="18"/>
                <w:szCs w:val="18"/>
              </w:rPr>
            </w:pPr>
            <w:r>
              <w:rPr>
                <w:rFonts w:ascii="Times New Roman"/>
                <w:sz w:val="18"/>
              </w:rPr>
              <w:t>41.35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1"/>
              <w:jc w:val="right"/>
              <w:rPr>
                <w:rFonts w:ascii="Times New Roman" w:hAnsi="Times New Roman" w:cs="Times New Roman" w:eastAsia="Times New Roman" w:hint="default"/>
                <w:sz w:val="18"/>
                <w:szCs w:val="18"/>
              </w:rPr>
            </w:pPr>
            <w:r>
              <w:rPr>
                <w:rFonts w:ascii="Times New Roman"/>
                <w:sz w:val="18"/>
              </w:rPr>
              <w:t>45.87%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45.87</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90" w:lineRule="auto"/>
              <w:ind w:left="22" w:right="67"/>
              <w:jc w:val="left"/>
              <w:rPr>
                <w:rFonts w:ascii="宋体" w:hAnsi="宋体" w:cs="宋体" w:eastAsia="宋体" w:hint="default"/>
                <w:sz w:val="18"/>
                <w:szCs w:val="18"/>
              </w:rPr>
            </w:pPr>
            <w:r>
              <w:rPr>
                <w:rFonts w:ascii="宋体" w:hAnsi="宋体" w:cs="宋体" w:eastAsia="宋体" w:hint="default"/>
                <w:sz w:val="18"/>
                <w:szCs w:val="18"/>
              </w:rPr>
              <w:t>自筹</w:t>
            </w:r>
            <w:r>
              <w:rPr>
                <w:rFonts w:ascii="Arial Narrow" w:hAnsi="Arial Narrow" w:cs="Arial Narrow" w:eastAsia="Arial Narrow" w:hint="default"/>
                <w:sz w:val="18"/>
                <w:szCs w:val="18"/>
              </w:rPr>
              <w:t>+</w:t>
            </w:r>
            <w:r>
              <w:rPr>
                <w:rFonts w:ascii="宋体" w:hAnsi="宋体" w:cs="宋体" w:eastAsia="宋体" w:hint="default"/>
                <w:sz w:val="18"/>
                <w:szCs w:val="18"/>
              </w:rPr>
              <w:t>募 集资金</w:t>
            </w:r>
          </w:p>
        </w:tc>
      </w:tr>
      <w:tr>
        <w:trPr>
          <w:trHeight w:val="910"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22" w:right="114"/>
              <w:jc w:val="both"/>
              <w:rPr>
                <w:rFonts w:ascii="宋体" w:hAnsi="宋体" w:cs="宋体" w:eastAsia="宋体" w:hint="default"/>
                <w:sz w:val="18"/>
                <w:szCs w:val="18"/>
              </w:rPr>
            </w:pPr>
            <w:r>
              <w:rPr>
                <w:rFonts w:ascii="宋体" w:hAnsi="宋体" w:cs="宋体" w:eastAsia="宋体" w:hint="default"/>
                <w:sz w:val="18"/>
                <w:szCs w:val="18"/>
              </w:rPr>
              <w:t>轨道交通信息集成与 网络化运营调度指挥 系统</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4" w:right="0"/>
              <w:jc w:val="left"/>
              <w:rPr>
                <w:rFonts w:ascii="Times New Roman" w:hAnsi="Times New Roman" w:cs="Times New Roman" w:eastAsia="Times New Roman" w:hint="default"/>
                <w:sz w:val="18"/>
                <w:szCs w:val="18"/>
              </w:rPr>
            </w:pPr>
            <w:r>
              <w:rPr>
                <w:rFonts w:ascii="Times New Roman"/>
                <w:sz w:val="18"/>
              </w:rPr>
              <w:t>31,000,00</w:t>
            </w:r>
          </w:p>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0 .00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3,067,539.9</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3,067,539.</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9.90%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47" w:right="0"/>
              <w:jc w:val="center"/>
              <w:rPr>
                <w:rFonts w:ascii="Times New Roman" w:hAnsi="Times New Roman" w:cs="Times New Roman" w:eastAsia="Times New Roman" w:hint="default"/>
                <w:sz w:val="18"/>
                <w:szCs w:val="18"/>
              </w:rPr>
            </w:pPr>
            <w:r>
              <w:rPr>
                <w:rFonts w:ascii="Times New Roman"/>
                <w:sz w:val="18"/>
              </w:rPr>
              <w:t>9.90%</w:t>
            </w:r>
          </w:p>
        </w:tc>
        <w:tc>
          <w:tcPr>
            <w:tcW w:w="55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90" w:lineRule="auto"/>
              <w:ind w:left="22" w:right="67"/>
              <w:jc w:val="left"/>
              <w:rPr>
                <w:rFonts w:ascii="宋体" w:hAnsi="宋体" w:cs="宋体" w:eastAsia="宋体" w:hint="default"/>
                <w:sz w:val="18"/>
                <w:szCs w:val="18"/>
              </w:rPr>
            </w:pPr>
            <w:r>
              <w:rPr>
                <w:rFonts w:ascii="宋体" w:hAnsi="宋体" w:cs="宋体" w:eastAsia="宋体" w:hint="default"/>
                <w:sz w:val="18"/>
                <w:szCs w:val="18"/>
              </w:rPr>
              <w:t>自筹</w:t>
            </w:r>
            <w:r>
              <w:rPr>
                <w:rFonts w:ascii="Arial Narrow" w:hAnsi="Arial Narrow" w:cs="Arial Narrow" w:eastAsia="Arial Narrow" w:hint="default"/>
                <w:sz w:val="18"/>
                <w:szCs w:val="18"/>
              </w:rPr>
              <w:t>+</w:t>
            </w:r>
            <w:r>
              <w:rPr>
                <w:rFonts w:ascii="宋体" w:hAnsi="宋体" w:cs="宋体" w:eastAsia="宋体" w:hint="default"/>
                <w:sz w:val="18"/>
                <w:szCs w:val="18"/>
              </w:rPr>
              <w:t>募 集资金</w:t>
            </w:r>
          </w:p>
        </w:tc>
      </w:tr>
      <w:tr>
        <w:trPr>
          <w:trHeight w:val="910"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22" w:right="114"/>
              <w:jc w:val="both"/>
              <w:rPr>
                <w:rFonts w:ascii="宋体" w:hAnsi="宋体" w:cs="宋体" w:eastAsia="宋体" w:hint="default"/>
                <w:sz w:val="18"/>
                <w:szCs w:val="18"/>
              </w:rPr>
            </w:pPr>
            <w:r>
              <w:rPr>
                <w:rFonts w:ascii="宋体" w:hAnsi="宋体" w:cs="宋体" w:eastAsia="宋体" w:hint="default"/>
                <w:sz w:val="18"/>
                <w:szCs w:val="18"/>
              </w:rPr>
              <w:t>城轨自动化监控平台 系统关键技术研究与 应用</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4" w:right="0"/>
              <w:jc w:val="left"/>
              <w:rPr>
                <w:rFonts w:ascii="Times New Roman" w:hAnsi="Times New Roman" w:cs="Times New Roman" w:eastAsia="Times New Roman" w:hint="default"/>
                <w:sz w:val="18"/>
                <w:szCs w:val="18"/>
              </w:rPr>
            </w:pPr>
            <w:r>
              <w:rPr>
                <w:rFonts w:ascii="Times New Roman"/>
                <w:sz w:val="18"/>
              </w:rPr>
              <w:t>72,000,00</w:t>
            </w:r>
          </w:p>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0 .00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7,092,323.8</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989,306.7</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8,081,630.</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2"/>
                <w:sz w:val="18"/>
              </w:rPr>
              <w:t>11.22%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11.22</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335"/>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911"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1"/>
              <w:ind w:left="22" w:right="114"/>
              <w:jc w:val="both"/>
              <w:rPr>
                <w:rFonts w:ascii="宋体" w:hAnsi="宋体" w:cs="宋体" w:eastAsia="宋体" w:hint="default"/>
                <w:sz w:val="18"/>
                <w:szCs w:val="18"/>
              </w:rPr>
            </w:pPr>
            <w:r>
              <w:rPr>
                <w:rFonts w:ascii="宋体" w:hAnsi="宋体" w:cs="宋体" w:eastAsia="宋体" w:hint="default"/>
                <w:sz w:val="18"/>
                <w:szCs w:val="18"/>
              </w:rPr>
              <w:t>成都新一驱动科技有 限责任公司新建厂房 项目工程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4" w:right="0"/>
              <w:jc w:val="left"/>
              <w:rPr>
                <w:rFonts w:ascii="Times New Roman" w:hAnsi="Times New Roman" w:cs="Times New Roman" w:eastAsia="Times New Roman" w:hint="default"/>
                <w:sz w:val="18"/>
                <w:szCs w:val="18"/>
              </w:rPr>
            </w:pPr>
            <w:r>
              <w:rPr>
                <w:rFonts w:ascii="Times New Roman"/>
                <w:sz w:val="18"/>
              </w:rPr>
              <w:t>22,000,00</w:t>
            </w:r>
          </w:p>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0 .00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9,509,498.8</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5,722,347.</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15,231,84</w:t>
            </w:r>
          </w:p>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6.12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1"/>
              <w:jc w:val="right"/>
              <w:rPr>
                <w:rFonts w:ascii="Times New Roman" w:hAnsi="Times New Roman" w:cs="Times New Roman" w:eastAsia="Times New Roman" w:hint="default"/>
                <w:sz w:val="18"/>
                <w:szCs w:val="18"/>
              </w:rPr>
            </w:pPr>
            <w:r>
              <w:rPr>
                <w:rFonts w:ascii="Times New Roman"/>
                <w:sz w:val="18"/>
              </w:rPr>
              <w:t>69.24%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69.24</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335"/>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910"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4" w:right="0"/>
              <w:jc w:val="left"/>
              <w:rPr>
                <w:rFonts w:ascii="Times New Roman" w:hAnsi="Times New Roman" w:cs="Times New Roman" w:eastAsia="Times New Roman" w:hint="default"/>
                <w:sz w:val="18"/>
                <w:szCs w:val="18"/>
              </w:rPr>
            </w:pPr>
            <w:r>
              <w:rPr>
                <w:rFonts w:ascii="Times New Roman"/>
                <w:sz w:val="18"/>
              </w:rPr>
              <w:t>1,038,310,</w:t>
            </w:r>
          </w:p>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000 .00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141,627,602</w:t>
            </w:r>
          </w:p>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60,724,46</w:t>
            </w:r>
          </w:p>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5.82</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5,617,68</w:t>
            </w:r>
          </w:p>
          <w:p>
            <w:pPr>
              <w:pStyle w:val="TableParagraph"/>
              <w:spacing w:line="240" w:lineRule="auto" w:before="93"/>
              <w:ind w:left="361" w:right="0"/>
              <w:jc w:val="left"/>
              <w:rPr>
                <w:rFonts w:ascii="Times New Roman" w:hAnsi="Times New Roman" w:cs="Times New Roman" w:eastAsia="Times New Roman" w:hint="default"/>
                <w:sz w:val="18"/>
                <w:szCs w:val="18"/>
              </w:rPr>
            </w:pPr>
            <w:r>
              <w:rPr>
                <w:rFonts w:ascii="Times New Roman"/>
                <w:sz w:val="18"/>
              </w:rPr>
              <w:t>0.60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196,734,3</w:t>
            </w:r>
          </w:p>
          <w:p>
            <w:pPr>
              <w:pStyle w:val="TableParagraph"/>
              <w:spacing w:line="240" w:lineRule="auto" w:before="93"/>
              <w:ind w:left="413" w:right="0"/>
              <w:jc w:val="left"/>
              <w:rPr>
                <w:rFonts w:ascii="Times New Roman" w:hAnsi="Times New Roman" w:cs="Times New Roman" w:eastAsia="Times New Roman" w:hint="default"/>
                <w:sz w:val="18"/>
                <w:szCs w:val="18"/>
              </w:rPr>
            </w:pPr>
            <w:r>
              <w:rPr>
                <w:rFonts w:ascii="Times New Roman"/>
                <w:sz w:val="18"/>
              </w:rPr>
              <w:t>87.43</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w:t>
            </w:r>
          </w:p>
        </w:tc>
        <w:tc>
          <w:tcPr>
            <w:tcW w:w="55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99"/>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4"/>
          <w:szCs w:val="4"/>
        </w:rPr>
      </w:pPr>
    </w:p>
    <w:p>
      <w:pPr>
        <w:pStyle w:val="Heading2"/>
        <w:spacing w:line="333" w:lineRule="auto"/>
        <w:ind w:left="634" w:right="6790" w:hanging="480"/>
        <w:jc w:val="left"/>
        <w:rPr>
          <w:rFonts w:ascii="宋体" w:hAnsi="宋体" w:cs="宋体" w:eastAsia="宋体" w:hint="default"/>
          <w:b w:val="0"/>
          <w:bCs w:val="0"/>
        </w:rPr>
      </w:pPr>
      <w:bookmarkStart w:name="（3）本期计提在建工程减值准备情况" w:id="271"/>
      <w:bookmarkEnd w:id="271"/>
      <w:r>
        <w:rPr>
          <w:b w:val="0"/>
          <w:bCs w:val="0"/>
        </w:rPr>
      </w:r>
      <w:r>
        <w:rPr>
          <w:w w:val="95"/>
        </w:rPr>
        <w:t>（</w:t>
      </w:r>
      <w:r>
        <w:rPr>
          <w:rFonts w:ascii="Times New Roman" w:hAnsi="Times New Roman" w:cs="Times New Roman" w:eastAsia="Times New Roman" w:hint="default"/>
          <w:w w:val="95"/>
        </w:rPr>
        <w:t>3</w:t>
      </w:r>
      <w:r>
        <w:rPr>
          <w:w w:val="95"/>
        </w:rPr>
        <w:t>）本期计提在建工程减值准备情况</w:t>
      </w:r>
      <w:r>
        <w:rPr>
          <w:spacing w:val="69"/>
          <w:w w:val="95"/>
        </w:rPr>
        <w:t> </w:t>
      </w:r>
      <w:r>
        <w:rPr>
          <w:rFonts w:ascii="宋体" w:hAnsi="宋体" w:cs="宋体" w:eastAsia="宋体" w:hint="default"/>
          <w:b w:val="0"/>
          <w:bCs w:val="0"/>
        </w:rPr>
        <w:t>无</w:t>
      </w:r>
    </w:p>
    <w:p>
      <w:pPr>
        <w:pStyle w:val="Heading2"/>
        <w:spacing w:line="240" w:lineRule="auto" w:before="52"/>
        <w:ind w:right="0"/>
        <w:jc w:val="left"/>
        <w:rPr>
          <w:b w:val="0"/>
          <w:bCs w:val="0"/>
        </w:rPr>
      </w:pPr>
      <w:bookmarkStart w:name="（4）工程物资" w:id="272"/>
      <w:bookmarkEnd w:id="272"/>
      <w:r>
        <w:rPr>
          <w:b w:val="0"/>
          <w:bCs w:val="0"/>
        </w:rPr>
      </w:r>
      <w:r>
        <w:rPr/>
        <w:t>（</w:t>
      </w:r>
      <w:r>
        <w:rPr>
          <w:rFonts w:ascii="Times New Roman" w:hAnsi="Times New Roman" w:cs="Times New Roman" w:eastAsia="Times New Roman" w:hint="default"/>
        </w:rPr>
        <w:t>4</w:t>
      </w:r>
      <w:r>
        <w:rPr/>
        <w:t>）工程物资</w:t>
      </w:r>
      <w:r>
        <w:rPr>
          <w:b w:val="0"/>
          <w:bCs w:val="0"/>
        </w:rPr>
      </w:r>
    </w:p>
    <w:p>
      <w:pPr>
        <w:pStyle w:val="BodyText"/>
        <w:spacing w:line="240" w:lineRule="auto" w:before="127"/>
        <w:ind w:left="634" w:right="0"/>
        <w:jc w:val="left"/>
      </w:pPr>
      <w:r>
        <w:rPr/>
        <w:t>无</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Heading2"/>
        <w:spacing w:line="240" w:lineRule="auto" w:before="199"/>
        <w:ind w:right="2"/>
        <w:jc w:val="left"/>
        <w:rPr>
          <w:b w:val="0"/>
          <w:bCs w:val="0"/>
        </w:rPr>
      </w:pPr>
      <w:bookmarkStart w:name="18、生产性生物资产" w:id="273"/>
      <w:bookmarkEnd w:id="273"/>
      <w:r>
        <w:rPr>
          <w:b w:val="0"/>
          <w:bCs w:val="0"/>
        </w:rPr>
      </w:r>
      <w:r>
        <w:rPr>
          <w:rFonts w:ascii="Times New Roman" w:hAnsi="Times New Roman" w:cs="Times New Roman" w:eastAsia="Times New Roman" w:hint="default"/>
        </w:rPr>
        <w:t>18</w:t>
      </w:r>
      <w:r>
        <w:rPr/>
        <w:t>、生产性生物资产</w:t>
      </w:r>
      <w:r>
        <w:rPr>
          <w:b w:val="0"/>
          <w:bCs w:val="0"/>
        </w:rPr>
      </w:r>
    </w:p>
    <w:p>
      <w:pPr>
        <w:pStyle w:val="Heading2"/>
        <w:spacing w:line="240" w:lineRule="auto" w:before="127"/>
        <w:ind w:right="2"/>
        <w:jc w:val="left"/>
        <w:rPr>
          <w:b w:val="0"/>
          <w:bCs w:val="0"/>
        </w:rPr>
      </w:pPr>
      <w:bookmarkStart w:name="（1）采用成本计量模式的生产性生物资产" w:id="274"/>
      <w:bookmarkEnd w:id="27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pStyle w:val="BodyText"/>
        <w:spacing w:line="240" w:lineRule="auto" w:before="128"/>
        <w:ind w:left="634" w:right="2"/>
        <w:jc w:val="left"/>
      </w:pPr>
      <w:r>
        <w:rPr/>
        <w:t>□ 适用 √ 不适用</w:t>
      </w:r>
    </w:p>
    <w:p>
      <w:pPr>
        <w:pStyle w:val="Heading2"/>
        <w:spacing w:line="240" w:lineRule="auto" w:before="146"/>
        <w:ind w:right="2"/>
        <w:jc w:val="left"/>
        <w:rPr>
          <w:b w:val="0"/>
          <w:bCs w:val="0"/>
        </w:rPr>
      </w:pPr>
      <w:bookmarkStart w:name="（2）采用公允价值计量模式的生产性生物资产" w:id="275"/>
      <w:bookmarkEnd w:id="275"/>
      <w:r>
        <w:rPr>
          <w:b w:val="0"/>
          <w:bCs w:val="0"/>
        </w:rPr>
      </w:r>
      <w:r>
        <w:rPr>
          <w:w w:val="95"/>
        </w:rPr>
        <w:t>（</w:t>
      </w:r>
      <w:r>
        <w:rPr>
          <w:rFonts w:ascii="Times New Roman" w:hAnsi="Times New Roman" w:cs="Times New Roman" w:eastAsia="Times New Roman" w:hint="default"/>
          <w:w w:val="95"/>
        </w:rPr>
        <w:t>2</w:t>
      </w:r>
      <w:r>
        <w:rPr>
          <w:w w:val="95"/>
        </w:rPr>
        <w:t>）采用公允价值计量模式的生产性生物资产</w:t>
      </w:r>
      <w:r>
        <w:rPr>
          <w:b w:val="0"/>
          <w:bCs w:val="0"/>
        </w:rPr>
      </w:r>
    </w:p>
    <w:p>
      <w:pPr>
        <w:pStyle w:val="BodyText"/>
        <w:spacing w:line="240" w:lineRule="auto" w:before="127"/>
        <w:ind w:left="634" w:right="2"/>
        <w:jc w:val="left"/>
      </w:pPr>
      <w:r>
        <w:rPr/>
        <w:t>□ 适用 √ 不适用</w:t>
      </w:r>
    </w:p>
    <w:p>
      <w:pPr>
        <w:pStyle w:val="Heading2"/>
        <w:spacing w:line="240" w:lineRule="auto" w:before="146"/>
        <w:ind w:right="2"/>
        <w:jc w:val="left"/>
        <w:rPr>
          <w:b w:val="0"/>
          <w:bCs w:val="0"/>
        </w:rPr>
      </w:pPr>
      <w:bookmarkStart w:name="19、油气资产" w:id="276"/>
      <w:bookmarkEnd w:id="276"/>
      <w:r>
        <w:rPr>
          <w:b w:val="0"/>
          <w:bCs w:val="0"/>
        </w:rPr>
      </w:r>
      <w:r>
        <w:rPr>
          <w:rFonts w:ascii="Times New Roman" w:hAnsi="Times New Roman" w:cs="Times New Roman" w:eastAsia="Times New Roman" w:hint="default"/>
        </w:rPr>
        <w:t>19</w:t>
      </w:r>
      <w:r>
        <w:rPr/>
        <w:t>、油气资产</w:t>
      </w:r>
      <w:r>
        <w:rPr>
          <w:b w:val="0"/>
          <w:bCs w:val="0"/>
        </w:rPr>
      </w:r>
    </w:p>
    <w:p>
      <w:pPr>
        <w:pStyle w:val="BodyText"/>
        <w:spacing w:line="240" w:lineRule="auto" w:before="127"/>
        <w:ind w:left="634" w:right="2"/>
        <w:jc w:val="left"/>
      </w:pPr>
      <w:r>
        <w:rPr/>
        <w:t>□ 适用 √ 不适用</w:t>
      </w:r>
    </w:p>
    <w:p>
      <w:pPr>
        <w:pStyle w:val="Heading2"/>
        <w:spacing w:line="240" w:lineRule="auto" w:before="145"/>
        <w:ind w:right="2"/>
        <w:jc w:val="left"/>
        <w:rPr>
          <w:b w:val="0"/>
          <w:bCs w:val="0"/>
        </w:rPr>
      </w:pPr>
      <w:bookmarkStart w:name="20、无形资产" w:id="277"/>
      <w:bookmarkEnd w:id="277"/>
      <w:r>
        <w:rPr>
          <w:b w:val="0"/>
          <w:bCs w:val="0"/>
        </w:rPr>
      </w:r>
      <w:r>
        <w:rPr>
          <w:rFonts w:ascii="Times New Roman" w:hAnsi="Times New Roman" w:cs="Times New Roman" w:eastAsia="Times New Roman" w:hint="default"/>
        </w:rPr>
        <w:t>20</w:t>
      </w:r>
      <w:r>
        <w:rPr/>
        <w:t>、无形资产</w:t>
      </w:r>
      <w:r>
        <w:rPr>
          <w:b w:val="0"/>
          <w:bCs w:val="0"/>
        </w:rPr>
      </w:r>
    </w:p>
    <w:p>
      <w:pPr>
        <w:pStyle w:val="Heading2"/>
        <w:spacing w:line="240" w:lineRule="auto" w:before="128"/>
        <w:ind w:right="2"/>
        <w:jc w:val="left"/>
        <w:rPr>
          <w:b w:val="0"/>
          <w:bCs w:val="0"/>
        </w:rPr>
      </w:pPr>
      <w:bookmarkStart w:name="（1）无形资产情况" w:id="278"/>
      <w:bookmarkEnd w:id="27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089" w:space="3740"/>
            <w:col w:w="2101"/>
          </w:cols>
        </w:sectPr>
      </w:pP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567"/>
        <w:gridCol w:w="1559"/>
        <w:gridCol w:w="1276"/>
        <w:gridCol w:w="1277"/>
        <w:gridCol w:w="1416"/>
        <w:gridCol w:w="1572"/>
      </w:tblGrid>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4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317"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56,427,577.83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0" w:right="0"/>
              <w:jc w:val="left"/>
              <w:rPr>
                <w:rFonts w:ascii="Times New Roman" w:hAnsi="Times New Roman" w:cs="Times New Roman" w:eastAsia="Times New Roman" w:hint="default"/>
                <w:sz w:val="21"/>
                <w:szCs w:val="21"/>
              </w:rPr>
            </w:pPr>
            <w:r>
              <w:rPr>
                <w:rFonts w:ascii="Times New Roman"/>
                <w:sz w:val="21"/>
              </w:rPr>
              <w:t>1,600,000.00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4,380,090.60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62,407,668.43</w:t>
            </w: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2,017,185.49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70,505.45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2,087,690.94</w:t>
            </w: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70,505.45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70,505.45</w:t>
            </w: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2,017,185.49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2,017,185.49</w:t>
            </w: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56,427,577.83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2,017,185.49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0" w:right="0"/>
              <w:jc w:val="left"/>
              <w:rPr>
                <w:rFonts w:ascii="Times New Roman" w:hAnsi="Times New Roman" w:cs="Times New Roman" w:eastAsia="Times New Roman" w:hint="default"/>
                <w:sz w:val="21"/>
                <w:szCs w:val="21"/>
              </w:rPr>
            </w:pPr>
            <w:r>
              <w:rPr>
                <w:rFonts w:ascii="Times New Roman"/>
                <w:sz w:val="21"/>
              </w:rPr>
              <w:t>1,600,000.00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4,450,596.05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64,495,359.37</w:t>
            </w: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5,957,989.13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0" w:right="0"/>
              <w:jc w:val="left"/>
              <w:rPr>
                <w:rFonts w:ascii="Times New Roman" w:hAnsi="Times New Roman" w:cs="Times New Roman" w:eastAsia="Times New Roman" w:hint="default"/>
                <w:sz w:val="21"/>
                <w:szCs w:val="21"/>
              </w:rPr>
            </w:pPr>
            <w:r>
              <w:rPr>
                <w:rFonts w:ascii="Times New Roman"/>
                <w:sz w:val="21"/>
              </w:rPr>
              <w:t>1,600,000.00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4,279,649.08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11,837,638.21</w:t>
            </w: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1,155,425.76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100,859.28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60,399.02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1,316,684.06</w:t>
            </w: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1,155,425.76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100,859.28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60,399.02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1,316,684.06</w:t>
            </w: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7,113,414.89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100,859.28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0" w:right="0"/>
              <w:jc w:val="left"/>
              <w:rPr>
                <w:rFonts w:ascii="Times New Roman" w:hAnsi="Times New Roman" w:cs="Times New Roman" w:eastAsia="Times New Roman" w:hint="default"/>
                <w:sz w:val="21"/>
                <w:szCs w:val="21"/>
              </w:rPr>
            </w:pPr>
            <w:r>
              <w:rPr>
                <w:rFonts w:ascii="Times New Roman"/>
                <w:sz w:val="21"/>
              </w:rPr>
              <w:t>1,600,000.00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4,340,048.10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13,154,322.27</w:t>
            </w: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5" w:type="dxa"/>
        <w:tblLayout w:type="fixed"/>
        <w:tblCellMar>
          <w:top w:w="0" w:type="dxa"/>
          <w:left w:w="0" w:type="dxa"/>
          <w:bottom w:w="0" w:type="dxa"/>
          <w:right w:w="0" w:type="dxa"/>
        </w:tblCellMar>
        <w:tblLook w:val="01E0"/>
      </w:tblPr>
      <w:tblGrid>
        <w:gridCol w:w="2567"/>
        <w:gridCol w:w="1559"/>
        <w:gridCol w:w="1276"/>
        <w:gridCol w:w="1277"/>
        <w:gridCol w:w="1416"/>
        <w:gridCol w:w="1572"/>
      </w:tblGrid>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94"/>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期末账面价值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49,314,162.94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0" w:right="0"/>
              <w:jc w:val="left"/>
              <w:rPr>
                <w:rFonts w:ascii="Times New Roman" w:hAnsi="Times New Roman" w:cs="Times New Roman" w:eastAsia="Times New Roman" w:hint="default"/>
                <w:sz w:val="21"/>
                <w:szCs w:val="21"/>
              </w:rPr>
            </w:pPr>
            <w:r>
              <w:rPr>
                <w:rFonts w:ascii="Times New Roman"/>
                <w:sz w:val="21"/>
              </w:rPr>
              <w:t>1,916,326.21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110,547.95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51,341,037.10</w:t>
            </w: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94"/>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期初账面价值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50,469,588.70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100,441.52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50,570,030.22</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BodyText"/>
        <w:spacing w:line="240" w:lineRule="auto" w:before="26"/>
        <w:ind w:left="634" w:right="-19"/>
        <w:jc w:val="left"/>
      </w:pPr>
      <w:r>
        <w:rPr/>
        <w:t>本期末通过公司内部研发形成的无形资产占无形资产余额的比例</w:t>
      </w:r>
      <w:r>
        <w:rPr>
          <w:rFonts w:ascii="宋体" w:hAnsi="宋体" w:cs="宋体" w:eastAsia="宋体" w:hint="default"/>
        </w:rPr>
        <w:t>3.13%</w:t>
      </w:r>
      <w:r>
        <w:rPr/>
        <w:t>。</w:t>
      </w:r>
    </w:p>
    <w:p>
      <w:pPr>
        <w:pStyle w:val="Heading2"/>
        <w:spacing w:line="331" w:lineRule="auto" w:before="146"/>
        <w:ind w:left="634" w:right="3816" w:hanging="480"/>
        <w:jc w:val="left"/>
        <w:rPr>
          <w:rFonts w:ascii="宋体" w:hAnsi="宋体" w:cs="宋体" w:eastAsia="宋体" w:hint="default"/>
          <w:b w:val="0"/>
          <w:bCs w:val="0"/>
        </w:rPr>
      </w:pPr>
      <w:bookmarkStart w:name="（2）未办妥产权证书的土地使用权情况" w:id="279"/>
      <w:bookmarkEnd w:id="279"/>
      <w:r>
        <w:rPr>
          <w:b w:val="0"/>
          <w:bCs w:val="0"/>
        </w:rPr>
      </w:r>
      <w:r>
        <w:rPr>
          <w:w w:val="95"/>
        </w:rPr>
        <w:t>（</w:t>
      </w:r>
      <w:r>
        <w:rPr>
          <w:rFonts w:ascii="Times New Roman" w:hAnsi="Times New Roman" w:cs="Times New Roman" w:eastAsia="Times New Roman" w:hint="default"/>
          <w:w w:val="95"/>
        </w:rPr>
        <w:t>2</w:t>
      </w:r>
      <w:r>
        <w:rPr>
          <w:w w:val="95"/>
        </w:rPr>
        <w:t>）未办妥产权证书的土地使用权情况</w:t>
      </w:r>
      <w:r>
        <w:rPr>
          <w:spacing w:val="80"/>
          <w:w w:val="95"/>
        </w:rPr>
        <w:t> </w:t>
      </w:r>
      <w:r>
        <w:rPr>
          <w:rFonts w:ascii="宋体" w:hAnsi="宋体" w:cs="宋体" w:eastAsia="宋体" w:hint="default"/>
          <w:b w:val="0"/>
          <w:bCs w:val="0"/>
        </w:rPr>
        <w:t>无</w:t>
      </w:r>
    </w:p>
    <w:p>
      <w:pPr>
        <w:pStyle w:val="Heading2"/>
        <w:spacing w:line="240" w:lineRule="auto" w:before="54"/>
        <w:ind w:right="-19"/>
        <w:jc w:val="left"/>
        <w:rPr>
          <w:b w:val="0"/>
          <w:bCs w:val="0"/>
        </w:rPr>
      </w:pPr>
      <w:bookmarkStart w:name="21、开发支出" w:id="280"/>
      <w:bookmarkEnd w:id="280"/>
      <w:r>
        <w:rPr>
          <w:b w:val="0"/>
          <w:bCs w:val="0"/>
        </w:rPr>
      </w:r>
      <w:r>
        <w:rPr>
          <w:rFonts w:ascii="Times New Roman" w:hAnsi="Times New Roman" w:cs="Times New Roman" w:eastAsia="Times New Roman" w:hint="default"/>
        </w:rPr>
        <w:t>21</w:t>
      </w:r>
      <w:r>
        <w:rPr/>
        <w:t>、开发支出</w:t>
      </w:r>
      <w:r>
        <w:rPr>
          <w:b w:val="0"/>
          <w:bCs w:val="0"/>
        </w:rPr>
      </w:r>
    </w:p>
    <w:p>
      <w:pPr>
        <w:pStyle w:val="BodyText"/>
        <w:spacing w:line="240" w:lineRule="auto" w:before="128"/>
        <w:ind w:left="634" w:right="-19"/>
        <w:jc w:val="left"/>
      </w:pPr>
      <w:r>
        <w:rPr/>
        <w:t>无</w:t>
      </w:r>
    </w:p>
    <w:p>
      <w:pPr>
        <w:pStyle w:val="Heading2"/>
        <w:spacing w:line="240" w:lineRule="auto" w:before="145"/>
        <w:ind w:right="-19"/>
        <w:jc w:val="left"/>
        <w:rPr>
          <w:b w:val="0"/>
          <w:bCs w:val="0"/>
        </w:rPr>
      </w:pPr>
      <w:bookmarkStart w:name="22、商誉" w:id="281"/>
      <w:bookmarkEnd w:id="281"/>
      <w:r>
        <w:rPr>
          <w:b w:val="0"/>
          <w:bCs w:val="0"/>
        </w:rPr>
      </w:r>
      <w:r>
        <w:rPr>
          <w:rFonts w:ascii="Times New Roman" w:hAnsi="Times New Roman" w:cs="Times New Roman" w:eastAsia="Times New Roman" w:hint="default"/>
        </w:rPr>
        <w:t>22</w:t>
      </w:r>
      <w:r>
        <w:rPr/>
        <w:t>、商誉</w:t>
      </w:r>
      <w:r>
        <w:rPr>
          <w:b w:val="0"/>
          <w:bCs w:val="0"/>
        </w:rPr>
      </w:r>
    </w:p>
    <w:p>
      <w:pPr>
        <w:pStyle w:val="Heading2"/>
        <w:spacing w:line="240" w:lineRule="auto" w:before="127"/>
        <w:ind w:right="-19"/>
        <w:jc w:val="left"/>
        <w:rPr>
          <w:b w:val="0"/>
          <w:bCs w:val="0"/>
        </w:rPr>
      </w:pPr>
      <w:bookmarkStart w:name="（1）商誉账面原值" w:id="282"/>
      <w:bookmarkEnd w:id="28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4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196" w:space="634"/>
            <w:col w:w="2100"/>
          </w:cols>
        </w:sectPr>
      </w:pPr>
    </w:p>
    <w:p>
      <w:pPr>
        <w:spacing w:line="240" w:lineRule="auto" w:before="0"/>
        <w:rPr>
          <w:rFonts w:ascii="宋体" w:hAnsi="宋体" w:cs="宋体" w:eastAsia="宋体" w:hint="default"/>
          <w:sz w:val="8"/>
          <w:szCs w:val="8"/>
        </w:rPr>
      </w:pPr>
    </w:p>
    <w:tbl>
      <w:tblPr>
        <w:tblW w:w="0" w:type="auto"/>
        <w:jc w:val="left"/>
        <w:tblInd w:w="218" w:type="dxa"/>
        <w:tblLayout w:type="fixed"/>
        <w:tblCellMar>
          <w:top w:w="0" w:type="dxa"/>
          <w:left w:w="0" w:type="dxa"/>
          <w:bottom w:w="0" w:type="dxa"/>
          <w:right w:w="0" w:type="dxa"/>
        </w:tblCellMar>
        <w:tblLook w:val="01E0"/>
      </w:tblPr>
      <w:tblGrid>
        <w:gridCol w:w="3674"/>
        <w:gridCol w:w="1713"/>
        <w:gridCol w:w="1134"/>
        <w:gridCol w:w="1276"/>
        <w:gridCol w:w="1702"/>
      </w:tblGrid>
      <w:tr>
        <w:trPr>
          <w:trHeight w:val="402" w:hRule="exact"/>
        </w:trPr>
        <w:tc>
          <w:tcPr>
            <w:tcW w:w="3674"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26"/>
              <w:ind w:left="262"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p>
        </w:tc>
        <w:tc>
          <w:tcPr>
            <w:tcW w:w="1713"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26"/>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36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171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5"/>
              <w:ind w:left="356" w:right="0"/>
              <w:jc w:val="left"/>
              <w:rPr>
                <w:rFonts w:ascii="Times New Roman" w:hAnsi="Times New Roman" w:cs="Times New Roman" w:eastAsia="Times New Roman" w:hint="default"/>
                <w:sz w:val="21"/>
                <w:szCs w:val="21"/>
              </w:rPr>
            </w:pPr>
            <w:r>
              <w:rPr>
                <w:rFonts w:ascii="Times New Roman"/>
                <w:sz w:val="21"/>
              </w:rPr>
              <w:t>107,863,014.60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107,863,014.60</w:t>
            </w:r>
          </w:p>
        </w:tc>
      </w:tr>
      <w:tr>
        <w:trPr>
          <w:trHeight w:val="402" w:hRule="exact"/>
        </w:trPr>
        <w:tc>
          <w:tcPr>
            <w:tcW w:w="36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成都西南交大驱动技术有限责任公司</w:t>
            </w:r>
          </w:p>
        </w:tc>
        <w:tc>
          <w:tcPr>
            <w:tcW w:w="171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5"/>
              <w:ind w:left="460" w:right="0"/>
              <w:jc w:val="left"/>
              <w:rPr>
                <w:rFonts w:ascii="Times New Roman" w:hAnsi="Times New Roman" w:cs="Times New Roman" w:eastAsia="Times New Roman" w:hint="default"/>
                <w:sz w:val="21"/>
                <w:szCs w:val="21"/>
              </w:rPr>
            </w:pPr>
            <w:r>
              <w:rPr>
                <w:rFonts w:ascii="Times New Roman"/>
                <w:sz w:val="21"/>
              </w:rPr>
              <w:t>34,141,326.36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34,141,326.36</w:t>
            </w:r>
          </w:p>
        </w:tc>
      </w:tr>
      <w:tr>
        <w:trPr>
          <w:trHeight w:val="403" w:hRule="exact"/>
        </w:trPr>
        <w:tc>
          <w:tcPr>
            <w:tcW w:w="36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5"/>
              <w:ind w:left="356" w:right="0"/>
              <w:jc w:val="left"/>
              <w:rPr>
                <w:rFonts w:ascii="Times New Roman" w:hAnsi="Times New Roman" w:cs="Times New Roman" w:eastAsia="Times New Roman" w:hint="default"/>
                <w:sz w:val="21"/>
                <w:szCs w:val="21"/>
              </w:rPr>
            </w:pPr>
            <w:r>
              <w:rPr>
                <w:rFonts w:ascii="Times New Roman"/>
                <w:sz w:val="21"/>
              </w:rPr>
              <w:t>142,004,340.96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142,004,340.96</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0"/>
        <w:jc w:val="left"/>
        <w:rPr>
          <w:b w:val="0"/>
          <w:bCs w:val="0"/>
        </w:rPr>
      </w:pPr>
      <w:bookmarkStart w:name="（2）商誉减值准备" w:id="283"/>
      <w:bookmarkEnd w:id="283"/>
      <w:r>
        <w:rPr>
          <w:b w:val="0"/>
          <w:bCs w:val="0"/>
        </w:rPr>
      </w:r>
      <w:r>
        <w:rPr>
          <w:w w:val="95"/>
        </w:rPr>
        <w:t>（</w:t>
      </w:r>
      <w:r>
        <w:rPr>
          <w:rFonts w:ascii="Times New Roman" w:hAnsi="Times New Roman" w:cs="Times New Roman" w:eastAsia="Times New Roman" w:hint="default"/>
          <w:w w:val="95"/>
        </w:rPr>
        <w:t>2</w:t>
      </w:r>
      <w:r>
        <w:rPr>
          <w:w w:val="95"/>
        </w:rPr>
        <w:t>）商誉减值准备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201" w:space="6629"/>
            <w:col w:w="2100"/>
          </w:cols>
        </w:sectPr>
      </w:pPr>
    </w:p>
    <w:p>
      <w:pPr>
        <w:spacing w:line="240" w:lineRule="auto" w:before="1"/>
        <w:rPr>
          <w:rFonts w:ascii="宋体" w:hAnsi="宋体" w:cs="宋体" w:eastAsia="宋体" w:hint="default"/>
          <w:sz w:val="8"/>
          <w:szCs w:val="8"/>
        </w:rPr>
      </w:pPr>
    </w:p>
    <w:tbl>
      <w:tblPr>
        <w:tblW w:w="0" w:type="auto"/>
        <w:jc w:val="left"/>
        <w:tblInd w:w="255" w:type="dxa"/>
        <w:tblLayout w:type="fixed"/>
        <w:tblCellMar>
          <w:top w:w="0" w:type="dxa"/>
          <w:left w:w="0" w:type="dxa"/>
          <w:bottom w:w="0" w:type="dxa"/>
          <w:right w:w="0" w:type="dxa"/>
        </w:tblCellMar>
        <w:tblLook w:val="01E0"/>
      </w:tblPr>
      <w:tblGrid>
        <w:gridCol w:w="3864"/>
        <w:gridCol w:w="1561"/>
        <w:gridCol w:w="1416"/>
        <w:gridCol w:w="993"/>
        <w:gridCol w:w="1594"/>
      </w:tblGrid>
      <w:tr>
        <w:trPr>
          <w:trHeight w:val="402" w:hRule="exact"/>
        </w:trPr>
        <w:tc>
          <w:tcPr>
            <w:tcW w:w="3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352"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3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9" w:right="0"/>
              <w:jc w:val="left"/>
              <w:rPr>
                <w:rFonts w:ascii="Times New Roman" w:hAnsi="Times New Roman" w:cs="Times New Roman" w:eastAsia="Times New Roman" w:hint="default"/>
                <w:sz w:val="21"/>
                <w:szCs w:val="21"/>
              </w:rPr>
            </w:pPr>
            <w:r>
              <w:rPr>
                <w:rFonts w:ascii="Times New Roman"/>
                <w:sz w:val="21"/>
              </w:rPr>
              <w:t>71,937,749.03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35,925,265.57</w:t>
            </w:r>
          </w:p>
        </w:tc>
        <w:tc>
          <w:tcPr>
            <w:tcW w:w="99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107,863,014.60</w:t>
            </w:r>
          </w:p>
        </w:tc>
      </w:tr>
      <w:tr>
        <w:trPr>
          <w:trHeight w:val="402" w:hRule="exact"/>
        </w:trPr>
        <w:tc>
          <w:tcPr>
            <w:tcW w:w="3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成都西南交大驱动技术有限责任公司</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24,903,540.41</w:t>
            </w:r>
          </w:p>
        </w:tc>
        <w:tc>
          <w:tcPr>
            <w:tcW w:w="99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24,903,540.41</w:t>
            </w:r>
          </w:p>
        </w:tc>
      </w:tr>
      <w:tr>
        <w:trPr>
          <w:trHeight w:val="402" w:hRule="exact"/>
        </w:trPr>
        <w:tc>
          <w:tcPr>
            <w:tcW w:w="3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9" w:right="0"/>
              <w:jc w:val="left"/>
              <w:rPr>
                <w:rFonts w:ascii="Times New Roman" w:hAnsi="Times New Roman" w:cs="Times New Roman" w:eastAsia="Times New Roman" w:hint="default"/>
                <w:sz w:val="21"/>
                <w:szCs w:val="21"/>
              </w:rPr>
            </w:pPr>
            <w:r>
              <w:rPr>
                <w:rFonts w:ascii="Times New Roman"/>
                <w:sz w:val="21"/>
              </w:rPr>
              <w:t>71,937,749.03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60,828,805.98</w:t>
            </w:r>
          </w:p>
        </w:tc>
        <w:tc>
          <w:tcPr>
            <w:tcW w:w="99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132,766,555.01</w:t>
            </w:r>
          </w:p>
        </w:tc>
      </w:tr>
    </w:tbl>
    <w:p>
      <w:pPr>
        <w:spacing w:line="240" w:lineRule="auto" w:before="10"/>
        <w:rPr>
          <w:rFonts w:ascii="宋体" w:hAnsi="宋体" w:cs="宋体" w:eastAsia="宋体" w:hint="default"/>
          <w:sz w:val="4"/>
          <w:szCs w:val="4"/>
        </w:rPr>
      </w:pPr>
    </w:p>
    <w:p>
      <w:pPr>
        <w:pStyle w:val="BodyText"/>
        <w:spacing w:line="240" w:lineRule="auto" w:before="26"/>
        <w:ind w:left="634" w:right="0"/>
        <w:jc w:val="left"/>
      </w:pPr>
      <w:r>
        <w:rPr/>
        <w:t>商誉所在资产组或资产组组合的相关信息</w:t>
      </w:r>
    </w:p>
    <w:p>
      <w:pPr>
        <w:pStyle w:val="BodyText"/>
        <w:spacing w:line="352" w:lineRule="auto" w:before="145"/>
        <w:ind w:left="634" w:right="1152"/>
        <w:jc w:val="left"/>
      </w:pPr>
      <w:r>
        <w:rPr/>
        <w:t>①北京国铁路阳技术有限公司 公司于</w:t>
      </w:r>
      <w:r>
        <w:rPr>
          <w:rFonts w:ascii="宋体" w:hAnsi="宋体" w:cs="宋体" w:eastAsia="宋体" w:hint="default"/>
        </w:rPr>
        <w:t>2011</w:t>
      </w:r>
      <w:r>
        <w:rPr/>
        <w:t>年非同一控制下企业合并国铁路阳，在合并日，公司将购买股权支付的合并</w:t>
      </w:r>
    </w:p>
    <w:p>
      <w:pPr>
        <w:pStyle w:val="BodyText"/>
        <w:spacing w:line="350" w:lineRule="auto" w:before="32"/>
        <w:ind w:right="1152"/>
        <w:jc w:val="left"/>
      </w:pPr>
      <w:r>
        <w:rPr/>
        <w:t>成本</w:t>
      </w:r>
      <w:r>
        <w:rPr>
          <w:rFonts w:ascii="宋体" w:hAnsi="宋体" w:cs="宋体" w:eastAsia="宋体" w:hint="default"/>
        </w:rPr>
        <w:t>145,036,533.98</w:t>
      </w:r>
      <w:r>
        <w:rPr/>
        <w:t>元与应享有国铁路阳可辨认净资产公允价值份额</w:t>
      </w:r>
      <w:r>
        <w:rPr>
          <w:rFonts w:ascii="宋体" w:hAnsi="宋体" w:cs="宋体" w:eastAsia="宋体" w:hint="default"/>
        </w:rPr>
        <w:t>37,173,519.38</w:t>
      </w:r>
      <w:r>
        <w:rPr/>
        <w:t>元之间 的差额</w:t>
      </w:r>
      <w:r>
        <w:rPr>
          <w:rFonts w:ascii="宋体" w:hAnsi="宋体" w:cs="宋体" w:eastAsia="宋体" w:hint="default"/>
        </w:rPr>
        <w:t>107,863,014.60</w:t>
      </w:r>
      <w:r>
        <w:rPr/>
        <w:t>元确认为商誉。国铁路阳商誉减值测试以国铁路阳公司整体资产及相 关业务作为资产组组合进行减值测试，该资产组与购买日及以前年度商誉减值测试时所确定 的资产组一致。</w:t>
      </w:r>
    </w:p>
    <w:p>
      <w:pPr>
        <w:pStyle w:val="BodyText"/>
        <w:spacing w:line="352" w:lineRule="auto" w:before="35"/>
        <w:ind w:left="634" w:right="1152"/>
        <w:jc w:val="left"/>
      </w:pPr>
      <w:r>
        <w:rPr/>
        <w:t>②成都西南交大驱动技术有限责任公司 公司于</w:t>
      </w:r>
      <w:r>
        <w:rPr>
          <w:rFonts w:ascii="宋体" w:hAnsi="宋体" w:cs="宋体" w:eastAsia="宋体" w:hint="default"/>
        </w:rPr>
        <w:t>2017</w:t>
      </w:r>
      <w:r>
        <w:rPr/>
        <w:t>年非同一控制下企业合并收购交大驱动，在合并日，公司将购买股权支付的</w:t>
      </w:r>
    </w:p>
    <w:p>
      <w:pPr>
        <w:pStyle w:val="BodyText"/>
        <w:spacing w:line="240" w:lineRule="auto" w:before="32"/>
        <w:ind w:right="0"/>
        <w:jc w:val="left"/>
      </w:pPr>
      <w:r>
        <w:rPr/>
        <w:t>合并成本</w:t>
      </w:r>
      <w:r>
        <w:rPr>
          <w:rFonts w:ascii="宋体" w:hAnsi="宋体" w:cs="宋体" w:eastAsia="宋体" w:hint="default"/>
        </w:rPr>
        <w:t>54,266,600.00</w:t>
      </w:r>
      <w:r>
        <w:rPr/>
        <w:t>元与应享有交大驱动可辨认净资产公允价值份额</w:t>
      </w:r>
      <w:r>
        <w:rPr>
          <w:rFonts w:ascii="宋体" w:hAnsi="宋体" w:cs="宋体" w:eastAsia="宋体" w:hint="default"/>
        </w:rPr>
        <w:t>20,125,273.64</w:t>
      </w:r>
      <w:r>
        <w:rPr/>
        <w:t>元之</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right="1131"/>
        <w:jc w:val="both"/>
      </w:pPr>
      <w:r>
        <w:rPr>
          <w:spacing w:val="-2"/>
        </w:rPr>
        <w:t>间的差额</w:t>
      </w:r>
      <w:r>
        <w:rPr>
          <w:rFonts w:ascii="宋体" w:hAnsi="宋体" w:cs="宋体" w:eastAsia="宋体" w:hint="default"/>
          <w:spacing w:val="-2"/>
        </w:rPr>
        <w:t>34,141,326.36</w:t>
      </w:r>
      <w:r>
        <w:rPr>
          <w:spacing w:val="-2"/>
        </w:rPr>
        <w:t>元确认为商誉。交大驱动商誉减值测试的资产组的构成为形成商誉的</w:t>
      </w:r>
      <w:r>
        <w:rPr>
          <w:spacing w:val="-108"/>
        </w:rPr>
        <w:t> </w:t>
      </w:r>
      <w:r>
        <w:rPr>
          <w:spacing w:val="-108"/>
        </w:rPr>
      </w:r>
      <w:r>
        <w:rPr/>
        <w:t>资产组涉及的相关资产，包括固定资产、无形资产等，该资产组与购买日及以前年度商誉减 值测试时所确定的资产组一致。</w:t>
      </w:r>
    </w:p>
    <w:p>
      <w:pPr>
        <w:pStyle w:val="BodyText"/>
        <w:spacing w:line="350" w:lineRule="auto" w:before="33"/>
        <w:ind w:right="1170" w:firstLine="480"/>
        <w:jc w:val="both"/>
      </w:pPr>
      <w:r>
        <w:rPr/>
        <w:t>说明商誉减值测试过程、关键参数（如预计未来现金流量现值时的预测期增长率、稳定 期增长率、利润率、折现率、预测期等）及商誉减值损失的确认方法：</w:t>
      </w:r>
    </w:p>
    <w:p>
      <w:pPr>
        <w:pStyle w:val="BodyText"/>
        <w:spacing w:line="240" w:lineRule="auto"/>
        <w:ind w:left="634" w:right="0"/>
        <w:jc w:val="left"/>
      </w:pPr>
      <w:r>
        <w:rPr>
          <w:rFonts w:ascii="宋体" w:hAnsi="宋体" w:cs="宋体" w:eastAsia="宋体" w:hint="default"/>
        </w:rPr>
        <w:t>1</w:t>
      </w:r>
      <w:r>
        <w:rPr/>
        <w:t>、北京国铁路阳技术有限公司</w:t>
      </w:r>
    </w:p>
    <w:p>
      <w:pPr>
        <w:pStyle w:val="BodyText"/>
        <w:spacing w:line="350" w:lineRule="auto" w:before="145"/>
        <w:ind w:right="1130" w:firstLine="480"/>
        <w:jc w:val="both"/>
      </w:pPr>
      <w:r>
        <w:rPr>
          <w:spacing w:val="-2"/>
        </w:rPr>
        <w:t>国铁路阳</w:t>
      </w:r>
      <w:r>
        <w:rPr>
          <w:rFonts w:ascii="宋体" w:hAnsi="宋体" w:cs="宋体" w:eastAsia="宋体" w:hint="default"/>
          <w:spacing w:val="-2"/>
        </w:rPr>
        <w:t>2018</w:t>
      </w:r>
      <w:r>
        <w:rPr>
          <w:spacing w:val="-2"/>
        </w:rPr>
        <w:t>年营业收入较上年下降</w:t>
      </w:r>
      <w:r>
        <w:rPr>
          <w:rFonts w:ascii="宋体" w:hAnsi="宋体" w:cs="宋体" w:eastAsia="宋体" w:hint="default"/>
          <w:spacing w:val="-2"/>
        </w:rPr>
        <w:t>19.44%</w:t>
      </w:r>
      <w:r>
        <w:rPr>
          <w:spacing w:val="-2"/>
        </w:rPr>
        <w:t>，净利润为</w:t>
      </w:r>
      <w:r>
        <w:rPr>
          <w:rFonts w:ascii="宋体" w:hAnsi="宋体" w:cs="宋体" w:eastAsia="宋体" w:hint="default"/>
          <w:spacing w:val="-2"/>
        </w:rPr>
        <w:t>-955.89</w:t>
      </w:r>
      <w:r>
        <w:rPr>
          <w:spacing w:val="-2"/>
        </w:rPr>
        <w:t>万元，经营活动产生的净</w:t>
      </w:r>
      <w:r>
        <w:rPr/>
        <w:t> </w:t>
      </w:r>
      <w:r>
        <w:rPr>
          <w:spacing w:val="-2"/>
        </w:rPr>
        <w:t>现金流量为</w:t>
      </w:r>
      <w:r>
        <w:rPr>
          <w:rFonts w:ascii="宋体" w:hAnsi="宋体" w:cs="宋体" w:eastAsia="宋体" w:hint="default"/>
          <w:spacing w:val="-2"/>
        </w:rPr>
        <w:t>-940.12</w:t>
      </w:r>
      <w:r>
        <w:rPr>
          <w:spacing w:val="-2"/>
        </w:rPr>
        <w:t>万元，预计未来现金流量的预测具有较大的不确定性，</w:t>
      </w:r>
      <w:r>
        <w:rPr>
          <w:rFonts w:ascii="宋体" w:hAnsi="宋体" w:cs="宋体" w:eastAsia="宋体" w:hint="default"/>
          <w:spacing w:val="-2"/>
        </w:rPr>
        <w:t>2018</w:t>
      </w:r>
      <w:r>
        <w:rPr>
          <w:spacing w:val="-2"/>
        </w:rPr>
        <w:t>年该商誉所在</w:t>
      </w:r>
      <w:r>
        <w:rPr>
          <w:spacing w:val="-109"/>
        </w:rPr>
        <w:t> </w:t>
      </w:r>
      <w:r>
        <w:rPr/>
        <w:t>资产组的预计可回收金额按照资产组公允价值减去处置费用后计算确认，公允价值根据资产 组内的不同资产采用成本法或者市场法评估确认。</w:t>
      </w:r>
    </w:p>
    <w:p>
      <w:pPr>
        <w:pStyle w:val="BodyText"/>
        <w:spacing w:line="352" w:lineRule="auto" w:before="35"/>
        <w:ind w:left="634" w:right="1152"/>
        <w:jc w:val="left"/>
      </w:pPr>
      <w:r>
        <w:rPr>
          <w:rFonts w:ascii="宋体" w:hAnsi="宋体" w:cs="宋体" w:eastAsia="宋体" w:hint="default"/>
        </w:rPr>
        <w:t>2</w:t>
      </w:r>
      <w:r>
        <w:rPr/>
        <w:t>、成都西南交大驱动技术有限责任公司 该商誉所在资产组的可收回金额按照预计未来现金流量的现值计算，公司根据交大驱动</w:t>
      </w:r>
    </w:p>
    <w:p>
      <w:pPr>
        <w:pStyle w:val="BodyText"/>
        <w:spacing w:line="352" w:lineRule="auto" w:before="32"/>
        <w:ind w:right="1132"/>
        <w:jc w:val="both"/>
      </w:pPr>
      <w:r>
        <w:rPr/>
        <w:t>已签订的合同、协议、发展规划、历年经营趋势、行业发展状况等因素的综合分析，对减值 测试基准日未来五年的主营业务收入及其相关的成本、费用、利润进行预测，预测期后作为 </w:t>
      </w:r>
      <w:r>
        <w:rPr>
          <w:spacing w:val="-2"/>
        </w:rPr>
        <w:t>永续测算，预测期内的收入增长率分别为</w:t>
      </w:r>
      <w:r>
        <w:rPr>
          <w:rFonts w:ascii="宋体" w:hAnsi="宋体" w:cs="宋体" w:eastAsia="宋体" w:hint="default"/>
          <w:spacing w:val="-2"/>
        </w:rPr>
        <w:t>6.24%</w:t>
      </w:r>
      <w:r>
        <w:rPr>
          <w:spacing w:val="-2"/>
        </w:rPr>
        <w:t>、</w:t>
      </w:r>
      <w:r>
        <w:rPr>
          <w:rFonts w:ascii="宋体" w:hAnsi="宋体" w:cs="宋体" w:eastAsia="宋体" w:hint="default"/>
          <w:spacing w:val="-2"/>
        </w:rPr>
        <w:t>6.17%</w:t>
      </w:r>
      <w:r>
        <w:rPr>
          <w:spacing w:val="-2"/>
        </w:rPr>
        <w:t>、</w:t>
      </w:r>
      <w:r>
        <w:rPr>
          <w:rFonts w:ascii="宋体" w:hAnsi="宋体" w:cs="宋体" w:eastAsia="宋体" w:hint="default"/>
          <w:spacing w:val="-2"/>
        </w:rPr>
        <w:t>5.06%</w:t>
      </w:r>
      <w:r>
        <w:rPr>
          <w:spacing w:val="-2"/>
        </w:rPr>
        <w:t>、</w:t>
      </w:r>
      <w:r>
        <w:rPr>
          <w:rFonts w:ascii="宋体" w:hAnsi="宋体" w:cs="宋体" w:eastAsia="宋体" w:hint="default"/>
          <w:spacing w:val="-2"/>
        </w:rPr>
        <w:t>2.79%</w:t>
      </w:r>
      <w:r>
        <w:rPr>
          <w:spacing w:val="-2"/>
        </w:rPr>
        <w:t>和</w:t>
      </w:r>
      <w:r>
        <w:rPr>
          <w:rFonts w:ascii="宋体" w:hAnsi="宋体" w:cs="宋体" w:eastAsia="宋体" w:hint="default"/>
          <w:spacing w:val="-2"/>
        </w:rPr>
        <w:t>1.39%</w:t>
      </w:r>
      <w:r>
        <w:rPr>
          <w:spacing w:val="-2"/>
        </w:rPr>
        <w:t>，预测期内利</w:t>
      </w:r>
      <w:r>
        <w:rPr>
          <w:spacing w:val="-98"/>
        </w:rPr>
        <w:t> </w:t>
      </w:r>
      <w:r>
        <w:rPr>
          <w:spacing w:val="-98"/>
        </w:rPr>
      </w:r>
      <w:r>
        <w:rPr/>
        <w:t>润率根据预测的收入、成本、费用计算，折现率为</w:t>
      </w:r>
      <w:r>
        <w:rPr>
          <w:rFonts w:ascii="宋体" w:hAnsi="宋体" w:cs="宋体" w:eastAsia="宋体" w:hint="default"/>
        </w:rPr>
        <w:t>12.45%</w:t>
      </w:r>
      <w:r>
        <w:rPr/>
        <w:t>。</w:t>
      </w:r>
    </w:p>
    <w:p>
      <w:pPr>
        <w:pStyle w:val="BodyText"/>
        <w:spacing w:line="352" w:lineRule="auto" w:before="32"/>
        <w:ind w:left="634" w:right="7032"/>
        <w:jc w:val="left"/>
      </w:pPr>
      <w:r>
        <w:rPr/>
        <w:t>商誉减值测试的影响 </w:t>
      </w:r>
      <w:r>
        <w:rPr>
          <w:rFonts w:ascii="宋体" w:hAnsi="宋体" w:cs="宋体" w:eastAsia="宋体" w:hint="default"/>
        </w:rPr>
        <w:t>1</w:t>
      </w:r>
      <w:r>
        <w:rPr/>
        <w:t>、北京国铁路阳技术有限公司 国铁路阳不存在业绩承诺。</w:t>
      </w:r>
    </w:p>
    <w:p>
      <w:pPr>
        <w:pStyle w:val="BodyText"/>
        <w:spacing w:line="350" w:lineRule="auto" w:before="32"/>
        <w:ind w:right="1171" w:firstLine="480"/>
        <w:jc w:val="both"/>
      </w:pPr>
      <w:r>
        <w:rPr/>
        <w:t>公司参照了同一基准日公司聘请的北京国融兴华资产评估有限责任公司出具的国融兴华 咨报字</w:t>
      </w:r>
      <w:r>
        <w:rPr>
          <w:rFonts w:ascii="宋体" w:hAnsi="宋体" w:cs="宋体" w:eastAsia="宋体" w:hint="default"/>
        </w:rPr>
        <w:t>[2019]</w:t>
      </w:r>
      <w:r>
        <w:rPr/>
        <w:t>第</w:t>
      </w:r>
      <w:r>
        <w:rPr>
          <w:rFonts w:ascii="宋体" w:hAnsi="宋体" w:cs="宋体" w:eastAsia="宋体" w:hint="default"/>
        </w:rPr>
        <w:t>080004</w:t>
      </w:r>
      <w:r>
        <w:rPr/>
        <w:t>号《估值报告》中相关资产的评估结果作为该商誉所在的资产组的公 允价值，在考虑一定的处置费用后，计算得出包含商誉的资产组或资产组组合可收回金额为 </w:t>
      </w:r>
      <w:r>
        <w:rPr>
          <w:rFonts w:ascii="宋体" w:hAnsi="宋体" w:cs="宋体" w:eastAsia="宋体" w:hint="default"/>
        </w:rPr>
        <w:t>21,123.14</w:t>
      </w:r>
      <w:r>
        <w:rPr/>
        <w:t>万元，低于账面价值</w:t>
      </w:r>
      <w:r>
        <w:rPr>
          <w:rFonts w:ascii="宋体" w:hAnsi="宋体" w:cs="宋体" w:eastAsia="宋体" w:hint="default"/>
        </w:rPr>
        <w:t>24,789.02</w:t>
      </w:r>
      <w:r>
        <w:rPr/>
        <w:t>万元，经计算后对商誉全额计提减值准备。</w:t>
      </w:r>
    </w:p>
    <w:p>
      <w:pPr>
        <w:pStyle w:val="BodyText"/>
        <w:spacing w:line="350" w:lineRule="auto"/>
        <w:ind w:left="634" w:right="3312"/>
        <w:jc w:val="left"/>
      </w:pPr>
      <w:r>
        <w:rPr>
          <w:rFonts w:ascii="宋体" w:hAnsi="宋体" w:cs="宋体" w:eastAsia="宋体" w:hint="default"/>
        </w:rPr>
        <w:t>2</w:t>
      </w:r>
      <w:r>
        <w:rPr/>
        <w:t>、成都西南交大驱动技术有限责任公司 本期成都西南交大驱动技术有限责任公司业绩承诺完成情况如下：</w:t>
      </w:r>
    </w:p>
    <w:p>
      <w:pPr>
        <w:spacing w:line="193" w:lineRule="exact" w:before="0"/>
        <w:ind w:left="0" w:right="2540"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0"/>
        <w:rPr>
          <w:rFonts w:ascii="宋体" w:hAnsi="宋体" w:cs="宋体" w:eastAsia="宋体" w:hint="default"/>
          <w:sz w:val="5"/>
          <w:szCs w:val="5"/>
        </w:rPr>
      </w:pPr>
    </w:p>
    <w:tbl>
      <w:tblPr>
        <w:tblW w:w="0" w:type="auto"/>
        <w:jc w:val="left"/>
        <w:tblInd w:w="705" w:type="dxa"/>
        <w:tblLayout w:type="fixed"/>
        <w:tblCellMar>
          <w:top w:w="0" w:type="dxa"/>
          <w:left w:w="0" w:type="dxa"/>
          <w:bottom w:w="0" w:type="dxa"/>
          <w:right w:w="0" w:type="dxa"/>
        </w:tblCellMar>
        <w:tblLook w:val="01E0"/>
      </w:tblPr>
      <w:tblGrid>
        <w:gridCol w:w="3480"/>
        <w:gridCol w:w="2524"/>
        <w:gridCol w:w="2524"/>
      </w:tblGrid>
      <w:tr>
        <w:trPr>
          <w:trHeight w:val="342" w:hRule="exact"/>
        </w:trPr>
        <w:tc>
          <w:tcPr>
            <w:tcW w:w="34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2017</w:t>
            </w:r>
          </w:p>
        </w:tc>
        <w:tc>
          <w:tcPr>
            <w:tcW w:w="2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2018</w:t>
            </w:r>
          </w:p>
        </w:tc>
      </w:tr>
      <w:tr>
        <w:trPr>
          <w:trHeight w:val="342"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承诺净利润（注释</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1,107.00</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1,439.00</w:t>
            </w:r>
          </w:p>
        </w:tc>
      </w:tr>
      <w:tr>
        <w:trPr>
          <w:trHeight w:val="344"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完成完成净利润（注释</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956.30</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12,42.01</w:t>
            </w:r>
          </w:p>
        </w:tc>
      </w:tr>
    </w:tbl>
    <w:p>
      <w:pPr>
        <w:spacing w:line="240" w:lineRule="auto" w:before="10"/>
        <w:rPr>
          <w:rFonts w:ascii="宋体" w:hAnsi="宋体" w:cs="宋体" w:eastAsia="宋体" w:hint="default"/>
          <w:sz w:val="4"/>
          <w:szCs w:val="4"/>
        </w:rPr>
      </w:pPr>
    </w:p>
    <w:p>
      <w:pPr>
        <w:pStyle w:val="BodyText"/>
        <w:spacing w:line="350" w:lineRule="auto" w:before="26"/>
        <w:ind w:left="634" w:right="1152"/>
        <w:jc w:val="left"/>
      </w:pPr>
      <w:r>
        <w:rPr/>
        <w:t>注释</w:t>
      </w:r>
      <w:r>
        <w:rPr>
          <w:rFonts w:ascii="宋体" w:hAnsi="宋体" w:cs="宋体" w:eastAsia="宋体" w:hint="default"/>
        </w:rPr>
        <w:t>1</w:t>
      </w:r>
      <w:r>
        <w:rPr/>
        <w:t>：“净利润”系指归属于股东的扣除非经常性损益前后孰低的净利润 公司收购交大驱动的业绩承诺期为</w:t>
      </w:r>
      <w:r>
        <w:rPr>
          <w:rFonts w:ascii="宋体" w:hAnsi="宋体" w:cs="宋体" w:eastAsia="宋体" w:hint="default"/>
        </w:rPr>
        <w:t>2017</w:t>
      </w:r>
      <w:r>
        <w:rPr/>
        <w:t>年度—</w:t>
      </w:r>
      <w:r>
        <w:rPr>
          <w:rFonts w:ascii="宋体" w:hAnsi="宋体" w:cs="宋体" w:eastAsia="宋体" w:hint="default"/>
        </w:rPr>
        <w:t>2018</w:t>
      </w:r>
      <w:r>
        <w:rPr/>
        <w:t>年度，承诺期内，交大驱动均未完成</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right="0"/>
        <w:jc w:val="left"/>
      </w:pPr>
      <w:r>
        <w:rPr/>
        <w:t>业绩承诺。</w:t>
      </w:r>
    </w:p>
    <w:p>
      <w:pPr>
        <w:pStyle w:val="BodyText"/>
        <w:spacing w:line="352" w:lineRule="auto" w:before="145"/>
        <w:ind w:right="1118" w:firstLine="480"/>
        <w:jc w:val="left"/>
      </w:pPr>
      <w:r>
        <w:rPr>
          <w:spacing w:val="-2"/>
        </w:rPr>
        <w:t>根据公司聘请的中联资产评估集团有限公司出具的中联评报字</w:t>
      </w:r>
      <w:r>
        <w:rPr>
          <w:rFonts w:ascii="宋体" w:hAnsi="宋体" w:cs="宋体" w:eastAsia="宋体" w:hint="default"/>
          <w:spacing w:val="-2"/>
        </w:rPr>
        <w:t>[2019]</w:t>
      </w:r>
      <w:r>
        <w:rPr>
          <w:spacing w:val="-2"/>
        </w:rPr>
        <w:t>第</w:t>
      </w:r>
      <w:r>
        <w:rPr>
          <w:rFonts w:ascii="宋体" w:hAnsi="宋体" w:cs="宋体" w:eastAsia="宋体" w:hint="default"/>
          <w:spacing w:val="-2"/>
        </w:rPr>
        <w:t>291</w:t>
      </w:r>
      <w:r>
        <w:rPr>
          <w:spacing w:val="-2"/>
        </w:rPr>
        <w:t>号《资产评估</w:t>
      </w:r>
      <w:r>
        <w:rPr/>
        <w:t> 报告》，包含商誉的资产组可收回金额</w:t>
      </w:r>
      <w:r>
        <w:rPr>
          <w:rFonts w:ascii="宋体" w:hAnsi="宋体" w:cs="宋体" w:eastAsia="宋体" w:hint="default"/>
        </w:rPr>
        <w:t>3,589.34</w:t>
      </w:r>
      <w:r>
        <w:rPr/>
        <w:t>万元，低于包含商誉的资产组账面价值 </w:t>
      </w:r>
      <w:r>
        <w:rPr>
          <w:rFonts w:ascii="宋体" w:hAnsi="宋体" w:cs="宋体" w:eastAsia="宋体" w:hint="default"/>
        </w:rPr>
        <w:t>8,472.39</w:t>
      </w:r>
      <w:r>
        <w:rPr/>
        <w:t>万元，本期应确认商誉减值损失</w:t>
      </w:r>
      <w:r>
        <w:rPr>
          <w:rFonts w:ascii="宋体" w:hAnsi="宋体" w:cs="宋体" w:eastAsia="宋体" w:hint="default"/>
        </w:rPr>
        <w:t>4,883.05</w:t>
      </w:r>
      <w:r>
        <w:rPr/>
        <w:t>万元，其中归属于本公司应确认的商誉减 值损失</w:t>
      </w:r>
      <w:r>
        <w:rPr>
          <w:rFonts w:ascii="宋体" w:hAnsi="宋体" w:cs="宋体" w:eastAsia="宋体" w:hint="default"/>
        </w:rPr>
        <w:t>2,490.35</w:t>
      </w:r>
      <w:r>
        <w:rPr/>
        <w:t>万元。</w:t>
      </w:r>
    </w:p>
    <w:p>
      <w:pPr>
        <w:pStyle w:val="BodyText"/>
        <w:spacing w:line="240" w:lineRule="auto" w:before="34"/>
        <w:ind w:left="634" w:right="0"/>
        <w:jc w:val="left"/>
      </w:pPr>
      <w:r>
        <w:rPr/>
        <w:t>其他说明：无</w:t>
      </w:r>
    </w:p>
    <w:p>
      <w:pPr>
        <w:pStyle w:val="Heading2"/>
        <w:spacing w:line="240" w:lineRule="auto" w:before="145"/>
        <w:ind w:right="0"/>
        <w:jc w:val="left"/>
        <w:rPr>
          <w:b w:val="0"/>
          <w:bCs w:val="0"/>
        </w:rPr>
      </w:pPr>
      <w:bookmarkStart w:name="23、长期待摊费用" w:id="284"/>
      <w:bookmarkEnd w:id="284"/>
      <w:r>
        <w:rPr>
          <w:b w:val="0"/>
          <w:bCs w:val="0"/>
        </w:rPr>
      </w:r>
      <w:r>
        <w:rPr>
          <w:rFonts w:ascii="Times New Roman" w:hAnsi="Times New Roman" w:cs="Times New Roman" w:eastAsia="Times New Roman" w:hint="default"/>
        </w:rPr>
        <w:t>23</w:t>
      </w:r>
      <w:r>
        <w:rPr/>
        <w:t>、长期待摊费用</w:t>
      </w:r>
      <w:r>
        <w:rPr>
          <w:b w:val="0"/>
          <w:bCs w:val="0"/>
        </w:rPr>
      </w:r>
    </w:p>
    <w:p>
      <w:pPr>
        <w:spacing w:before="9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57" w:type="dxa"/>
        <w:tblLayout w:type="fixed"/>
        <w:tblCellMar>
          <w:top w:w="0" w:type="dxa"/>
          <w:left w:w="0" w:type="dxa"/>
          <w:bottom w:w="0" w:type="dxa"/>
          <w:right w:w="0" w:type="dxa"/>
        </w:tblCellMar>
        <w:tblLook w:val="01E0"/>
      </w:tblPr>
      <w:tblGrid>
        <w:gridCol w:w="3774"/>
        <w:gridCol w:w="1313"/>
        <w:gridCol w:w="1276"/>
        <w:gridCol w:w="1238"/>
        <w:gridCol w:w="889"/>
        <w:gridCol w:w="1134"/>
      </w:tblGrid>
      <w:tr>
        <w:trPr>
          <w:trHeight w:val="744"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1"/>
              <w:ind w:left="526" w:right="107" w:hanging="420"/>
              <w:jc w:val="left"/>
              <w:rPr>
                <w:rFonts w:ascii="宋体" w:hAnsi="宋体" w:cs="宋体" w:eastAsia="宋体" w:hint="default"/>
                <w:sz w:val="21"/>
                <w:szCs w:val="21"/>
              </w:rPr>
            </w:pPr>
            <w:r>
              <w:rPr>
                <w:rFonts w:ascii="宋体" w:hAnsi="宋体" w:cs="宋体" w:eastAsia="宋体" w:hint="default"/>
                <w:sz w:val="21"/>
                <w:szCs w:val="21"/>
              </w:rPr>
              <w:t>本期增加金 额</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1"/>
              <w:ind w:left="403" w:right="192" w:hanging="210"/>
              <w:jc w:val="left"/>
              <w:rPr>
                <w:rFonts w:ascii="宋体" w:hAnsi="宋体" w:cs="宋体" w:eastAsia="宋体" w:hint="default"/>
                <w:sz w:val="21"/>
                <w:szCs w:val="21"/>
              </w:rPr>
            </w:pPr>
            <w:r>
              <w:rPr>
                <w:rFonts w:ascii="宋体" w:hAnsi="宋体" w:cs="宋体" w:eastAsia="宋体" w:hint="default"/>
                <w:sz w:val="21"/>
                <w:szCs w:val="21"/>
              </w:rPr>
              <w:t>本期摊销 金额</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1"/>
              <w:ind w:left="123" w:right="125"/>
              <w:jc w:val="left"/>
              <w:rPr>
                <w:rFonts w:ascii="宋体" w:hAnsi="宋体" w:cs="宋体" w:eastAsia="宋体" w:hint="default"/>
                <w:sz w:val="21"/>
                <w:szCs w:val="21"/>
              </w:rPr>
            </w:pPr>
            <w:r>
              <w:rPr>
                <w:rFonts w:ascii="宋体" w:hAnsi="宋体" w:cs="宋体" w:eastAsia="宋体" w:hint="default"/>
                <w:sz w:val="21"/>
                <w:szCs w:val="21"/>
              </w:rPr>
              <w:t>其他减 少金额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9" w:hRule="exact"/>
        </w:trPr>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上海申通地铁资产经营管理有限公司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号线经营权费</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5,518,867.93</w:t>
            </w:r>
          </w:p>
        </w:tc>
        <w:tc>
          <w:tcPr>
            <w:tcW w:w="1276"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3,229,878.72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4,905,660.38</w:t>
            </w:r>
          </w:p>
        </w:tc>
        <w:tc>
          <w:tcPr>
            <w:tcW w:w="889" w:type="dxa"/>
            <w:tcBorders>
              <w:top w:val="single" w:sz="8"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1"/>
                <w:szCs w:val="21"/>
              </w:rPr>
            </w:pPr>
            <w:r>
              <w:rPr>
                <w:rFonts w:ascii="Times New Roman"/>
                <w:spacing w:val="-1"/>
                <w:sz w:val="21"/>
              </w:rPr>
              <w:t>3,843,086.2</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7</w:t>
            </w:r>
          </w:p>
        </w:tc>
      </w:tr>
      <w:tr>
        <w:trPr>
          <w:trHeight w:val="714" w:hRule="exact"/>
        </w:trPr>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69"/>
              <w:jc w:val="left"/>
              <w:rPr>
                <w:rFonts w:ascii="宋体" w:hAnsi="宋体" w:cs="宋体" w:eastAsia="宋体" w:hint="default"/>
                <w:sz w:val="21"/>
                <w:szCs w:val="21"/>
              </w:rPr>
            </w:pPr>
            <w:r>
              <w:rPr>
                <w:rFonts w:ascii="宋体" w:hAnsi="宋体" w:cs="宋体" w:eastAsia="宋体" w:hint="default"/>
                <w:sz w:val="21"/>
                <w:szCs w:val="21"/>
              </w:rPr>
              <w:t>上海申通德高地铁广告有限公司上海地 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号线广告经营权费用</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546,575.34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4,000,000.00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3,057,205.48</w:t>
            </w:r>
          </w:p>
        </w:tc>
        <w:tc>
          <w:tcPr>
            <w:tcW w:w="88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1,489,369.8</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6</w:t>
            </w:r>
          </w:p>
        </w:tc>
      </w:tr>
      <w:tr>
        <w:trPr>
          <w:trHeight w:val="715"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6,065,443.27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7,229,878.72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7,962,865.86</w:t>
            </w:r>
          </w:p>
        </w:tc>
        <w:tc>
          <w:tcPr>
            <w:tcW w:w="88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5,332,456.1</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3</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BodyText"/>
        <w:spacing w:line="240" w:lineRule="auto" w:before="26"/>
        <w:ind w:left="634" w:right="0"/>
        <w:jc w:val="left"/>
      </w:pPr>
      <w:r>
        <w:rPr/>
        <w:t>其他说明：无。</w:t>
      </w:r>
    </w:p>
    <w:p>
      <w:pPr>
        <w:pStyle w:val="Heading2"/>
        <w:spacing w:line="240" w:lineRule="auto" w:before="146"/>
        <w:ind w:right="0"/>
        <w:jc w:val="left"/>
        <w:rPr>
          <w:b w:val="0"/>
          <w:bCs w:val="0"/>
        </w:rPr>
      </w:pPr>
      <w:bookmarkStart w:name="24、递延所得税资产/递延所得税负债" w:id="285"/>
      <w:bookmarkEnd w:id="285"/>
      <w:r>
        <w:rPr>
          <w:b w:val="0"/>
          <w:bCs w:val="0"/>
        </w:rPr>
      </w:r>
      <w:r>
        <w:rPr>
          <w:rFonts w:ascii="Times New Roman" w:hAnsi="Times New Roman" w:cs="Times New Roman" w:eastAsia="Times New Roman" w:hint="default"/>
          <w:w w:val="95"/>
        </w:rPr>
        <w:t>24</w:t>
      </w:r>
      <w:r>
        <w:rPr>
          <w:w w:val="95"/>
        </w:rPr>
        <w:t>、递延所得税资产</w:t>
      </w:r>
      <w:r>
        <w:rPr>
          <w:rFonts w:ascii="Times New Roman" w:hAnsi="Times New Roman" w:cs="Times New Roman" w:eastAsia="Times New Roman" w:hint="default"/>
          <w:w w:val="95"/>
        </w:rPr>
        <w:t>/</w:t>
      </w:r>
      <w:r>
        <w:rPr>
          <w:w w:val="95"/>
        </w:rPr>
        <w:t>递延所得税负债</w:t>
      </w:r>
      <w:r>
        <w:rPr>
          <w:b w:val="0"/>
          <w:bCs w:val="0"/>
        </w:rPr>
      </w:r>
    </w:p>
    <w:p>
      <w:pPr>
        <w:pStyle w:val="Heading2"/>
        <w:spacing w:line="240" w:lineRule="auto" w:before="127"/>
        <w:ind w:right="0"/>
        <w:jc w:val="left"/>
        <w:rPr>
          <w:b w:val="0"/>
          <w:bCs w:val="0"/>
        </w:rPr>
      </w:pPr>
      <w:bookmarkStart w:name="（1）未经抵销的递延所得税资产" w:id="286"/>
      <w:bookmarkEnd w:id="28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074" w:space="475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1"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7"/>
              <w:ind w:left="22" w:right="197"/>
              <w:jc w:val="left"/>
              <w:rPr>
                <w:rFonts w:ascii="宋体" w:hAnsi="宋体" w:cs="宋体" w:eastAsia="宋体" w:hint="default"/>
                <w:sz w:val="21"/>
                <w:szCs w:val="21"/>
              </w:rPr>
            </w:pPr>
            <w:r>
              <w:rPr>
                <w:rFonts w:ascii="宋体" w:hAnsi="宋体" w:cs="宋体" w:eastAsia="宋体" w:hint="default"/>
                <w:sz w:val="21"/>
                <w:szCs w:val="21"/>
              </w:rPr>
              <w:t>内部交易未实现利 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36,331,796.92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5,449,769.57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39,127,886.67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5,869,183.00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133,326,680.00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19,999,001.99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108,380,420.67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16,257,063.10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115,879,446.00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17,353,908.98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107,181,135.44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16,148,645.27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7"/>
              <w:ind w:left="22" w:right="197"/>
              <w:jc w:val="left"/>
              <w:rPr>
                <w:rFonts w:ascii="宋体" w:hAnsi="宋体" w:cs="宋体" w:eastAsia="宋体" w:hint="default"/>
                <w:sz w:val="21"/>
                <w:szCs w:val="21"/>
              </w:rPr>
            </w:pPr>
            <w:r>
              <w:rPr>
                <w:rFonts w:ascii="宋体" w:hAnsi="宋体" w:cs="宋体" w:eastAsia="宋体" w:hint="default"/>
                <w:sz w:val="21"/>
                <w:szCs w:val="21"/>
              </w:rPr>
              <w:t>其他应收款坏账准 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2,135,704.00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361,187.76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1,428,540.77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234,200.67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30,369,328.00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4,555,399.16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31,495,455.26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4,724,318.29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318,042,954.92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47,719,267.46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287,613,438.81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43,233,410.33</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0"/>
        <w:jc w:val="left"/>
        <w:rPr>
          <w:b w:val="0"/>
          <w:bCs w:val="0"/>
        </w:rPr>
      </w:pPr>
      <w:bookmarkStart w:name="（2）未经抵销的递延所得税负债" w:id="287"/>
      <w:bookmarkEnd w:id="287"/>
      <w:r>
        <w:rPr>
          <w:b w:val="0"/>
          <w:bCs w:val="0"/>
        </w:rPr>
      </w:r>
      <w:r>
        <w:rPr>
          <w:w w:val="95"/>
        </w:rPr>
        <w:t>（</w:t>
      </w:r>
      <w:r>
        <w:rPr>
          <w:rFonts w:ascii="Times New Roman" w:hAnsi="Times New Roman" w:cs="Times New Roman" w:eastAsia="Times New Roman" w:hint="default"/>
          <w:w w:val="95"/>
        </w:rPr>
        <w:t>2</w:t>
      </w:r>
      <w:r>
        <w:rPr>
          <w:w w:val="95"/>
        </w:rPr>
        <w:t>）未经抵销的递延所得税负债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645" w:space="518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3"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1"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89,360,345.78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13,404,051.87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89,851,224.07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13,477,683.61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89,360,345.78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13,404,051.87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89,851,224.07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13,477,683.61</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240" w:lineRule="auto"/>
        <w:ind w:right="14"/>
        <w:jc w:val="left"/>
        <w:rPr>
          <w:b w:val="0"/>
          <w:bCs w:val="0"/>
        </w:rPr>
      </w:pPr>
      <w:bookmarkStart w:name="（3）以抵销后净额列示的递延所得税资产或负债" w:id="288"/>
      <w:bookmarkEnd w:id="288"/>
      <w:r>
        <w:rPr>
          <w:b w:val="0"/>
          <w:bCs w:val="0"/>
        </w:rPr>
      </w:r>
      <w:r>
        <w:rPr>
          <w:w w:val="95"/>
        </w:rPr>
        <w:t>（</w:t>
      </w:r>
      <w:r>
        <w:rPr>
          <w:rFonts w:ascii="Times New Roman" w:hAnsi="Times New Roman" w:cs="Times New Roman" w:eastAsia="Times New Roman" w:hint="default"/>
          <w:w w:val="95"/>
        </w:rPr>
        <w:t>3</w:t>
      </w:r>
      <w:r>
        <w:rPr>
          <w:w w:val="95"/>
        </w:rPr>
        <w:t>）以抵销后净额列示的递延所得税资产或负债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330" w:space="3499"/>
            <w:col w:w="210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91"/>
        <w:gridCol w:w="1985"/>
        <w:gridCol w:w="2056"/>
        <w:gridCol w:w="1772"/>
        <w:gridCol w:w="2057"/>
      </w:tblGrid>
      <w:tr>
        <w:trPr>
          <w:trHeight w:val="162"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251" w:right="41" w:hanging="210"/>
              <w:jc w:val="left"/>
              <w:rPr>
                <w:rFonts w:ascii="宋体" w:hAnsi="宋体" w:cs="宋体" w:eastAsia="宋体" w:hint="default"/>
                <w:sz w:val="21"/>
                <w:szCs w:val="21"/>
              </w:rPr>
            </w:pPr>
            <w:r>
              <w:rPr>
                <w:rFonts w:ascii="宋体" w:hAnsi="宋体" w:cs="宋体" w:eastAsia="宋体" w:hint="default"/>
                <w:sz w:val="21"/>
                <w:szCs w:val="21"/>
              </w:rPr>
              <w:t>递延所得税资产和负 债期末互抵金额</w:t>
            </w:r>
          </w:p>
        </w:tc>
        <w:tc>
          <w:tcPr>
            <w:tcW w:w="205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182" w:right="77" w:hanging="105"/>
              <w:jc w:val="left"/>
              <w:rPr>
                <w:rFonts w:ascii="宋体" w:hAnsi="宋体" w:cs="宋体" w:eastAsia="宋体" w:hint="default"/>
                <w:sz w:val="21"/>
                <w:szCs w:val="21"/>
              </w:rPr>
            </w:pPr>
            <w:r>
              <w:rPr>
                <w:rFonts w:ascii="宋体" w:hAnsi="宋体" w:cs="宋体" w:eastAsia="宋体" w:hint="default"/>
                <w:sz w:val="21"/>
                <w:szCs w:val="21"/>
              </w:rPr>
              <w:t>抵销后递延所得税资 产或负债期末余额</w:t>
            </w:r>
          </w:p>
        </w:tc>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39" w:right="40"/>
              <w:jc w:val="left"/>
              <w:rPr>
                <w:rFonts w:ascii="宋体" w:hAnsi="宋体" w:cs="宋体" w:eastAsia="宋体" w:hint="default"/>
                <w:sz w:val="21"/>
                <w:szCs w:val="21"/>
              </w:rPr>
            </w:pPr>
            <w:r>
              <w:rPr>
                <w:rFonts w:ascii="宋体" w:hAnsi="宋体" w:cs="宋体" w:eastAsia="宋体" w:hint="default"/>
                <w:sz w:val="21"/>
                <w:szCs w:val="21"/>
              </w:rPr>
              <w:t>递延所得税资产和 负债期初互抵金额</w:t>
            </w:r>
          </w:p>
        </w:tc>
        <w:tc>
          <w:tcPr>
            <w:tcW w:w="205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183" w:right="77" w:hanging="106"/>
              <w:jc w:val="left"/>
              <w:rPr>
                <w:rFonts w:ascii="宋体" w:hAnsi="宋体" w:cs="宋体" w:eastAsia="宋体" w:hint="default"/>
                <w:sz w:val="21"/>
                <w:szCs w:val="21"/>
              </w:rPr>
            </w:pPr>
            <w:r>
              <w:rPr>
                <w:rFonts w:ascii="宋体" w:hAnsi="宋体" w:cs="宋体" w:eastAsia="宋体" w:hint="default"/>
                <w:sz w:val="21"/>
                <w:szCs w:val="21"/>
              </w:rPr>
              <w:t>抵销后递延所得税资 产或负债期初余额</w:t>
            </w:r>
          </w:p>
        </w:tc>
      </w:tr>
      <w:tr>
        <w:trPr>
          <w:trHeight w:val="391"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vMerge/>
            <w:tcBorders>
              <w:left w:val="single" w:sz="4" w:space="0" w:color="000000"/>
              <w:right w:val="single" w:sz="4" w:space="0" w:color="000000"/>
            </w:tcBorders>
            <w:shd w:val="clear" w:color="auto" w:fill="D2D2D2"/>
          </w:tcPr>
          <w:p>
            <w:pPr/>
          </w:p>
        </w:tc>
        <w:tc>
          <w:tcPr>
            <w:tcW w:w="2056" w:type="dxa"/>
            <w:vMerge/>
            <w:tcBorders>
              <w:left w:val="single" w:sz="4" w:space="0" w:color="000000"/>
              <w:right w:val="single" w:sz="4" w:space="0" w:color="000000"/>
            </w:tcBorders>
            <w:shd w:val="clear" w:color="auto" w:fill="D2D2D2"/>
          </w:tcPr>
          <w:p>
            <w:pPr/>
          </w:p>
        </w:tc>
        <w:tc>
          <w:tcPr>
            <w:tcW w:w="1772" w:type="dxa"/>
            <w:vMerge/>
            <w:tcBorders>
              <w:left w:val="single" w:sz="4" w:space="0" w:color="000000"/>
              <w:right w:val="single" w:sz="4" w:space="0" w:color="000000"/>
            </w:tcBorders>
            <w:shd w:val="clear" w:color="auto" w:fill="D2D2D2"/>
          </w:tcPr>
          <w:p>
            <w:pPr/>
          </w:p>
        </w:tc>
        <w:tc>
          <w:tcPr>
            <w:tcW w:w="2057" w:type="dxa"/>
            <w:vMerge/>
            <w:tcBorders>
              <w:left w:val="single" w:sz="4" w:space="0" w:color="000000"/>
              <w:right w:val="single" w:sz="4" w:space="0" w:color="000000"/>
            </w:tcBorders>
            <w:shd w:val="clear" w:color="auto" w:fill="D2D2D2"/>
          </w:tcPr>
          <w:p>
            <w:pPr/>
          </w:p>
        </w:tc>
      </w:tr>
      <w:tr>
        <w:trPr>
          <w:trHeight w:val="161" w:hRule="exact"/>
        </w:trPr>
        <w:tc>
          <w:tcPr>
            <w:tcW w:w="1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2056" w:type="dxa"/>
            <w:vMerge/>
            <w:tcBorders>
              <w:left w:val="single" w:sz="4" w:space="0" w:color="000000"/>
              <w:bottom w:val="single" w:sz="4" w:space="0" w:color="000000"/>
              <w:right w:val="single" w:sz="4" w:space="0" w:color="000000"/>
            </w:tcBorders>
            <w:shd w:val="clear" w:color="auto" w:fill="D2D2D2"/>
          </w:tcPr>
          <w:p>
            <w:pPr/>
          </w:p>
        </w:tc>
        <w:tc>
          <w:tcPr>
            <w:tcW w:w="1772" w:type="dxa"/>
            <w:vMerge/>
            <w:tcBorders>
              <w:left w:val="single" w:sz="4" w:space="0" w:color="000000"/>
              <w:bottom w:val="single" w:sz="4" w:space="0" w:color="000000"/>
              <w:right w:val="single" w:sz="4" w:space="0" w:color="000000"/>
            </w:tcBorders>
            <w:shd w:val="clear" w:color="auto" w:fill="D2D2D2"/>
          </w:tcPr>
          <w:p>
            <w:pPr/>
          </w:p>
        </w:tc>
        <w:tc>
          <w:tcPr>
            <w:tcW w:w="205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85"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47,719,267.46</w:t>
            </w:r>
          </w:p>
        </w:tc>
        <w:tc>
          <w:tcPr>
            <w:tcW w:w="1772"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43,233,410.33</w:t>
            </w:r>
          </w:p>
        </w:tc>
      </w:tr>
      <w:tr>
        <w:trPr>
          <w:trHeight w:val="403"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85"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13,404,051.87</w:t>
            </w:r>
          </w:p>
        </w:tc>
        <w:tc>
          <w:tcPr>
            <w:tcW w:w="1772"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13,477,683.61</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0"/>
        <w:jc w:val="left"/>
        <w:rPr>
          <w:b w:val="0"/>
          <w:bCs w:val="0"/>
        </w:rPr>
      </w:pPr>
      <w:bookmarkStart w:name="（4）未确认递延所得税资产明细" w:id="289"/>
      <w:bookmarkEnd w:id="289"/>
      <w:r>
        <w:rPr>
          <w:b w:val="0"/>
          <w:bCs w:val="0"/>
        </w:rPr>
      </w:r>
      <w:r>
        <w:rPr>
          <w:w w:val="95"/>
        </w:rPr>
        <w:t>（</w:t>
      </w:r>
      <w:r>
        <w:rPr>
          <w:rFonts w:ascii="Times New Roman" w:hAnsi="Times New Roman" w:cs="Times New Roman" w:eastAsia="Times New Roman" w:hint="default"/>
          <w:w w:val="95"/>
        </w:rPr>
        <w:t>4</w:t>
      </w:r>
      <w:r>
        <w:rPr>
          <w:w w:val="95"/>
        </w:rPr>
        <w:t>）未确认递延所得税资产明细</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645" w:space="518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23,981,119.01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14,682,166.17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317,770,366.35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256,941,560.37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341,751,485.36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271,623,726.54</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0"/>
        <w:jc w:val="left"/>
        <w:rPr>
          <w:b w:val="0"/>
          <w:bCs w:val="0"/>
        </w:rPr>
      </w:pPr>
      <w:bookmarkStart w:name="（5）未确认递延所得税资产的可抵扣亏损将于以下年度到期" w:id="290"/>
      <w:bookmarkEnd w:id="290"/>
      <w:r>
        <w:rPr>
          <w:b w:val="0"/>
          <w:bCs w:val="0"/>
        </w:rPr>
      </w:r>
      <w:r>
        <w:rPr>
          <w:w w:val="95"/>
        </w:rPr>
        <w:t>（</w:t>
      </w:r>
      <w:r>
        <w:rPr>
          <w:rFonts w:ascii="Times New Roman" w:hAnsi="Times New Roman" w:cs="Times New Roman" w:eastAsia="Times New Roman" w:hint="default"/>
          <w:w w:val="95"/>
        </w:rPr>
        <w:t>5</w:t>
      </w:r>
      <w:r>
        <w:rPr>
          <w:w w:val="95"/>
        </w:rPr>
        <w:t>）未确认递延所得税资产的可抵扣亏损将于以下年度到期</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534" w:space="2296"/>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1"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2,184,753.62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7,388,457.88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7,287,847.63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7,293,708.29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14,508,517.76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23,981,119.01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14,682,166.17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240" w:lineRule="auto" w:before="26"/>
        <w:ind w:left="634" w:right="0"/>
        <w:jc w:val="left"/>
      </w:pPr>
      <w:r>
        <w:rPr/>
        <w:t>其他说明：无</w:t>
      </w:r>
    </w:p>
    <w:p>
      <w:pPr>
        <w:pStyle w:val="Heading2"/>
        <w:spacing w:line="240" w:lineRule="auto" w:before="146"/>
        <w:ind w:right="0"/>
        <w:jc w:val="left"/>
        <w:rPr>
          <w:b w:val="0"/>
          <w:bCs w:val="0"/>
        </w:rPr>
      </w:pPr>
      <w:bookmarkStart w:name="25、其他非流动资产" w:id="291"/>
      <w:bookmarkEnd w:id="291"/>
      <w:r>
        <w:rPr>
          <w:b w:val="0"/>
          <w:bCs w:val="0"/>
        </w:rPr>
      </w:r>
      <w:r>
        <w:rPr>
          <w:rFonts w:ascii="Times New Roman" w:hAnsi="Times New Roman" w:cs="Times New Roman" w:eastAsia="Times New Roman" w:hint="default"/>
          <w:w w:val="95"/>
        </w:rPr>
        <w:t>25</w:t>
      </w:r>
      <w:r>
        <w:rPr>
          <w:w w:val="95"/>
        </w:rPr>
        <w:t>、其他非流动资产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20" w:space="6509"/>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预付工程及设备款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3,865,709.39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306,130.99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3,865,709.39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306,130.99</w:t>
            </w:r>
          </w:p>
        </w:tc>
      </w:tr>
    </w:tbl>
    <w:p>
      <w:pPr>
        <w:spacing w:line="240" w:lineRule="auto" w:before="10"/>
        <w:rPr>
          <w:rFonts w:ascii="宋体" w:hAnsi="宋体" w:cs="宋体" w:eastAsia="宋体" w:hint="default"/>
          <w:sz w:val="4"/>
          <w:szCs w:val="4"/>
        </w:rPr>
      </w:pPr>
    </w:p>
    <w:p>
      <w:pPr>
        <w:pStyle w:val="BodyText"/>
        <w:spacing w:line="350" w:lineRule="auto" w:before="26"/>
        <w:ind w:right="1152" w:firstLine="480"/>
        <w:jc w:val="left"/>
      </w:pPr>
      <w:r>
        <w:rPr/>
        <w:t>其他说明：本期其他非流动资产较上期增加</w:t>
      </w:r>
      <w:r>
        <w:rPr>
          <w:rFonts w:ascii="宋体" w:hAnsi="宋体" w:cs="宋体" w:eastAsia="宋体" w:hint="default"/>
        </w:rPr>
        <w:t>1162.76%</w:t>
      </w:r>
      <w:r>
        <w:rPr/>
        <w:t>，主要系本期新增在建工程，预付 工程款增加所致。</w:t>
      </w:r>
    </w:p>
    <w:p>
      <w:pPr>
        <w:spacing w:after="0" w:line="35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Heading2"/>
        <w:spacing w:line="240" w:lineRule="auto" w:before="199"/>
        <w:ind w:right="0"/>
        <w:jc w:val="left"/>
        <w:rPr>
          <w:b w:val="0"/>
          <w:bCs w:val="0"/>
        </w:rPr>
      </w:pPr>
      <w:bookmarkStart w:name="26、短期借款" w:id="292"/>
      <w:bookmarkEnd w:id="292"/>
      <w:r>
        <w:rPr>
          <w:b w:val="0"/>
          <w:bCs w:val="0"/>
        </w:rPr>
      </w:r>
      <w:r>
        <w:rPr>
          <w:rFonts w:ascii="Times New Roman" w:hAnsi="Times New Roman" w:cs="Times New Roman" w:eastAsia="Times New Roman" w:hint="default"/>
        </w:rPr>
        <w:t>26</w:t>
      </w:r>
      <w:r>
        <w:rPr/>
        <w:t>、短期借款</w:t>
      </w:r>
      <w:r>
        <w:rPr>
          <w:b w:val="0"/>
          <w:bCs w:val="0"/>
        </w:rPr>
      </w:r>
    </w:p>
    <w:p>
      <w:pPr>
        <w:pStyle w:val="Heading2"/>
        <w:spacing w:line="240" w:lineRule="auto" w:before="127"/>
        <w:ind w:right="0"/>
        <w:jc w:val="left"/>
        <w:rPr>
          <w:b w:val="0"/>
          <w:bCs w:val="0"/>
        </w:rPr>
      </w:pPr>
      <w:bookmarkStart w:name="（1）短期借款分类" w:id="293"/>
      <w:bookmarkEnd w:id="293"/>
      <w:r>
        <w:rPr>
          <w:b w:val="0"/>
          <w:bCs w:val="0"/>
        </w:rPr>
      </w:r>
      <w:r>
        <w:rPr>
          <w:w w:val="95"/>
        </w:rPr>
        <w:t>（</w:t>
      </w:r>
      <w:r>
        <w:rPr>
          <w:rFonts w:ascii="Times New Roman" w:hAnsi="Times New Roman" w:cs="Times New Roman" w:eastAsia="Times New Roman" w:hint="default"/>
          <w:w w:val="95"/>
        </w:rPr>
        <w:t>1</w:t>
      </w:r>
      <w:r>
        <w:rPr>
          <w:w w:val="95"/>
        </w:rPr>
        <w:t>）短期借款分类</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4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201" w:space="6629"/>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178,056,443.14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99,563,440.79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178,056,443.14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99,563,440.79</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240" w:lineRule="auto" w:before="26"/>
        <w:ind w:left="634" w:right="2009"/>
        <w:jc w:val="left"/>
      </w:pPr>
      <w:r>
        <w:rPr/>
        <w:t>短期借款分类的说明：无</w:t>
      </w:r>
    </w:p>
    <w:p>
      <w:pPr>
        <w:pStyle w:val="Heading2"/>
        <w:spacing w:line="331" w:lineRule="auto" w:before="145"/>
        <w:ind w:left="634" w:right="2009" w:hanging="480"/>
        <w:jc w:val="left"/>
        <w:rPr>
          <w:rFonts w:ascii="宋体" w:hAnsi="宋体" w:cs="宋体" w:eastAsia="宋体" w:hint="default"/>
          <w:b w:val="0"/>
          <w:bCs w:val="0"/>
        </w:rPr>
      </w:pPr>
      <w:bookmarkStart w:name="（2）已逾期未偿还的短期借款情况" w:id="294"/>
      <w:bookmarkEnd w:id="294"/>
      <w:r>
        <w:rPr>
          <w:b w:val="0"/>
          <w:bCs w:val="0"/>
        </w:rPr>
      </w:r>
      <w:r>
        <w:rPr>
          <w:w w:val="95"/>
        </w:rPr>
        <w:t>（</w:t>
      </w:r>
      <w:r>
        <w:rPr>
          <w:rFonts w:ascii="Times New Roman" w:hAnsi="Times New Roman" w:cs="Times New Roman" w:eastAsia="Times New Roman" w:hint="default"/>
          <w:w w:val="95"/>
        </w:rPr>
        <w:t>2</w:t>
      </w:r>
      <w:r>
        <w:rPr>
          <w:w w:val="95"/>
        </w:rPr>
        <w:t>）已逾期未偿还的短期借款情况</w:t>
      </w:r>
      <w:r>
        <w:rPr>
          <w:spacing w:val="58"/>
          <w:w w:val="95"/>
        </w:rPr>
        <w:t> </w:t>
      </w:r>
      <w:r>
        <w:rPr>
          <w:rFonts w:ascii="宋体" w:hAnsi="宋体" w:cs="宋体" w:eastAsia="宋体" w:hint="default"/>
          <w:b w:val="0"/>
          <w:bCs w:val="0"/>
        </w:rPr>
        <w:t>无</w:t>
      </w:r>
    </w:p>
    <w:p>
      <w:pPr>
        <w:pStyle w:val="Heading2"/>
        <w:spacing w:line="331" w:lineRule="auto" w:before="55"/>
        <w:ind w:left="634" w:right="44" w:hanging="480"/>
        <w:jc w:val="left"/>
        <w:rPr>
          <w:rFonts w:ascii="宋体" w:hAnsi="宋体" w:cs="宋体" w:eastAsia="宋体" w:hint="default"/>
          <w:b w:val="0"/>
          <w:bCs w:val="0"/>
        </w:rPr>
      </w:pPr>
      <w:bookmarkStart w:name="27、以公允价值计量且其变动计入当期损益的金融负债" w:id="295"/>
      <w:bookmarkEnd w:id="295"/>
      <w:r>
        <w:rPr>
          <w:b w:val="0"/>
          <w:bCs w:val="0"/>
        </w:rPr>
      </w:r>
      <w:r>
        <w:rPr>
          <w:rFonts w:ascii="Times New Roman" w:hAnsi="Times New Roman" w:cs="Times New Roman" w:eastAsia="Times New Roman" w:hint="default"/>
          <w:w w:val="95"/>
        </w:rPr>
        <w:t>27</w:t>
      </w:r>
      <w:r>
        <w:rPr>
          <w:w w:val="95"/>
        </w:rPr>
        <w:t>、以公允价值计量且其变动计入当期损益的金融负债 </w:t>
      </w:r>
      <w:r>
        <w:rPr>
          <w:spacing w:val="37"/>
          <w:w w:val="95"/>
        </w:rPr>
        <w:t> </w:t>
      </w:r>
      <w:r>
        <w:rPr>
          <w:rFonts w:ascii="宋体" w:hAnsi="宋体" w:cs="宋体" w:eastAsia="宋体" w:hint="default"/>
          <w:b w:val="0"/>
          <w:bCs w:val="0"/>
        </w:rPr>
        <w:t>无</w:t>
      </w:r>
    </w:p>
    <w:p>
      <w:pPr>
        <w:pStyle w:val="Heading2"/>
        <w:spacing w:line="240" w:lineRule="auto" w:before="54"/>
        <w:ind w:right="2009"/>
        <w:jc w:val="left"/>
        <w:rPr>
          <w:b w:val="0"/>
          <w:bCs w:val="0"/>
        </w:rPr>
      </w:pPr>
      <w:bookmarkStart w:name="28、衍生金融负债" w:id="296"/>
      <w:bookmarkEnd w:id="296"/>
      <w:r>
        <w:rPr>
          <w:b w:val="0"/>
          <w:bCs w:val="0"/>
        </w:rPr>
      </w:r>
      <w:r>
        <w:rPr>
          <w:rFonts w:ascii="Times New Roman" w:hAnsi="Times New Roman" w:cs="Times New Roman" w:eastAsia="Times New Roman" w:hint="default"/>
        </w:rPr>
        <w:t>28</w:t>
      </w:r>
      <w:r>
        <w:rPr/>
        <w:t>、衍生金融负债</w:t>
      </w:r>
      <w:r>
        <w:rPr>
          <w:b w:val="0"/>
          <w:bCs w:val="0"/>
        </w:rPr>
      </w:r>
    </w:p>
    <w:p>
      <w:pPr>
        <w:pStyle w:val="BodyText"/>
        <w:spacing w:line="240" w:lineRule="auto" w:before="128"/>
        <w:ind w:left="634" w:right="2009"/>
        <w:jc w:val="left"/>
      </w:pPr>
      <w:r>
        <w:rPr/>
        <w:t>□ 适用 √ 不适用</w:t>
      </w:r>
    </w:p>
    <w:p>
      <w:pPr>
        <w:pStyle w:val="Heading2"/>
        <w:spacing w:line="240" w:lineRule="auto" w:before="145"/>
        <w:ind w:right="2009"/>
        <w:jc w:val="left"/>
        <w:rPr>
          <w:b w:val="0"/>
          <w:bCs w:val="0"/>
        </w:rPr>
      </w:pPr>
      <w:bookmarkStart w:name="29、应付票据及应付账款" w:id="297"/>
      <w:bookmarkEnd w:id="297"/>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35"/>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932" w:space="2898"/>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174,622,824.67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208,504,797.03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174,622,824.67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208,504,797.03</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spacing w:line="333" w:lineRule="auto" w:before="26"/>
        <w:ind w:left="634" w:right="-20" w:hanging="480"/>
        <w:jc w:val="left"/>
        <w:rPr>
          <w:rFonts w:ascii="宋体" w:hAnsi="宋体" w:cs="宋体" w:eastAsia="宋体" w:hint="default"/>
          <w:sz w:val="24"/>
          <w:szCs w:val="24"/>
        </w:rPr>
      </w:pPr>
      <w:bookmarkStart w:name="（1）应付票据分类列示" w:id="298"/>
      <w:bookmarkEnd w:id="298"/>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）应付票据分类列示</w:t>
      </w:r>
      <w:r>
        <w:rPr>
          <w:rFonts w:ascii="宋体" w:hAnsi="宋体" w:cs="宋体" w:eastAsia="宋体" w:hint="default"/>
          <w:b/>
          <w:bCs/>
          <w:w w:val="99"/>
          <w:sz w:val="24"/>
          <w:szCs w:val="24"/>
        </w:rPr>
        <w:t> </w:t>
      </w:r>
      <w:r>
        <w:rPr>
          <w:rFonts w:ascii="宋体" w:hAnsi="宋体" w:cs="宋体" w:eastAsia="宋体" w:hint="default"/>
          <w:sz w:val="24"/>
          <w:szCs w:val="24"/>
        </w:rPr>
        <w:t>本期末已到期未支付的应付票据总额为</w:t>
      </w:r>
      <w:r>
        <w:rPr>
          <w:rFonts w:ascii="宋体" w:hAnsi="宋体" w:cs="宋体" w:eastAsia="宋体" w:hint="default"/>
          <w:sz w:val="24"/>
          <w:szCs w:val="24"/>
        </w:rPr>
        <w:t>0.00</w:t>
      </w:r>
      <w:r>
        <w:rPr>
          <w:rFonts w:ascii="宋体" w:hAnsi="宋体" w:cs="宋体" w:eastAsia="宋体" w:hint="default"/>
          <w:sz w:val="24"/>
          <w:szCs w:val="24"/>
        </w:rPr>
        <w:t>元。</w:t>
      </w:r>
    </w:p>
    <w:p>
      <w:pPr>
        <w:pStyle w:val="Heading2"/>
        <w:spacing w:line="240" w:lineRule="auto" w:before="52"/>
        <w:ind w:right="-20"/>
        <w:jc w:val="left"/>
        <w:rPr>
          <w:b w:val="0"/>
          <w:bCs w:val="0"/>
        </w:rPr>
      </w:pPr>
      <w:bookmarkStart w:name="（2）应付账款列示" w:id="299"/>
      <w:bookmarkEnd w:id="299"/>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675" w:space="315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160,741,184.66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200,463,255.86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12,549,871.16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6,684,386.17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490,227.50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747,695.00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241,541.35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9,460.00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174,622,824.67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208,504,797.03</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11"/>
        <w:jc w:val="left"/>
        <w:rPr>
          <w:b w:val="0"/>
          <w:bCs w:val="0"/>
        </w:rPr>
      </w:pPr>
      <w:bookmarkStart w:name="（3）账龄超过1年的重要应付账款" w:id="300"/>
      <w:bookmarkEnd w:id="300"/>
      <w:r>
        <w:rPr>
          <w:b w:val="0"/>
          <w:bCs w:val="0"/>
        </w:rPr>
      </w:r>
      <w:r>
        <w:rPr/>
        <w:t>（</w:t>
      </w:r>
      <w:r>
        <w:rPr>
          <w:rFonts w:ascii="Times New Roman" w:hAnsi="Times New Roman" w:cs="Times New Roman" w:eastAsia="Times New Roman" w:hint="default"/>
        </w:rPr>
        <w:t>3</w:t>
      </w:r>
      <w:r>
        <w:rPr/>
        <w:t>）账龄超过</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年的重要应付账款</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886" w:space="4944"/>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29"/>
        <w:gridCol w:w="2552"/>
        <w:gridCol w:w="3177"/>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29"/>
        <w:gridCol w:w="2552"/>
        <w:gridCol w:w="3189"/>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上海华铭智能终端设备股份有限公司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6,990,693.60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河北冀胜铁路器材有限公司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3,724,623.00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南瑞集团有限公司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2,382,394.15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上海博瀛通信科技有限公司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3,104,070.00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河南思维信息技术有限公司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3,006,440.00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19,208,220.75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宋体" w:hAnsi="宋体" w:cs="宋体" w:eastAsia="宋体" w:hint="default"/>
          <w:sz w:val="4"/>
          <w:szCs w:val="4"/>
        </w:rPr>
      </w:pPr>
    </w:p>
    <w:p>
      <w:pPr>
        <w:pStyle w:val="BodyText"/>
        <w:spacing w:line="352" w:lineRule="auto" w:before="26"/>
        <w:ind w:right="1152" w:firstLine="480"/>
        <w:jc w:val="left"/>
      </w:pPr>
      <w:r>
        <w:rPr/>
        <w:t>其他说明：期末余额中无应付持本公司</w:t>
      </w:r>
      <w:r>
        <w:rPr>
          <w:rFonts w:ascii="宋体" w:hAnsi="宋体" w:cs="宋体" w:eastAsia="宋体" w:hint="default"/>
        </w:rPr>
        <w:t>5%</w:t>
      </w:r>
      <w:r>
        <w:rPr/>
        <w:t>以上（含</w:t>
      </w:r>
      <w:r>
        <w:rPr>
          <w:rFonts w:ascii="宋体" w:hAnsi="宋体" w:cs="宋体" w:eastAsia="宋体" w:hint="default"/>
        </w:rPr>
        <w:t>5%</w:t>
      </w:r>
      <w:r>
        <w:rPr/>
        <w:t>）表决权股份的股东单位及其他关 联单位款项。</w:t>
      </w:r>
    </w:p>
    <w:p>
      <w:pPr>
        <w:pStyle w:val="Heading2"/>
        <w:spacing w:line="240" w:lineRule="auto" w:before="32"/>
        <w:ind w:right="0"/>
        <w:jc w:val="left"/>
        <w:rPr>
          <w:b w:val="0"/>
          <w:bCs w:val="0"/>
        </w:rPr>
      </w:pPr>
      <w:bookmarkStart w:name="30、预收款项" w:id="301"/>
      <w:bookmarkEnd w:id="301"/>
      <w:r>
        <w:rPr>
          <w:b w:val="0"/>
          <w:bCs w:val="0"/>
        </w:rPr>
      </w:r>
      <w:r>
        <w:rPr>
          <w:rFonts w:ascii="Times New Roman" w:hAnsi="Times New Roman" w:cs="Times New Roman" w:eastAsia="Times New Roman" w:hint="default"/>
        </w:rPr>
        <w:t>30</w:t>
      </w:r>
      <w:r>
        <w:rPr/>
        <w:t>、预收款项</w:t>
      </w:r>
      <w:r>
        <w:rPr>
          <w:b w:val="0"/>
          <w:bCs w:val="0"/>
        </w:rPr>
      </w:r>
    </w:p>
    <w:p>
      <w:pPr>
        <w:pStyle w:val="Heading2"/>
        <w:spacing w:line="240" w:lineRule="auto" w:before="127"/>
        <w:ind w:right="0"/>
        <w:jc w:val="left"/>
        <w:rPr>
          <w:b w:val="0"/>
          <w:bCs w:val="0"/>
        </w:rPr>
      </w:pPr>
      <w:bookmarkStart w:name="（1）预收款项列示" w:id="302"/>
      <w:bookmarkEnd w:id="302"/>
      <w:r>
        <w:rPr>
          <w:b w:val="0"/>
          <w:bCs w:val="0"/>
        </w:rPr>
      </w:r>
      <w:r>
        <w:rPr/>
        <w:t>（</w:t>
      </w:r>
      <w:r>
        <w:rPr>
          <w:rFonts w:ascii="Times New Roman" w:hAnsi="Times New Roman" w:cs="Times New Roman" w:eastAsia="Times New Roman" w:hint="default"/>
        </w:rPr>
        <w:t>1</w:t>
      </w:r>
      <w:r>
        <w:rPr/>
        <w:t>）预收款项列示</w:t>
      </w:r>
      <w:r>
        <w:rPr>
          <w:b w:val="0"/>
          <w:bCs w:val="0"/>
        </w:rPr>
      </w:r>
    </w:p>
    <w:p>
      <w:pPr>
        <w:spacing w:before="9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50,962,655.46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53,676,402.52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50,962,655.46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53,676,402.52</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240" w:lineRule="auto"/>
        <w:ind w:right="-11"/>
        <w:jc w:val="left"/>
        <w:rPr>
          <w:b w:val="0"/>
          <w:bCs w:val="0"/>
        </w:rPr>
      </w:pPr>
      <w:bookmarkStart w:name="（2）账龄超过1年的重要预收款项" w:id="303"/>
      <w:bookmarkEnd w:id="303"/>
      <w:r>
        <w:rPr>
          <w:b w:val="0"/>
          <w:bCs w:val="0"/>
        </w:rPr>
      </w:r>
      <w:r>
        <w:rPr/>
        <w:t>（</w:t>
      </w:r>
      <w:r>
        <w:rPr>
          <w:rFonts w:ascii="Times New Roman" w:hAnsi="Times New Roman" w:cs="Times New Roman" w:eastAsia="Times New Roman" w:hint="default"/>
        </w:rPr>
        <w:t>2</w:t>
      </w:r>
      <w:r>
        <w:rPr/>
        <w:t>）账龄超过</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年的重要预收款项</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886" w:space="4944"/>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2"/>
        <w:gridCol w:w="2834"/>
        <w:gridCol w:w="2624"/>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62"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上海纳尔广告传媒有限公司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4,005,503.44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中国铁路呼和浩特局集团有限公司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668,077.15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兰州铁道设计院有限公司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332,500.00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朔黄铁路发展有限责任公司原平分公司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227,400.00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5,233,480.59</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331" w:lineRule="auto"/>
        <w:ind w:left="634" w:right="14" w:hanging="480"/>
        <w:jc w:val="left"/>
        <w:rPr>
          <w:rFonts w:ascii="宋体" w:hAnsi="宋体" w:cs="宋体" w:eastAsia="宋体" w:hint="default"/>
          <w:b w:val="0"/>
          <w:bCs w:val="0"/>
        </w:rPr>
      </w:pPr>
      <w:bookmarkStart w:name="（3）期末建造合同形成的已结算未完工项目情况" w:id="304"/>
      <w:bookmarkEnd w:id="304"/>
      <w:r>
        <w:rPr>
          <w:b w:val="0"/>
          <w:bCs w:val="0"/>
        </w:rPr>
      </w:r>
      <w:r>
        <w:rPr>
          <w:w w:val="95"/>
        </w:rPr>
        <w:t>（</w:t>
      </w:r>
      <w:r>
        <w:rPr>
          <w:rFonts w:ascii="Times New Roman" w:hAnsi="Times New Roman" w:cs="Times New Roman" w:eastAsia="Times New Roman" w:hint="default"/>
          <w:w w:val="95"/>
        </w:rPr>
        <w:t>3</w:t>
      </w:r>
      <w:r>
        <w:rPr>
          <w:w w:val="95"/>
        </w:rPr>
        <w:t>）期末建造合同形成的已结算未完工项目情况 </w:t>
      </w:r>
      <w:r>
        <w:rPr>
          <w:spacing w:val="10"/>
          <w:w w:val="95"/>
        </w:rPr>
        <w:t> </w:t>
      </w:r>
      <w:r>
        <w:rPr>
          <w:rFonts w:ascii="宋体" w:hAnsi="宋体" w:cs="宋体" w:eastAsia="宋体" w:hint="default"/>
          <w:b w:val="0"/>
          <w:bCs w:val="0"/>
        </w:rPr>
        <w:t>无</w:t>
      </w:r>
    </w:p>
    <w:p>
      <w:pPr>
        <w:pStyle w:val="Heading2"/>
        <w:spacing w:line="240" w:lineRule="auto" w:before="55"/>
        <w:ind w:right="14"/>
        <w:jc w:val="left"/>
        <w:rPr>
          <w:b w:val="0"/>
          <w:bCs w:val="0"/>
        </w:rPr>
      </w:pPr>
      <w:bookmarkStart w:name="31、应付职工薪酬" w:id="305"/>
      <w:bookmarkEnd w:id="305"/>
      <w:r>
        <w:rPr>
          <w:b w:val="0"/>
          <w:bCs w:val="0"/>
        </w:rPr>
      </w:r>
      <w:r>
        <w:rPr>
          <w:rFonts w:ascii="Times New Roman" w:hAnsi="Times New Roman" w:cs="Times New Roman" w:eastAsia="Times New Roman" w:hint="default"/>
        </w:rPr>
        <w:t>31</w:t>
      </w:r>
      <w:r>
        <w:rPr/>
        <w:t>、应付职工薪酬</w:t>
      </w:r>
      <w:r>
        <w:rPr>
          <w:b w:val="0"/>
          <w:bCs w:val="0"/>
        </w:rPr>
      </w:r>
    </w:p>
    <w:p>
      <w:pPr>
        <w:pStyle w:val="Heading2"/>
        <w:spacing w:line="240" w:lineRule="auto" w:before="127"/>
        <w:ind w:right="14"/>
        <w:jc w:val="left"/>
        <w:rPr>
          <w:b w:val="0"/>
          <w:bCs w:val="0"/>
        </w:rPr>
      </w:pPr>
      <w:bookmarkStart w:name="（1）应付职工薪酬列示" w:id="306"/>
      <w:bookmarkEnd w:id="30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330" w:space="3499"/>
            <w:col w:w="210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9,338,531.90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85,790,126.36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83,074,249.38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12,054,408.88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10"/>
              <w:jc w:val="left"/>
              <w:rPr>
                <w:rFonts w:ascii="宋体" w:hAnsi="宋体" w:cs="宋体" w:eastAsia="宋体" w:hint="default"/>
                <w:sz w:val="21"/>
                <w:szCs w:val="21"/>
              </w:rPr>
            </w:pPr>
            <w:r>
              <w:rPr>
                <w:rFonts w:ascii="宋体" w:hAnsi="宋体" w:cs="宋体" w:eastAsia="宋体" w:hint="default"/>
                <w:spacing w:val="-11"/>
                <w:sz w:val="21"/>
                <w:szCs w:val="21"/>
              </w:rPr>
              <w:t>二、离职后福利</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设定</w:t>
            </w:r>
            <w:r>
              <w:rPr>
                <w:rFonts w:ascii="宋体" w:hAnsi="宋体" w:cs="宋体" w:eastAsia="宋体" w:hint="default"/>
                <w:spacing w:val="-101"/>
                <w:sz w:val="21"/>
                <w:szCs w:val="21"/>
              </w:rPr>
              <w:t> </w:t>
            </w:r>
            <w:r>
              <w:rPr>
                <w:rFonts w:ascii="宋体" w:hAnsi="宋体" w:cs="宋体" w:eastAsia="宋体" w:hint="default"/>
                <w:sz w:val="21"/>
                <w:szCs w:val="21"/>
              </w:rPr>
              <w:t>提存计划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33,910.04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7,260,364.88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7,265,895.40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28,379.52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351,799.80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351,799.80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9,372,441.94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93,402,291.04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90,691,944.58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12,082,788.40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Heading2"/>
        <w:spacing w:line="240" w:lineRule="auto" w:before="199"/>
        <w:ind w:right="0"/>
        <w:jc w:val="left"/>
        <w:rPr>
          <w:b w:val="0"/>
          <w:bCs w:val="0"/>
        </w:rPr>
      </w:pPr>
      <w:bookmarkStart w:name="（2）短期薪酬列示" w:id="307"/>
      <w:bookmarkEnd w:id="307"/>
      <w:r>
        <w:rPr>
          <w:b w:val="0"/>
          <w:bCs w:val="0"/>
        </w:rPr>
      </w:r>
      <w:r>
        <w:rPr>
          <w:w w:val="95"/>
        </w:rPr>
        <w:t>（</w:t>
      </w:r>
      <w:r>
        <w:rPr>
          <w:rFonts w:ascii="Times New Roman" w:hAnsi="Times New Roman" w:cs="Times New Roman" w:eastAsia="Times New Roman" w:hint="default"/>
          <w:w w:val="95"/>
        </w:rPr>
        <w:t>2</w:t>
      </w:r>
      <w:r>
        <w:rPr>
          <w:w w:val="95"/>
        </w:rPr>
        <w:t>）短期薪酬列示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201" w:space="6629"/>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842"/>
        <w:gridCol w:w="1702"/>
        <w:gridCol w:w="1701"/>
        <w:gridCol w:w="1490"/>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9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2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、工资、奖金、津贴和补贴</w:t>
            </w:r>
          </w:p>
        </w:tc>
        <w:tc>
          <w:tcPr>
            <w:tcW w:w="1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6,896,142.33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72,550,715.05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69,609,129.20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9,837,728.18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842"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5,400,342.64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5,400,342.64</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297,095.43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3,912,872.52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3,920,501.04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289,466.91</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24,969.60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3,291,995.03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3,298,339.76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18,624.87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962.00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288,364.26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288,648.07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678.19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1,997.46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332,513.23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333,027.21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1,483.48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补充医疗保险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269,166.37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486.00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268,680.37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、住房公积金</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3,396,563.00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3,396,563.00</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、工会经费和职工教育经费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2,145,294.14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529,633.15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747,713.50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1,927,213.79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9,338,531.90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85,790,126.36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83,074,249.38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12,054,408.88</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0"/>
        <w:jc w:val="left"/>
        <w:rPr>
          <w:b w:val="0"/>
          <w:bCs w:val="0"/>
        </w:rPr>
      </w:pPr>
      <w:bookmarkStart w:name="（3）设定提存计划列示" w:id="308"/>
      <w:bookmarkEnd w:id="308"/>
      <w:r>
        <w:rPr>
          <w:b w:val="0"/>
          <w:bCs w:val="0"/>
        </w:rPr>
      </w:r>
      <w:r>
        <w:rPr>
          <w:w w:val="95"/>
        </w:rPr>
        <w:t>（</w:t>
      </w:r>
      <w:r>
        <w:rPr>
          <w:rFonts w:ascii="Times New Roman" w:hAnsi="Times New Roman" w:cs="Times New Roman" w:eastAsia="Times New Roman" w:hint="default"/>
          <w:w w:val="95"/>
        </w:rPr>
        <w:t>3</w:t>
      </w:r>
      <w:r>
        <w:rPr>
          <w:w w:val="95"/>
        </w:rPr>
        <w:t>）设定提存计划列示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681" w:space="6148"/>
            <w:col w:w="210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32,539.78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7,035,549.18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7,040,855.69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27,233.27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1,370.26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224,815.70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225,039.71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1,146.25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33,910.04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7,260,364.88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7,265,895.40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28,379.52</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240" w:lineRule="auto" w:before="26"/>
        <w:ind w:left="634" w:right="-20"/>
        <w:jc w:val="left"/>
      </w:pPr>
      <w:r>
        <w:rPr/>
        <w:t>其他说明：无</w:t>
      </w:r>
    </w:p>
    <w:p>
      <w:pPr>
        <w:pStyle w:val="Heading2"/>
        <w:spacing w:line="240" w:lineRule="auto" w:before="145"/>
        <w:ind w:right="-20"/>
        <w:jc w:val="left"/>
        <w:rPr>
          <w:b w:val="0"/>
          <w:bCs w:val="0"/>
        </w:rPr>
      </w:pPr>
      <w:bookmarkStart w:name="32、应交税费" w:id="309"/>
      <w:bookmarkEnd w:id="309"/>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075" w:space="67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12,495,197.20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16,065,860.46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7,832,397.72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12,871,449.73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102,081.32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449,394.36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892,182.80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1,124,623.81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637,273.45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803,302.76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74,017.80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74,017.79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124,639.77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124,639.77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9,530.70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6,012.98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防洪工程维护费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148.99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6,323.98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22,167,469.75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31,525,625.64</w:t>
            </w:r>
          </w:p>
        </w:tc>
      </w:tr>
    </w:tbl>
    <w:p>
      <w:pPr>
        <w:spacing w:line="240" w:lineRule="auto" w:before="10"/>
        <w:rPr>
          <w:rFonts w:ascii="宋体" w:hAnsi="宋体" w:cs="宋体" w:eastAsia="宋体" w:hint="default"/>
          <w:sz w:val="4"/>
          <w:szCs w:val="4"/>
        </w:rPr>
      </w:pPr>
    </w:p>
    <w:p>
      <w:pPr>
        <w:pStyle w:val="BodyText"/>
        <w:spacing w:line="240" w:lineRule="auto" w:before="26"/>
        <w:ind w:left="634" w:right="0"/>
        <w:jc w:val="left"/>
      </w:pPr>
      <w:r>
        <w:rPr/>
        <w:t>其他说明：无</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Heading2"/>
        <w:spacing w:line="240" w:lineRule="auto" w:before="199"/>
        <w:ind w:right="0"/>
        <w:jc w:val="left"/>
        <w:rPr>
          <w:b w:val="0"/>
          <w:bCs w:val="0"/>
        </w:rPr>
      </w:pPr>
      <w:bookmarkStart w:name="33、其他应付款" w:id="310"/>
      <w:bookmarkEnd w:id="310"/>
      <w:r>
        <w:rPr>
          <w:b w:val="0"/>
          <w:bCs w:val="0"/>
        </w:rPr>
      </w:r>
      <w:r>
        <w:rPr>
          <w:rFonts w:ascii="Times New Roman" w:hAnsi="Times New Roman" w:cs="Times New Roman" w:eastAsia="Times New Roman" w:hint="default"/>
          <w:w w:val="95"/>
        </w:rPr>
        <w:t>33</w:t>
      </w:r>
      <w:r>
        <w:rPr>
          <w:w w:val="95"/>
        </w:rPr>
        <w:t>、其他应付款</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838" w:space="6991"/>
            <w:col w:w="210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15,889,500.00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9,255,533.14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6,513,653.83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9,255,533.14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22,403,153.83</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0"/>
        <w:jc w:val="left"/>
        <w:rPr>
          <w:b w:val="0"/>
          <w:bCs w:val="0"/>
        </w:rPr>
      </w:pPr>
      <w:bookmarkStart w:name="（1）应付利息" w:id="311"/>
      <w:bookmarkEnd w:id="311"/>
      <w:r>
        <w:rPr>
          <w:b w:val="0"/>
          <w:bCs w:val="0"/>
        </w:rPr>
      </w:r>
      <w:r>
        <w:rPr>
          <w:w w:val="95"/>
        </w:rPr>
        <w:t>（</w:t>
      </w:r>
      <w:r>
        <w:rPr>
          <w:rFonts w:ascii="Times New Roman" w:hAnsi="Times New Roman" w:cs="Times New Roman" w:eastAsia="Times New Roman" w:hint="default"/>
          <w:w w:val="95"/>
        </w:rPr>
        <w:t>1</w:t>
      </w:r>
      <w:r>
        <w:rPr>
          <w:w w:val="95"/>
        </w:rPr>
        <w:t>）应付利息</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719" w:space="7111"/>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15,889,500.00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15,889,500.00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240" w:lineRule="auto" w:before="26"/>
        <w:ind w:left="634" w:right="-20"/>
        <w:jc w:val="left"/>
      </w:pPr>
      <w:r>
        <w:rPr/>
        <w:t>其他说明：截至本期末公司债券已到期兑付兑息，期末无余额。</w:t>
      </w:r>
    </w:p>
    <w:p>
      <w:pPr>
        <w:pStyle w:val="Heading2"/>
        <w:spacing w:line="240" w:lineRule="auto" w:before="145"/>
        <w:ind w:right="-20"/>
        <w:jc w:val="left"/>
        <w:rPr>
          <w:b w:val="0"/>
          <w:bCs w:val="0"/>
        </w:rPr>
      </w:pPr>
      <w:bookmarkStart w:name="（2）应付股利" w:id="312"/>
      <w:bookmarkEnd w:id="312"/>
      <w:r>
        <w:rPr>
          <w:b w:val="0"/>
          <w:bCs w:val="0"/>
        </w:rPr>
      </w:r>
      <w:r>
        <w:rPr/>
        <w:t>（</w:t>
      </w:r>
      <w:r>
        <w:rPr>
          <w:rFonts w:ascii="Times New Roman" w:hAnsi="Times New Roman" w:cs="Times New Roman" w:eastAsia="Times New Roman" w:hint="default"/>
        </w:rPr>
        <w:t>2</w:t>
      </w:r>
      <w:r>
        <w:rPr/>
        <w:t>）应付股利</w:t>
      </w:r>
      <w:r>
        <w:rPr>
          <w:b w:val="0"/>
          <w:bCs w:val="0"/>
        </w:rPr>
      </w:r>
    </w:p>
    <w:p>
      <w:pPr>
        <w:pStyle w:val="BodyText"/>
        <w:spacing w:line="240" w:lineRule="auto" w:before="127"/>
        <w:ind w:left="634" w:right="-20"/>
        <w:jc w:val="left"/>
      </w:pPr>
      <w:r>
        <w:rPr/>
        <w:t>无</w:t>
      </w:r>
    </w:p>
    <w:p>
      <w:pPr>
        <w:pStyle w:val="Heading2"/>
        <w:spacing w:line="240" w:lineRule="auto" w:before="146"/>
        <w:ind w:right="-20"/>
        <w:jc w:val="left"/>
        <w:rPr>
          <w:b w:val="0"/>
          <w:bCs w:val="0"/>
        </w:rPr>
      </w:pPr>
      <w:bookmarkStart w:name="（3）其他应付款" w:id="313"/>
      <w:bookmarkEnd w:id="313"/>
      <w:r>
        <w:rPr>
          <w:b w:val="0"/>
          <w:bCs w:val="0"/>
        </w:rPr>
      </w:r>
      <w:r>
        <w:rPr/>
        <w:t>（</w:t>
      </w:r>
      <w:r>
        <w:rPr>
          <w:rFonts w:ascii="Times New Roman" w:hAnsi="Times New Roman" w:cs="Times New Roman" w:eastAsia="Times New Roman" w:hint="default"/>
        </w:rPr>
        <w:t>3</w:t>
      </w:r>
      <w:r>
        <w:rPr/>
        <w:t>）其他应付款</w:t>
      </w:r>
      <w:r>
        <w:rPr>
          <w:b w:val="0"/>
          <w:bCs w:val="0"/>
        </w:rPr>
      </w:r>
    </w:p>
    <w:p>
      <w:pPr>
        <w:pStyle w:val="BodyText"/>
        <w:spacing w:line="240" w:lineRule="auto" w:before="127"/>
        <w:ind w:right="-20"/>
        <w:jc w:val="left"/>
      </w:pPr>
      <w:r>
        <w:rPr>
          <w:rFonts w:ascii="Times New Roman" w:hAnsi="Times New Roman" w:cs="Times New Roman" w:eastAsia="Times New Roman" w:hint="default"/>
        </w:rPr>
        <w:t>1)</w:t>
      </w:r>
      <w:r>
        <w:rPr/>
        <w:t>按款项性质列示其他应付款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355" w:space="147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4,841,397.34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3,946,138.54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代收款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111,745.53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107,487.73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代垫款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3,024,742.17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1,437,904.20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413,500.00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23,500.00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826,404.26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366,670.54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招投标费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37,743.84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631,952.82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9,255,533.14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6,513,653.83</w:t>
            </w:r>
          </w:p>
        </w:tc>
      </w:tr>
    </w:tbl>
    <w:p>
      <w:pPr>
        <w:spacing w:line="240" w:lineRule="auto" w:before="10"/>
        <w:rPr>
          <w:rFonts w:ascii="宋体" w:hAnsi="宋体" w:cs="宋体" w:eastAsia="宋体" w:hint="default"/>
          <w:sz w:val="4"/>
          <w:szCs w:val="4"/>
        </w:rPr>
      </w:pPr>
    </w:p>
    <w:p>
      <w:pPr>
        <w:pStyle w:val="BodyText"/>
        <w:spacing w:line="333" w:lineRule="auto" w:before="26"/>
        <w:ind w:left="634" w:right="7192" w:hanging="480"/>
        <w:jc w:val="left"/>
      </w:pPr>
      <w:r>
        <w:rPr>
          <w:rFonts w:ascii="Times New Roman" w:hAnsi="Times New Roman" w:cs="Times New Roman" w:eastAsia="Times New Roman" w:hint="default"/>
        </w:rPr>
        <w:t>2)</w:t>
      </w:r>
      <w:r>
        <w:rPr/>
        <w:t>账龄超过</w:t>
      </w:r>
      <w:r>
        <w:rPr>
          <w:spacing w:val="-60"/>
        </w:rPr>
        <w:t> </w:t>
      </w:r>
      <w:r>
        <w:rPr>
          <w:rFonts w:ascii="Times New Roman" w:hAnsi="Times New Roman" w:cs="Times New Roman" w:eastAsia="Times New Roman" w:hint="default"/>
        </w:rPr>
        <w:t>1 </w:t>
      </w:r>
      <w:r>
        <w:rPr/>
        <w:t>年的重要其他应付款</w:t>
      </w:r>
      <w:r>
        <w:rPr>
          <w:w w:val="99"/>
        </w:rPr>
        <w:t> </w:t>
      </w:r>
      <w:r>
        <w:rPr/>
        <w:t>无</w:t>
      </w:r>
    </w:p>
    <w:p>
      <w:pPr>
        <w:pStyle w:val="BodyText"/>
        <w:spacing w:line="240" w:lineRule="auto" w:before="52"/>
        <w:ind w:left="634" w:right="0"/>
        <w:jc w:val="left"/>
      </w:pPr>
      <w:r>
        <w:rPr/>
        <w:t>其他说明：本期其他应付款较上期增加</w:t>
      </w:r>
      <w:r>
        <w:rPr>
          <w:rFonts w:ascii="宋体" w:hAnsi="宋体" w:cs="宋体" w:eastAsia="宋体" w:hint="default"/>
        </w:rPr>
        <w:t>42.09%</w:t>
      </w:r>
      <w:r>
        <w:rPr/>
        <w:t>，主要系本期技术服务费增加所致。</w:t>
      </w:r>
    </w:p>
    <w:p>
      <w:pPr>
        <w:pStyle w:val="Heading2"/>
        <w:spacing w:line="333" w:lineRule="auto" w:before="145"/>
        <w:ind w:left="634" w:right="8825" w:hanging="480"/>
        <w:jc w:val="left"/>
        <w:rPr>
          <w:rFonts w:ascii="宋体" w:hAnsi="宋体" w:cs="宋体" w:eastAsia="宋体" w:hint="default"/>
          <w:b w:val="0"/>
          <w:bCs w:val="0"/>
        </w:rPr>
      </w:pPr>
      <w:bookmarkStart w:name="34、持有待售负债" w:id="314"/>
      <w:bookmarkEnd w:id="314"/>
      <w:r>
        <w:rPr>
          <w:b w:val="0"/>
          <w:bCs w:val="0"/>
        </w:rPr>
      </w:r>
      <w:r>
        <w:rPr>
          <w:rFonts w:ascii="Times New Roman" w:hAnsi="Times New Roman" w:cs="Times New Roman" w:eastAsia="Times New Roman" w:hint="default"/>
        </w:rPr>
        <w:t>34</w:t>
      </w:r>
      <w:r>
        <w:rPr/>
        <w:t>、持有待售负债</w:t>
      </w:r>
      <w:r>
        <w:rPr>
          <w:w w:val="99"/>
        </w:rPr>
        <w:t> </w:t>
      </w:r>
      <w:r>
        <w:rPr>
          <w:rFonts w:ascii="宋体" w:hAnsi="宋体" w:cs="宋体" w:eastAsia="宋体" w:hint="default"/>
          <w:b w:val="0"/>
          <w:bCs w:val="0"/>
        </w:rPr>
        <w:t>无</w:t>
      </w:r>
    </w:p>
    <w:p>
      <w:pPr>
        <w:pStyle w:val="Heading2"/>
        <w:spacing w:line="240" w:lineRule="auto" w:before="52"/>
        <w:ind w:right="0"/>
        <w:jc w:val="left"/>
        <w:rPr>
          <w:b w:val="0"/>
          <w:bCs w:val="0"/>
        </w:rPr>
      </w:pPr>
      <w:bookmarkStart w:name="35、一年内到期的非流动负债" w:id="315"/>
      <w:bookmarkEnd w:id="315"/>
      <w:r>
        <w:rPr>
          <w:b w:val="0"/>
          <w:bCs w:val="0"/>
        </w:rPr>
      </w:r>
      <w:r>
        <w:rPr>
          <w:rFonts w:ascii="Times New Roman" w:hAnsi="Times New Roman" w:cs="Times New Roman" w:eastAsia="Times New Roman" w:hint="default"/>
        </w:rPr>
        <w:t>35</w:t>
      </w:r>
      <w:r>
        <w:rPr/>
        <w:t>、一年内到期的非流动负债</w:t>
      </w:r>
      <w:r>
        <w:rPr>
          <w:b w:val="0"/>
          <w:bCs w:val="0"/>
        </w:rPr>
      </w:r>
    </w:p>
    <w:p>
      <w:pPr>
        <w:spacing w:before="9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一年内到期的应付债券</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213,859,109.30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263,859,109.30</w:t>
            </w:r>
          </w:p>
        </w:tc>
      </w:tr>
    </w:tbl>
    <w:p>
      <w:pPr>
        <w:spacing w:line="240" w:lineRule="auto" w:before="10"/>
        <w:rPr>
          <w:rFonts w:ascii="宋体" w:hAnsi="宋体" w:cs="宋体" w:eastAsia="宋体" w:hint="default"/>
          <w:sz w:val="4"/>
          <w:szCs w:val="4"/>
        </w:rPr>
      </w:pPr>
    </w:p>
    <w:p>
      <w:pPr>
        <w:pStyle w:val="BodyText"/>
        <w:spacing w:line="352" w:lineRule="auto" w:before="26"/>
        <w:ind w:right="1152" w:firstLine="480"/>
        <w:jc w:val="left"/>
      </w:pPr>
      <w:r>
        <w:rPr/>
        <w:t>其他说明：一年内到期的非流动负债同期末余额较上期余额减少</w:t>
      </w:r>
      <w:r>
        <w:rPr>
          <w:rFonts w:ascii="宋体" w:hAnsi="宋体" w:cs="宋体" w:eastAsia="宋体" w:hint="default"/>
        </w:rPr>
        <w:t>81.05%</w:t>
      </w:r>
      <w:r>
        <w:rPr/>
        <w:t>，系公司兑付公 司债券所致。</w:t>
      </w:r>
    </w:p>
    <w:p>
      <w:pPr>
        <w:pStyle w:val="Heading2"/>
        <w:spacing w:line="331" w:lineRule="auto" w:before="32"/>
        <w:ind w:left="634" w:right="8825" w:hanging="480"/>
        <w:jc w:val="left"/>
        <w:rPr>
          <w:rFonts w:ascii="宋体" w:hAnsi="宋体" w:cs="宋体" w:eastAsia="宋体" w:hint="default"/>
          <w:b w:val="0"/>
          <w:bCs w:val="0"/>
        </w:rPr>
      </w:pPr>
      <w:bookmarkStart w:name="36、其他流动负债" w:id="316"/>
      <w:bookmarkEnd w:id="316"/>
      <w:r>
        <w:rPr>
          <w:b w:val="0"/>
          <w:bCs w:val="0"/>
        </w:rPr>
      </w:r>
      <w:r>
        <w:rPr>
          <w:rFonts w:ascii="Times New Roman" w:hAnsi="Times New Roman" w:cs="Times New Roman" w:eastAsia="Times New Roman" w:hint="default"/>
        </w:rPr>
        <w:t>36</w:t>
      </w:r>
      <w:r>
        <w:rPr/>
        <w:t>、其他流动负债</w:t>
      </w:r>
      <w:r>
        <w:rPr>
          <w:w w:val="99"/>
        </w:rPr>
        <w:t> </w:t>
      </w:r>
      <w:r>
        <w:rPr>
          <w:rFonts w:ascii="宋体" w:hAnsi="宋体" w:cs="宋体" w:eastAsia="宋体" w:hint="default"/>
          <w:b w:val="0"/>
          <w:bCs w:val="0"/>
        </w:rPr>
        <w:t>无</w:t>
      </w:r>
    </w:p>
    <w:p>
      <w:pPr>
        <w:pStyle w:val="Heading2"/>
        <w:spacing w:line="240" w:lineRule="auto" w:before="55"/>
        <w:ind w:right="0"/>
        <w:jc w:val="left"/>
        <w:rPr>
          <w:b w:val="0"/>
          <w:bCs w:val="0"/>
        </w:rPr>
      </w:pPr>
      <w:bookmarkStart w:name="37、长期借款" w:id="317"/>
      <w:bookmarkEnd w:id="317"/>
      <w:r>
        <w:rPr>
          <w:b w:val="0"/>
          <w:bCs w:val="0"/>
        </w:rPr>
      </w:r>
      <w:r>
        <w:rPr>
          <w:rFonts w:ascii="Times New Roman" w:hAnsi="Times New Roman" w:cs="Times New Roman" w:eastAsia="Times New Roman" w:hint="default"/>
        </w:rPr>
        <w:t>37</w:t>
      </w:r>
      <w:r>
        <w:rPr/>
        <w:t>、长期借款</w:t>
      </w:r>
      <w:r>
        <w:rPr>
          <w:b w:val="0"/>
          <w:bCs w:val="0"/>
        </w:rPr>
      </w:r>
    </w:p>
    <w:p>
      <w:pPr>
        <w:pStyle w:val="Heading2"/>
        <w:spacing w:line="240" w:lineRule="auto" w:before="127"/>
        <w:ind w:right="0"/>
        <w:jc w:val="left"/>
        <w:rPr>
          <w:b w:val="0"/>
          <w:bCs w:val="0"/>
        </w:rPr>
      </w:pPr>
      <w:bookmarkStart w:name="（1）长期借款分类" w:id="318"/>
      <w:bookmarkEnd w:id="318"/>
      <w:r>
        <w:rPr>
          <w:b w:val="0"/>
          <w:bCs w:val="0"/>
        </w:rPr>
      </w:r>
      <w:r>
        <w:rPr/>
        <w:t>（</w:t>
      </w:r>
      <w:r>
        <w:rPr>
          <w:rFonts w:ascii="Times New Roman" w:hAnsi="Times New Roman" w:cs="Times New Roman" w:eastAsia="Times New Roman" w:hint="default"/>
        </w:rPr>
        <w:t>1</w:t>
      </w:r>
      <w:r>
        <w:rPr/>
        <w:t>）长期借款分类</w:t>
      </w:r>
      <w:r>
        <w:rPr>
          <w:b w:val="0"/>
          <w:bCs w:val="0"/>
        </w:rPr>
      </w:r>
    </w:p>
    <w:p>
      <w:pPr>
        <w:spacing w:before="9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337" w:type="dxa"/>
        <w:tblLayout w:type="fixed"/>
        <w:tblCellMar>
          <w:top w:w="0" w:type="dxa"/>
          <w:left w:w="0" w:type="dxa"/>
          <w:bottom w:w="0" w:type="dxa"/>
          <w:right w:w="0" w:type="dxa"/>
        </w:tblCellMar>
        <w:tblLook w:val="01E0"/>
      </w:tblPr>
      <w:tblGrid>
        <w:gridCol w:w="2880"/>
        <w:gridCol w:w="3205"/>
        <w:gridCol w:w="3189"/>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27,000,000.00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127,000,000.00</w:t>
            </w:r>
          </w:p>
        </w:tc>
      </w:tr>
    </w:tbl>
    <w:p>
      <w:pPr>
        <w:spacing w:line="240" w:lineRule="auto" w:before="10"/>
        <w:rPr>
          <w:rFonts w:ascii="宋体" w:hAnsi="宋体" w:cs="宋体" w:eastAsia="宋体" w:hint="default"/>
          <w:sz w:val="4"/>
          <w:szCs w:val="4"/>
        </w:rPr>
      </w:pPr>
    </w:p>
    <w:p>
      <w:pPr>
        <w:pStyle w:val="BodyText"/>
        <w:spacing w:line="240" w:lineRule="auto" w:before="26"/>
        <w:ind w:left="634" w:right="0"/>
        <w:jc w:val="left"/>
      </w:pPr>
      <w:r>
        <w:rPr/>
        <w:t>长期借款分类的说明：</w:t>
      </w:r>
    </w:p>
    <w:p>
      <w:pPr>
        <w:spacing w:line="240" w:lineRule="auto" w:before="9"/>
        <w:rPr>
          <w:rFonts w:ascii="宋体" w:hAnsi="宋体" w:cs="宋体" w:eastAsia="宋体" w:hint="default"/>
          <w:sz w:val="21"/>
          <w:szCs w:val="21"/>
        </w:rPr>
      </w:pPr>
    </w:p>
    <w:p>
      <w:pPr>
        <w:spacing w:before="0"/>
        <w:ind w:left="984"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38"/>
          <w:sz w:val="21"/>
          <w:szCs w:val="21"/>
        </w:rPr>
        <w:t> </w:t>
      </w:r>
      <w:r>
        <w:rPr>
          <w:rFonts w:ascii="宋体" w:hAnsi="宋体" w:cs="宋体" w:eastAsia="宋体" w:hint="default"/>
          <w:b/>
          <w:bCs/>
          <w:sz w:val="21"/>
          <w:szCs w:val="21"/>
        </w:rPr>
        <w:t>期末长期借款明细如下：</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319" w:type="dxa"/>
        <w:tblLayout w:type="fixed"/>
        <w:tblCellMar>
          <w:top w:w="0" w:type="dxa"/>
          <w:left w:w="0" w:type="dxa"/>
          <w:bottom w:w="0" w:type="dxa"/>
          <w:right w:w="0" w:type="dxa"/>
        </w:tblCellMar>
        <w:tblLook w:val="01E0"/>
      </w:tblPr>
      <w:tblGrid>
        <w:gridCol w:w="863"/>
        <w:gridCol w:w="922"/>
        <w:gridCol w:w="994"/>
        <w:gridCol w:w="708"/>
        <w:gridCol w:w="710"/>
        <w:gridCol w:w="1276"/>
        <w:gridCol w:w="1134"/>
        <w:gridCol w:w="1276"/>
        <w:gridCol w:w="1417"/>
      </w:tblGrid>
      <w:tr>
        <w:trPr>
          <w:trHeight w:val="342" w:hRule="exact"/>
        </w:trPr>
        <w:tc>
          <w:tcPr>
            <w:tcW w:w="86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92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99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70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71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期末借款本金</w:t>
            </w:r>
          </w:p>
        </w:tc>
        <w:tc>
          <w:tcPr>
            <w:tcW w:w="1134"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35"/>
              <w:ind w:left="201" w:right="20" w:hanging="180"/>
              <w:jc w:val="left"/>
              <w:rPr>
                <w:rFonts w:ascii="宋体" w:hAnsi="宋体" w:cs="宋体" w:eastAsia="宋体" w:hint="default"/>
                <w:sz w:val="18"/>
                <w:szCs w:val="18"/>
              </w:rPr>
            </w:pPr>
            <w:r>
              <w:rPr>
                <w:rFonts w:ascii="宋体" w:hAnsi="宋体" w:cs="宋体" w:eastAsia="宋体" w:hint="default"/>
                <w:sz w:val="18"/>
                <w:szCs w:val="18"/>
              </w:rPr>
              <w:t>一年内到期重 分类调整</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44"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1" w:hRule="exact"/>
        </w:trPr>
        <w:tc>
          <w:tcPr>
            <w:tcW w:w="863" w:type="dxa"/>
            <w:vMerge/>
            <w:tcBorders>
              <w:left w:val="single" w:sz="4" w:space="0" w:color="000000"/>
              <w:bottom w:val="single" w:sz="4" w:space="0" w:color="000000"/>
              <w:right w:val="single" w:sz="4" w:space="0" w:color="000000"/>
            </w:tcBorders>
            <w:shd w:val="clear" w:color="auto" w:fill="D9D9D9"/>
          </w:tcPr>
          <w:p>
            <w:pPr/>
          </w:p>
        </w:tc>
        <w:tc>
          <w:tcPr>
            <w:tcW w:w="922" w:type="dxa"/>
            <w:vMerge/>
            <w:tcBorders>
              <w:left w:val="single" w:sz="4" w:space="0" w:color="000000"/>
              <w:bottom w:val="single" w:sz="4" w:space="0" w:color="000000"/>
              <w:right w:val="single" w:sz="4" w:space="0" w:color="000000"/>
            </w:tcBorders>
            <w:shd w:val="clear" w:color="auto" w:fill="D9D9D9"/>
          </w:tcPr>
          <w:p>
            <w:pPr/>
          </w:p>
        </w:tc>
        <w:tc>
          <w:tcPr>
            <w:tcW w:w="994" w:type="dxa"/>
            <w:vMerge/>
            <w:tcBorders>
              <w:left w:val="single" w:sz="4" w:space="0" w:color="000000"/>
              <w:bottom w:val="single" w:sz="4" w:space="0" w:color="000000"/>
              <w:right w:val="single" w:sz="4" w:space="0" w:color="000000"/>
            </w:tcBorders>
            <w:shd w:val="clear" w:color="auto" w:fill="D9D9D9"/>
          </w:tcPr>
          <w:p>
            <w:pPr/>
          </w:p>
        </w:tc>
        <w:tc>
          <w:tcPr>
            <w:tcW w:w="708" w:type="dxa"/>
            <w:vMerge/>
            <w:tcBorders>
              <w:left w:val="single" w:sz="4" w:space="0" w:color="000000"/>
              <w:bottom w:val="single" w:sz="4" w:space="0" w:color="000000"/>
              <w:right w:val="single" w:sz="4" w:space="0" w:color="000000"/>
            </w:tcBorders>
            <w:shd w:val="clear" w:color="auto" w:fill="D9D9D9"/>
          </w:tcPr>
          <w:p>
            <w:pPr/>
          </w:p>
        </w:tc>
        <w:tc>
          <w:tcPr>
            <w:tcW w:w="710" w:type="dxa"/>
            <w:vMerge/>
            <w:tcBorders>
              <w:left w:val="single" w:sz="4" w:space="0" w:color="000000"/>
              <w:bottom w:val="single" w:sz="4" w:space="0" w:color="000000"/>
              <w:right w:val="single" w:sz="4" w:space="0" w:color="000000"/>
            </w:tcBorders>
            <w:shd w:val="clear" w:color="auto" w:fill="D9D9D9"/>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72"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134" w:type="dxa"/>
            <w:vMerge/>
            <w:tcBorders>
              <w:left w:val="single" w:sz="4" w:space="0" w:color="000000"/>
              <w:bottom w:val="single" w:sz="4" w:space="0" w:color="000000"/>
              <w:right w:val="single" w:sz="4" w:space="0" w:color="000000"/>
            </w:tcBorders>
            <w:shd w:val="clear" w:color="auto" w:fill="D9D9D9"/>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72"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44"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343"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2017/4/21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2020/4/17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4.997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27,000,000.00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5" w:right="0"/>
              <w:jc w:val="left"/>
              <w:rPr>
                <w:rFonts w:ascii="Times New Roman" w:hAnsi="Times New Roman" w:cs="Times New Roman" w:eastAsia="Times New Roman" w:hint="default"/>
                <w:sz w:val="18"/>
                <w:szCs w:val="18"/>
              </w:rPr>
            </w:pPr>
            <w:r>
              <w:rPr>
                <w:rFonts w:ascii="Times New Roman"/>
                <w:sz w:val="18"/>
              </w:rPr>
              <w:t>27,000,000.00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34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2017/12/22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2020/12/19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50,000,000.00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5" w:right="0"/>
              <w:jc w:val="left"/>
              <w:rPr>
                <w:rFonts w:ascii="Times New Roman" w:hAnsi="Times New Roman" w:cs="Times New Roman" w:eastAsia="Times New Roman" w:hint="default"/>
                <w:sz w:val="18"/>
                <w:szCs w:val="18"/>
              </w:rPr>
            </w:pPr>
            <w:r>
              <w:rPr>
                <w:rFonts w:ascii="Times New Roman"/>
                <w:sz w:val="18"/>
              </w:rPr>
              <w:t>50,000,000.00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34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127,000,000.00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50,000,000.00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5" w:right="0"/>
              <w:jc w:val="left"/>
              <w:rPr>
                <w:rFonts w:ascii="Times New Roman" w:hAnsi="Times New Roman" w:cs="Times New Roman" w:eastAsia="Times New Roman" w:hint="default"/>
                <w:sz w:val="18"/>
                <w:szCs w:val="18"/>
              </w:rPr>
            </w:pPr>
            <w:r>
              <w:rPr>
                <w:rFonts w:ascii="Times New Roman"/>
                <w:sz w:val="18"/>
              </w:rPr>
              <w:t>77,000,000.00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127,000,000.00</w:t>
            </w:r>
          </w:p>
        </w:tc>
      </w:tr>
    </w:tbl>
    <w:p>
      <w:pPr>
        <w:spacing w:line="240" w:lineRule="auto" w:before="10"/>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BodyText"/>
        <w:spacing w:line="350" w:lineRule="auto" w:before="26"/>
        <w:ind w:left="634" w:right="-19"/>
        <w:jc w:val="left"/>
      </w:pPr>
      <w:r>
        <w:rPr/>
        <w:t>其他说明，包括利率区间： 长期借款质押情况详见附注十一“承诺及或有事项”之（一）重要承诺事项</w:t>
      </w:r>
      <w:r>
        <w:rPr>
          <w:rFonts w:ascii="宋体" w:hAnsi="宋体" w:cs="宋体" w:eastAsia="宋体" w:hint="default"/>
        </w:rPr>
        <w:t>1</w:t>
      </w:r>
      <w:r>
        <w:rPr/>
        <w:t>。</w:t>
      </w:r>
    </w:p>
    <w:p>
      <w:pPr>
        <w:pStyle w:val="Heading2"/>
        <w:spacing w:line="240" w:lineRule="auto" w:before="36"/>
        <w:ind w:right="-19"/>
        <w:jc w:val="left"/>
        <w:rPr>
          <w:b w:val="0"/>
          <w:bCs w:val="0"/>
        </w:rPr>
      </w:pPr>
      <w:bookmarkStart w:name="38、应付债券" w:id="319"/>
      <w:bookmarkEnd w:id="319"/>
      <w:r>
        <w:rPr>
          <w:b w:val="0"/>
          <w:bCs w:val="0"/>
        </w:rPr>
      </w:r>
      <w:r>
        <w:rPr>
          <w:rFonts w:ascii="Times New Roman" w:hAnsi="Times New Roman" w:cs="Times New Roman" w:eastAsia="Times New Roman" w:hint="default"/>
        </w:rPr>
        <w:t>38</w:t>
      </w:r>
      <w:r>
        <w:rPr/>
        <w:t>、应付债券</w:t>
      </w:r>
      <w:r>
        <w:rPr>
          <w:b w:val="0"/>
          <w:bCs w:val="0"/>
        </w:rPr>
      </w:r>
    </w:p>
    <w:p>
      <w:pPr>
        <w:pStyle w:val="Heading2"/>
        <w:spacing w:line="240" w:lineRule="auto" w:before="127"/>
        <w:ind w:right="-19"/>
        <w:jc w:val="left"/>
        <w:rPr>
          <w:b w:val="0"/>
          <w:bCs w:val="0"/>
        </w:rPr>
      </w:pPr>
      <w:bookmarkStart w:name="（1）应付债券" w:id="320"/>
      <w:bookmarkEnd w:id="320"/>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3"/>
          <w:szCs w:val="13"/>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916" w:space="40"/>
            <w:col w:w="1974"/>
          </w:cols>
        </w:sectPr>
      </w:pPr>
    </w:p>
    <w:p>
      <w:pPr>
        <w:spacing w:line="240" w:lineRule="auto" w:before="1"/>
        <w:rPr>
          <w:rFonts w:ascii="宋体" w:hAnsi="宋体" w:cs="宋体" w:eastAsia="宋体" w:hint="default"/>
          <w:sz w:val="8"/>
          <w:szCs w:val="8"/>
        </w:rPr>
      </w:pPr>
    </w:p>
    <w:tbl>
      <w:tblPr>
        <w:tblW w:w="0" w:type="auto"/>
        <w:jc w:val="left"/>
        <w:tblInd w:w="717" w:type="dxa"/>
        <w:tblLayout w:type="fixed"/>
        <w:tblCellMar>
          <w:top w:w="0" w:type="dxa"/>
          <w:left w:w="0" w:type="dxa"/>
          <w:bottom w:w="0" w:type="dxa"/>
          <w:right w:w="0" w:type="dxa"/>
        </w:tblCellMar>
        <w:tblLook w:val="01E0"/>
      </w:tblPr>
      <w:tblGrid>
        <w:gridCol w:w="3402"/>
        <w:gridCol w:w="2410"/>
        <w:gridCol w:w="2835"/>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8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其他应付债券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213,859,109.30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减：一年内到期的应付债券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-213,859,109.30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10"/>
        <w:rPr>
          <w:rFonts w:ascii="宋体" w:hAnsi="宋体" w:cs="宋体" w:eastAsia="宋体" w:hint="default"/>
          <w:sz w:val="4"/>
          <w:szCs w:val="4"/>
        </w:rPr>
      </w:pPr>
    </w:p>
    <w:p>
      <w:pPr>
        <w:pStyle w:val="Heading2"/>
        <w:spacing w:line="240" w:lineRule="auto"/>
        <w:ind w:right="0"/>
        <w:jc w:val="left"/>
        <w:rPr>
          <w:b w:val="0"/>
          <w:bCs w:val="0"/>
        </w:rPr>
      </w:pPr>
      <w:bookmarkStart w:name="（2）应付债券的增减变动（不包括划分为金融负债的优先股、永续债等其他金融工具）" w:id="321"/>
      <w:bookmarkEnd w:id="321"/>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before="9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46" w:type="dxa"/>
        <w:tblLayout w:type="fixed"/>
        <w:tblCellMar>
          <w:top w:w="0" w:type="dxa"/>
          <w:left w:w="0" w:type="dxa"/>
          <w:bottom w:w="0" w:type="dxa"/>
          <w:right w:w="0" w:type="dxa"/>
        </w:tblCellMar>
        <w:tblLook w:val="01E0"/>
      </w:tblPr>
      <w:tblGrid>
        <w:gridCol w:w="2410"/>
        <w:gridCol w:w="851"/>
        <w:gridCol w:w="568"/>
        <w:gridCol w:w="478"/>
        <w:gridCol w:w="798"/>
        <w:gridCol w:w="798"/>
        <w:gridCol w:w="457"/>
        <w:gridCol w:w="818"/>
        <w:gridCol w:w="708"/>
        <w:gridCol w:w="992"/>
        <w:gridCol w:w="568"/>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6"/>
              <w:jc w:val="left"/>
              <w:rPr>
                <w:rFonts w:ascii="宋体" w:hAnsi="宋体" w:cs="宋体" w:eastAsia="宋体" w:hint="default"/>
                <w:sz w:val="18"/>
                <w:szCs w:val="18"/>
              </w:rPr>
            </w:pPr>
            <w:r>
              <w:rPr>
                <w:rFonts w:ascii="宋体" w:hAnsi="宋体" w:cs="宋体" w:eastAsia="宋体" w:hint="default"/>
                <w:sz w:val="18"/>
                <w:szCs w:val="18"/>
              </w:rPr>
              <w:t>发行 日期</w:t>
            </w: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 w:right="53"/>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 w:right="42"/>
              <w:jc w:val="left"/>
              <w:rPr>
                <w:rFonts w:ascii="宋体" w:hAnsi="宋体" w:cs="宋体" w:eastAsia="宋体" w:hint="default"/>
                <w:sz w:val="18"/>
                <w:szCs w:val="18"/>
              </w:rPr>
            </w:pPr>
            <w:r>
              <w:rPr>
                <w:rFonts w:ascii="宋体" w:hAnsi="宋体" w:cs="宋体" w:eastAsia="宋体" w:hint="default"/>
                <w:sz w:val="18"/>
                <w:szCs w:val="18"/>
              </w:rPr>
              <w:t>本期 发行</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3" w:right="4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7" w:right="78" w:hanging="90"/>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6"/>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pacing w:val="-3"/>
                <w:sz w:val="18"/>
                <w:szCs w:val="18"/>
              </w:rPr>
              <w:t>年公司债券（第一期）简</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“15 </w:t>
            </w:r>
            <w:r>
              <w:rPr>
                <w:rFonts w:ascii="宋体" w:hAnsi="宋体" w:cs="宋体" w:eastAsia="宋体" w:hint="default"/>
                <w:sz w:val="18"/>
                <w:szCs w:val="18"/>
              </w:rPr>
              <w:t>辉煌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2015/3</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/4</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213,859,1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09.30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3,370,500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140,890.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213,859,1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09.30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3,370,500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140,890.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333" w:lineRule="auto"/>
        <w:ind w:left="634" w:right="14" w:hanging="480"/>
        <w:jc w:val="left"/>
        <w:rPr>
          <w:rFonts w:ascii="宋体" w:hAnsi="宋体" w:cs="宋体" w:eastAsia="宋体" w:hint="default"/>
          <w:b w:val="0"/>
          <w:bCs w:val="0"/>
        </w:rPr>
      </w:pPr>
      <w:bookmarkStart w:name="（3）可转换公司债券的转股条件、转股时间说明" w:id="322"/>
      <w:bookmarkEnd w:id="322"/>
      <w:r>
        <w:rPr>
          <w:b w:val="0"/>
          <w:bCs w:val="0"/>
        </w:rPr>
      </w:r>
      <w:r>
        <w:rPr>
          <w:w w:val="95"/>
        </w:rPr>
        <w:t>（</w:t>
      </w:r>
      <w:r>
        <w:rPr>
          <w:rFonts w:ascii="Times New Roman" w:hAnsi="Times New Roman" w:cs="Times New Roman" w:eastAsia="Times New Roman" w:hint="default"/>
          <w:w w:val="95"/>
        </w:rPr>
        <w:t>3</w:t>
      </w:r>
      <w:r>
        <w:rPr>
          <w:w w:val="95"/>
        </w:rPr>
        <w:t>）可转换公司债券的转股条件、转股时间说明 </w:t>
      </w:r>
      <w:r>
        <w:rPr>
          <w:spacing w:val="10"/>
          <w:w w:val="95"/>
        </w:rPr>
        <w:t> </w:t>
      </w:r>
      <w:r>
        <w:rPr>
          <w:rFonts w:ascii="宋体" w:hAnsi="宋体" w:cs="宋体" w:eastAsia="宋体" w:hint="default"/>
          <w:b w:val="0"/>
          <w:bCs w:val="0"/>
        </w:rPr>
        <w:t>无</w:t>
      </w:r>
    </w:p>
    <w:p>
      <w:pPr>
        <w:pStyle w:val="Heading2"/>
        <w:spacing w:line="331" w:lineRule="auto" w:before="52"/>
        <w:ind w:left="634" w:right="719" w:hanging="480"/>
        <w:jc w:val="left"/>
        <w:rPr>
          <w:rFonts w:ascii="宋体" w:hAnsi="宋体" w:cs="宋体" w:eastAsia="宋体" w:hint="default"/>
          <w:b w:val="0"/>
          <w:bCs w:val="0"/>
        </w:rPr>
      </w:pPr>
      <w:bookmarkStart w:name="（4）划分为金融负债的其他金融工具说明" w:id="323"/>
      <w:bookmarkEnd w:id="323"/>
      <w:r>
        <w:rPr>
          <w:b w:val="0"/>
          <w:bCs w:val="0"/>
        </w:rPr>
      </w:r>
      <w:r>
        <w:rPr>
          <w:w w:val="95"/>
        </w:rPr>
        <w:t>（</w:t>
      </w:r>
      <w:r>
        <w:rPr>
          <w:rFonts w:ascii="Times New Roman" w:hAnsi="Times New Roman" w:cs="Times New Roman" w:eastAsia="Times New Roman" w:hint="default"/>
          <w:w w:val="95"/>
        </w:rPr>
        <w:t>4</w:t>
      </w:r>
      <w:r>
        <w:rPr>
          <w:w w:val="95"/>
        </w:rPr>
        <w:t>）划分为金融负债的其他金融工具说明</w:t>
      </w:r>
      <w:r>
        <w:rPr>
          <w:spacing w:val="92"/>
          <w:w w:val="95"/>
        </w:rPr>
        <w:t> </w:t>
      </w:r>
      <w:r>
        <w:rPr>
          <w:rFonts w:ascii="宋体" w:hAnsi="宋体" w:cs="宋体" w:eastAsia="宋体" w:hint="default"/>
          <w:b w:val="0"/>
          <w:bCs w:val="0"/>
        </w:rPr>
        <w:t>无</w:t>
      </w:r>
    </w:p>
    <w:p>
      <w:pPr>
        <w:pStyle w:val="Heading2"/>
        <w:spacing w:line="331" w:lineRule="auto" w:before="55"/>
        <w:ind w:left="634" w:right="3354" w:hanging="480"/>
        <w:jc w:val="left"/>
        <w:rPr>
          <w:rFonts w:ascii="宋体" w:hAnsi="宋体" w:cs="宋体" w:eastAsia="宋体" w:hint="default"/>
          <w:b w:val="0"/>
          <w:bCs w:val="0"/>
        </w:rPr>
      </w:pPr>
      <w:bookmarkStart w:name="39、长期应付款" w:id="324"/>
      <w:bookmarkEnd w:id="324"/>
      <w:r>
        <w:rPr>
          <w:b w:val="0"/>
          <w:bCs w:val="0"/>
        </w:rPr>
      </w:r>
      <w:r>
        <w:rPr>
          <w:rFonts w:ascii="Times New Roman" w:hAnsi="Times New Roman" w:cs="Times New Roman" w:eastAsia="Times New Roman" w:hint="default"/>
          <w:w w:val="95"/>
        </w:rPr>
        <w:t>39</w:t>
      </w:r>
      <w:r>
        <w:rPr>
          <w:w w:val="95"/>
        </w:rPr>
        <w:t>、长期应付款</w:t>
      </w:r>
      <w:r>
        <w:rPr>
          <w:spacing w:val="-37"/>
          <w:w w:val="95"/>
        </w:rPr>
        <w:t> </w:t>
      </w:r>
      <w:r>
        <w:rPr>
          <w:rFonts w:ascii="宋体" w:hAnsi="宋体" w:cs="宋体" w:eastAsia="宋体" w:hint="default"/>
          <w:b w:val="0"/>
          <w:bCs w:val="0"/>
        </w:rPr>
        <w:t>无</w:t>
      </w:r>
    </w:p>
    <w:p>
      <w:pPr>
        <w:pStyle w:val="Heading2"/>
        <w:spacing w:line="333" w:lineRule="auto" w:before="54"/>
        <w:ind w:left="634" w:right="2667" w:hanging="480"/>
        <w:jc w:val="left"/>
        <w:rPr>
          <w:rFonts w:ascii="宋体" w:hAnsi="宋体" w:cs="宋体" w:eastAsia="宋体" w:hint="default"/>
          <w:b w:val="0"/>
          <w:bCs w:val="0"/>
        </w:rPr>
      </w:pPr>
      <w:bookmarkStart w:name="40、长期应付职工薪酬" w:id="325"/>
      <w:bookmarkEnd w:id="325"/>
      <w:r>
        <w:rPr>
          <w:b w:val="0"/>
          <w:bCs w:val="0"/>
        </w:rPr>
      </w:r>
      <w:r>
        <w:rPr>
          <w:rFonts w:ascii="Times New Roman" w:hAnsi="Times New Roman" w:cs="Times New Roman" w:eastAsia="Times New Roman" w:hint="default"/>
          <w:w w:val="95"/>
        </w:rPr>
        <w:t>40</w:t>
      </w:r>
      <w:r>
        <w:rPr>
          <w:w w:val="95"/>
        </w:rPr>
        <w:t>、长期应付职工薪酬</w:t>
      </w:r>
      <w:r>
        <w:rPr>
          <w:spacing w:val="-3"/>
          <w:w w:val="95"/>
        </w:rPr>
        <w:t> </w:t>
      </w:r>
      <w:r>
        <w:rPr>
          <w:rFonts w:ascii="宋体" w:hAnsi="宋体" w:cs="宋体" w:eastAsia="宋体" w:hint="default"/>
          <w:b w:val="0"/>
          <w:bCs w:val="0"/>
        </w:rPr>
        <w:t>无</w:t>
      </w:r>
    </w:p>
    <w:p>
      <w:pPr>
        <w:pStyle w:val="Heading2"/>
        <w:spacing w:line="240" w:lineRule="auto" w:before="52"/>
        <w:ind w:right="14"/>
        <w:jc w:val="left"/>
        <w:rPr>
          <w:b w:val="0"/>
          <w:bCs w:val="0"/>
        </w:rPr>
      </w:pPr>
      <w:bookmarkStart w:name="41、预计负债" w:id="326"/>
      <w:bookmarkEnd w:id="326"/>
      <w:r>
        <w:rPr>
          <w:b w:val="0"/>
          <w:bCs w:val="0"/>
        </w:rPr>
      </w:r>
      <w:r>
        <w:rPr>
          <w:rFonts w:ascii="Times New Roman" w:hAnsi="Times New Roman" w:cs="Times New Roman" w:eastAsia="Times New Roman" w:hint="default"/>
        </w:rPr>
        <w:t>41</w:t>
      </w:r>
      <w:r>
        <w:rPr/>
        <w:t>、预计负债</w:t>
      </w:r>
      <w:r>
        <w:rPr>
          <w:b w:val="0"/>
          <w:bCs w:val="0"/>
        </w:rPr>
      </w:r>
    </w:p>
    <w:p>
      <w:pPr>
        <w:pStyle w:val="BodyText"/>
        <w:spacing w:line="240" w:lineRule="auto" w:before="127"/>
        <w:ind w:left="634" w:right="14"/>
        <w:jc w:val="left"/>
      </w:pPr>
      <w:r>
        <w:rPr/>
        <w:t>无</w:t>
      </w:r>
    </w:p>
    <w:p>
      <w:pPr>
        <w:pStyle w:val="Heading2"/>
        <w:spacing w:line="240" w:lineRule="auto" w:before="146"/>
        <w:ind w:right="14"/>
        <w:jc w:val="left"/>
        <w:rPr>
          <w:b w:val="0"/>
          <w:bCs w:val="0"/>
        </w:rPr>
      </w:pPr>
      <w:bookmarkStart w:name="42、递延收益" w:id="327"/>
      <w:bookmarkEnd w:id="327"/>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330" w:space="3499"/>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5"/>
        <w:gridCol w:w="1702"/>
        <w:gridCol w:w="1418"/>
        <w:gridCol w:w="1560"/>
        <w:gridCol w:w="1308"/>
        <w:gridCol w:w="1100"/>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与资产相关政府补助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6,500,000.00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4,500,000.00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2" w:right="0"/>
              <w:jc w:val="left"/>
              <w:rPr>
                <w:rFonts w:ascii="Times New Roman" w:hAnsi="Times New Roman" w:cs="Times New Roman" w:eastAsia="Times New Roman" w:hint="default"/>
                <w:sz w:val="21"/>
                <w:szCs w:val="21"/>
              </w:rPr>
            </w:pPr>
            <w:r>
              <w:rPr>
                <w:rFonts w:ascii="Times New Roman"/>
                <w:sz w:val="21"/>
              </w:rPr>
              <w:t>2,000,000.00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政府补助</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与收益相关政府补助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500,000.00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政府补助</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5,000,000.00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2" w:right="0"/>
              <w:jc w:val="left"/>
              <w:rPr>
                <w:rFonts w:ascii="Times New Roman" w:hAnsi="Times New Roman" w:cs="Times New Roman" w:eastAsia="Times New Roman" w:hint="default"/>
                <w:sz w:val="21"/>
                <w:szCs w:val="21"/>
              </w:rPr>
            </w:pPr>
            <w:r>
              <w:rPr>
                <w:rFonts w:ascii="Times New Roman"/>
                <w:sz w:val="21"/>
              </w:rPr>
              <w:t>2,000,000.00</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240" w:lineRule="auto" w:before="26"/>
        <w:ind w:left="634" w:right="-20"/>
        <w:jc w:val="left"/>
      </w:pPr>
      <w:r>
        <w:rPr/>
        <w:t>涉及政府补助的项目：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6"/>
          <w:szCs w:val="16"/>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035" w:space="5315"/>
            <w:col w:w="258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710"/>
        <w:gridCol w:w="992"/>
        <w:gridCol w:w="991"/>
        <w:gridCol w:w="992"/>
        <w:gridCol w:w="851"/>
        <w:gridCol w:w="851"/>
        <w:gridCol w:w="992"/>
      </w:tblGrid>
      <w:tr>
        <w:trPr>
          <w:trHeight w:val="1026"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负债项目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3" w:right="34"/>
              <w:jc w:val="both"/>
              <w:rPr>
                <w:rFonts w:ascii="宋体" w:hAnsi="宋体" w:cs="宋体" w:eastAsia="宋体" w:hint="default"/>
                <w:sz w:val="21"/>
                <w:szCs w:val="21"/>
              </w:rPr>
            </w:pPr>
            <w:r>
              <w:rPr>
                <w:rFonts w:ascii="宋体" w:hAnsi="宋体" w:cs="宋体" w:eastAsia="宋体" w:hint="default"/>
                <w:sz w:val="21"/>
                <w:szCs w:val="21"/>
              </w:rPr>
              <w:t>本期新 增补助 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0" w:right="71"/>
              <w:jc w:val="both"/>
              <w:rPr>
                <w:rFonts w:ascii="宋体" w:hAnsi="宋体" w:cs="宋体" w:eastAsia="宋体" w:hint="default"/>
                <w:sz w:val="21"/>
                <w:szCs w:val="21"/>
              </w:rPr>
            </w:pPr>
            <w:r>
              <w:rPr>
                <w:rFonts w:ascii="宋体" w:hAnsi="宋体" w:cs="宋体" w:eastAsia="宋体" w:hint="default"/>
                <w:sz w:val="21"/>
                <w:szCs w:val="21"/>
              </w:rPr>
              <w:t>本期计入 营业外收 入金额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0" w:right="68"/>
              <w:jc w:val="center"/>
              <w:rPr>
                <w:rFonts w:ascii="宋体" w:hAnsi="宋体" w:cs="宋体" w:eastAsia="宋体" w:hint="default"/>
                <w:sz w:val="21"/>
                <w:szCs w:val="21"/>
              </w:rPr>
            </w:pPr>
            <w:r>
              <w:rPr>
                <w:rFonts w:ascii="宋体" w:hAnsi="宋体" w:cs="宋体" w:eastAsia="宋体" w:hint="default"/>
                <w:sz w:val="21"/>
                <w:szCs w:val="21"/>
              </w:rPr>
              <w:t>本期计入 其他收益 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1" w:right="68"/>
              <w:jc w:val="center"/>
              <w:rPr>
                <w:rFonts w:ascii="宋体" w:hAnsi="宋体" w:cs="宋体" w:eastAsia="宋体" w:hint="default"/>
                <w:sz w:val="21"/>
                <w:szCs w:val="21"/>
              </w:rPr>
            </w:pPr>
            <w:r>
              <w:rPr>
                <w:rFonts w:ascii="宋体" w:hAnsi="宋体" w:cs="宋体" w:eastAsia="宋体" w:hint="default"/>
                <w:sz w:val="21"/>
                <w:szCs w:val="21"/>
              </w:rPr>
              <w:t>本期冲减 成本费用 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15" w:right="105" w:hanging="211"/>
              <w:jc w:val="left"/>
              <w:rPr>
                <w:rFonts w:ascii="宋体" w:hAnsi="宋体" w:cs="宋体" w:eastAsia="宋体" w:hint="default"/>
                <w:sz w:val="21"/>
                <w:szCs w:val="21"/>
              </w:rPr>
            </w:pPr>
            <w:r>
              <w:rPr>
                <w:rFonts w:ascii="宋体" w:hAnsi="宋体" w:cs="宋体" w:eastAsia="宋体" w:hint="default"/>
                <w:sz w:val="21"/>
                <w:szCs w:val="21"/>
              </w:rPr>
              <w:t>其他变 动</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15" w:right="103" w:hanging="210"/>
              <w:jc w:val="left"/>
              <w:rPr>
                <w:rFonts w:ascii="宋体" w:hAnsi="宋体" w:cs="宋体" w:eastAsia="宋体" w:hint="default"/>
                <w:sz w:val="21"/>
                <w:szCs w:val="21"/>
              </w:rPr>
            </w:pPr>
            <w:r>
              <w:rPr>
                <w:rFonts w:ascii="宋体" w:hAnsi="宋体" w:cs="宋体" w:eastAsia="宋体" w:hint="default"/>
                <w:sz w:val="21"/>
                <w:szCs w:val="21"/>
              </w:rPr>
              <w:t>期末余 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6"/>
              <w:ind w:left="41" w:right="41" w:firstLine="1"/>
              <w:jc w:val="center"/>
              <w:rPr>
                <w:rFonts w:ascii="宋体" w:hAnsi="宋体" w:cs="宋体" w:eastAsia="宋体" w:hint="default"/>
                <w:sz w:val="21"/>
                <w:szCs w:val="21"/>
              </w:rPr>
            </w:pPr>
            <w:r>
              <w:rPr>
                <w:rFonts w:ascii="宋体" w:hAnsi="宋体" w:cs="宋体" w:eastAsia="宋体" w:hint="default"/>
                <w:sz w:val="21"/>
                <w:szCs w:val="21"/>
              </w:rPr>
              <w:t>与资产相 关</w:t>
            </w:r>
            <w:r>
              <w:rPr>
                <w:rFonts w:ascii="Times New Roman" w:hAnsi="Times New Roman" w:cs="Times New Roman" w:eastAsia="Times New Roman" w:hint="default"/>
                <w:sz w:val="21"/>
                <w:szCs w:val="21"/>
              </w:rPr>
              <w:t>/</w:t>
            </w:r>
            <w:r>
              <w:rPr>
                <w:rFonts w:ascii="宋体" w:hAnsi="宋体" w:cs="宋体" w:eastAsia="宋体" w:hint="default"/>
                <w:sz w:val="21"/>
                <w:szCs w:val="21"/>
              </w:rPr>
              <w:t>与收益 相关</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6"/>
              <w:ind w:left="22" w:right="128"/>
              <w:jc w:val="both"/>
              <w:rPr>
                <w:rFonts w:ascii="宋体" w:hAnsi="宋体" w:cs="宋体" w:eastAsia="宋体" w:hint="default"/>
                <w:sz w:val="21"/>
                <w:szCs w:val="21"/>
              </w:rPr>
            </w:pPr>
            <w:r>
              <w:rPr>
                <w:rFonts w:ascii="宋体" w:hAnsi="宋体" w:cs="宋体" w:eastAsia="宋体" w:hint="default"/>
                <w:sz w:val="21"/>
                <w:szCs w:val="21"/>
              </w:rPr>
              <w:t>年开通</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个车站 的新铁路信号微机 监测系统项目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40" w:right="0"/>
              <w:jc w:val="left"/>
              <w:rPr>
                <w:rFonts w:ascii="Times New Roman" w:hAnsi="Times New Roman" w:cs="Times New Roman" w:eastAsia="Times New Roman" w:hint="default"/>
                <w:sz w:val="21"/>
                <w:szCs w:val="21"/>
              </w:rPr>
            </w:pPr>
            <w:r>
              <w:rPr>
                <w:rFonts w:ascii="Times New Roman"/>
                <w:sz w:val="21"/>
              </w:rPr>
              <w:t>2,000,000.00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2,000,000.</w:t>
            </w:r>
          </w:p>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z w:val="21"/>
              </w:rPr>
              <w:t>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3" w:right="116"/>
              <w:jc w:val="left"/>
              <w:rPr>
                <w:rFonts w:ascii="宋体" w:hAnsi="宋体" w:cs="宋体" w:eastAsia="宋体" w:hint="default"/>
                <w:sz w:val="21"/>
                <w:szCs w:val="21"/>
              </w:rPr>
            </w:pPr>
            <w:r>
              <w:rPr>
                <w:rFonts w:ascii="宋体" w:hAnsi="宋体" w:cs="宋体" w:eastAsia="宋体" w:hint="default"/>
                <w:sz w:val="21"/>
                <w:szCs w:val="21"/>
              </w:rPr>
              <w:t>与资产相 关</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9"/>
              <w:jc w:val="both"/>
              <w:rPr>
                <w:rFonts w:ascii="宋体" w:hAnsi="宋体" w:cs="宋体" w:eastAsia="宋体" w:hint="default"/>
                <w:sz w:val="21"/>
                <w:szCs w:val="21"/>
              </w:rPr>
            </w:pPr>
            <w:r>
              <w:rPr>
                <w:rFonts w:ascii="宋体" w:hAnsi="宋体" w:cs="宋体" w:eastAsia="宋体" w:hint="default"/>
                <w:sz w:val="21"/>
                <w:szCs w:val="21"/>
              </w:rPr>
              <w:t>轨道交通信息集成 与网络化运营调度 指挥系统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40" w:right="0"/>
              <w:jc w:val="left"/>
              <w:rPr>
                <w:rFonts w:ascii="Times New Roman" w:hAnsi="Times New Roman" w:cs="Times New Roman" w:eastAsia="Times New Roman" w:hint="default"/>
                <w:sz w:val="21"/>
                <w:szCs w:val="21"/>
              </w:rPr>
            </w:pPr>
            <w:r>
              <w:rPr>
                <w:rFonts w:ascii="Times New Roman"/>
                <w:sz w:val="21"/>
              </w:rPr>
              <w:t>2,000,000.00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2,000,00</w:t>
            </w:r>
          </w:p>
          <w:p>
            <w:pPr>
              <w:pStyle w:val="TableParagraph"/>
              <w:spacing w:line="240" w:lineRule="auto" w:before="71"/>
              <w:ind w:left="451" w:right="0"/>
              <w:jc w:val="left"/>
              <w:rPr>
                <w:rFonts w:ascii="Times New Roman" w:hAnsi="Times New Roman" w:cs="Times New Roman" w:eastAsia="Times New Roman" w:hint="default"/>
                <w:sz w:val="21"/>
                <w:szCs w:val="21"/>
              </w:rPr>
            </w:pPr>
            <w:r>
              <w:rPr>
                <w:rFonts w:ascii="Times New Roman"/>
                <w:sz w:val="21"/>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3" w:right="116"/>
              <w:jc w:val="left"/>
              <w:rPr>
                <w:rFonts w:ascii="宋体" w:hAnsi="宋体" w:cs="宋体" w:eastAsia="宋体" w:hint="default"/>
                <w:sz w:val="21"/>
                <w:szCs w:val="21"/>
              </w:rPr>
            </w:pPr>
            <w:r>
              <w:rPr>
                <w:rFonts w:ascii="宋体" w:hAnsi="宋体" w:cs="宋体" w:eastAsia="宋体" w:hint="default"/>
                <w:sz w:val="21"/>
                <w:szCs w:val="21"/>
              </w:rPr>
              <w:t>与资产相 关</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6"/>
              <w:jc w:val="center"/>
              <w:rPr>
                <w:rFonts w:ascii="宋体" w:hAnsi="宋体" w:cs="宋体" w:eastAsia="宋体" w:hint="default"/>
                <w:sz w:val="21"/>
                <w:szCs w:val="21"/>
              </w:rPr>
            </w:pPr>
            <w:r>
              <w:rPr>
                <w:rFonts w:ascii="宋体" w:hAnsi="宋体" w:cs="宋体" w:eastAsia="宋体" w:hint="default"/>
                <w:sz w:val="21"/>
                <w:szCs w:val="21"/>
              </w:rPr>
              <w:t>北斗铁路列车卫星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0" w:right="0"/>
              <w:jc w:val="left"/>
              <w:rPr>
                <w:rFonts w:ascii="Times New Roman" w:hAnsi="Times New Roman" w:cs="Times New Roman" w:eastAsia="Times New Roman" w:hint="default"/>
                <w:sz w:val="21"/>
                <w:szCs w:val="21"/>
              </w:rPr>
            </w:pPr>
            <w:r>
              <w:rPr>
                <w:rFonts w:ascii="Times New Roman"/>
                <w:sz w:val="21"/>
              </w:rPr>
              <w:t>2,500,000.00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8" w:right="0"/>
              <w:jc w:val="left"/>
              <w:rPr>
                <w:rFonts w:ascii="Times New Roman" w:hAnsi="Times New Roman" w:cs="Times New Roman" w:eastAsia="Times New Roman" w:hint="default"/>
                <w:sz w:val="21"/>
                <w:szCs w:val="21"/>
              </w:rPr>
            </w:pPr>
            <w:r>
              <w:rPr>
                <w:rFonts w:ascii="Times New Roman"/>
                <w:sz w:val="21"/>
              </w:rPr>
              <w:t>-2,500,0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21"/>
                <w:szCs w:val="21"/>
              </w:rPr>
            </w:pPr>
            <w:r>
              <w:rPr>
                <w:rFonts w:ascii="宋体" w:hAnsi="宋体" w:cs="宋体" w:eastAsia="宋体" w:hint="default"/>
                <w:sz w:val="21"/>
                <w:szCs w:val="21"/>
              </w:rPr>
              <w:t>与资产相</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710"/>
        <w:gridCol w:w="992"/>
        <w:gridCol w:w="991"/>
        <w:gridCol w:w="992"/>
        <w:gridCol w:w="851"/>
        <w:gridCol w:w="851"/>
        <w:gridCol w:w="992"/>
      </w:tblGrid>
      <w:tr>
        <w:trPr>
          <w:trHeight w:val="67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定位与辅助预警系</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统应用示范</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5" w:right="0"/>
              <w:jc w:val="left"/>
              <w:rPr>
                <w:rFonts w:ascii="Times New Roman" w:hAnsi="Times New Roman" w:cs="Times New Roman" w:eastAsia="Times New Roman" w:hint="default"/>
                <w:sz w:val="21"/>
                <w:szCs w:val="21"/>
              </w:rPr>
            </w:pPr>
            <w:r>
              <w:rPr>
                <w:rFonts w:ascii="Times New Roman"/>
                <w:sz w:val="21"/>
              </w:rPr>
              <w:t>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关</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9"/>
              <w:jc w:val="both"/>
              <w:rPr>
                <w:rFonts w:ascii="宋体" w:hAnsi="宋体" w:cs="宋体" w:eastAsia="宋体" w:hint="default"/>
                <w:sz w:val="21"/>
                <w:szCs w:val="21"/>
              </w:rPr>
            </w:pPr>
            <w:r>
              <w:rPr>
                <w:rFonts w:ascii="宋体" w:hAnsi="宋体" w:cs="宋体" w:eastAsia="宋体" w:hint="default"/>
                <w:sz w:val="21"/>
                <w:szCs w:val="21"/>
              </w:rPr>
              <w:t>新型接触网绝缘子 带电水冲洗装备补 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500,000.0</w:t>
            </w:r>
          </w:p>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3" w:right="116"/>
              <w:jc w:val="left"/>
              <w:rPr>
                <w:rFonts w:ascii="宋体" w:hAnsi="宋体" w:cs="宋体" w:eastAsia="宋体" w:hint="default"/>
                <w:sz w:val="21"/>
                <w:szCs w:val="21"/>
              </w:rPr>
            </w:pPr>
            <w:r>
              <w:rPr>
                <w:rFonts w:ascii="宋体" w:hAnsi="宋体" w:cs="宋体" w:eastAsia="宋体" w:hint="default"/>
                <w:sz w:val="21"/>
                <w:szCs w:val="21"/>
              </w:rPr>
              <w:t>与收益相 关</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2,500,000.</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8" w:right="0"/>
              <w:jc w:val="left"/>
              <w:rPr>
                <w:rFonts w:ascii="Times New Roman" w:hAnsi="Times New Roman" w:cs="Times New Roman" w:eastAsia="Times New Roman" w:hint="default"/>
                <w:sz w:val="21"/>
                <w:szCs w:val="21"/>
              </w:rPr>
            </w:pPr>
            <w:r>
              <w:rPr>
                <w:rFonts w:ascii="Times New Roman"/>
                <w:sz w:val="21"/>
              </w:rPr>
              <w:t>-2,500,0</w:t>
            </w:r>
          </w:p>
          <w:p>
            <w:pPr>
              <w:pStyle w:val="TableParagraph"/>
              <w:spacing w:line="240" w:lineRule="auto" w:before="70"/>
              <w:ind w:left="345" w:right="0"/>
              <w:jc w:val="left"/>
              <w:rPr>
                <w:rFonts w:ascii="Times New Roman" w:hAnsi="Times New Roman" w:cs="Times New Roman" w:eastAsia="Times New Roman" w:hint="default"/>
                <w:sz w:val="21"/>
                <w:szCs w:val="21"/>
              </w:rPr>
            </w:pPr>
            <w:r>
              <w:rPr>
                <w:rFonts w:ascii="Times New Roman"/>
                <w:sz w:val="21"/>
              </w:rPr>
              <w:t>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3" w:right="0"/>
              <w:jc w:val="left"/>
              <w:rPr>
                <w:rFonts w:ascii="Times New Roman" w:hAnsi="Times New Roman" w:cs="Times New Roman" w:eastAsia="Times New Roman" w:hint="default"/>
                <w:sz w:val="21"/>
                <w:szCs w:val="21"/>
              </w:rPr>
            </w:pPr>
            <w:r>
              <w:rPr>
                <w:rFonts w:ascii="Times New Roman"/>
                <w:sz w:val="21"/>
              </w:rPr>
              <w:t>2,000,00</w:t>
            </w:r>
          </w:p>
          <w:p>
            <w:pPr>
              <w:pStyle w:val="TableParagraph"/>
              <w:spacing w:line="240" w:lineRule="auto" w:before="70"/>
              <w:ind w:left="451" w:right="0"/>
              <w:jc w:val="left"/>
              <w:rPr>
                <w:rFonts w:ascii="Times New Roman" w:hAnsi="Times New Roman" w:cs="Times New Roman" w:eastAsia="Times New Roman" w:hint="default"/>
                <w:sz w:val="21"/>
                <w:szCs w:val="21"/>
              </w:rPr>
            </w:pPr>
            <w:r>
              <w:rPr>
                <w:rFonts w:ascii="Times New Roman"/>
                <w:sz w:val="21"/>
              </w:rPr>
              <w:t>0.00</w:t>
            </w:r>
          </w:p>
        </w:tc>
        <w:tc>
          <w:tcPr>
            <w:tcW w:w="9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350" w:lineRule="auto" w:before="26"/>
        <w:ind w:left="634" w:right="1126"/>
        <w:jc w:val="left"/>
      </w:pPr>
      <w:r>
        <w:rPr/>
        <w:t>其他说明： </w:t>
      </w:r>
      <w:r>
        <w:rPr>
          <w:spacing w:val="-2"/>
        </w:rPr>
        <w:t>根据郑发改投资</w:t>
      </w:r>
      <w:r>
        <w:rPr>
          <w:rFonts w:ascii="宋体" w:hAnsi="宋体" w:cs="宋体" w:eastAsia="宋体" w:hint="default"/>
          <w:spacing w:val="-2"/>
        </w:rPr>
        <w:t>[2009]380</w:t>
      </w:r>
      <w:r>
        <w:rPr>
          <w:spacing w:val="-2"/>
        </w:rPr>
        <w:t>号，公司</w:t>
      </w:r>
      <w:r>
        <w:rPr>
          <w:rFonts w:ascii="宋体" w:hAnsi="宋体" w:cs="宋体" w:eastAsia="宋体" w:hint="default"/>
          <w:spacing w:val="-2"/>
        </w:rPr>
        <w:t>2009</w:t>
      </w:r>
      <w:r>
        <w:rPr>
          <w:spacing w:val="-2"/>
        </w:rPr>
        <w:t>年收到拔付的专项国债资金</w:t>
      </w:r>
      <w:r>
        <w:rPr>
          <w:rFonts w:ascii="宋体" w:hAnsi="宋体" w:cs="宋体" w:eastAsia="宋体" w:hint="default"/>
          <w:spacing w:val="-2"/>
        </w:rPr>
        <w:t>1000</w:t>
      </w:r>
      <w:r>
        <w:rPr>
          <w:spacing w:val="-2"/>
        </w:rPr>
        <w:t>万元，用于年开</w:t>
      </w:r>
    </w:p>
    <w:p>
      <w:pPr>
        <w:pStyle w:val="BodyText"/>
        <w:spacing w:line="350" w:lineRule="auto"/>
        <w:ind w:right="1032"/>
        <w:jc w:val="left"/>
      </w:pPr>
      <w:r>
        <w:rPr>
          <w:spacing w:val="-2"/>
        </w:rPr>
        <w:t>通</w:t>
      </w:r>
      <w:r>
        <w:rPr>
          <w:rFonts w:ascii="宋体" w:hAnsi="宋体" w:cs="宋体" w:eastAsia="宋体" w:hint="default"/>
          <w:spacing w:val="-2"/>
        </w:rPr>
        <w:t>500</w:t>
      </w:r>
      <w:r>
        <w:rPr>
          <w:spacing w:val="-2"/>
        </w:rPr>
        <w:t>个车站的新铁路信号集中监测系统项目的研究与开发，该项目已完工验收并于</w:t>
      </w:r>
      <w:r>
        <w:rPr>
          <w:rFonts w:ascii="宋体" w:hAnsi="宋体" w:cs="宋体" w:eastAsia="宋体" w:hint="default"/>
          <w:spacing w:val="-2"/>
        </w:rPr>
        <w:t>2013</w:t>
      </w:r>
      <w:r>
        <w:rPr>
          <w:spacing w:val="-2"/>
        </w:rPr>
        <w:t>年</w:t>
      </w:r>
      <w:r>
        <w:rPr>
          <w:rFonts w:ascii="宋体" w:hAnsi="宋体" w:cs="宋体" w:eastAsia="宋体" w:hint="default"/>
          <w:spacing w:val="-2"/>
        </w:rPr>
        <w:t>12</w:t>
      </w:r>
      <w:r>
        <w:rPr>
          <w:rFonts w:ascii="宋体" w:hAnsi="宋体" w:cs="宋体" w:eastAsia="宋体" w:hint="default"/>
          <w:spacing w:val="-112"/>
        </w:rPr>
        <w:t> </w:t>
      </w:r>
      <w:r>
        <w:rPr/>
        <w:t>月份转固，公司按照所购建固定资产的折旧年限（</w:t>
      </w:r>
      <w:r>
        <w:rPr>
          <w:rFonts w:ascii="宋体" w:hAnsi="宋体" w:cs="宋体" w:eastAsia="宋体" w:hint="default"/>
        </w:rPr>
        <w:t>5</w:t>
      </w:r>
      <w:r>
        <w:rPr/>
        <w:t>年）将该补助资金平均结转至各期损益， </w:t>
      </w:r>
      <w:r>
        <w:rPr>
          <w:rFonts w:ascii="宋体" w:hAnsi="宋体" w:cs="宋体" w:eastAsia="宋体" w:hint="default"/>
        </w:rPr>
        <w:t>2018</w:t>
      </w:r>
      <w:r>
        <w:rPr/>
        <w:t>年度结转金额为</w:t>
      </w:r>
      <w:r>
        <w:rPr>
          <w:rFonts w:ascii="宋体" w:hAnsi="宋体" w:cs="宋体" w:eastAsia="宋体" w:hint="default"/>
        </w:rPr>
        <w:t>200.00</w:t>
      </w:r>
      <w:r>
        <w:rPr/>
        <w:t>万元。</w:t>
      </w:r>
    </w:p>
    <w:p>
      <w:pPr>
        <w:pStyle w:val="BodyText"/>
        <w:spacing w:line="350" w:lineRule="auto"/>
        <w:ind w:right="1008" w:firstLine="480"/>
        <w:jc w:val="left"/>
      </w:pPr>
      <w:r>
        <w:rPr/>
        <w:t>根据郑科计</w:t>
      </w:r>
      <w:r>
        <w:rPr>
          <w:rFonts w:ascii="宋体" w:hAnsi="宋体" w:cs="宋体" w:eastAsia="宋体" w:hint="default"/>
        </w:rPr>
        <w:t>[2013]4</w:t>
      </w:r>
      <w:r>
        <w:rPr/>
        <w:t>号关于下达郑州市</w:t>
      </w:r>
      <w:r>
        <w:rPr>
          <w:rFonts w:ascii="宋体" w:hAnsi="宋体" w:cs="宋体" w:eastAsia="宋体" w:hint="default"/>
        </w:rPr>
        <w:t>2013</w:t>
      </w:r>
      <w:r>
        <w:rPr/>
        <w:t>年第一批科技计划项目经费的通知，轨道交通 信息集成与网络化运营调度指挥系统项目收到郑州市财政局专项资金</w:t>
      </w:r>
      <w:r>
        <w:rPr>
          <w:rFonts w:ascii="宋体" w:hAnsi="宋体" w:cs="宋体" w:eastAsia="宋体" w:hint="default"/>
        </w:rPr>
        <w:t>100.00</w:t>
      </w:r>
      <w:r>
        <w:rPr/>
        <w:t>万元，根据郑科 计</w:t>
      </w:r>
      <w:r>
        <w:rPr>
          <w:rFonts w:ascii="宋体" w:hAnsi="宋体" w:cs="宋体" w:eastAsia="宋体" w:hint="default"/>
        </w:rPr>
        <w:t>[2014]4</w:t>
      </w:r>
      <w:r>
        <w:rPr/>
        <w:t>号关于下达郑州市</w:t>
      </w:r>
      <w:r>
        <w:rPr>
          <w:rFonts w:ascii="宋体" w:hAnsi="宋体" w:cs="宋体" w:eastAsia="宋体" w:hint="default"/>
        </w:rPr>
        <w:t>2014</w:t>
      </w:r>
      <w:r>
        <w:rPr/>
        <w:t>年第二批科技计划项目经费的通知，轨道交通信息集成与网 </w:t>
      </w:r>
      <w:r>
        <w:rPr>
          <w:spacing w:val="-2"/>
        </w:rPr>
        <w:t>络化运营调度指挥系统项目收到郑州市财政局专项资金</w:t>
      </w:r>
      <w:r>
        <w:rPr>
          <w:rFonts w:ascii="宋体" w:hAnsi="宋体" w:cs="宋体" w:eastAsia="宋体" w:hint="default"/>
          <w:spacing w:val="-2"/>
        </w:rPr>
        <w:t>100.00</w:t>
      </w:r>
      <w:r>
        <w:rPr>
          <w:spacing w:val="-2"/>
        </w:rPr>
        <w:t>万元，截至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w:t>
      </w:r>
      <w:r>
        <w:rPr>
          <w:spacing w:val="-106"/>
        </w:rPr>
        <w:t> </w:t>
      </w:r>
      <w:r>
        <w:rPr/>
        <w:t>该项目尚未完工。</w:t>
      </w:r>
    </w:p>
    <w:p>
      <w:pPr>
        <w:pStyle w:val="BodyText"/>
        <w:spacing w:line="352" w:lineRule="auto" w:before="35"/>
        <w:ind w:right="1130" w:firstLine="480"/>
        <w:jc w:val="both"/>
      </w:pPr>
      <w:r>
        <w:rPr>
          <w:spacing w:val="-2"/>
        </w:rPr>
        <w:t>根据工信部财</w:t>
      </w:r>
      <w:r>
        <w:rPr>
          <w:rFonts w:ascii="宋体" w:hAnsi="宋体" w:cs="宋体" w:eastAsia="宋体" w:hint="default"/>
          <w:spacing w:val="-2"/>
        </w:rPr>
        <w:t>[2013]472</w:t>
      </w:r>
      <w:r>
        <w:rPr>
          <w:spacing w:val="-2"/>
        </w:rPr>
        <w:t>号关于下达</w:t>
      </w:r>
      <w:r>
        <w:rPr>
          <w:rFonts w:ascii="宋体" w:hAnsi="宋体" w:cs="宋体" w:eastAsia="宋体" w:hint="default"/>
          <w:spacing w:val="-2"/>
        </w:rPr>
        <w:t>2013</w:t>
      </w:r>
      <w:r>
        <w:rPr>
          <w:spacing w:val="-2"/>
        </w:rPr>
        <w:t>年度电子信息产业发展基金项目计划的通知，北</w:t>
      </w:r>
      <w:r>
        <w:rPr/>
        <w:t> 斗铁路列车卫星定位与辅助预警系统应用示范项目收到财政部专项资金</w:t>
      </w:r>
      <w:r>
        <w:rPr>
          <w:rFonts w:ascii="宋体" w:hAnsi="宋体" w:cs="宋体" w:eastAsia="宋体" w:hint="default"/>
        </w:rPr>
        <w:t>400.00</w:t>
      </w:r>
      <w:r>
        <w:rPr/>
        <w:t>万元，按照项 </w:t>
      </w:r>
      <w:r>
        <w:rPr>
          <w:spacing w:val="-5"/>
        </w:rPr>
        <w:t>目经费管理规定，公司应拨转经费</w:t>
      </w:r>
      <w:r>
        <w:rPr>
          <w:rFonts w:ascii="宋体" w:hAnsi="宋体" w:cs="宋体" w:eastAsia="宋体" w:hint="default"/>
          <w:spacing w:val="-5"/>
        </w:rPr>
        <w:t>150.00</w:t>
      </w:r>
      <w:r>
        <w:rPr>
          <w:spacing w:val="-5"/>
        </w:rPr>
        <w:t>万元予联合单位北京金鸿泰科技有限公司。截至</w:t>
      </w:r>
      <w:r>
        <w:rPr>
          <w:rFonts w:ascii="宋体" w:hAnsi="宋体" w:cs="宋体" w:eastAsia="宋体" w:hint="default"/>
          <w:spacing w:val="-5"/>
        </w:rPr>
        <w:t>2018</w:t>
      </w:r>
      <w:r>
        <w:rPr>
          <w:rFonts w:ascii="宋体" w:hAnsi="宋体" w:cs="宋体" w:eastAsia="宋体" w:hint="default"/>
          <w:spacing w:val="-92"/>
        </w:rPr>
        <w:t> </w:t>
      </w:r>
      <w:r>
        <w:rPr/>
        <w:t>年</w:t>
      </w:r>
      <w:r>
        <w:rPr>
          <w:rFonts w:ascii="宋体" w:hAnsi="宋体" w:cs="宋体" w:eastAsia="宋体" w:hint="default"/>
        </w:rPr>
        <w:t>12</w:t>
      </w:r>
      <w:r>
        <w:rPr/>
        <w:t>月</w:t>
      </w:r>
      <w:r>
        <w:rPr>
          <w:rFonts w:ascii="宋体" w:hAnsi="宋体" w:cs="宋体" w:eastAsia="宋体" w:hint="default"/>
        </w:rPr>
        <w:t>31</w:t>
      </w:r>
      <w:r>
        <w:rPr/>
        <w:t>日止，该项目已完工结项但由于铁路总公司在机车定位方面还没有出台相关政策， 导致该项目推广工作极其缓慢，企业将该递延收益转为其他负债科目核算。</w:t>
      </w:r>
    </w:p>
    <w:p>
      <w:pPr>
        <w:pStyle w:val="BodyText"/>
        <w:spacing w:line="350" w:lineRule="auto" w:before="32"/>
        <w:ind w:right="0" w:firstLine="480"/>
        <w:jc w:val="left"/>
      </w:pPr>
      <w:r>
        <w:rPr>
          <w:spacing w:val="-5"/>
        </w:rPr>
        <w:t>根据成高科（</w:t>
      </w:r>
      <w:r>
        <w:rPr>
          <w:rFonts w:ascii="宋体" w:hAnsi="宋体" w:cs="宋体" w:eastAsia="宋体" w:hint="default"/>
          <w:spacing w:val="-5"/>
        </w:rPr>
        <w:t>2016</w:t>
      </w:r>
      <w:r>
        <w:rPr>
          <w:spacing w:val="-5"/>
        </w:rPr>
        <w:t>）</w:t>
      </w:r>
      <w:r>
        <w:rPr>
          <w:rFonts w:ascii="宋体" w:hAnsi="宋体" w:cs="宋体" w:eastAsia="宋体" w:hint="default"/>
          <w:spacing w:val="-5"/>
        </w:rPr>
        <w:t>124</w:t>
      </w:r>
      <w:r>
        <w:rPr>
          <w:spacing w:val="-5"/>
        </w:rPr>
        <w:t>号下达关于</w:t>
      </w:r>
      <w:r>
        <w:rPr>
          <w:rFonts w:ascii="宋体" w:hAnsi="宋体" w:cs="宋体" w:eastAsia="宋体" w:hint="default"/>
          <w:spacing w:val="-5"/>
        </w:rPr>
        <w:t>2016</w:t>
      </w:r>
      <w:r>
        <w:rPr>
          <w:spacing w:val="-5"/>
        </w:rPr>
        <w:t>年成都高新区重大科技成果转化项目立项的通知，</w:t>
      </w:r>
      <w:r>
        <w:rPr/>
        <w:t> 新型接触网绝缘子带电水冲洗装备项目收到成都高新区科技局财政部专项资金</w:t>
      </w:r>
      <w:r>
        <w:rPr>
          <w:rFonts w:ascii="宋体" w:hAnsi="宋体" w:cs="宋体" w:eastAsia="宋体" w:hint="default"/>
        </w:rPr>
        <w:t>50.00</w:t>
      </w:r>
      <w:r>
        <w:rPr/>
        <w:t>万元，按 照项目经费管理规定，项目执行期满后由高新区科技局组织项目验收，在</w:t>
      </w:r>
      <w:r>
        <w:rPr>
          <w:rFonts w:ascii="宋体" w:hAnsi="宋体" w:cs="宋体" w:eastAsia="宋体" w:hint="default"/>
        </w:rPr>
        <w:t>2018</w:t>
      </w:r>
      <w:r>
        <w:rPr/>
        <w:t>年验收合格， 相关递延收益计入其他收益。</w:t>
      </w:r>
    </w:p>
    <w:p>
      <w:pPr>
        <w:pStyle w:val="Heading2"/>
        <w:spacing w:line="333" w:lineRule="auto" w:before="35"/>
        <w:ind w:left="634" w:right="8584" w:hanging="480"/>
        <w:jc w:val="left"/>
        <w:rPr>
          <w:rFonts w:ascii="宋体" w:hAnsi="宋体" w:cs="宋体" w:eastAsia="宋体" w:hint="default"/>
          <w:b w:val="0"/>
          <w:bCs w:val="0"/>
        </w:rPr>
      </w:pPr>
      <w:bookmarkStart w:name="43、其他非流动负债" w:id="328"/>
      <w:bookmarkEnd w:id="328"/>
      <w:r>
        <w:rPr>
          <w:b w:val="0"/>
          <w:bCs w:val="0"/>
        </w:rPr>
      </w:r>
      <w:r>
        <w:rPr>
          <w:rFonts w:ascii="Times New Roman" w:hAnsi="Times New Roman" w:cs="Times New Roman" w:eastAsia="Times New Roman" w:hint="default"/>
        </w:rPr>
        <w:t>43</w:t>
      </w:r>
      <w:r>
        <w:rPr/>
        <w:t>、其他非流动负债</w:t>
      </w:r>
      <w:r>
        <w:rPr>
          <w:w w:val="99"/>
        </w:rPr>
        <w:t> </w:t>
      </w:r>
      <w:r>
        <w:rPr>
          <w:rFonts w:ascii="宋体" w:hAnsi="宋体" w:cs="宋体" w:eastAsia="宋体" w:hint="default"/>
          <w:b w:val="0"/>
          <w:bCs w:val="0"/>
        </w:rPr>
        <w:t>无</w:t>
      </w:r>
    </w:p>
    <w:p>
      <w:pPr>
        <w:pStyle w:val="Heading2"/>
        <w:spacing w:line="240" w:lineRule="auto" w:before="52"/>
        <w:ind w:right="0"/>
        <w:jc w:val="left"/>
        <w:rPr>
          <w:b w:val="0"/>
          <w:bCs w:val="0"/>
        </w:rPr>
      </w:pPr>
      <w:bookmarkStart w:name="44、股本" w:id="329"/>
      <w:bookmarkEnd w:id="329"/>
      <w:r>
        <w:rPr>
          <w:b w:val="0"/>
          <w:bCs w:val="0"/>
        </w:rPr>
      </w:r>
      <w:r>
        <w:rPr>
          <w:rFonts w:ascii="Times New Roman" w:hAnsi="Times New Roman" w:cs="Times New Roman" w:eastAsia="Times New Roman" w:hint="default"/>
        </w:rPr>
        <w:t>44</w:t>
      </w:r>
      <w:r>
        <w:rPr/>
        <w:t>、股本</w:t>
      </w:r>
      <w:r>
        <w:rPr>
          <w:b w:val="0"/>
          <w:bCs w:val="0"/>
        </w:rPr>
      </w:r>
    </w:p>
    <w:p>
      <w:pPr>
        <w:spacing w:before="9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782"/>
        <w:gridCol w:w="1134"/>
        <w:gridCol w:w="673"/>
        <w:gridCol w:w="1195"/>
        <w:gridCol w:w="824"/>
        <w:gridCol w:w="851"/>
        <w:gridCol w:w="1913"/>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67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2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782"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1"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9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13"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84"/>
        <w:gridCol w:w="1794"/>
        <w:gridCol w:w="1134"/>
        <w:gridCol w:w="673"/>
        <w:gridCol w:w="1195"/>
        <w:gridCol w:w="824"/>
        <w:gridCol w:w="851"/>
        <w:gridCol w:w="1913"/>
      </w:tblGrid>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441" w:right="0"/>
              <w:jc w:val="left"/>
              <w:rPr>
                <w:rFonts w:ascii="Times New Roman" w:hAnsi="Times New Roman" w:cs="Times New Roman" w:eastAsia="Times New Roman" w:hint="default"/>
                <w:sz w:val="21"/>
                <w:szCs w:val="21"/>
              </w:rPr>
            </w:pPr>
            <w:r>
              <w:rPr>
                <w:rFonts w:ascii="Times New Roman"/>
                <w:sz w:val="21"/>
              </w:rPr>
              <w:t>376,656,420.00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68" w:right="0"/>
              <w:jc w:val="left"/>
              <w:rPr>
                <w:rFonts w:ascii="Times New Roman" w:hAnsi="Times New Roman" w:cs="Times New Roman" w:eastAsia="Times New Roman" w:hint="default"/>
                <w:sz w:val="21"/>
                <w:szCs w:val="21"/>
              </w:rPr>
            </w:pPr>
            <w:r>
              <w:rPr>
                <w:rFonts w:ascii="Times New Roman"/>
                <w:sz w:val="21"/>
              </w:rPr>
              <w:t>376,656,420.00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BodyText"/>
        <w:spacing w:line="240" w:lineRule="auto" w:before="26"/>
        <w:ind w:left="634" w:right="-16"/>
        <w:jc w:val="left"/>
      </w:pPr>
      <w:r>
        <w:rPr/>
        <w:t>其他说明：无</w:t>
      </w:r>
    </w:p>
    <w:p>
      <w:pPr>
        <w:pStyle w:val="Heading2"/>
        <w:spacing w:line="331" w:lineRule="auto" w:before="146"/>
        <w:ind w:left="634" w:right="-16" w:hanging="480"/>
        <w:jc w:val="left"/>
        <w:rPr>
          <w:rFonts w:ascii="宋体" w:hAnsi="宋体" w:cs="宋体" w:eastAsia="宋体" w:hint="default"/>
          <w:b w:val="0"/>
          <w:bCs w:val="0"/>
        </w:rPr>
      </w:pPr>
      <w:bookmarkStart w:name="45、其他权益工具" w:id="330"/>
      <w:bookmarkEnd w:id="330"/>
      <w:r>
        <w:rPr>
          <w:b w:val="0"/>
          <w:bCs w:val="0"/>
        </w:rPr>
      </w:r>
      <w:r>
        <w:rPr>
          <w:rFonts w:ascii="Times New Roman" w:hAnsi="Times New Roman" w:cs="Times New Roman" w:eastAsia="Times New Roman" w:hint="default"/>
          <w:w w:val="95"/>
        </w:rPr>
        <w:t>45</w:t>
      </w:r>
      <w:r>
        <w:rPr>
          <w:w w:val="95"/>
        </w:rPr>
        <w:t>、其他权益工具</w:t>
      </w:r>
      <w:r>
        <w:rPr>
          <w:spacing w:val="-26"/>
          <w:w w:val="95"/>
        </w:rPr>
        <w:t> </w:t>
      </w:r>
      <w:r>
        <w:rPr>
          <w:rFonts w:ascii="宋体" w:hAnsi="宋体" w:cs="宋体" w:eastAsia="宋体" w:hint="default"/>
          <w:b w:val="0"/>
          <w:bCs w:val="0"/>
        </w:rPr>
        <w:t>无</w:t>
      </w:r>
    </w:p>
    <w:p>
      <w:pPr>
        <w:pStyle w:val="Heading2"/>
        <w:spacing w:line="240" w:lineRule="auto" w:before="54"/>
        <w:ind w:right="-16"/>
        <w:jc w:val="left"/>
        <w:rPr>
          <w:b w:val="0"/>
          <w:bCs w:val="0"/>
        </w:rPr>
      </w:pPr>
      <w:bookmarkStart w:name="46、资本公积" w:id="331"/>
      <w:bookmarkEnd w:id="331"/>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079" w:space="6750"/>
            <w:col w:w="2101"/>
          </w:cols>
        </w:sectPr>
      </w:pPr>
    </w:p>
    <w:p>
      <w:pPr>
        <w:spacing w:line="240" w:lineRule="auto" w:before="13"/>
        <w:rPr>
          <w:rFonts w:ascii="宋体" w:hAnsi="宋体" w:cs="宋体" w:eastAsia="宋体" w:hint="default"/>
          <w:sz w:val="7"/>
          <w:szCs w:val="7"/>
        </w:rPr>
      </w:pPr>
    </w:p>
    <w:tbl>
      <w:tblPr>
        <w:tblW w:w="0" w:type="auto"/>
        <w:jc w:val="left"/>
        <w:tblInd w:w="372" w:type="dxa"/>
        <w:tblLayout w:type="fixed"/>
        <w:tblCellMar>
          <w:top w:w="0" w:type="dxa"/>
          <w:left w:w="0" w:type="dxa"/>
          <w:bottom w:w="0" w:type="dxa"/>
          <w:right w:w="0" w:type="dxa"/>
        </w:tblCellMar>
        <w:tblLook w:val="01E0"/>
      </w:tblPr>
      <w:tblGrid>
        <w:gridCol w:w="2669"/>
        <w:gridCol w:w="1855"/>
        <w:gridCol w:w="1631"/>
        <w:gridCol w:w="1347"/>
        <w:gridCol w:w="1700"/>
      </w:tblGrid>
      <w:tr>
        <w:trPr>
          <w:trHeight w:val="402" w:hRule="exact"/>
        </w:trPr>
        <w:tc>
          <w:tcPr>
            <w:tcW w:w="2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0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8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4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635,366,386.52</w:t>
            </w:r>
          </w:p>
        </w:tc>
        <w:tc>
          <w:tcPr>
            <w:tcW w:w="1631"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635,366,386.52</w:t>
            </w:r>
          </w:p>
        </w:tc>
      </w:tr>
      <w:tr>
        <w:trPr>
          <w:trHeight w:val="402" w:hRule="exact"/>
        </w:trPr>
        <w:tc>
          <w:tcPr>
            <w:tcW w:w="2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18,161,247.71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91" w:right="0"/>
              <w:jc w:val="left"/>
              <w:rPr>
                <w:rFonts w:ascii="Times New Roman" w:hAnsi="Times New Roman" w:cs="Times New Roman" w:eastAsia="Times New Roman" w:hint="default"/>
                <w:sz w:val="21"/>
                <w:szCs w:val="21"/>
              </w:rPr>
            </w:pPr>
            <w:r>
              <w:rPr>
                <w:rFonts w:ascii="Times New Roman"/>
                <w:sz w:val="21"/>
              </w:rPr>
              <w:t>12,731,085.49</w:t>
            </w:r>
          </w:p>
        </w:tc>
        <w:tc>
          <w:tcPr>
            <w:tcW w:w="13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30,892,333.20</w:t>
            </w:r>
          </w:p>
        </w:tc>
      </w:tr>
      <w:tr>
        <w:trPr>
          <w:trHeight w:val="403" w:hRule="exact"/>
        </w:trPr>
        <w:tc>
          <w:tcPr>
            <w:tcW w:w="2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653,527,634.23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91" w:right="0"/>
              <w:jc w:val="left"/>
              <w:rPr>
                <w:rFonts w:ascii="Times New Roman" w:hAnsi="Times New Roman" w:cs="Times New Roman" w:eastAsia="Times New Roman" w:hint="default"/>
                <w:sz w:val="21"/>
                <w:szCs w:val="21"/>
              </w:rPr>
            </w:pPr>
            <w:r>
              <w:rPr>
                <w:rFonts w:ascii="Times New Roman"/>
                <w:sz w:val="21"/>
              </w:rPr>
              <w:t>12,731,085.49</w:t>
            </w:r>
          </w:p>
        </w:tc>
        <w:tc>
          <w:tcPr>
            <w:tcW w:w="13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666,258,719.72</w:t>
            </w:r>
          </w:p>
        </w:tc>
      </w:tr>
    </w:tbl>
    <w:p>
      <w:pPr>
        <w:spacing w:line="240" w:lineRule="auto" w:before="10"/>
        <w:rPr>
          <w:rFonts w:ascii="宋体" w:hAnsi="宋体" w:cs="宋体" w:eastAsia="宋体" w:hint="default"/>
          <w:sz w:val="4"/>
          <w:szCs w:val="4"/>
        </w:rPr>
      </w:pPr>
    </w:p>
    <w:p>
      <w:pPr>
        <w:pStyle w:val="BodyText"/>
        <w:spacing w:line="350" w:lineRule="auto" w:before="26"/>
        <w:ind w:right="1168" w:firstLine="480"/>
        <w:jc w:val="left"/>
        <w:rPr>
          <w:rFonts w:ascii="宋体" w:hAnsi="宋体" w:cs="宋体" w:eastAsia="宋体" w:hint="default"/>
        </w:rPr>
      </w:pPr>
      <w:r>
        <w:rPr/>
        <w:t>其他说明，包括本期增减变动情况、变动原因说明：本期增加其他资本公积，系公司的 参股企业飞天联合其他股东增资后，导致其享有飞天联合所有者权益变动所致。 </w:t>
      </w:r>
      <w:bookmarkStart w:name="47、库存股" w:id="332"/>
      <w:bookmarkEnd w:id="332"/>
      <w:r>
        <w:rPr/>
      </w:r>
      <w:r>
        <w:rPr>
          <w:rFonts w:ascii="Times New Roman" w:hAnsi="Times New Roman" w:cs="Times New Roman" w:eastAsia="Times New Roman" w:hint="default"/>
          <w:b/>
          <w:bCs/>
        </w:rPr>
        <w:t>47</w:t>
      </w:r>
      <w:r>
        <w:rPr>
          <w:rFonts w:ascii="宋体" w:hAnsi="宋体" w:cs="宋体" w:eastAsia="宋体" w:hint="default"/>
          <w:b/>
          <w:bCs/>
        </w:rPr>
        <w:t>、库存股</w:t>
      </w:r>
      <w:r>
        <w:rPr>
          <w:rFonts w:ascii="宋体" w:hAnsi="宋体" w:cs="宋体" w:eastAsia="宋体" w:hint="default"/>
        </w:rPr>
      </w:r>
    </w:p>
    <w:p>
      <w:pPr>
        <w:pStyle w:val="BodyText"/>
        <w:spacing w:line="240" w:lineRule="auto" w:before="6"/>
        <w:ind w:left="634" w:right="0"/>
        <w:jc w:val="left"/>
      </w:pPr>
      <w:r>
        <w:rPr/>
        <w:t>无</w:t>
      </w:r>
    </w:p>
    <w:p>
      <w:pPr>
        <w:pStyle w:val="Heading2"/>
        <w:spacing w:line="331" w:lineRule="auto" w:before="145"/>
        <w:ind w:left="634" w:right="8825" w:hanging="480"/>
        <w:jc w:val="left"/>
        <w:rPr>
          <w:rFonts w:ascii="宋体" w:hAnsi="宋体" w:cs="宋体" w:eastAsia="宋体" w:hint="default"/>
          <w:b w:val="0"/>
          <w:bCs w:val="0"/>
        </w:rPr>
      </w:pPr>
      <w:bookmarkStart w:name="48、其他综合收益" w:id="333"/>
      <w:bookmarkEnd w:id="333"/>
      <w:r>
        <w:rPr>
          <w:b w:val="0"/>
          <w:bCs w:val="0"/>
        </w:rPr>
      </w:r>
      <w:r>
        <w:rPr>
          <w:rFonts w:ascii="Times New Roman" w:hAnsi="Times New Roman" w:cs="Times New Roman" w:eastAsia="Times New Roman" w:hint="default"/>
        </w:rPr>
        <w:t>48</w:t>
      </w:r>
      <w:r>
        <w:rPr/>
        <w:t>、其他综合收益</w:t>
      </w:r>
      <w:r>
        <w:rPr>
          <w:w w:val="99"/>
        </w:rPr>
        <w:t> </w:t>
      </w:r>
      <w:r>
        <w:rPr>
          <w:rFonts w:ascii="宋体" w:hAnsi="宋体" w:cs="宋体" w:eastAsia="宋体" w:hint="default"/>
          <w:b w:val="0"/>
          <w:bCs w:val="0"/>
        </w:rPr>
        <w:t>无</w:t>
      </w:r>
    </w:p>
    <w:p>
      <w:pPr>
        <w:pStyle w:val="Heading2"/>
        <w:spacing w:line="240" w:lineRule="auto" w:before="56"/>
        <w:ind w:right="0"/>
        <w:jc w:val="left"/>
        <w:rPr>
          <w:b w:val="0"/>
          <w:bCs w:val="0"/>
        </w:rPr>
      </w:pPr>
      <w:bookmarkStart w:name="49、专项储备" w:id="334"/>
      <w:bookmarkEnd w:id="334"/>
      <w:r>
        <w:rPr>
          <w:b w:val="0"/>
          <w:bCs w:val="0"/>
        </w:rPr>
      </w:r>
      <w:r>
        <w:rPr>
          <w:rFonts w:ascii="Times New Roman" w:hAnsi="Times New Roman" w:cs="Times New Roman" w:eastAsia="Times New Roman" w:hint="default"/>
        </w:rPr>
        <w:t>49</w:t>
      </w:r>
      <w:r>
        <w:rPr/>
        <w:t>、专项储备</w:t>
      </w:r>
      <w:r>
        <w:rPr>
          <w:b w:val="0"/>
          <w:bCs w:val="0"/>
        </w:rPr>
      </w:r>
    </w:p>
    <w:p>
      <w:pPr>
        <w:pStyle w:val="BodyText"/>
        <w:spacing w:line="240" w:lineRule="auto" w:before="127"/>
        <w:ind w:left="634" w:right="0"/>
        <w:jc w:val="left"/>
      </w:pPr>
      <w:r>
        <w:rPr/>
        <w:t>无</w:t>
      </w:r>
    </w:p>
    <w:p>
      <w:pPr>
        <w:pStyle w:val="Heading2"/>
        <w:spacing w:line="240" w:lineRule="auto" w:before="145"/>
        <w:ind w:right="0"/>
        <w:jc w:val="left"/>
        <w:rPr>
          <w:b w:val="0"/>
          <w:bCs w:val="0"/>
        </w:rPr>
      </w:pPr>
      <w:bookmarkStart w:name="50、盈余公积" w:id="335"/>
      <w:bookmarkEnd w:id="335"/>
      <w:r>
        <w:rPr>
          <w:b w:val="0"/>
          <w:bCs w:val="0"/>
        </w:rPr>
      </w:r>
      <w:r>
        <w:rPr>
          <w:rFonts w:ascii="Times New Roman" w:hAnsi="Times New Roman" w:cs="Times New Roman" w:eastAsia="Times New Roman" w:hint="default"/>
        </w:rPr>
        <w:t>50</w:t>
      </w:r>
      <w:r>
        <w:rPr/>
        <w:t>、盈余公积</w:t>
      </w:r>
      <w:r>
        <w:rPr>
          <w:b w:val="0"/>
          <w:bCs w:val="0"/>
        </w:rPr>
      </w:r>
    </w:p>
    <w:p>
      <w:pPr>
        <w:spacing w:before="9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64,909,865.84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3,360,357.13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68,270,222.97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64,909,865.84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3,360,357.13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68,270,222.97</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240" w:lineRule="auto" w:before="26"/>
        <w:ind w:left="634" w:right="-20"/>
        <w:jc w:val="left"/>
      </w:pPr>
      <w:r>
        <w:rPr/>
        <w:t>盈余公积说明，包括本期增减变动情况、变动原因说明：无</w:t>
      </w:r>
    </w:p>
    <w:p>
      <w:pPr>
        <w:pStyle w:val="Heading2"/>
        <w:spacing w:line="240" w:lineRule="auto" w:before="145"/>
        <w:ind w:right="-20"/>
        <w:jc w:val="left"/>
        <w:rPr>
          <w:b w:val="0"/>
          <w:bCs w:val="0"/>
        </w:rPr>
      </w:pPr>
      <w:bookmarkStart w:name="51、未分配利润" w:id="336"/>
      <w:bookmarkEnd w:id="336"/>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875" w:space="19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292,674,542.28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451,626,351.00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292,674,542.28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451,626,351.00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27,732,998.08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-151,742,824.19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3,360,357.13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3,442,420.33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3,766,564.20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1584" w:right="0"/>
              <w:jc w:val="left"/>
              <w:rPr>
                <w:rFonts w:ascii="Times New Roman" w:hAnsi="Times New Roman" w:cs="Times New Roman" w:eastAsia="Times New Roman" w:hint="default"/>
                <w:sz w:val="21"/>
                <w:szCs w:val="21"/>
              </w:rPr>
            </w:pPr>
            <w:r>
              <w:rPr>
                <w:rFonts w:ascii="Times New Roman"/>
                <w:sz w:val="21"/>
              </w:rPr>
              <w:t>317,047,183.23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73" w:right="0"/>
              <w:jc w:val="left"/>
              <w:rPr>
                <w:rFonts w:ascii="Times New Roman" w:hAnsi="Times New Roman" w:cs="Times New Roman" w:eastAsia="Times New Roman" w:hint="default"/>
                <w:sz w:val="21"/>
                <w:szCs w:val="21"/>
              </w:rPr>
            </w:pPr>
            <w:r>
              <w:rPr>
                <w:rFonts w:ascii="Times New Roman"/>
                <w:sz w:val="21"/>
              </w:rPr>
              <w:t>292,674,542.28</w:t>
            </w:r>
          </w:p>
        </w:tc>
      </w:tr>
    </w:tbl>
    <w:p>
      <w:pPr>
        <w:spacing w:line="240" w:lineRule="auto" w:before="10"/>
        <w:rPr>
          <w:rFonts w:ascii="宋体" w:hAnsi="宋体" w:cs="宋体" w:eastAsia="宋体" w:hint="default"/>
          <w:sz w:val="4"/>
          <w:szCs w:val="4"/>
        </w:rPr>
      </w:pPr>
    </w:p>
    <w:p>
      <w:pPr>
        <w:pStyle w:val="BodyText"/>
        <w:spacing w:line="352" w:lineRule="auto" w:before="26"/>
        <w:ind w:left="634" w:right="996"/>
        <w:jc w:val="left"/>
      </w:pPr>
      <w:r>
        <w:rPr/>
        <w:t>调整期初未分配利润明细： </w:t>
      </w:r>
      <w:r>
        <w:rPr>
          <w:rFonts w:ascii="宋体" w:hAnsi="宋体" w:cs="宋体" w:eastAsia="宋体" w:hint="default"/>
          <w:spacing w:val="-2"/>
        </w:rPr>
        <w:t>1)</w:t>
      </w:r>
      <w:r>
        <w:rPr>
          <w:spacing w:val="-2"/>
        </w:rPr>
        <w:t>、由于《企业会计准则》及其相关新规定进行追溯调整，影响期初未分配利润</w:t>
      </w:r>
      <w:r>
        <w:rPr>
          <w:rFonts w:ascii="宋体" w:hAnsi="宋体" w:cs="宋体" w:eastAsia="宋体" w:hint="default"/>
          <w:spacing w:val="-2"/>
        </w:rPr>
        <w:t>0.00</w:t>
      </w:r>
      <w:r>
        <w:rPr>
          <w:spacing w:val="-2"/>
        </w:rPr>
        <w:t>元。</w:t>
      </w:r>
    </w:p>
    <w:p>
      <w:pPr>
        <w:pStyle w:val="BodyText"/>
        <w:spacing w:line="240" w:lineRule="auto" w:before="33"/>
        <w:ind w:left="634" w:right="0"/>
        <w:jc w:val="left"/>
      </w:pPr>
      <w:r>
        <w:rPr>
          <w:rFonts w:ascii="宋体" w:hAnsi="宋体" w:cs="宋体" w:eastAsia="宋体" w:hint="default"/>
        </w:rPr>
        <w:t>2)</w:t>
      </w:r>
      <w:r>
        <w:rPr/>
        <w:t>、由于会计政策变更，影响期初未分配利润</w:t>
      </w:r>
      <w:r>
        <w:rPr>
          <w:rFonts w:ascii="宋体" w:hAnsi="宋体" w:cs="宋体" w:eastAsia="宋体" w:hint="default"/>
        </w:rPr>
        <w:t>0.00</w:t>
      </w:r>
      <w:r>
        <w:rPr/>
        <w:t>元。</w:t>
      </w:r>
    </w:p>
    <w:p>
      <w:pPr>
        <w:pStyle w:val="BodyText"/>
        <w:spacing w:line="240" w:lineRule="auto" w:before="145"/>
        <w:ind w:left="634" w:right="0"/>
        <w:jc w:val="left"/>
      </w:pPr>
      <w:r>
        <w:rPr>
          <w:rFonts w:ascii="宋体" w:hAnsi="宋体" w:cs="宋体" w:eastAsia="宋体" w:hint="default"/>
        </w:rPr>
        <w:t>3)</w:t>
      </w:r>
      <w:r>
        <w:rPr/>
        <w:t>、由于重大会计差错更正，影响期初未分配利润</w:t>
      </w:r>
      <w:r>
        <w:rPr>
          <w:rFonts w:ascii="宋体" w:hAnsi="宋体" w:cs="宋体" w:eastAsia="宋体" w:hint="default"/>
        </w:rPr>
        <w:t>0.00</w:t>
      </w:r>
      <w:r>
        <w:rPr/>
        <w:t>元。</w:t>
      </w:r>
    </w:p>
    <w:p>
      <w:pPr>
        <w:pStyle w:val="BodyText"/>
        <w:spacing w:line="240" w:lineRule="auto" w:before="146"/>
        <w:ind w:left="634" w:right="0"/>
        <w:jc w:val="left"/>
      </w:pPr>
      <w:r>
        <w:rPr>
          <w:rFonts w:ascii="宋体" w:hAnsi="宋体" w:cs="宋体" w:eastAsia="宋体" w:hint="default"/>
        </w:rPr>
        <w:t>4)</w:t>
      </w:r>
      <w:r>
        <w:rPr/>
        <w:t>、由于同一控制导致的合并范围变更，影响期初未分配利润</w:t>
      </w:r>
      <w:r>
        <w:rPr>
          <w:rFonts w:ascii="宋体" w:hAnsi="宋体" w:cs="宋体" w:eastAsia="宋体" w:hint="default"/>
        </w:rPr>
        <w:t>0.00</w:t>
      </w:r>
      <w:r>
        <w:rPr/>
        <w:t>元。</w:t>
      </w:r>
    </w:p>
    <w:p>
      <w:pPr>
        <w:pStyle w:val="BodyText"/>
        <w:spacing w:line="240" w:lineRule="auto" w:before="145"/>
        <w:ind w:left="634" w:right="0"/>
        <w:jc w:val="left"/>
      </w:pPr>
      <w:r>
        <w:rPr>
          <w:rFonts w:ascii="宋体" w:hAnsi="宋体" w:cs="宋体" w:eastAsia="宋体" w:hint="default"/>
        </w:rPr>
        <w:t>5)</w:t>
      </w:r>
      <w:r>
        <w:rPr/>
        <w:t>、其他调整合计影响期初未分配利润</w:t>
      </w:r>
      <w:r>
        <w:rPr>
          <w:rFonts w:ascii="宋体" w:hAnsi="宋体" w:cs="宋体" w:eastAsia="宋体" w:hint="default"/>
        </w:rPr>
        <w:t>0.00</w:t>
      </w:r>
      <w:r>
        <w:rPr/>
        <w:t>元。</w:t>
      </w:r>
    </w:p>
    <w:p>
      <w:pPr>
        <w:pStyle w:val="Heading2"/>
        <w:spacing w:line="240" w:lineRule="auto" w:before="145"/>
        <w:ind w:right="0"/>
        <w:jc w:val="left"/>
        <w:rPr>
          <w:b w:val="0"/>
          <w:bCs w:val="0"/>
        </w:rPr>
      </w:pPr>
      <w:bookmarkStart w:name="52、营业收入和营业成本" w:id="337"/>
      <w:bookmarkEnd w:id="337"/>
      <w:r>
        <w:rPr>
          <w:b w:val="0"/>
          <w:bCs w:val="0"/>
        </w:rPr>
      </w:r>
      <w:r>
        <w:rPr>
          <w:rFonts w:ascii="Times New Roman" w:hAnsi="Times New Roman" w:cs="Times New Roman" w:eastAsia="Times New Roman" w:hint="default"/>
        </w:rPr>
        <w:t>52</w:t>
      </w:r>
      <w:r>
        <w:rPr/>
        <w:t>、营业收入和营业成本</w:t>
      </w:r>
      <w:r>
        <w:rPr>
          <w:b w:val="0"/>
          <w:bCs w:val="0"/>
        </w:rPr>
      </w:r>
    </w:p>
    <w:p>
      <w:pPr>
        <w:spacing w:before="9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461,176,558.07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257,305,726.61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470,753,151.66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238,436,987.39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67,531,646.96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21,135,655.75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76,139,361.19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49,837,441.90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528,708,205.03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278,441,382.36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546,892,512.85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288,274,429.29</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240" w:lineRule="auto"/>
        <w:ind w:right="0"/>
        <w:jc w:val="left"/>
        <w:rPr>
          <w:b w:val="0"/>
          <w:bCs w:val="0"/>
        </w:rPr>
      </w:pPr>
      <w:bookmarkStart w:name="53、税金及附加" w:id="338"/>
      <w:bookmarkEnd w:id="338"/>
      <w:r>
        <w:rPr>
          <w:b w:val="0"/>
          <w:bCs w:val="0"/>
        </w:rPr>
      </w:r>
      <w:r>
        <w:rPr>
          <w:rFonts w:ascii="Times New Roman" w:hAnsi="Times New Roman" w:cs="Times New Roman" w:eastAsia="Times New Roman" w:hint="default"/>
          <w:w w:val="95"/>
        </w:rPr>
        <w:t>53</w:t>
      </w:r>
      <w:r>
        <w:rPr>
          <w:w w:val="95"/>
        </w:rPr>
        <w:t>、税金及附加</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838" w:space="6991"/>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2,998,193.91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3,366,890.74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2,141,567.14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2,405,423.96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892,111.45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405,744.12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527,109.16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524,995.96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37,830.00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28,880.00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736,386.42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371,375.58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防洪维护工程费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15,560.27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23,812.30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28,800.00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7,377,558.35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7,127,122.66</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240" w:lineRule="auto" w:before="26"/>
        <w:ind w:left="634" w:right="-20"/>
        <w:jc w:val="left"/>
      </w:pPr>
      <w:r>
        <w:rPr/>
        <w:t>其他说明：无</w:t>
      </w:r>
    </w:p>
    <w:p>
      <w:pPr>
        <w:pStyle w:val="Heading2"/>
        <w:spacing w:line="240" w:lineRule="auto" w:before="145"/>
        <w:ind w:right="-20"/>
        <w:jc w:val="left"/>
        <w:rPr>
          <w:b w:val="0"/>
          <w:bCs w:val="0"/>
        </w:rPr>
      </w:pPr>
      <w:bookmarkStart w:name="54、销售费用" w:id="339"/>
      <w:bookmarkEnd w:id="339"/>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075" w:space="67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26"/>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10,788,540.34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2"/>
                <w:sz w:val="21"/>
              </w:rPr>
              <w:t>8,626,111.55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运输及维修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1,263,512.69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2,309,080.46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908,084.25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938,170.85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167,156.71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63,082.08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670,020.75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294,339.62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15,117,607.50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10,369,231.32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5,950,160.04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3,693,487.81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招标及咨询费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2,536,292.37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3,529,066.56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185,482.29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96,823.32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34,925.82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731,391.10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1,176,753.12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38,353,173.86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31,096,146.69</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BodyText"/>
        <w:spacing w:line="240" w:lineRule="auto" w:before="26"/>
        <w:ind w:left="634" w:right="-20"/>
        <w:jc w:val="left"/>
      </w:pPr>
      <w:r>
        <w:rPr/>
        <w:t>其他说明：无</w:t>
      </w:r>
    </w:p>
    <w:p>
      <w:pPr>
        <w:pStyle w:val="Heading2"/>
        <w:spacing w:line="240" w:lineRule="auto" w:before="146"/>
        <w:ind w:right="-20"/>
        <w:jc w:val="left"/>
        <w:rPr>
          <w:b w:val="0"/>
          <w:bCs w:val="0"/>
        </w:rPr>
      </w:pPr>
      <w:bookmarkStart w:name="55、管理费用" w:id="340"/>
      <w:bookmarkEnd w:id="340"/>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075" w:space="67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15,245,074.64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14,695,605.80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修理及运输</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636,483.20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837,060.04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4,262,681.38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5,721,459.75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3,156,385.34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4,985,164.85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1,528,945.10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1,336,529.62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2,041,237.19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1,480,705.68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3,413,554.66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13,371,955.51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4,695,427.23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5,973,697.15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34,979,788.74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48,402,178.40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240" w:lineRule="auto" w:before="26"/>
        <w:ind w:left="634" w:right="-20"/>
        <w:jc w:val="left"/>
      </w:pPr>
      <w:r>
        <w:rPr/>
        <w:t>其他说明：无</w:t>
      </w:r>
    </w:p>
    <w:p>
      <w:pPr>
        <w:pStyle w:val="Heading2"/>
        <w:spacing w:line="240" w:lineRule="auto" w:before="145"/>
        <w:ind w:right="-20"/>
        <w:jc w:val="left"/>
        <w:rPr>
          <w:b w:val="0"/>
          <w:bCs w:val="0"/>
        </w:rPr>
      </w:pPr>
      <w:bookmarkStart w:name="56、研发费用" w:id="341"/>
      <w:bookmarkEnd w:id="341"/>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075" w:space="67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30,488,662.81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27,722,140.68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研发折旧费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1,777,161.06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4,306,584.46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研发运输费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557,211.60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555,553.20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3,457.00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5,573.50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10,759,591.34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8,086,868.45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725,679.38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175,353.14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4,558,874.73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2,808,292.67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14,196,837.54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13,559,436.93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1,258,835.98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2,567,547.97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64,326,311.44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59,787,351.00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BodyText"/>
        <w:spacing w:line="240" w:lineRule="auto" w:before="26"/>
        <w:ind w:left="634" w:right="-20"/>
        <w:jc w:val="left"/>
      </w:pPr>
      <w:r>
        <w:rPr/>
        <w:t>其他说明：无</w:t>
      </w:r>
    </w:p>
    <w:p>
      <w:pPr>
        <w:pStyle w:val="Heading2"/>
        <w:spacing w:line="240" w:lineRule="auto" w:before="147"/>
        <w:ind w:right="-20"/>
        <w:jc w:val="left"/>
        <w:rPr>
          <w:b w:val="0"/>
          <w:bCs w:val="0"/>
        </w:rPr>
      </w:pPr>
      <w:bookmarkStart w:name="57、财务费用" w:id="342"/>
      <w:bookmarkEnd w:id="342"/>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075" w:space="67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26"/>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21,588,580.36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27,626,904.32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8,777,656.10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12,348,452.59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803,205.11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362,584.53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13,614,129.37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15,641,036.26</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240" w:lineRule="auto" w:before="26"/>
        <w:ind w:left="634" w:right="-16"/>
        <w:jc w:val="left"/>
      </w:pPr>
      <w:r>
        <w:rPr/>
        <w:t>其他说明：无</w:t>
      </w:r>
    </w:p>
    <w:p>
      <w:pPr>
        <w:pStyle w:val="Heading2"/>
        <w:spacing w:line="240" w:lineRule="auto" w:before="145"/>
        <w:ind w:right="-16"/>
        <w:jc w:val="left"/>
        <w:rPr>
          <w:b w:val="0"/>
          <w:bCs w:val="0"/>
        </w:rPr>
      </w:pPr>
      <w:bookmarkStart w:name="58、资产减值损失" w:id="343"/>
      <w:bookmarkEnd w:id="343"/>
      <w:r>
        <w:rPr>
          <w:b w:val="0"/>
          <w:bCs w:val="0"/>
        </w:rPr>
      </w:r>
      <w:r>
        <w:rPr>
          <w:rFonts w:ascii="Times New Roman" w:hAnsi="Times New Roman" w:cs="Times New Roman" w:eastAsia="Times New Roman" w:hint="default"/>
          <w:w w:val="95"/>
        </w:rPr>
        <w:t>58</w:t>
      </w:r>
      <w:r>
        <w:rPr>
          <w:w w:val="95"/>
        </w:rPr>
        <w:t>、资产减值损失</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079" w:space="6750"/>
            <w:col w:w="210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9,427,974.18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12,620,080.06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114,634,100.00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70,369,711.34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60,828,805.98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37,619,858.22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70,256,780.16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235,243,749.62</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240" w:lineRule="auto" w:before="26"/>
        <w:ind w:left="634" w:right="-20"/>
        <w:jc w:val="left"/>
      </w:pPr>
      <w:r>
        <w:rPr/>
        <w:t>其他说明：无</w:t>
      </w:r>
    </w:p>
    <w:p>
      <w:pPr>
        <w:pStyle w:val="Heading2"/>
        <w:spacing w:line="240" w:lineRule="auto" w:before="145"/>
        <w:ind w:right="-20"/>
        <w:jc w:val="left"/>
        <w:rPr>
          <w:b w:val="0"/>
          <w:bCs w:val="0"/>
        </w:rPr>
      </w:pPr>
      <w:bookmarkStart w:name="59、其他收益" w:id="344"/>
      <w:bookmarkEnd w:id="344"/>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075" w:space="67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产生其他收益的来源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2,697,456.85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1,347,876.18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递延收益摊销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2,700,000.00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增值税超税负返还收入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19,152,802.19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24,513,275.80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代扣个人所得税手续费返还</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56,650.68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24,406,909.72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28,561,151.98</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0"/>
        <w:jc w:val="left"/>
        <w:rPr>
          <w:b w:val="0"/>
          <w:bCs w:val="0"/>
        </w:rPr>
      </w:pPr>
      <w:bookmarkStart w:name="60、投资收益" w:id="345"/>
      <w:bookmarkEnd w:id="345"/>
      <w:r>
        <w:rPr>
          <w:b w:val="0"/>
          <w:bCs w:val="0"/>
        </w:rPr>
      </w:r>
      <w:r>
        <w:rPr>
          <w:rFonts w:ascii="Times New Roman" w:hAnsi="Times New Roman" w:cs="Times New Roman" w:eastAsia="Times New Roman" w:hint="default"/>
          <w:w w:val="95"/>
        </w:rPr>
        <w:t>60</w:t>
      </w:r>
      <w:r>
        <w:rPr>
          <w:w w:val="95"/>
        </w:rPr>
        <w:t>、投资收益</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97" w:space="7232"/>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92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-8,100,836.71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-14,910,780.43</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12,840,775.90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195,569.93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5" w:right="0"/>
              <w:jc w:val="left"/>
              <w:rPr>
                <w:rFonts w:ascii="Times New Roman" w:hAnsi="Times New Roman" w:cs="Times New Roman" w:eastAsia="Times New Roman" w:hint="default"/>
                <w:sz w:val="21"/>
                <w:szCs w:val="21"/>
              </w:rPr>
            </w:pPr>
            <w:r>
              <w:rPr>
                <w:rFonts w:ascii="Times New Roman"/>
                <w:sz w:val="21"/>
              </w:rPr>
              <w:t>4,739,939.19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08" w:right="0"/>
              <w:jc w:val="left"/>
              <w:rPr>
                <w:rFonts w:ascii="Times New Roman" w:hAnsi="Times New Roman" w:cs="Times New Roman" w:eastAsia="Times New Roman" w:hint="default"/>
                <w:sz w:val="21"/>
                <w:szCs w:val="21"/>
              </w:rPr>
            </w:pPr>
            <w:r>
              <w:rPr>
                <w:rFonts w:ascii="Times New Roman"/>
                <w:sz w:val="21"/>
              </w:rPr>
              <w:t>-14,715,210.50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BodyText"/>
        <w:spacing w:line="240" w:lineRule="auto" w:before="26"/>
        <w:ind w:left="634" w:right="-20"/>
        <w:jc w:val="left"/>
      </w:pPr>
      <w:r>
        <w:rPr/>
        <w:t>其他说明：本期投资收益较上期增加主要系银行理财产品收益增加所致。</w:t>
      </w:r>
    </w:p>
    <w:p>
      <w:pPr>
        <w:pStyle w:val="Heading2"/>
        <w:spacing w:line="331" w:lineRule="auto" w:before="146"/>
        <w:ind w:left="634" w:right="5652" w:hanging="480"/>
        <w:jc w:val="left"/>
        <w:rPr>
          <w:rFonts w:ascii="宋体" w:hAnsi="宋体" w:cs="宋体" w:eastAsia="宋体" w:hint="default"/>
          <w:b w:val="0"/>
          <w:bCs w:val="0"/>
        </w:rPr>
      </w:pPr>
      <w:bookmarkStart w:name="61、公允价值变动收益" w:id="346"/>
      <w:bookmarkEnd w:id="346"/>
      <w:r>
        <w:rPr>
          <w:b w:val="0"/>
          <w:bCs w:val="0"/>
        </w:rPr>
      </w:r>
      <w:r>
        <w:rPr>
          <w:rFonts w:ascii="Times New Roman" w:hAnsi="Times New Roman" w:cs="Times New Roman" w:eastAsia="Times New Roman" w:hint="default"/>
          <w:w w:val="95"/>
        </w:rPr>
        <w:t>61</w:t>
      </w:r>
      <w:r>
        <w:rPr>
          <w:w w:val="95"/>
        </w:rPr>
        <w:t>、公允价值变动收益</w:t>
      </w:r>
      <w:r>
        <w:rPr>
          <w:spacing w:val="-3"/>
          <w:w w:val="95"/>
        </w:rPr>
        <w:t> </w:t>
      </w:r>
      <w:r>
        <w:rPr>
          <w:rFonts w:ascii="宋体" w:hAnsi="宋体" w:cs="宋体" w:eastAsia="宋体" w:hint="default"/>
          <w:b w:val="0"/>
          <w:bCs w:val="0"/>
        </w:rPr>
        <w:t>无</w:t>
      </w:r>
    </w:p>
    <w:p>
      <w:pPr>
        <w:pStyle w:val="Heading2"/>
        <w:spacing w:line="333" w:lineRule="auto" w:before="54"/>
        <w:ind w:left="634" w:right="6109" w:hanging="480"/>
        <w:jc w:val="left"/>
        <w:rPr>
          <w:rFonts w:ascii="宋体" w:hAnsi="宋体" w:cs="宋体" w:eastAsia="宋体" w:hint="default"/>
          <w:b w:val="0"/>
          <w:bCs w:val="0"/>
        </w:rPr>
      </w:pPr>
      <w:bookmarkStart w:name="62、资产处置收益" w:id="347"/>
      <w:bookmarkEnd w:id="347"/>
      <w:r>
        <w:rPr>
          <w:b w:val="0"/>
          <w:bCs w:val="0"/>
        </w:rPr>
      </w:r>
      <w:r>
        <w:rPr>
          <w:rFonts w:ascii="Times New Roman" w:hAnsi="Times New Roman" w:cs="Times New Roman" w:eastAsia="Times New Roman" w:hint="default"/>
          <w:w w:val="95"/>
        </w:rPr>
        <w:t>62</w:t>
      </w:r>
      <w:r>
        <w:rPr>
          <w:w w:val="95"/>
        </w:rPr>
        <w:t>、资产处置收益</w:t>
      </w:r>
      <w:r>
        <w:rPr>
          <w:spacing w:val="-26"/>
          <w:w w:val="95"/>
        </w:rPr>
        <w:t> </w:t>
      </w:r>
      <w:r>
        <w:rPr>
          <w:rFonts w:ascii="宋体" w:hAnsi="宋体" w:cs="宋体" w:eastAsia="宋体" w:hint="default"/>
          <w:b w:val="0"/>
          <w:bCs w:val="0"/>
        </w:rPr>
        <w:t>无</w:t>
      </w:r>
    </w:p>
    <w:p>
      <w:pPr>
        <w:pStyle w:val="Heading2"/>
        <w:spacing w:line="240" w:lineRule="auto" w:before="52"/>
        <w:ind w:right="-20"/>
        <w:jc w:val="left"/>
        <w:rPr>
          <w:b w:val="0"/>
          <w:bCs w:val="0"/>
        </w:rPr>
      </w:pPr>
      <w:bookmarkStart w:name="63、营业外收入" w:id="348"/>
      <w:bookmarkEnd w:id="348"/>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315" w:space="5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6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80" w:right="35" w:hanging="945"/>
              <w:jc w:val="left"/>
              <w:rPr>
                <w:rFonts w:ascii="宋体" w:hAnsi="宋体" w:cs="宋体" w:eastAsia="宋体" w:hint="default"/>
                <w:sz w:val="21"/>
                <w:szCs w:val="21"/>
              </w:rPr>
            </w:pPr>
            <w:r>
              <w:rPr>
                <w:rFonts w:ascii="宋体" w:hAnsi="宋体" w:cs="宋体" w:eastAsia="宋体" w:hint="default"/>
                <w:sz w:val="21"/>
                <w:szCs w:val="21"/>
              </w:rPr>
              <w:t>计入当期非经常性损益的 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260,000.00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260,000.00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30,865.89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375,270.80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30,865.89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290,865.89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375,270.80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290865.89</w:t>
            </w:r>
          </w:p>
        </w:tc>
      </w:tr>
    </w:tbl>
    <w:p>
      <w:pPr>
        <w:spacing w:line="240" w:lineRule="auto" w:before="10"/>
        <w:rPr>
          <w:rFonts w:ascii="宋体" w:hAnsi="宋体" w:cs="宋体" w:eastAsia="宋体" w:hint="default"/>
          <w:sz w:val="4"/>
          <w:szCs w:val="4"/>
        </w:rPr>
      </w:pPr>
    </w:p>
    <w:p>
      <w:pPr>
        <w:pStyle w:val="BodyText"/>
        <w:spacing w:line="352" w:lineRule="auto" w:before="26"/>
        <w:ind w:left="634" w:right="1152"/>
        <w:jc w:val="left"/>
      </w:pPr>
      <w:r>
        <w:rPr/>
        <w:t>计入当期损益的政府补助：无 其他说明：公司与陕西商山物流有限公司签订了《陕西商山物流有限公司无线调车机车</w:t>
      </w:r>
    </w:p>
    <w:p>
      <w:pPr>
        <w:pStyle w:val="BodyText"/>
        <w:spacing w:line="352" w:lineRule="auto" w:before="32"/>
        <w:ind w:right="1169"/>
        <w:jc w:val="both"/>
      </w:pPr>
      <w:r>
        <w:rPr/>
        <w:t>信号和监控系统实施合同》，陕西商山物流有限公司预付</w:t>
      </w:r>
      <w:r>
        <w:rPr>
          <w:rFonts w:ascii="宋体" w:hAnsi="宋体" w:cs="宋体" w:eastAsia="宋体" w:hint="default"/>
        </w:rPr>
        <w:t>26</w:t>
      </w:r>
      <w:r>
        <w:rPr/>
        <w:t>万工程款，合同执行过程中，出 现了协议中不可抗力因素导致合同无法实施，双方补充协议约定：解除合同，公司已经收到 的预付款不予退还，公司根据补充协议调整往来款计入当期损益。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60" w:bottom="1160" w:left="980" w:right="0"/>
        </w:sectPr>
      </w:pPr>
    </w:p>
    <w:p>
      <w:pPr>
        <w:pStyle w:val="Heading2"/>
        <w:spacing w:line="240" w:lineRule="auto"/>
        <w:ind w:right="0"/>
        <w:jc w:val="left"/>
        <w:rPr>
          <w:b w:val="0"/>
          <w:bCs w:val="0"/>
        </w:rPr>
      </w:pPr>
      <w:bookmarkStart w:name="64、营业外支出" w:id="349"/>
      <w:bookmarkEnd w:id="349"/>
      <w:r>
        <w:rPr>
          <w:b w:val="0"/>
          <w:bCs w:val="0"/>
        </w:rPr>
      </w:r>
      <w:r>
        <w:rPr>
          <w:rFonts w:ascii="Times New Roman" w:hAnsi="Times New Roman" w:cs="Times New Roman" w:eastAsia="Times New Roman" w:hint="default"/>
          <w:w w:val="95"/>
        </w:rPr>
        <w:t>64</w:t>
      </w:r>
      <w:r>
        <w:rPr>
          <w:w w:val="95"/>
        </w:rPr>
        <w:t>、营业外支出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838" w:space="6991"/>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6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80" w:right="35" w:hanging="945"/>
              <w:jc w:val="left"/>
              <w:rPr>
                <w:rFonts w:ascii="宋体" w:hAnsi="宋体" w:cs="宋体" w:eastAsia="宋体" w:hint="default"/>
                <w:sz w:val="21"/>
                <w:szCs w:val="21"/>
              </w:rPr>
            </w:pPr>
            <w:r>
              <w:rPr>
                <w:rFonts w:ascii="宋体" w:hAnsi="宋体" w:cs="宋体" w:eastAsia="宋体" w:hint="default"/>
                <w:sz w:val="21"/>
                <w:szCs w:val="21"/>
              </w:rPr>
              <w:t>计入当期非经常性损益的 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2,073,271.64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110,000.00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非流动资产报废损失合计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145,761.44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12,381.05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145,761.44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其中：固定资产报废损失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145,761.44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12,381.05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145,761.44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2"/>
                <w:sz w:val="21"/>
              </w:rPr>
              <w:t>111,200.00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3,483,844.10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2"/>
                <w:sz w:val="21"/>
              </w:rPr>
              <w:t>111,200.00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256,961.44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5,679,496.79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256,961.44</w:t>
            </w:r>
          </w:p>
        </w:tc>
      </w:tr>
    </w:tbl>
    <w:p>
      <w:pPr>
        <w:spacing w:line="240" w:lineRule="auto" w:before="10"/>
        <w:rPr>
          <w:rFonts w:ascii="宋体" w:hAnsi="宋体" w:cs="宋体" w:eastAsia="宋体" w:hint="default"/>
          <w:sz w:val="4"/>
          <w:szCs w:val="4"/>
        </w:rPr>
      </w:pPr>
    </w:p>
    <w:p>
      <w:pPr>
        <w:pStyle w:val="BodyText"/>
        <w:spacing w:line="350" w:lineRule="auto" w:before="26"/>
        <w:ind w:left="634" w:right="1152"/>
        <w:jc w:val="left"/>
      </w:pPr>
      <w:r>
        <w:rPr/>
        <w:t>其他说明： 营业外支出本期发生额较上期发生额减少</w:t>
      </w:r>
      <w:r>
        <w:rPr>
          <w:rFonts w:ascii="宋体" w:hAnsi="宋体" w:cs="宋体" w:eastAsia="宋体" w:hint="default"/>
        </w:rPr>
        <w:t>5,422,535.35</w:t>
      </w:r>
      <w:r>
        <w:rPr/>
        <w:t>元，减少比例为</w:t>
      </w:r>
      <w:r>
        <w:rPr>
          <w:rFonts w:ascii="宋体" w:hAnsi="宋体" w:cs="宋体" w:eastAsia="宋体" w:hint="default"/>
        </w:rPr>
        <w:t>95.48%</w:t>
      </w:r>
      <w:r>
        <w:rPr/>
        <w:t>，主要系</w:t>
      </w:r>
    </w:p>
    <w:p>
      <w:pPr>
        <w:pStyle w:val="BodyText"/>
        <w:spacing w:line="240" w:lineRule="auto" w:before="35"/>
        <w:ind w:right="0"/>
        <w:jc w:val="left"/>
      </w:pPr>
      <w:r>
        <w:rPr/>
        <w:t>上期债务重组损失金额较大所致。</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Heading2"/>
        <w:spacing w:line="240" w:lineRule="auto" w:before="199"/>
        <w:ind w:right="0"/>
        <w:jc w:val="left"/>
        <w:rPr>
          <w:b w:val="0"/>
          <w:bCs w:val="0"/>
        </w:rPr>
      </w:pPr>
      <w:bookmarkStart w:name="65、所得税费用" w:id="350"/>
      <w:bookmarkEnd w:id="350"/>
      <w:r>
        <w:rPr>
          <w:b w:val="0"/>
          <w:bCs w:val="0"/>
        </w:rPr>
      </w:r>
      <w:r>
        <w:rPr>
          <w:rFonts w:ascii="Times New Roman" w:hAnsi="Times New Roman" w:cs="Times New Roman" w:eastAsia="Times New Roman" w:hint="default"/>
        </w:rPr>
        <w:t>65</w:t>
      </w:r>
      <w:r>
        <w:rPr/>
        <w:t>、所得税费用</w:t>
      </w:r>
      <w:r>
        <w:rPr>
          <w:b w:val="0"/>
          <w:bCs w:val="0"/>
        </w:rPr>
      </w:r>
    </w:p>
    <w:p>
      <w:pPr>
        <w:pStyle w:val="Heading2"/>
        <w:spacing w:line="240" w:lineRule="auto" w:before="127"/>
        <w:ind w:right="0"/>
        <w:jc w:val="left"/>
        <w:rPr>
          <w:b w:val="0"/>
          <w:bCs w:val="0"/>
        </w:rPr>
      </w:pPr>
      <w:bookmarkStart w:name="（1）所得税费用表" w:id="351"/>
      <w:bookmarkEnd w:id="351"/>
      <w:r>
        <w:rPr>
          <w:b w:val="0"/>
          <w:bCs w:val="0"/>
        </w:rPr>
      </w:r>
      <w:r>
        <w:rPr>
          <w:w w:val="95"/>
        </w:rPr>
        <w:t>（</w:t>
      </w:r>
      <w:r>
        <w:rPr>
          <w:rFonts w:ascii="Times New Roman" w:hAnsi="Times New Roman" w:cs="Times New Roman" w:eastAsia="Times New Roman" w:hint="default"/>
          <w:w w:val="95"/>
        </w:rPr>
        <w:t>1</w:t>
      </w:r>
      <w:r>
        <w:rPr>
          <w:w w:val="95"/>
        </w:rPr>
        <w:t>）所得税费用表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4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201" w:space="6629"/>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20,644,854.84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21,794,054.19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-4,559,488.87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-5,592,333.53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16,085,365.97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16,201,720.66</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0"/>
        <w:jc w:val="left"/>
        <w:rPr>
          <w:b w:val="0"/>
          <w:bCs w:val="0"/>
        </w:rPr>
      </w:pPr>
      <w:bookmarkStart w:name="（2）会计利润与所得税费用调整过程" w:id="352"/>
      <w:bookmarkEnd w:id="352"/>
      <w:r>
        <w:rPr>
          <w:b w:val="0"/>
          <w:bCs w:val="0"/>
        </w:rPr>
      </w:r>
      <w:r>
        <w:rPr>
          <w:w w:val="95"/>
        </w:rPr>
        <w:t>（</w:t>
      </w:r>
      <w:r>
        <w:rPr>
          <w:rFonts w:ascii="Times New Roman" w:hAnsi="Times New Roman" w:cs="Times New Roman" w:eastAsia="Times New Roman" w:hint="default"/>
          <w:w w:val="95"/>
        </w:rPr>
        <w:t>2</w:t>
      </w:r>
      <w:r>
        <w:rPr>
          <w:w w:val="95"/>
        </w:rPr>
        <w:t>）会计利润与所得税费用调整过程</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26" w:space="4703"/>
            <w:col w:w="210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50,539,834.11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7,549,383.01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-446,171.24</w:t>
            </w:r>
            <w:r>
              <w:rPr>
                <w:rFonts w:ascii="Times New Roman"/>
                <w:sz w:val="21"/>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-69,118.19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-538,500.00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2,184,231.47</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15"/>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 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-824,571.86</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6"/>
              <w:ind w:left="11" w:right="115"/>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 可抵扣亏损的影响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12,132,172.92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研发加计扣除的影响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-2,542,332.04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-1,359,728.10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16,085,365.97</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240" w:lineRule="auto" w:before="26"/>
        <w:ind w:left="634" w:right="1202"/>
        <w:jc w:val="left"/>
      </w:pPr>
      <w:r>
        <w:rPr/>
        <w:t>其他说明：无</w:t>
      </w:r>
    </w:p>
    <w:p>
      <w:pPr>
        <w:spacing w:line="333" w:lineRule="auto" w:before="145"/>
        <w:ind w:left="634" w:right="1202" w:hanging="480"/>
        <w:jc w:val="left"/>
        <w:rPr>
          <w:rFonts w:ascii="宋体" w:hAnsi="宋体" w:cs="宋体" w:eastAsia="宋体" w:hint="default"/>
          <w:sz w:val="24"/>
          <w:szCs w:val="24"/>
        </w:rPr>
      </w:pPr>
      <w:bookmarkStart w:name="66、其他综合收益" w:id="353"/>
      <w:bookmarkEnd w:id="353"/>
      <w:r>
        <w:rPr/>
      </w:r>
      <w:r>
        <w:rPr>
          <w:rFonts w:ascii="Times New Roman" w:hAnsi="Times New Roman" w:cs="Times New Roman" w:eastAsia="Times New Roman" w:hint="default"/>
          <w:b/>
          <w:bCs/>
          <w:w w:val="95"/>
          <w:sz w:val="24"/>
          <w:szCs w:val="24"/>
        </w:rPr>
        <w:t>66</w:t>
      </w:r>
      <w:r>
        <w:rPr>
          <w:rFonts w:ascii="宋体" w:hAnsi="宋体" w:cs="宋体" w:eastAsia="宋体" w:hint="default"/>
          <w:b/>
          <w:bCs/>
          <w:w w:val="95"/>
          <w:sz w:val="24"/>
          <w:szCs w:val="24"/>
        </w:rPr>
        <w:t>、其他综合收益</w:t>
      </w:r>
      <w:r>
        <w:rPr>
          <w:rFonts w:ascii="宋体" w:hAnsi="宋体" w:cs="宋体" w:eastAsia="宋体" w:hint="default"/>
          <w:b/>
          <w:bCs/>
          <w:spacing w:val="-26"/>
          <w:w w:val="95"/>
          <w:sz w:val="24"/>
          <w:szCs w:val="24"/>
        </w:rPr>
        <w:t> </w:t>
      </w:r>
      <w:r>
        <w:rPr>
          <w:rFonts w:ascii="宋体" w:hAnsi="宋体" w:cs="宋体" w:eastAsia="宋体" w:hint="default"/>
          <w:sz w:val="24"/>
          <w:szCs w:val="24"/>
        </w:rPr>
        <w:t>详见附注。</w:t>
      </w:r>
    </w:p>
    <w:p>
      <w:pPr>
        <w:pStyle w:val="Heading2"/>
        <w:spacing w:line="240" w:lineRule="auto" w:before="52"/>
        <w:ind w:right="1202"/>
        <w:jc w:val="left"/>
        <w:rPr>
          <w:b w:val="0"/>
          <w:bCs w:val="0"/>
        </w:rPr>
      </w:pPr>
      <w:bookmarkStart w:name="67、现金流量表项目" w:id="354"/>
      <w:bookmarkEnd w:id="354"/>
      <w:r>
        <w:rPr>
          <w:b w:val="0"/>
          <w:bCs w:val="0"/>
        </w:rPr>
      </w:r>
      <w:r>
        <w:rPr>
          <w:rFonts w:ascii="Times New Roman" w:hAnsi="Times New Roman" w:cs="Times New Roman" w:eastAsia="Times New Roman" w:hint="default"/>
        </w:rPr>
        <w:t>67</w:t>
      </w:r>
      <w:r>
        <w:rPr/>
        <w:t>、现金流量表项目</w:t>
      </w:r>
      <w:r>
        <w:rPr>
          <w:b w:val="0"/>
          <w:bCs w:val="0"/>
        </w:rPr>
      </w:r>
    </w:p>
    <w:p>
      <w:pPr>
        <w:pStyle w:val="Heading2"/>
        <w:spacing w:line="240" w:lineRule="auto" w:before="127"/>
        <w:ind w:right="0"/>
        <w:jc w:val="left"/>
        <w:rPr>
          <w:b w:val="0"/>
          <w:bCs w:val="0"/>
        </w:rPr>
      </w:pPr>
      <w:bookmarkStart w:name="（1）收到的其他与经营活动有关的现金" w:id="355"/>
      <w:bookmarkEnd w:id="355"/>
      <w:r>
        <w:rPr>
          <w:b w:val="0"/>
          <w:bCs w:val="0"/>
        </w:rPr>
      </w:r>
      <w:r>
        <w:rPr>
          <w:w w:val="95"/>
        </w:rPr>
        <w:t>（</w:t>
      </w:r>
      <w:r>
        <w:rPr>
          <w:rFonts w:ascii="Times New Roman" w:hAnsi="Times New Roman" w:cs="Times New Roman" w:eastAsia="Times New Roman" w:hint="default"/>
          <w:w w:val="95"/>
        </w:rPr>
        <w:t>1</w:t>
      </w:r>
      <w:r>
        <w:rPr>
          <w:w w:val="95"/>
        </w:rPr>
        <w:t>）收到的其他与经营活动有关的现金</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367" w:space="4462"/>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政府各类补助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2,697,456.85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1,347,876.18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其他收益加营业外收入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87,516.57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44,775.80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8,777,656.10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12,348,452.59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其它暂收往来款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5,602,587.69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6,351,740.23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2" w:right="0"/>
              <w:jc w:val="left"/>
              <w:rPr>
                <w:rFonts w:ascii="Times New Roman" w:hAnsi="Times New Roman" w:cs="Times New Roman" w:eastAsia="Times New Roman" w:hint="default"/>
                <w:sz w:val="21"/>
                <w:szCs w:val="21"/>
              </w:rPr>
            </w:pPr>
            <w:r>
              <w:rPr>
                <w:rFonts w:ascii="Times New Roman"/>
                <w:sz w:val="21"/>
              </w:rPr>
              <w:t>17,165,217.21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49" w:right="0"/>
              <w:jc w:val="left"/>
              <w:rPr>
                <w:rFonts w:ascii="Times New Roman" w:hAnsi="Times New Roman" w:cs="Times New Roman" w:eastAsia="Times New Roman" w:hint="default"/>
                <w:sz w:val="21"/>
                <w:szCs w:val="21"/>
              </w:rPr>
            </w:pPr>
            <w:r>
              <w:rPr>
                <w:rFonts w:ascii="Times New Roman"/>
                <w:sz w:val="21"/>
              </w:rPr>
              <w:t>20,092,844.80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BodyText"/>
        <w:spacing w:line="240" w:lineRule="auto" w:before="26"/>
        <w:ind w:left="634" w:right="-20"/>
        <w:jc w:val="left"/>
      </w:pPr>
      <w:r>
        <w:rPr/>
        <w:t>收到的其他与经营活动有关的现金说明：无</w:t>
      </w:r>
    </w:p>
    <w:p>
      <w:pPr>
        <w:pStyle w:val="Heading2"/>
        <w:spacing w:line="240" w:lineRule="auto" w:before="146"/>
        <w:ind w:right="-20"/>
        <w:jc w:val="left"/>
        <w:rPr>
          <w:b w:val="0"/>
          <w:bCs w:val="0"/>
        </w:rPr>
      </w:pPr>
      <w:bookmarkStart w:name="（2）支付的其他与经营活动有关的现金" w:id="356"/>
      <w:bookmarkEnd w:id="35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195" w:space="36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2"/>
                <w:sz w:val="21"/>
                <w:szCs w:val="21"/>
              </w:rPr>
              <w:t>销售费用、管理费用、研发费用付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76,080,690.62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77,439,704.47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财务费用手续费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803,205.11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362,584.53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营业外支出付现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111,200.00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3,485,864.10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其他暂付款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7,806,379.81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9,037,911.36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所有权受限资产增加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8,011,021.79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2,459,971.35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92,812,497.33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92,786,035.81</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240" w:lineRule="auto" w:before="26"/>
        <w:ind w:left="634" w:right="-20"/>
        <w:jc w:val="left"/>
      </w:pPr>
      <w:r>
        <w:rPr/>
        <w:t>支付的其他与经营活动有关的现金说明：无</w:t>
      </w:r>
    </w:p>
    <w:p>
      <w:pPr>
        <w:pStyle w:val="Heading2"/>
        <w:spacing w:line="333" w:lineRule="auto" w:before="145"/>
        <w:ind w:left="634" w:right="815" w:hanging="480"/>
        <w:jc w:val="left"/>
        <w:rPr>
          <w:rFonts w:ascii="宋体" w:hAnsi="宋体" w:cs="宋体" w:eastAsia="宋体" w:hint="default"/>
          <w:b w:val="0"/>
          <w:bCs w:val="0"/>
        </w:rPr>
      </w:pPr>
      <w:bookmarkStart w:name="（3）收到的其他与投资活动有关的现金" w:id="357"/>
      <w:bookmarkEnd w:id="357"/>
      <w:r>
        <w:rPr>
          <w:b w:val="0"/>
          <w:bCs w:val="0"/>
        </w:rPr>
      </w:r>
      <w:r>
        <w:rPr>
          <w:w w:val="95"/>
        </w:rPr>
        <w:t>（</w:t>
      </w:r>
      <w:r>
        <w:rPr>
          <w:rFonts w:ascii="Times New Roman" w:hAnsi="Times New Roman" w:cs="Times New Roman" w:eastAsia="Times New Roman" w:hint="default"/>
          <w:w w:val="95"/>
        </w:rPr>
        <w:t>3</w:t>
      </w:r>
      <w:r>
        <w:rPr>
          <w:w w:val="95"/>
        </w:rPr>
        <w:t>）收到的其他与投资活动有关的现金</w:t>
      </w:r>
      <w:r>
        <w:rPr>
          <w:spacing w:val="80"/>
          <w:w w:val="95"/>
        </w:rPr>
        <w:t> </w:t>
      </w:r>
      <w:r>
        <w:rPr>
          <w:rFonts w:ascii="宋体" w:hAnsi="宋体" w:cs="宋体" w:eastAsia="宋体" w:hint="default"/>
          <w:b w:val="0"/>
          <w:bCs w:val="0"/>
        </w:rPr>
        <w:t>无</w:t>
      </w:r>
    </w:p>
    <w:p>
      <w:pPr>
        <w:pStyle w:val="Heading2"/>
        <w:spacing w:line="331" w:lineRule="auto" w:before="52"/>
        <w:ind w:left="634" w:right="815" w:hanging="480"/>
        <w:jc w:val="left"/>
        <w:rPr>
          <w:rFonts w:ascii="宋体" w:hAnsi="宋体" w:cs="宋体" w:eastAsia="宋体" w:hint="default"/>
          <w:b w:val="0"/>
          <w:bCs w:val="0"/>
        </w:rPr>
      </w:pPr>
      <w:bookmarkStart w:name="（4）支付的其他与投资活动有关的现金" w:id="358"/>
      <w:bookmarkEnd w:id="358"/>
      <w:r>
        <w:rPr>
          <w:b w:val="0"/>
          <w:bCs w:val="0"/>
        </w:rPr>
      </w:r>
      <w:r>
        <w:rPr>
          <w:w w:val="95"/>
        </w:rPr>
        <w:t>（</w:t>
      </w:r>
      <w:r>
        <w:rPr>
          <w:rFonts w:ascii="Times New Roman" w:hAnsi="Times New Roman" w:cs="Times New Roman" w:eastAsia="Times New Roman" w:hint="default"/>
          <w:w w:val="95"/>
        </w:rPr>
        <w:t>4</w:t>
      </w:r>
      <w:r>
        <w:rPr>
          <w:w w:val="95"/>
        </w:rPr>
        <w:t>）支付的其他与投资活动有关的现金</w:t>
      </w:r>
      <w:r>
        <w:rPr>
          <w:spacing w:val="80"/>
          <w:w w:val="95"/>
        </w:rPr>
        <w:t> </w:t>
      </w:r>
      <w:r>
        <w:rPr>
          <w:rFonts w:ascii="宋体" w:hAnsi="宋体" w:cs="宋体" w:eastAsia="宋体" w:hint="default"/>
          <w:b w:val="0"/>
          <w:bCs w:val="0"/>
        </w:rPr>
        <w:t>无</w:t>
      </w:r>
    </w:p>
    <w:p>
      <w:pPr>
        <w:pStyle w:val="Heading2"/>
        <w:spacing w:line="331" w:lineRule="auto" w:before="55"/>
        <w:ind w:left="634" w:right="815" w:hanging="480"/>
        <w:jc w:val="left"/>
        <w:rPr>
          <w:rFonts w:ascii="宋体" w:hAnsi="宋体" w:cs="宋体" w:eastAsia="宋体" w:hint="default"/>
          <w:b w:val="0"/>
          <w:bCs w:val="0"/>
        </w:rPr>
      </w:pPr>
      <w:bookmarkStart w:name="（5）收到的其他与筹资活动有关的现金" w:id="359"/>
      <w:bookmarkEnd w:id="359"/>
      <w:r>
        <w:rPr>
          <w:b w:val="0"/>
          <w:bCs w:val="0"/>
        </w:rPr>
      </w:r>
      <w:r>
        <w:rPr>
          <w:w w:val="95"/>
        </w:rPr>
        <w:t>（</w:t>
      </w:r>
      <w:r>
        <w:rPr>
          <w:rFonts w:ascii="Times New Roman" w:hAnsi="Times New Roman" w:cs="Times New Roman" w:eastAsia="Times New Roman" w:hint="default"/>
          <w:w w:val="95"/>
        </w:rPr>
        <w:t>5</w:t>
      </w:r>
      <w:r>
        <w:rPr>
          <w:w w:val="95"/>
        </w:rPr>
        <w:t>）收到的其他与筹资活动有关的现金</w:t>
      </w:r>
      <w:r>
        <w:rPr>
          <w:spacing w:val="80"/>
          <w:w w:val="95"/>
        </w:rPr>
        <w:t> </w:t>
      </w:r>
      <w:r>
        <w:rPr>
          <w:rFonts w:ascii="宋体" w:hAnsi="宋体" w:cs="宋体" w:eastAsia="宋体" w:hint="default"/>
          <w:b w:val="0"/>
          <w:bCs w:val="0"/>
        </w:rPr>
        <w:t>无</w:t>
      </w:r>
    </w:p>
    <w:p>
      <w:pPr>
        <w:pStyle w:val="Heading2"/>
        <w:spacing w:line="333" w:lineRule="auto" w:before="54"/>
        <w:ind w:left="634" w:right="815" w:hanging="480"/>
        <w:jc w:val="left"/>
        <w:rPr>
          <w:rFonts w:ascii="宋体" w:hAnsi="宋体" w:cs="宋体" w:eastAsia="宋体" w:hint="default"/>
          <w:b w:val="0"/>
          <w:bCs w:val="0"/>
        </w:rPr>
      </w:pPr>
      <w:bookmarkStart w:name="（6）支付的其他与筹资活动有关的现金" w:id="360"/>
      <w:bookmarkEnd w:id="360"/>
      <w:r>
        <w:rPr>
          <w:b w:val="0"/>
          <w:bCs w:val="0"/>
        </w:rPr>
      </w:r>
      <w:r>
        <w:rPr>
          <w:w w:val="95"/>
        </w:rPr>
        <w:t>（</w:t>
      </w:r>
      <w:r>
        <w:rPr>
          <w:rFonts w:ascii="Times New Roman" w:hAnsi="Times New Roman" w:cs="Times New Roman" w:eastAsia="Times New Roman" w:hint="default"/>
          <w:w w:val="95"/>
        </w:rPr>
        <w:t>6</w:t>
      </w:r>
      <w:r>
        <w:rPr>
          <w:w w:val="95"/>
        </w:rPr>
        <w:t>）支付的其他与筹资活动有关的现金</w:t>
      </w:r>
      <w:r>
        <w:rPr>
          <w:spacing w:val="80"/>
          <w:w w:val="95"/>
        </w:rPr>
        <w:t> </w:t>
      </w:r>
      <w:r>
        <w:rPr>
          <w:rFonts w:ascii="宋体" w:hAnsi="宋体" w:cs="宋体" w:eastAsia="宋体" w:hint="default"/>
          <w:b w:val="0"/>
          <w:bCs w:val="0"/>
        </w:rPr>
        <w:t>无</w:t>
      </w:r>
    </w:p>
    <w:p>
      <w:pPr>
        <w:pStyle w:val="Heading2"/>
        <w:spacing w:line="240" w:lineRule="auto" w:before="52"/>
        <w:ind w:right="-20"/>
        <w:jc w:val="left"/>
        <w:rPr>
          <w:b w:val="0"/>
          <w:bCs w:val="0"/>
        </w:rPr>
      </w:pPr>
      <w:bookmarkStart w:name="68、现金流量表补充资料" w:id="361"/>
      <w:bookmarkEnd w:id="361"/>
      <w:r>
        <w:rPr>
          <w:b w:val="0"/>
          <w:bCs w:val="0"/>
        </w:rPr>
      </w:r>
      <w:r>
        <w:rPr>
          <w:rFonts w:ascii="Times New Roman" w:hAnsi="Times New Roman" w:cs="Times New Roman" w:eastAsia="Times New Roman" w:hint="default"/>
        </w:rPr>
        <w:t>68</w:t>
      </w:r>
      <w:r>
        <w:rPr/>
        <w:t>、现金流量表补充资料</w:t>
      </w:r>
      <w:r>
        <w:rPr>
          <w:b w:val="0"/>
          <w:bCs w:val="0"/>
        </w:rPr>
      </w:r>
    </w:p>
    <w:p>
      <w:pPr>
        <w:pStyle w:val="Heading2"/>
        <w:spacing w:line="240" w:lineRule="auto" w:before="127"/>
        <w:ind w:right="-20"/>
        <w:jc w:val="left"/>
        <w:rPr>
          <w:b w:val="0"/>
          <w:bCs w:val="0"/>
        </w:rPr>
      </w:pPr>
      <w:bookmarkStart w:name="（1）现金流量表补充资料" w:id="362"/>
      <w:bookmarkEnd w:id="36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195" w:space="36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365"/>
        <w:gridCol w:w="2280"/>
        <w:gridCol w:w="1913"/>
      </w:tblGrid>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71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8" w:right="0"/>
              <w:jc w:val="center"/>
              <w:rPr>
                <w:rFonts w:ascii="Times New Roman" w:hAnsi="Times New Roman" w:cs="Times New Roman" w:eastAsia="Times New Roman" w:hint="default"/>
                <w:sz w:val="21"/>
                <w:szCs w:val="21"/>
              </w:rPr>
            </w:pPr>
            <w:r>
              <w:rPr>
                <w:rFonts w:ascii="Times New Roman"/>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34,454,468.14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-146,339,506.24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70,256,780.16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235,243,749.62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7,012,275.00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13,429,974.48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1,316,684.06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2,464,713.22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7,962,865.86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8,792,602.44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145,761.44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12,381.05</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21,428,080.36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27,626,904.32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365"/>
        <w:gridCol w:w="2280"/>
        <w:gridCol w:w="1913"/>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-4,739,939.19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14,715,210.50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-4,485,857.13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-8,796,862.83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-73,631.74</w:t>
            </w:r>
            <w:r>
              <w:rPr>
                <w:rFonts w:ascii="Times New Roman"/>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3,204,529.30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-24,613,120.80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-14,566,444.75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-42,771,008.56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-120,911,336.20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-49,391,807.29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44,842,995.40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16,501,550.31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59,718,910.31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8" w:right="0"/>
              <w:jc w:val="center"/>
              <w:rPr>
                <w:rFonts w:ascii="Times New Roman" w:hAnsi="Times New Roman" w:cs="Times New Roman" w:eastAsia="Times New Roman" w:hint="default"/>
                <w:sz w:val="21"/>
                <w:szCs w:val="21"/>
              </w:rPr>
            </w:pPr>
            <w:r>
              <w:rPr>
                <w:rFonts w:ascii="Times New Roman"/>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8" w:right="0"/>
              <w:jc w:val="center"/>
              <w:rPr>
                <w:rFonts w:ascii="Times New Roman" w:hAnsi="Times New Roman" w:cs="Times New Roman" w:eastAsia="Times New Roman" w:hint="default"/>
                <w:sz w:val="21"/>
                <w:szCs w:val="21"/>
              </w:rPr>
            </w:pPr>
            <w:r>
              <w:rPr>
                <w:rFonts w:ascii="Times New Roman"/>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467,183,100.89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875,069,643.04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875,069,643.04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820,682,598.12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-407,886,542.15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54,387,044.92</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333" w:lineRule="auto"/>
        <w:ind w:left="634" w:right="0" w:hanging="480"/>
        <w:jc w:val="left"/>
        <w:rPr>
          <w:rFonts w:ascii="宋体" w:hAnsi="宋体" w:cs="宋体" w:eastAsia="宋体" w:hint="default"/>
          <w:b w:val="0"/>
          <w:bCs w:val="0"/>
        </w:rPr>
      </w:pPr>
      <w:bookmarkStart w:name="（2）本期支付的取得子公司的现金净额" w:id="363"/>
      <w:bookmarkEnd w:id="363"/>
      <w:r>
        <w:rPr>
          <w:b w:val="0"/>
          <w:bCs w:val="0"/>
        </w:rPr>
      </w:r>
      <w:r>
        <w:rPr>
          <w:w w:val="95"/>
        </w:rPr>
        <w:t>（</w:t>
      </w:r>
      <w:r>
        <w:rPr>
          <w:rFonts w:ascii="Times New Roman" w:hAnsi="Times New Roman" w:cs="Times New Roman" w:eastAsia="Times New Roman" w:hint="default"/>
          <w:w w:val="95"/>
        </w:rPr>
        <w:t>2</w:t>
      </w:r>
      <w:r>
        <w:rPr>
          <w:w w:val="95"/>
        </w:rPr>
        <w:t>）本期支付的取得子公司的现金净额</w:t>
      </w:r>
      <w:r>
        <w:rPr>
          <w:spacing w:val="80"/>
          <w:w w:val="95"/>
        </w:rPr>
        <w:t> </w:t>
      </w:r>
      <w:r>
        <w:rPr>
          <w:rFonts w:ascii="宋体" w:hAnsi="宋体" w:cs="宋体" w:eastAsia="宋体" w:hint="default"/>
          <w:b w:val="0"/>
          <w:bCs w:val="0"/>
        </w:rPr>
        <w:t>无</w:t>
      </w:r>
    </w:p>
    <w:p>
      <w:pPr>
        <w:pStyle w:val="Heading2"/>
        <w:spacing w:line="331" w:lineRule="auto" w:before="52"/>
        <w:ind w:left="634" w:right="0" w:hanging="480"/>
        <w:jc w:val="left"/>
        <w:rPr>
          <w:rFonts w:ascii="宋体" w:hAnsi="宋体" w:cs="宋体" w:eastAsia="宋体" w:hint="default"/>
          <w:b w:val="0"/>
          <w:bCs w:val="0"/>
        </w:rPr>
      </w:pPr>
      <w:bookmarkStart w:name="（3）本期收到的处置子公司的现金净额" w:id="364"/>
      <w:bookmarkEnd w:id="364"/>
      <w:r>
        <w:rPr>
          <w:b w:val="0"/>
          <w:bCs w:val="0"/>
        </w:rPr>
      </w:r>
      <w:r>
        <w:rPr>
          <w:w w:val="95"/>
        </w:rPr>
        <w:t>（</w:t>
      </w:r>
      <w:r>
        <w:rPr>
          <w:rFonts w:ascii="Times New Roman" w:hAnsi="Times New Roman" w:cs="Times New Roman" w:eastAsia="Times New Roman" w:hint="default"/>
          <w:w w:val="95"/>
        </w:rPr>
        <w:t>3</w:t>
      </w:r>
      <w:r>
        <w:rPr>
          <w:w w:val="95"/>
        </w:rPr>
        <w:t>）本期收到的处置子公司的现金净额</w:t>
      </w:r>
      <w:r>
        <w:rPr>
          <w:spacing w:val="80"/>
          <w:w w:val="95"/>
        </w:rPr>
        <w:t> </w:t>
      </w:r>
      <w:r>
        <w:rPr>
          <w:rFonts w:ascii="宋体" w:hAnsi="宋体" w:cs="宋体" w:eastAsia="宋体" w:hint="default"/>
          <w:b w:val="0"/>
          <w:bCs w:val="0"/>
        </w:rPr>
        <w:t>无</w:t>
      </w:r>
    </w:p>
    <w:p>
      <w:pPr>
        <w:pStyle w:val="Heading2"/>
        <w:spacing w:line="240" w:lineRule="auto" w:before="56"/>
        <w:ind w:right="0"/>
        <w:jc w:val="left"/>
        <w:rPr>
          <w:b w:val="0"/>
          <w:bCs w:val="0"/>
        </w:rPr>
      </w:pPr>
      <w:bookmarkStart w:name="（4）现金和现金等价物的构成" w:id="365"/>
      <w:bookmarkEnd w:id="36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367" w:space="4462"/>
            <w:col w:w="210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467,183,100.89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875,069,643.04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110,141.18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150,031.69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467,072,959.71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874,919,611.35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467,183,100.89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875,069,643.04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6"/>
                <w:sz w:val="21"/>
                <w:szCs w:val="21"/>
              </w:rPr>
              <w:t>其中：母公司或集团内子公司使用受</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限制的现金和现金等价物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21,875,625.67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13,864,603.88</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350" w:lineRule="auto" w:before="26"/>
        <w:ind w:left="634" w:right="-20"/>
        <w:jc w:val="left"/>
      </w:pPr>
      <w:r>
        <w:rPr/>
        <w:t>其他说明： 期初与期末其他货币资金全部为保函保证金，不包含在现金及现金等价物中。</w:t>
      </w:r>
    </w:p>
    <w:p>
      <w:pPr>
        <w:spacing w:line="331" w:lineRule="auto" w:before="36"/>
        <w:ind w:left="634" w:right="460" w:hanging="480"/>
        <w:jc w:val="left"/>
        <w:rPr>
          <w:rFonts w:ascii="宋体" w:hAnsi="宋体" w:cs="宋体" w:eastAsia="宋体" w:hint="default"/>
          <w:sz w:val="24"/>
          <w:szCs w:val="24"/>
        </w:rPr>
      </w:pPr>
      <w:bookmarkStart w:name="69、所有者权益变动表项目注释" w:id="366"/>
      <w:bookmarkEnd w:id="366"/>
      <w:r>
        <w:rPr/>
      </w:r>
      <w:r>
        <w:rPr>
          <w:rFonts w:ascii="Times New Roman" w:hAnsi="Times New Roman" w:cs="Times New Roman" w:eastAsia="Times New Roman" w:hint="default"/>
          <w:b/>
          <w:bCs/>
          <w:sz w:val="24"/>
          <w:szCs w:val="24"/>
        </w:rPr>
        <w:t>69</w:t>
      </w:r>
      <w:r>
        <w:rPr>
          <w:rFonts w:ascii="宋体" w:hAnsi="宋体" w:cs="宋体" w:eastAsia="宋体" w:hint="default"/>
          <w:b/>
          <w:bCs/>
          <w:sz w:val="24"/>
          <w:szCs w:val="24"/>
        </w:rPr>
        <w:t>、所有者权益变动表项目注释</w:t>
      </w:r>
      <w:r>
        <w:rPr>
          <w:rFonts w:ascii="宋体" w:hAnsi="宋体" w:cs="宋体" w:eastAsia="宋体" w:hint="default"/>
          <w:b/>
          <w:bCs/>
          <w:w w:val="99"/>
          <w:sz w:val="24"/>
          <w:szCs w:val="24"/>
        </w:rPr>
        <w:t> </w:t>
      </w:r>
      <w:r>
        <w:rPr>
          <w:rFonts w:ascii="宋体" w:hAnsi="宋体" w:cs="宋体" w:eastAsia="宋体" w:hint="default"/>
          <w:sz w:val="24"/>
          <w:szCs w:val="24"/>
        </w:rPr>
        <w:t>说明对上年期末余额进行调整的“其他”项目名称及调整金额等事项：无</w:t>
      </w:r>
    </w:p>
    <w:p>
      <w:pPr>
        <w:pStyle w:val="Heading2"/>
        <w:spacing w:line="240" w:lineRule="auto" w:before="54"/>
        <w:ind w:right="-20"/>
        <w:jc w:val="left"/>
        <w:rPr>
          <w:b w:val="0"/>
          <w:bCs w:val="0"/>
        </w:rPr>
      </w:pPr>
      <w:bookmarkStart w:name="70、所有权或使用权受到限制的资产" w:id="367"/>
      <w:bookmarkEnd w:id="367"/>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12"/>
          <w:szCs w:val="12"/>
        </w:rPr>
      </w:pPr>
    </w:p>
    <w:p>
      <w:pPr>
        <w:spacing w:before="0"/>
        <w:ind w:left="149"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95" w:space="40"/>
            <w:col w:w="209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93"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817" w:right="0"/>
              <w:jc w:val="left"/>
              <w:rPr>
                <w:rFonts w:ascii="Times New Roman" w:hAnsi="Times New Roman" w:cs="Times New Roman" w:eastAsia="Times New Roman" w:hint="default"/>
                <w:sz w:val="21"/>
                <w:szCs w:val="21"/>
              </w:rPr>
            </w:pPr>
            <w:r>
              <w:rPr>
                <w:rFonts w:ascii="Times New Roman"/>
                <w:sz w:val="21"/>
              </w:rPr>
              <w:t>21,875,625.67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41,727,736.90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质押交大驱动股权取得借款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63,603,362.57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宋体" w:hAnsi="宋体" w:cs="宋体" w:eastAsia="宋体" w:hint="default"/>
          <w:sz w:val="4"/>
          <w:szCs w:val="4"/>
        </w:rPr>
      </w:pPr>
    </w:p>
    <w:p>
      <w:pPr>
        <w:pStyle w:val="BodyText"/>
        <w:spacing w:line="240" w:lineRule="auto" w:before="26"/>
        <w:ind w:left="634" w:right="0"/>
        <w:jc w:val="left"/>
      </w:pPr>
      <w:r>
        <w:rPr/>
        <w:t>其他说明：受限的长期股权投资金额为母公司长期股权投资的账面价值。</w:t>
      </w:r>
    </w:p>
    <w:p>
      <w:pPr>
        <w:pStyle w:val="Heading2"/>
        <w:spacing w:line="240" w:lineRule="auto" w:before="147"/>
        <w:ind w:right="0"/>
        <w:jc w:val="left"/>
        <w:rPr>
          <w:b w:val="0"/>
          <w:bCs w:val="0"/>
        </w:rPr>
      </w:pPr>
      <w:bookmarkStart w:name="71、外币货币性项目" w:id="368"/>
      <w:bookmarkEnd w:id="368"/>
      <w:r>
        <w:rPr>
          <w:b w:val="0"/>
          <w:bCs w:val="0"/>
        </w:rPr>
      </w:r>
      <w:r>
        <w:rPr>
          <w:rFonts w:ascii="Times New Roman" w:hAnsi="Times New Roman" w:cs="Times New Roman" w:eastAsia="Times New Roman" w:hint="default"/>
        </w:rPr>
        <w:t>71</w:t>
      </w:r>
      <w:r>
        <w:rPr/>
        <w:t>、外币货币性项目</w:t>
      </w:r>
      <w:r>
        <w:rPr>
          <w:b w:val="0"/>
          <w:bCs w:val="0"/>
        </w:rPr>
      </w:r>
    </w:p>
    <w:p>
      <w:pPr>
        <w:pStyle w:val="Heading2"/>
        <w:spacing w:line="331" w:lineRule="auto" w:before="127"/>
        <w:ind w:left="634" w:right="8463" w:hanging="480"/>
        <w:jc w:val="left"/>
        <w:rPr>
          <w:rFonts w:ascii="宋体" w:hAnsi="宋体" w:cs="宋体" w:eastAsia="宋体" w:hint="default"/>
          <w:b w:val="0"/>
          <w:bCs w:val="0"/>
        </w:rPr>
      </w:pPr>
      <w:bookmarkStart w:name="（1）外币货币性项目" w:id="369"/>
      <w:bookmarkEnd w:id="369"/>
      <w:r>
        <w:rPr>
          <w:b w:val="0"/>
          <w:bCs w:val="0"/>
        </w:rPr>
      </w:r>
      <w:r>
        <w:rPr/>
        <w:t>（</w:t>
      </w:r>
      <w:r>
        <w:rPr>
          <w:rFonts w:ascii="Times New Roman" w:hAnsi="Times New Roman" w:cs="Times New Roman" w:eastAsia="Times New Roman" w:hint="default"/>
        </w:rPr>
        <w:t>1</w:t>
      </w:r>
      <w:r>
        <w:rPr/>
        <w:t>）外币货币性项目</w:t>
      </w:r>
      <w:r>
        <w:rPr>
          <w:w w:val="99"/>
        </w:rPr>
        <w:t> </w:t>
      </w:r>
      <w:r>
        <w:rPr>
          <w:rFonts w:ascii="宋体" w:hAnsi="宋体" w:cs="宋体" w:eastAsia="宋体" w:hint="default"/>
          <w:b w:val="0"/>
          <w:bCs w:val="0"/>
        </w:rPr>
        <w:t>无</w:t>
      </w:r>
    </w:p>
    <w:p>
      <w:pPr>
        <w:pStyle w:val="Heading2"/>
        <w:spacing w:line="331" w:lineRule="auto" w:before="55"/>
        <w:ind w:right="0"/>
        <w:jc w:val="left"/>
        <w:rPr>
          <w:b w:val="0"/>
          <w:bCs w:val="0"/>
        </w:rPr>
      </w:pPr>
      <w:bookmarkStart w:name="（2）境外经营实体说明，包括对于重要的境外经营实体，应披露其境外主要经营地、记账" w:id="370"/>
      <w:bookmarkEnd w:id="370"/>
      <w:r>
        <w:rPr>
          <w:b w:val="0"/>
          <w:bCs w:val="0"/>
        </w:rPr>
      </w: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w:t>
      </w:r>
      <w:r>
        <w:rPr>
          <w:spacing w:val="7"/>
          <w:w w:val="95"/>
        </w:rPr>
        <w:t> </w:t>
      </w:r>
      <w:r>
        <w:rPr>
          <w:spacing w:val="7"/>
          <w:w w:val="95"/>
        </w:rPr>
      </w:r>
      <w:r>
        <w:rPr/>
        <w:t>位币及选择依据，记账本位币发生变化的还应披露原因。</w:t>
      </w:r>
      <w:r>
        <w:rPr>
          <w:b w:val="0"/>
          <w:bCs w:val="0"/>
        </w:rPr>
      </w:r>
    </w:p>
    <w:p>
      <w:pPr>
        <w:pStyle w:val="BodyText"/>
        <w:spacing w:line="240" w:lineRule="auto" w:before="54"/>
        <w:ind w:left="634" w:right="0"/>
        <w:jc w:val="left"/>
      </w:pPr>
      <w:r>
        <w:rPr/>
        <w:t>□ 适用 √ 不适用</w:t>
      </w:r>
    </w:p>
    <w:p>
      <w:pPr>
        <w:pStyle w:val="Heading2"/>
        <w:spacing w:line="240" w:lineRule="auto" w:before="146"/>
        <w:ind w:right="0"/>
        <w:jc w:val="left"/>
        <w:rPr>
          <w:b w:val="0"/>
          <w:bCs w:val="0"/>
        </w:rPr>
      </w:pPr>
      <w:bookmarkStart w:name="72、套期" w:id="371"/>
      <w:bookmarkEnd w:id="371"/>
      <w:r>
        <w:rPr>
          <w:b w:val="0"/>
          <w:bCs w:val="0"/>
        </w:rPr>
      </w:r>
      <w:r>
        <w:rPr>
          <w:rFonts w:ascii="Times New Roman" w:hAnsi="Times New Roman" w:cs="Times New Roman" w:eastAsia="Times New Roman" w:hint="default"/>
        </w:rPr>
        <w:t>72</w:t>
      </w:r>
      <w:r>
        <w:rPr/>
        <w:t>、套期</w:t>
      </w:r>
      <w:r>
        <w:rPr>
          <w:b w:val="0"/>
          <w:bCs w:val="0"/>
        </w:rPr>
      </w:r>
    </w:p>
    <w:p>
      <w:pPr>
        <w:pStyle w:val="BodyText"/>
        <w:spacing w:line="240" w:lineRule="auto" w:before="127"/>
        <w:ind w:left="634" w:right="0"/>
        <w:jc w:val="left"/>
      </w:pPr>
      <w:r>
        <w:rPr/>
        <w:t>按照套期类别披露套期项目及相关套期工具、被套期风险的定性和定量信息：无</w:t>
      </w:r>
    </w:p>
    <w:p>
      <w:pPr>
        <w:pStyle w:val="Heading2"/>
        <w:spacing w:line="240" w:lineRule="auto" w:before="145"/>
        <w:ind w:right="0"/>
        <w:jc w:val="left"/>
        <w:rPr>
          <w:b w:val="0"/>
          <w:bCs w:val="0"/>
        </w:rPr>
      </w:pPr>
      <w:bookmarkStart w:name="73、政府补助" w:id="372"/>
      <w:bookmarkEnd w:id="372"/>
      <w:r>
        <w:rPr>
          <w:b w:val="0"/>
          <w:bCs w:val="0"/>
        </w:rPr>
      </w:r>
      <w:r>
        <w:rPr>
          <w:rFonts w:ascii="Times New Roman" w:hAnsi="Times New Roman" w:cs="Times New Roman" w:eastAsia="Times New Roman" w:hint="default"/>
        </w:rPr>
        <w:t>73</w:t>
      </w:r>
      <w:r>
        <w:rPr/>
        <w:t>、政府补助</w:t>
      </w:r>
      <w:r>
        <w:rPr>
          <w:b w:val="0"/>
          <w:bCs w:val="0"/>
        </w:rPr>
      </w:r>
    </w:p>
    <w:p>
      <w:pPr>
        <w:pStyle w:val="Heading2"/>
        <w:spacing w:line="240" w:lineRule="auto" w:before="128"/>
        <w:ind w:right="0"/>
        <w:jc w:val="left"/>
        <w:rPr>
          <w:b w:val="0"/>
          <w:bCs w:val="0"/>
        </w:rPr>
      </w:pPr>
      <w:bookmarkStart w:name="（1）政府补助基本情况" w:id="373"/>
      <w:bookmarkEnd w:id="373"/>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before="9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5"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136,000.00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科技创新优秀企业知识产 权奖励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136,000.00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116,156.85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116,156.85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专利申请资助资金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68,000.00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河南省企业研发开发财政 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1,270,000.00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155,400.00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专利奖励资金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155,400.00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科技进步奖励奖金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科技型中小企业技术创新 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信用评级补助费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重点新产品补助资金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19,152,802.19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增值税超税负返还收入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19,152,802.19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新型接触网绝缘子带电水 冲洗装备补助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年开通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个车站的新铁 路信号微机监测系统项目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24,350,259.04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24,350,259.04</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政府补助退回情况" w:id="374"/>
      <w:bookmarkEnd w:id="3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）政府补助退回情况</w:t>
      </w:r>
      <w:r>
        <w:rPr>
          <w:rFonts w:ascii="宋体" w:hAnsi="宋体" w:cs="宋体" w:eastAsia="宋体" w:hint="default"/>
          <w:sz w:val="21"/>
          <w:szCs w:val="21"/>
        </w:rPr>
      </w:r>
    </w:p>
    <w:p>
      <w:pPr>
        <w:spacing w:line="240" w:lineRule="auto" w:before="6"/>
        <w:rPr>
          <w:rFonts w:ascii="宋体" w:hAnsi="宋体" w:cs="宋体" w:eastAsia="宋体" w:hint="default"/>
          <w:b/>
          <w:bCs/>
          <w:sz w:val="32"/>
          <w:szCs w:val="32"/>
        </w:rPr>
      </w:pPr>
    </w:p>
    <w:p>
      <w:pPr>
        <w:pStyle w:val="BodyText"/>
        <w:spacing w:line="350" w:lineRule="auto" w:before="0"/>
        <w:ind w:left="634" w:right="8232"/>
        <w:jc w:val="left"/>
      </w:pPr>
      <w:r>
        <w:rPr/>
        <w:t>□ 适用 √ 不适用 其他说明：无</w:t>
      </w:r>
    </w:p>
    <w:p>
      <w:pPr>
        <w:pStyle w:val="Heading2"/>
        <w:spacing w:line="240" w:lineRule="auto" w:before="36"/>
        <w:ind w:right="0"/>
        <w:jc w:val="left"/>
        <w:rPr>
          <w:b w:val="0"/>
          <w:bCs w:val="0"/>
        </w:rPr>
      </w:pPr>
      <w:bookmarkStart w:name="74、其他" w:id="375"/>
      <w:bookmarkEnd w:id="375"/>
      <w:r>
        <w:rPr>
          <w:b w:val="0"/>
          <w:bCs w:val="0"/>
        </w:rPr>
      </w:r>
      <w:r>
        <w:rPr>
          <w:rFonts w:ascii="Times New Roman" w:hAnsi="Times New Roman" w:cs="Times New Roman" w:eastAsia="Times New Roman" w:hint="default"/>
        </w:rPr>
        <w:t>74</w:t>
      </w:r>
      <w:r>
        <w:rPr/>
        <w:t>、其他</w:t>
      </w:r>
      <w:r>
        <w:rPr>
          <w:b w:val="0"/>
          <w:bCs w:val="0"/>
        </w:rPr>
      </w:r>
    </w:p>
    <w:p>
      <w:pPr>
        <w:pStyle w:val="Heading2"/>
        <w:spacing w:line="484" w:lineRule="auto" w:before="127"/>
        <w:ind w:right="8112" w:firstLine="480"/>
        <w:jc w:val="left"/>
        <w:rPr>
          <w:b w:val="0"/>
          <w:bCs w:val="0"/>
        </w:rPr>
      </w:pPr>
      <w:r>
        <w:rPr>
          <w:rFonts w:ascii="宋体" w:hAnsi="宋体" w:cs="宋体" w:eastAsia="宋体" w:hint="default"/>
          <w:b w:val="0"/>
          <w:bCs w:val="0"/>
        </w:rPr>
        <w:t>无 </w:t>
      </w:r>
      <w:bookmarkStart w:name="八、合并范围的变更" w:id="376"/>
      <w:bookmarkEnd w:id="376"/>
      <w:r>
        <w:rPr>
          <w:rFonts w:ascii="宋体" w:hAnsi="宋体" w:cs="宋体" w:eastAsia="宋体" w:hint="default"/>
          <w:b w:val="0"/>
          <w:bCs w:val="0"/>
        </w:rPr>
      </w:r>
      <w:r>
        <w:rPr/>
        <w:t>八、合并范围的变更</w:t>
      </w:r>
      <w:r>
        <w:rPr>
          <w:b w:val="0"/>
          <w:bCs w:val="0"/>
        </w:rPr>
      </w:r>
    </w:p>
    <w:p>
      <w:pPr>
        <w:pStyle w:val="Heading2"/>
        <w:spacing w:line="333" w:lineRule="auto" w:before="179"/>
        <w:ind w:left="634" w:right="7982" w:hanging="480"/>
        <w:jc w:val="left"/>
        <w:rPr>
          <w:rFonts w:ascii="宋体" w:hAnsi="宋体" w:cs="宋体" w:eastAsia="宋体" w:hint="default"/>
          <w:b w:val="0"/>
          <w:bCs w:val="0"/>
        </w:rPr>
      </w:pPr>
      <w:bookmarkStart w:name="1、非同一控制下企业合并" w:id="377"/>
      <w:bookmarkEnd w:id="377"/>
      <w:r>
        <w:rPr>
          <w:b w:val="0"/>
          <w:bCs w:val="0"/>
        </w:rPr>
      </w:r>
      <w:r>
        <w:rPr>
          <w:rFonts w:ascii="Times New Roman" w:hAnsi="Times New Roman" w:cs="Times New Roman" w:eastAsia="Times New Roman" w:hint="default"/>
        </w:rPr>
        <w:t>1</w:t>
      </w:r>
      <w:r>
        <w:rPr/>
        <w:t>、非同一控制下企业合并</w:t>
      </w:r>
      <w:r>
        <w:rPr>
          <w:spacing w:val="1"/>
          <w:w w:val="99"/>
        </w:rPr>
        <w:t> </w:t>
      </w:r>
      <w:r>
        <w:rPr>
          <w:rFonts w:ascii="宋体" w:hAnsi="宋体" w:cs="宋体" w:eastAsia="宋体" w:hint="default"/>
          <w:b w:val="0"/>
          <w:bCs w:val="0"/>
        </w:rPr>
        <w:t>无</w:t>
      </w:r>
    </w:p>
    <w:p>
      <w:pPr>
        <w:pStyle w:val="Heading2"/>
        <w:spacing w:line="331" w:lineRule="auto" w:before="52"/>
        <w:ind w:left="634" w:right="8230" w:hanging="480"/>
        <w:jc w:val="left"/>
        <w:rPr>
          <w:rFonts w:ascii="宋体" w:hAnsi="宋体" w:cs="宋体" w:eastAsia="宋体" w:hint="default"/>
          <w:b w:val="0"/>
          <w:bCs w:val="0"/>
        </w:rPr>
      </w:pPr>
      <w:bookmarkStart w:name="2、同一控制下企业合并" w:id="378"/>
      <w:bookmarkEnd w:id="378"/>
      <w:r>
        <w:rPr>
          <w:b w:val="0"/>
          <w:bCs w:val="0"/>
        </w:rPr>
      </w:r>
      <w:r>
        <w:rPr>
          <w:rFonts w:ascii="Times New Roman" w:hAnsi="Times New Roman" w:cs="Times New Roman" w:eastAsia="Times New Roman" w:hint="default"/>
          <w:w w:val="95"/>
        </w:rPr>
        <w:t>2</w:t>
      </w:r>
      <w:r>
        <w:rPr>
          <w:w w:val="95"/>
        </w:rPr>
        <w:t>、同一控制下企业合并</w:t>
      </w:r>
      <w:r>
        <w:rPr>
          <w:spacing w:val="2"/>
          <w:w w:val="95"/>
        </w:rPr>
        <w:t> </w:t>
      </w:r>
      <w:r>
        <w:rPr>
          <w:rFonts w:ascii="宋体" w:hAnsi="宋体" w:cs="宋体" w:eastAsia="宋体" w:hint="default"/>
          <w:b w:val="0"/>
          <w:bCs w:val="0"/>
        </w:rPr>
        <w:t>无</w:t>
      </w:r>
    </w:p>
    <w:p>
      <w:pPr>
        <w:pStyle w:val="Heading2"/>
        <w:spacing w:line="240" w:lineRule="auto" w:before="55"/>
        <w:ind w:right="0"/>
        <w:jc w:val="left"/>
        <w:rPr>
          <w:b w:val="0"/>
          <w:bCs w:val="0"/>
        </w:rPr>
      </w:pPr>
      <w:bookmarkStart w:name="3、反向购买" w:id="379"/>
      <w:bookmarkEnd w:id="379"/>
      <w:r>
        <w:rPr>
          <w:b w:val="0"/>
          <w:bCs w:val="0"/>
        </w:rPr>
      </w:r>
      <w:r>
        <w:rPr>
          <w:rFonts w:ascii="Times New Roman" w:hAnsi="Times New Roman" w:cs="Times New Roman" w:eastAsia="Times New Roman" w:hint="default"/>
        </w:rPr>
        <w:t>3</w:t>
      </w:r>
      <w:r>
        <w:rPr/>
        <w:t>、反向购买</w:t>
      </w:r>
      <w:r>
        <w:rPr>
          <w:b w:val="0"/>
          <w:bCs w:val="0"/>
        </w:rPr>
      </w:r>
    </w:p>
    <w:p>
      <w:pPr>
        <w:pStyle w:val="BodyText"/>
        <w:spacing w:line="350" w:lineRule="auto" w:before="127"/>
        <w:ind w:right="1152" w:firstLine="480"/>
        <w:jc w:val="left"/>
      </w:pPr>
      <w:r>
        <w:rPr/>
        <w:t>交易基本信息、交易构成反向购买的依据、上市公司保留的资产、负债是否构成业务及 其依据、合并成本的确定、按照权益性交易处理时调整权益的金额及其计算：</w:t>
      </w:r>
    </w:p>
    <w:p>
      <w:pPr>
        <w:pStyle w:val="BodyText"/>
        <w:spacing w:line="240" w:lineRule="auto"/>
        <w:ind w:left="634" w:right="0"/>
        <w:jc w:val="left"/>
      </w:pPr>
      <w:r>
        <w:rPr/>
        <w:t>无</w:t>
      </w:r>
    </w:p>
    <w:p>
      <w:pPr>
        <w:pStyle w:val="Heading2"/>
        <w:spacing w:line="240" w:lineRule="auto" w:before="146"/>
        <w:ind w:right="0"/>
        <w:jc w:val="left"/>
        <w:rPr>
          <w:b w:val="0"/>
          <w:bCs w:val="0"/>
        </w:rPr>
      </w:pPr>
      <w:bookmarkStart w:name="4、处置子公司" w:id="380"/>
      <w:bookmarkEnd w:id="380"/>
      <w:r>
        <w:rPr>
          <w:b w:val="0"/>
          <w:bCs w:val="0"/>
        </w:rPr>
      </w:r>
      <w:r>
        <w:rPr>
          <w:rFonts w:ascii="Times New Roman" w:hAnsi="Times New Roman" w:cs="Times New Roman" w:eastAsia="Times New Roman" w:hint="default"/>
        </w:rPr>
        <w:t>4</w:t>
      </w:r>
      <w:r>
        <w:rPr/>
        <w:t>、处置子公司</w:t>
      </w:r>
      <w:r>
        <w:rPr>
          <w:b w:val="0"/>
          <w:bCs w:val="0"/>
        </w:rPr>
      </w:r>
    </w:p>
    <w:p>
      <w:pPr>
        <w:pStyle w:val="BodyText"/>
        <w:spacing w:line="240" w:lineRule="auto" w:before="127"/>
        <w:ind w:left="634" w:right="0"/>
        <w:jc w:val="left"/>
      </w:pPr>
      <w:r>
        <w:rPr/>
        <w:t>是否存在单次处置对子公司投资即丧失控制权的情形</w:t>
      </w:r>
    </w:p>
    <w:p>
      <w:pPr>
        <w:pStyle w:val="BodyText"/>
        <w:spacing w:line="350" w:lineRule="auto" w:before="146"/>
        <w:ind w:left="634" w:right="2592"/>
        <w:jc w:val="left"/>
      </w:pPr>
      <w:r>
        <w:rPr/>
        <w:t>□ 是 √ 否 是否存在通过多次交易分步处置对子公司投资且在本期丧失控制权的情形</w:t>
      </w:r>
    </w:p>
    <w:p>
      <w:pPr>
        <w:pStyle w:val="BodyText"/>
        <w:spacing w:line="240" w:lineRule="auto" w:before="35"/>
        <w:ind w:left="634" w:right="0"/>
        <w:jc w:val="left"/>
      </w:pPr>
      <w:r>
        <w:rPr/>
        <w:t>□ 是 √ 否</w:t>
      </w:r>
    </w:p>
    <w:p>
      <w:pPr>
        <w:spacing w:line="331" w:lineRule="auto" w:before="146"/>
        <w:ind w:left="634" w:right="1152" w:hanging="480"/>
        <w:jc w:val="left"/>
        <w:rPr>
          <w:rFonts w:ascii="宋体" w:hAnsi="宋体" w:cs="宋体" w:eastAsia="宋体" w:hint="default"/>
          <w:sz w:val="24"/>
          <w:szCs w:val="24"/>
        </w:rPr>
      </w:pPr>
      <w:bookmarkStart w:name="5、其他原因的合并范围变动" w:id="381"/>
      <w:bookmarkEnd w:id="381"/>
      <w:r>
        <w:rPr/>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、其他原因的合并范围变动</w:t>
      </w:r>
      <w:r>
        <w:rPr>
          <w:rFonts w:ascii="宋体" w:hAnsi="宋体" w:cs="宋体" w:eastAsia="宋体" w:hint="default"/>
          <w:b/>
          <w:bCs/>
          <w:w w:val="99"/>
          <w:sz w:val="24"/>
          <w:szCs w:val="24"/>
        </w:rPr>
        <w:t> </w:t>
      </w:r>
      <w:r>
        <w:rPr>
          <w:rFonts w:ascii="宋体" w:hAnsi="宋体" w:cs="宋体" w:eastAsia="宋体" w:hint="default"/>
          <w:sz w:val="24"/>
          <w:szCs w:val="24"/>
        </w:rPr>
        <w:t>说明其他原因导致的合并范围变动（如，新设子公司、清算子公司等）及其相关情况：</w:t>
      </w:r>
    </w:p>
    <w:p>
      <w:pPr>
        <w:pStyle w:val="Heading2"/>
        <w:spacing w:line="458" w:lineRule="auto" w:before="54"/>
        <w:ind w:right="8112"/>
        <w:jc w:val="left"/>
        <w:rPr>
          <w:b w:val="0"/>
          <w:bCs w:val="0"/>
        </w:rPr>
      </w:pPr>
      <w:bookmarkStart w:name="6、其他" w:id="382"/>
      <w:bookmarkEnd w:id="382"/>
      <w:r>
        <w:rPr>
          <w:b w:val="0"/>
          <w:bCs w:val="0"/>
        </w:rPr>
      </w:r>
      <w:r>
        <w:rPr>
          <w:rFonts w:ascii="Times New Roman" w:hAnsi="Times New Roman" w:cs="Times New Roman" w:eastAsia="Times New Roman" w:hint="default"/>
        </w:rPr>
        <w:t>6</w:t>
      </w:r>
      <w:r>
        <w:rPr/>
        <w:t>、其他</w:t>
      </w:r>
      <w:r>
        <w:rPr>
          <w:spacing w:val="1"/>
          <w:w w:val="99"/>
        </w:rPr>
        <w:t> </w:t>
      </w:r>
      <w:bookmarkStart w:name="九、在其他主体中的权益" w:id="383"/>
      <w:bookmarkEnd w:id="383"/>
      <w:r>
        <w:rPr>
          <w:w w:val="95"/>
        </w:rPr>
        <w:t>九、在其他主体中的权益</w:t>
      </w:r>
      <w:r>
        <w:rPr>
          <w:b w:val="0"/>
          <w:bCs w:val="0"/>
        </w:rPr>
      </w:r>
    </w:p>
    <w:p>
      <w:pPr>
        <w:pStyle w:val="Heading2"/>
        <w:spacing w:line="240" w:lineRule="auto" w:before="205"/>
        <w:ind w:right="0"/>
        <w:jc w:val="left"/>
        <w:rPr>
          <w:b w:val="0"/>
          <w:bCs w:val="0"/>
        </w:rPr>
      </w:pPr>
      <w:bookmarkStart w:name="1、在子公司中的权益" w:id="384"/>
      <w:bookmarkEnd w:id="384"/>
      <w:r>
        <w:rPr>
          <w:b w:val="0"/>
          <w:bCs w:val="0"/>
        </w:rPr>
      </w:r>
      <w:r>
        <w:rPr>
          <w:rFonts w:ascii="Times New Roman" w:hAnsi="Times New Roman" w:cs="Times New Roman" w:eastAsia="Times New Roman" w:hint="default"/>
        </w:rPr>
        <w:t>1</w:t>
      </w:r>
      <w:r>
        <w:rPr/>
        <w:t>、在子公司中的权益</w:t>
      </w:r>
      <w:r>
        <w:rPr>
          <w:b w:val="0"/>
          <w:bCs w:val="0"/>
        </w:rPr>
      </w:r>
    </w:p>
    <w:p>
      <w:pPr>
        <w:pStyle w:val="Heading2"/>
        <w:spacing w:line="240" w:lineRule="auto" w:before="127"/>
        <w:ind w:right="0"/>
        <w:jc w:val="left"/>
        <w:rPr>
          <w:b w:val="0"/>
          <w:bCs w:val="0"/>
        </w:rPr>
      </w:pPr>
      <w:bookmarkStart w:name="（1）企业集团的构成" w:id="385"/>
      <w:bookmarkEnd w:id="38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
        <w:rPr>
          <w:rFonts w:ascii="宋体" w:hAnsi="宋体" w:cs="宋体" w:eastAsia="宋体" w:hint="default"/>
          <w:b/>
          <w:bCs/>
          <w:sz w:val="3"/>
          <w:szCs w:val="3"/>
        </w:rPr>
      </w:pPr>
    </w:p>
    <w:tbl>
      <w:tblPr>
        <w:tblW w:w="0" w:type="auto"/>
        <w:jc w:val="left"/>
        <w:tblInd w:w="228" w:type="dxa"/>
        <w:tblLayout w:type="fixed"/>
        <w:tblCellMar>
          <w:top w:w="0" w:type="dxa"/>
          <w:left w:w="0" w:type="dxa"/>
          <w:bottom w:w="0" w:type="dxa"/>
          <w:right w:w="0" w:type="dxa"/>
        </w:tblCellMar>
        <w:tblLook w:val="01E0"/>
      </w:tblPr>
      <w:tblGrid>
        <w:gridCol w:w="2331"/>
        <w:gridCol w:w="1419"/>
        <w:gridCol w:w="1762"/>
        <w:gridCol w:w="1559"/>
        <w:gridCol w:w="848"/>
        <w:gridCol w:w="568"/>
        <w:gridCol w:w="994"/>
      </w:tblGrid>
      <w:tr>
        <w:trPr>
          <w:trHeight w:val="402" w:hRule="exact"/>
        </w:trPr>
        <w:tc>
          <w:tcPr>
            <w:tcW w:w="2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63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56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82"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402" w:hRule="exact"/>
        </w:trPr>
        <w:tc>
          <w:tcPr>
            <w:tcW w:w="2331"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762"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9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河南辉煌软件有限公司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郑州高新区</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郑州高新开发区科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软件开发、服务</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1" w:right="0"/>
              <w:jc w:val="center"/>
              <w:rPr>
                <w:rFonts w:ascii="Times New Roman" w:hAnsi="Times New Roman" w:cs="Times New Roman" w:eastAsia="Times New Roman" w:hint="default"/>
                <w:sz w:val="21"/>
                <w:szCs w:val="21"/>
              </w:rPr>
            </w:pPr>
            <w:r>
              <w:rPr>
                <w:rFonts w:ascii="Times New Roman"/>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投资设立</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228" w:type="dxa"/>
        <w:tblLayout w:type="fixed"/>
        <w:tblCellMar>
          <w:top w:w="0" w:type="dxa"/>
          <w:left w:w="0" w:type="dxa"/>
          <w:bottom w:w="0" w:type="dxa"/>
          <w:right w:w="0" w:type="dxa"/>
        </w:tblCellMar>
        <w:tblLook w:val="01E0"/>
      </w:tblPr>
      <w:tblGrid>
        <w:gridCol w:w="2331"/>
        <w:gridCol w:w="1419"/>
        <w:gridCol w:w="1762"/>
        <w:gridCol w:w="1559"/>
        <w:gridCol w:w="848"/>
        <w:gridCol w:w="568"/>
        <w:gridCol w:w="994"/>
      </w:tblGrid>
      <w:tr>
        <w:trPr>
          <w:trHeight w:val="362" w:hRule="exact"/>
        </w:trPr>
        <w:tc>
          <w:tcPr>
            <w:tcW w:w="233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0"/>
              <w:jc w:val="left"/>
              <w:rPr>
                <w:rFonts w:ascii="宋体" w:hAnsi="宋体" w:cs="宋体" w:eastAsia="宋体" w:hint="default"/>
                <w:sz w:val="21"/>
                <w:szCs w:val="21"/>
              </w:rPr>
            </w:pPr>
            <w:r>
              <w:rPr>
                <w:rFonts w:ascii="宋体" w:hAnsi="宋体" w:cs="宋体" w:eastAsia="宋体" w:hint="default"/>
                <w:sz w:val="21"/>
                <w:szCs w:val="21"/>
              </w:rPr>
              <w:t>学大道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5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6"/>
              <w:jc w:val="left"/>
              <w:rPr>
                <w:rFonts w:ascii="宋体" w:hAnsi="宋体" w:cs="宋体" w:eastAsia="宋体" w:hint="default"/>
                <w:sz w:val="21"/>
                <w:szCs w:val="21"/>
              </w:rPr>
            </w:pPr>
            <w:r>
              <w:rPr>
                <w:rFonts w:ascii="宋体" w:hAnsi="宋体" w:cs="宋体" w:eastAsia="宋体" w:hint="default"/>
                <w:sz w:val="21"/>
                <w:szCs w:val="21"/>
              </w:rPr>
              <w:t>河南辉煌信通软件有限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郑州高新区</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郑州市高新区科学 大道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软件开发、服务</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026"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2" w:right="196"/>
              <w:jc w:val="left"/>
              <w:rPr>
                <w:rFonts w:ascii="宋体" w:hAnsi="宋体" w:cs="宋体" w:eastAsia="宋体" w:hint="default"/>
                <w:sz w:val="21"/>
                <w:szCs w:val="21"/>
              </w:rPr>
            </w:pPr>
            <w:r>
              <w:rPr>
                <w:rFonts w:ascii="宋体" w:hAnsi="宋体" w:cs="宋体" w:eastAsia="宋体" w:hint="default"/>
                <w:sz w:val="21"/>
                <w:szCs w:val="21"/>
              </w:rPr>
              <w:t>北京全路信通软件科技 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北京市丰台区</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北京市丰台区南四 环西路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区</w:t>
            </w:r>
          </w:p>
          <w:p>
            <w:pPr>
              <w:pStyle w:val="TableParagraph"/>
              <w:spacing w:line="283"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号楼</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602</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室</w:t>
            </w:r>
            <w:r>
              <w:rPr>
                <w:rFonts w:ascii="Times New Roman" w:hAnsi="Times New Roman" w:cs="Times New Roman" w:eastAsia="Times New Roman" w:hint="default"/>
                <w:sz w:val="21"/>
                <w:szCs w:val="21"/>
              </w:rPr>
              <w:t>(</w:t>
            </w:r>
            <w:r>
              <w:rPr>
                <w:rFonts w:ascii="宋体" w:hAnsi="宋体" w:cs="宋体" w:eastAsia="宋体" w:hint="default"/>
                <w:sz w:val="21"/>
                <w:szCs w:val="21"/>
              </w:rPr>
              <w:t>园区</w:t>
            </w:r>
            <w:r>
              <w:rPr>
                <w:rFonts w:ascii="Times New Roman" w:hAnsi="Times New Roman" w:cs="Times New Roman" w:eastAsia="Times New Roman" w:hint="default"/>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软件开发、服务</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026"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2" w:right="197"/>
              <w:jc w:val="left"/>
              <w:rPr>
                <w:rFonts w:ascii="宋体" w:hAnsi="宋体" w:cs="宋体" w:eastAsia="宋体" w:hint="default"/>
                <w:sz w:val="21"/>
                <w:szCs w:val="21"/>
              </w:rPr>
            </w:pPr>
            <w:r>
              <w:rPr>
                <w:rFonts w:ascii="宋体" w:hAnsi="宋体" w:cs="宋体" w:eastAsia="宋体" w:hint="default"/>
                <w:sz w:val="21"/>
                <w:szCs w:val="21"/>
              </w:rPr>
              <w:t>北京国铁路阳技术有限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北京市丰台区</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北京市丰台区南四 环西路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区</w:t>
            </w:r>
          </w:p>
          <w:p>
            <w:pPr>
              <w:pStyle w:val="TableParagraph"/>
              <w:spacing w:line="283"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号楼</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401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室</w:t>
            </w:r>
            <w:r>
              <w:rPr>
                <w:rFonts w:ascii="Times New Roman" w:hAnsi="Times New Roman" w:cs="Times New Roman" w:eastAsia="Times New Roman" w:hint="default"/>
                <w:sz w:val="21"/>
                <w:szCs w:val="21"/>
              </w:rPr>
              <w:t>(</w:t>
            </w:r>
            <w:r>
              <w:rPr>
                <w:rFonts w:ascii="宋体" w:hAnsi="宋体" w:cs="宋体" w:eastAsia="宋体" w:hint="default"/>
                <w:sz w:val="21"/>
                <w:szCs w:val="21"/>
              </w:rPr>
              <w:t>园区</w:t>
            </w:r>
            <w:r>
              <w:rPr>
                <w:rFonts w:ascii="Times New Roman" w:hAnsi="Times New Roman" w:cs="Times New Roman" w:eastAsia="Times New Roman" w:hint="default"/>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铁路信号通信</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购买取得</w:t>
            </w:r>
          </w:p>
        </w:tc>
      </w:tr>
      <w:tr>
        <w:trPr>
          <w:trHeight w:val="1026"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2" w:right="196"/>
              <w:jc w:val="left"/>
              <w:rPr>
                <w:rFonts w:ascii="宋体" w:hAnsi="宋体" w:cs="宋体" w:eastAsia="宋体" w:hint="default"/>
                <w:sz w:val="21"/>
                <w:szCs w:val="21"/>
              </w:rPr>
            </w:pPr>
            <w:r>
              <w:rPr>
                <w:rFonts w:ascii="宋体" w:hAnsi="宋体" w:cs="宋体" w:eastAsia="宋体" w:hint="default"/>
                <w:sz w:val="21"/>
                <w:szCs w:val="21"/>
              </w:rPr>
              <w:t>北京国铁路阳软件有限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北京市丰台区</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北京市丰台区南四 环西路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区</w:t>
            </w:r>
          </w:p>
          <w:p>
            <w:pPr>
              <w:pStyle w:val="TableParagraph"/>
              <w:spacing w:line="283"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301 </w:t>
            </w:r>
            <w:r>
              <w:rPr>
                <w:rFonts w:ascii="宋体" w:hAnsi="宋体" w:cs="宋体" w:eastAsia="宋体" w:hint="default"/>
                <w:sz w:val="21"/>
                <w:szCs w:val="21"/>
              </w:rPr>
              <w:t>室</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软件开发、服务</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购买取得</w:t>
            </w:r>
          </w:p>
        </w:tc>
      </w:tr>
      <w:tr>
        <w:trPr>
          <w:trHeight w:val="714"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6"/>
              <w:jc w:val="left"/>
              <w:rPr>
                <w:rFonts w:ascii="宋体" w:hAnsi="宋体" w:cs="宋体" w:eastAsia="宋体" w:hint="default"/>
                <w:sz w:val="21"/>
                <w:szCs w:val="21"/>
              </w:rPr>
            </w:pPr>
            <w:r>
              <w:rPr>
                <w:rFonts w:ascii="宋体" w:hAnsi="宋体" w:cs="宋体" w:eastAsia="宋体" w:hint="default"/>
                <w:sz w:val="21"/>
                <w:szCs w:val="21"/>
              </w:rPr>
              <w:t>天津辉煌路阳科技有限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天津市津南区</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Times New Roman" w:hAnsi="Times New Roman" w:cs="Times New Roman" w:eastAsia="Times New Roman" w:hint="default"/>
                <w:sz w:val="21"/>
                <w:szCs w:val="21"/>
              </w:rPr>
            </w:pPr>
            <w:r>
              <w:rPr>
                <w:rFonts w:ascii="宋体" w:hAnsi="宋体" w:cs="宋体" w:eastAsia="宋体" w:hint="default"/>
                <w:sz w:val="21"/>
                <w:szCs w:val="21"/>
              </w:rPr>
              <w:t>天津双港工业区丽 港园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34-210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铁路信号通信</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购买取得</w:t>
            </w:r>
          </w:p>
        </w:tc>
      </w:tr>
      <w:tr>
        <w:trPr>
          <w:trHeight w:val="714"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6"/>
              <w:jc w:val="left"/>
              <w:rPr>
                <w:rFonts w:ascii="宋体" w:hAnsi="宋体" w:cs="宋体" w:eastAsia="宋体" w:hint="default"/>
                <w:sz w:val="21"/>
                <w:szCs w:val="21"/>
              </w:rPr>
            </w:pPr>
            <w:r>
              <w:rPr>
                <w:rFonts w:ascii="宋体" w:hAnsi="宋体" w:cs="宋体" w:eastAsia="宋体" w:hint="default"/>
                <w:sz w:val="21"/>
                <w:szCs w:val="21"/>
              </w:rPr>
              <w:t>天津信通铁路电气技术 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天津市东丽区</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Times New Roman" w:hAnsi="Times New Roman" w:cs="Times New Roman" w:eastAsia="Times New Roman" w:hint="default"/>
                <w:sz w:val="21"/>
                <w:szCs w:val="21"/>
              </w:rPr>
            </w:pPr>
            <w:r>
              <w:rPr>
                <w:rFonts w:ascii="宋体" w:hAnsi="宋体" w:cs="宋体" w:eastAsia="宋体" w:hint="default"/>
                <w:sz w:val="21"/>
                <w:szCs w:val="21"/>
              </w:rPr>
              <w:t>天津市东丽区先锋 东路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铁路信号通信</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购买取得</w:t>
            </w:r>
          </w:p>
        </w:tc>
      </w:tr>
      <w:tr>
        <w:trPr>
          <w:trHeight w:val="714"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7"/>
              <w:jc w:val="left"/>
              <w:rPr>
                <w:rFonts w:ascii="宋体" w:hAnsi="宋体" w:cs="宋体" w:eastAsia="宋体" w:hint="default"/>
                <w:sz w:val="21"/>
                <w:szCs w:val="21"/>
              </w:rPr>
            </w:pPr>
            <w:r>
              <w:rPr>
                <w:rFonts w:ascii="宋体" w:hAnsi="宋体" w:cs="宋体" w:eastAsia="宋体" w:hint="default"/>
                <w:sz w:val="21"/>
                <w:szCs w:val="21"/>
              </w:rPr>
              <w:t>河南辉煌城轨科技有限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郑州高新区</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郑州高新开发区科 学大道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铁路信号通信</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714"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6"/>
              <w:jc w:val="left"/>
              <w:rPr>
                <w:rFonts w:ascii="宋体" w:hAnsi="宋体" w:cs="宋体" w:eastAsia="宋体" w:hint="default"/>
                <w:sz w:val="21"/>
                <w:szCs w:val="21"/>
              </w:rPr>
            </w:pPr>
            <w:r>
              <w:rPr>
                <w:rFonts w:ascii="宋体" w:hAnsi="宋体" w:cs="宋体" w:eastAsia="宋体" w:hint="default"/>
                <w:sz w:val="21"/>
                <w:szCs w:val="21"/>
              </w:rPr>
              <w:t>成都西南交大驱动技术 有限责任公司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成都高新区</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成都高新区肖家河 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134 </w:t>
            </w:r>
            <w:r>
              <w:rPr>
                <w:rFonts w:ascii="宋体" w:hAnsi="宋体" w:cs="宋体" w:eastAsia="宋体" w:hint="default"/>
                <w:sz w:val="21"/>
                <w:szCs w:val="21"/>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铁路专用设备</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45" w:right="0"/>
              <w:jc w:val="center"/>
              <w:rPr>
                <w:rFonts w:ascii="Times New Roman" w:hAnsi="Times New Roman" w:cs="Times New Roman" w:eastAsia="Times New Roman" w:hint="default"/>
                <w:sz w:val="21"/>
                <w:szCs w:val="21"/>
              </w:rPr>
            </w:pPr>
            <w:r>
              <w:rPr>
                <w:rFonts w:ascii="Times New Roman"/>
                <w:sz w:val="21"/>
              </w:rPr>
              <w:t>51.00%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购买取得</w:t>
            </w:r>
          </w:p>
        </w:tc>
      </w:tr>
      <w:tr>
        <w:trPr>
          <w:trHeight w:val="1026"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2" w:right="196"/>
              <w:jc w:val="left"/>
              <w:rPr>
                <w:rFonts w:ascii="宋体" w:hAnsi="宋体" w:cs="宋体" w:eastAsia="宋体" w:hint="default"/>
                <w:sz w:val="21"/>
                <w:szCs w:val="21"/>
              </w:rPr>
            </w:pPr>
            <w:r>
              <w:rPr>
                <w:rFonts w:ascii="宋体" w:hAnsi="宋体" w:cs="宋体" w:eastAsia="宋体" w:hint="default"/>
                <w:sz w:val="21"/>
                <w:szCs w:val="21"/>
              </w:rPr>
              <w:t>成都新一驱动科技有限 责任公司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成都郫都区</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both"/>
              <w:rPr>
                <w:rFonts w:ascii="宋体" w:hAnsi="宋体" w:cs="宋体" w:eastAsia="宋体" w:hint="default"/>
                <w:sz w:val="21"/>
                <w:szCs w:val="21"/>
              </w:rPr>
            </w:pPr>
            <w:r>
              <w:rPr>
                <w:rFonts w:ascii="宋体" w:hAnsi="宋体" w:cs="宋体" w:eastAsia="宋体" w:hint="default"/>
                <w:sz w:val="21"/>
                <w:szCs w:val="21"/>
              </w:rPr>
              <w:t>郫县成都现代工业 港北区蜀都大道北 一段</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1907 </w:t>
            </w:r>
            <w:r>
              <w:rPr>
                <w:rFonts w:ascii="宋体" w:hAnsi="宋体" w:cs="宋体" w:eastAsia="宋体" w:hint="default"/>
                <w:sz w:val="21"/>
                <w:szCs w:val="21"/>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铁路专用设备</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left="145" w:right="0"/>
              <w:jc w:val="center"/>
              <w:rPr>
                <w:rFonts w:ascii="Times New Roman" w:hAnsi="Times New Roman" w:cs="Times New Roman" w:eastAsia="Times New Roman" w:hint="default"/>
                <w:sz w:val="21"/>
                <w:szCs w:val="21"/>
              </w:rPr>
            </w:pPr>
            <w:r>
              <w:rPr>
                <w:rFonts w:ascii="Times New Roman"/>
                <w:sz w:val="21"/>
              </w:rPr>
              <w:t>51.00%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购买取得</w:t>
            </w:r>
          </w:p>
        </w:tc>
      </w:tr>
    </w:tbl>
    <w:p>
      <w:pPr>
        <w:spacing w:line="240" w:lineRule="auto" w:before="10"/>
        <w:rPr>
          <w:rFonts w:ascii="宋体" w:hAnsi="宋体" w:cs="宋体" w:eastAsia="宋体" w:hint="default"/>
          <w:b/>
          <w:bCs/>
          <w:sz w:val="4"/>
          <w:szCs w:val="4"/>
        </w:rPr>
      </w:pPr>
    </w:p>
    <w:p>
      <w:pPr>
        <w:pStyle w:val="BodyText"/>
        <w:spacing w:line="350" w:lineRule="auto" w:before="26"/>
        <w:ind w:left="634" w:right="1152"/>
        <w:jc w:val="left"/>
      </w:pPr>
      <w:r>
        <w:rPr/>
        <w:t>在子公司的持股比例不同于表决权比例的说明：无 持有半数或以下表决权但仍控制被投资单位、以及持有半数以上表决权但不控制被投资</w:t>
      </w:r>
    </w:p>
    <w:p>
      <w:pPr>
        <w:pStyle w:val="BodyText"/>
        <w:spacing w:line="350" w:lineRule="auto"/>
        <w:ind w:left="634" w:right="4272" w:hanging="480"/>
        <w:jc w:val="left"/>
      </w:pPr>
      <w:r>
        <w:rPr/>
        <w:t>单位的依据：无 对于纳入合并范围的重要的结构化主体，控制的依据：无 确定公司是代理人还是委托人的依据：无</w:t>
      </w:r>
    </w:p>
    <w:p>
      <w:pPr>
        <w:pStyle w:val="BodyText"/>
        <w:spacing w:line="350" w:lineRule="auto"/>
        <w:ind w:left="634" w:right="1632"/>
        <w:jc w:val="left"/>
      </w:pPr>
      <w:r>
        <w:rPr/>
        <w:t>其他说明： 天津智信源科技有限公司于</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21</w:t>
      </w:r>
      <w:r>
        <w:rPr/>
        <w:t>日成立，截止到</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6</w:t>
      </w:r>
      <w:r>
        <w:rPr/>
        <w:t>日注销解散。</w:t>
      </w:r>
    </w:p>
    <w:p>
      <w:pPr>
        <w:pStyle w:val="Heading2"/>
        <w:spacing w:line="240" w:lineRule="auto" w:before="35"/>
        <w:ind w:right="0"/>
        <w:jc w:val="left"/>
        <w:rPr>
          <w:b w:val="0"/>
          <w:bCs w:val="0"/>
        </w:rPr>
      </w:pPr>
      <w:bookmarkStart w:name="（2）重要的非全资子公司" w:id="386"/>
      <w:bookmarkEnd w:id="38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before="9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1703"/>
        <w:gridCol w:w="1914"/>
        <w:gridCol w:w="1913"/>
        <w:gridCol w:w="1913"/>
      </w:tblGrid>
      <w:tr>
        <w:trPr>
          <w:trHeight w:val="759"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5"/>
              <w:ind w:left="741" w:right="111" w:hanging="630"/>
              <w:jc w:val="left"/>
              <w:rPr>
                <w:rFonts w:ascii="宋体" w:hAnsi="宋体" w:cs="宋体" w:eastAsia="宋体" w:hint="default"/>
                <w:sz w:val="21"/>
                <w:szCs w:val="21"/>
              </w:rPr>
            </w:pPr>
            <w:r>
              <w:rPr>
                <w:rFonts w:ascii="宋体" w:hAnsi="宋体" w:cs="宋体" w:eastAsia="宋体" w:hint="default"/>
                <w:sz w:val="21"/>
                <w:szCs w:val="21"/>
              </w:rPr>
              <w:t>少数股东持股比 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5"/>
              <w:ind w:left="531" w:right="110" w:hanging="420"/>
              <w:jc w:val="left"/>
              <w:rPr>
                <w:rFonts w:ascii="宋体" w:hAnsi="宋体" w:cs="宋体" w:eastAsia="宋体" w:hint="default"/>
                <w:sz w:val="21"/>
                <w:szCs w:val="21"/>
              </w:rPr>
            </w:pPr>
            <w:r>
              <w:rPr>
                <w:rFonts w:ascii="宋体" w:hAnsi="宋体" w:cs="宋体" w:eastAsia="宋体" w:hint="default"/>
                <w:sz w:val="21"/>
                <w:szCs w:val="21"/>
              </w:rPr>
              <w:t>本期归属于少数股 东的损益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5"/>
              <w:ind w:left="321" w:right="111" w:hanging="210"/>
              <w:jc w:val="left"/>
              <w:rPr>
                <w:rFonts w:ascii="宋体" w:hAnsi="宋体" w:cs="宋体" w:eastAsia="宋体" w:hint="default"/>
                <w:sz w:val="21"/>
                <w:szCs w:val="21"/>
              </w:rPr>
            </w:pPr>
            <w:r>
              <w:rPr>
                <w:rFonts w:ascii="宋体" w:hAnsi="宋体" w:cs="宋体" w:eastAsia="宋体" w:hint="default"/>
                <w:sz w:val="21"/>
                <w:szCs w:val="21"/>
              </w:rPr>
              <w:t>本期向少数股东宣 告分派的股利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5"/>
              <w:ind w:left="741" w:right="109" w:hanging="630"/>
              <w:jc w:val="left"/>
              <w:rPr>
                <w:rFonts w:ascii="宋体" w:hAnsi="宋体" w:cs="宋体" w:eastAsia="宋体" w:hint="default"/>
                <w:sz w:val="21"/>
                <w:szCs w:val="21"/>
              </w:rPr>
            </w:pPr>
            <w:r>
              <w:rPr>
                <w:rFonts w:ascii="宋体" w:hAnsi="宋体" w:cs="宋体" w:eastAsia="宋体" w:hint="default"/>
                <w:sz w:val="21"/>
                <w:szCs w:val="21"/>
              </w:rPr>
              <w:t>期末少数股东权益 余额</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3"/>
              <w:jc w:val="left"/>
              <w:rPr>
                <w:rFonts w:ascii="宋体" w:hAnsi="宋体" w:cs="宋体" w:eastAsia="宋体" w:hint="default"/>
                <w:sz w:val="21"/>
                <w:szCs w:val="21"/>
              </w:rPr>
            </w:pPr>
            <w:r>
              <w:rPr>
                <w:rFonts w:ascii="宋体" w:hAnsi="宋体" w:cs="宋体" w:eastAsia="宋体" w:hint="default"/>
                <w:sz w:val="21"/>
                <w:szCs w:val="21"/>
              </w:rPr>
              <w:t>成都西南交大驱动技 术有限责任公司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22" w:right="0"/>
              <w:jc w:val="left"/>
              <w:rPr>
                <w:rFonts w:ascii="Times New Roman" w:hAnsi="Times New Roman" w:cs="Times New Roman" w:eastAsia="Times New Roman" w:hint="default"/>
                <w:sz w:val="21"/>
                <w:szCs w:val="21"/>
              </w:rPr>
            </w:pPr>
            <w:r>
              <w:rPr>
                <w:rFonts w:ascii="Times New Roman"/>
                <w:sz w:val="21"/>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77" w:right="0"/>
              <w:jc w:val="left"/>
              <w:rPr>
                <w:rFonts w:ascii="Times New Roman" w:hAnsi="Times New Roman" w:cs="Times New Roman" w:eastAsia="Times New Roman" w:hint="default"/>
                <w:sz w:val="21"/>
                <w:szCs w:val="21"/>
              </w:rPr>
            </w:pPr>
            <w:r>
              <w:rPr>
                <w:rFonts w:ascii="Times New Roman"/>
                <w:sz w:val="21"/>
              </w:rPr>
              <w:t>6,721,470.06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36" w:right="0"/>
              <w:jc w:val="left"/>
              <w:rPr>
                <w:rFonts w:ascii="Times New Roman" w:hAnsi="Times New Roman" w:cs="Times New Roman" w:eastAsia="Times New Roman" w:hint="default"/>
                <w:sz w:val="21"/>
                <w:szCs w:val="21"/>
              </w:rPr>
            </w:pPr>
            <w:r>
              <w:rPr>
                <w:rFonts w:ascii="Times New Roman"/>
                <w:sz w:val="21"/>
              </w:rPr>
              <w:t>245,000.00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73" w:right="0"/>
              <w:jc w:val="left"/>
              <w:rPr>
                <w:rFonts w:ascii="Times New Roman" w:hAnsi="Times New Roman" w:cs="Times New Roman" w:eastAsia="Times New Roman" w:hint="default"/>
                <w:sz w:val="21"/>
                <w:szCs w:val="21"/>
              </w:rPr>
            </w:pPr>
            <w:r>
              <w:rPr>
                <w:rFonts w:ascii="Times New Roman"/>
                <w:sz w:val="21"/>
              </w:rPr>
              <w:t>31,215,835.23</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BodyText"/>
        <w:spacing w:line="240" w:lineRule="auto" w:before="199"/>
        <w:ind w:left="634" w:right="-20"/>
        <w:jc w:val="left"/>
      </w:pPr>
      <w:r>
        <w:rPr/>
        <w:t>子公司少数股东的持股比例不同于表决权比例的说明：无</w:t>
      </w:r>
    </w:p>
    <w:p>
      <w:pPr>
        <w:pStyle w:val="Heading2"/>
        <w:spacing w:line="240" w:lineRule="auto" w:before="145"/>
        <w:ind w:right="-20"/>
        <w:jc w:val="left"/>
        <w:rPr>
          <w:b w:val="0"/>
          <w:bCs w:val="0"/>
        </w:rPr>
      </w:pPr>
      <w:bookmarkStart w:name="（3）重要非全资子公司的主要财务信息" w:id="387"/>
      <w:bookmarkEnd w:id="38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4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635" w:space="219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96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成都西 南交大 驱动技 术有限 责任公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58,633,8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27.80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18,367,4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33.14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77,001,2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60.94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13,295,4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74.76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13,295,4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48,062,7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10,721,7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58.67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58,784,5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48.66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7,796,04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8,296,04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8.31</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成都西南交 大驱动技术 有限责任公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40,765,194.9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13,717,285.8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13,717,285.8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-5,258,967.99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39,883,945.2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10,456,410.6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10,456,410.6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-5,550,833.17</w:t>
            </w:r>
          </w:p>
        </w:tc>
      </w:tr>
    </w:tbl>
    <w:p>
      <w:pPr>
        <w:spacing w:line="240" w:lineRule="auto" w:before="10"/>
        <w:rPr>
          <w:rFonts w:ascii="宋体" w:hAnsi="宋体" w:cs="宋体" w:eastAsia="宋体" w:hint="default"/>
          <w:sz w:val="4"/>
          <w:szCs w:val="4"/>
        </w:rPr>
      </w:pPr>
    </w:p>
    <w:p>
      <w:pPr>
        <w:pStyle w:val="BodyText"/>
        <w:spacing w:line="240" w:lineRule="auto" w:before="26"/>
        <w:ind w:left="634" w:right="0"/>
        <w:jc w:val="left"/>
      </w:pPr>
      <w:r>
        <w:rPr/>
        <w:t>其他说明：无</w:t>
      </w:r>
    </w:p>
    <w:p>
      <w:pPr>
        <w:pStyle w:val="Heading2"/>
        <w:spacing w:line="331" w:lineRule="auto" w:before="145"/>
        <w:ind w:left="634" w:right="4990" w:hanging="480"/>
        <w:jc w:val="left"/>
        <w:rPr>
          <w:rFonts w:ascii="宋体" w:hAnsi="宋体" w:cs="宋体" w:eastAsia="宋体" w:hint="default"/>
          <w:b w:val="0"/>
          <w:bCs w:val="0"/>
        </w:rPr>
      </w:pPr>
      <w:bookmarkStart w:name="（4）使用企业集团资产和清偿企业集团债务的重大限制" w:id="388"/>
      <w:bookmarkEnd w:id="388"/>
      <w:r>
        <w:rPr>
          <w:b w:val="0"/>
          <w:bCs w:val="0"/>
        </w:rPr>
      </w:r>
      <w:r>
        <w:rPr>
          <w:w w:val="95"/>
        </w:rPr>
        <w:t>（</w:t>
      </w:r>
      <w:r>
        <w:rPr>
          <w:rFonts w:ascii="Times New Roman" w:hAnsi="Times New Roman" w:cs="Times New Roman" w:eastAsia="Times New Roman" w:hint="default"/>
          <w:w w:val="95"/>
        </w:rPr>
        <w:t>4</w:t>
      </w:r>
      <w:r>
        <w:rPr>
          <w:w w:val="95"/>
        </w:rPr>
        <w:t>）使用企业集团资产和清偿企业集团债务的重大限制 </w:t>
      </w:r>
      <w:r>
        <w:rPr>
          <w:spacing w:val="43"/>
          <w:w w:val="95"/>
        </w:rPr>
        <w:t> </w:t>
      </w:r>
      <w:r>
        <w:rPr>
          <w:rFonts w:ascii="宋体" w:hAnsi="宋体" w:cs="宋体" w:eastAsia="宋体" w:hint="default"/>
          <w:b w:val="0"/>
          <w:bCs w:val="0"/>
        </w:rPr>
        <w:t>无</w:t>
      </w:r>
    </w:p>
    <w:p>
      <w:pPr>
        <w:pStyle w:val="Heading2"/>
        <w:spacing w:line="331" w:lineRule="auto" w:before="55"/>
        <w:ind w:left="634" w:right="3432" w:hanging="480"/>
        <w:jc w:val="left"/>
        <w:rPr>
          <w:rFonts w:ascii="宋体" w:hAnsi="宋体" w:cs="宋体" w:eastAsia="宋体" w:hint="default"/>
          <w:b w:val="0"/>
          <w:bCs w:val="0"/>
        </w:rPr>
      </w:pPr>
      <w:bookmarkStart w:name="（5）向纳入合并财务报表范围的结构化主体提供的财务支持或其他支持" w:id="389"/>
      <w:bookmarkEnd w:id="389"/>
      <w:r>
        <w:rPr>
          <w:b w:val="0"/>
          <w:bCs w:val="0"/>
        </w:rPr>
      </w:r>
      <w:r>
        <w:rPr>
          <w:w w:val="95"/>
        </w:rPr>
        <w:t>（</w:t>
      </w:r>
      <w:r>
        <w:rPr>
          <w:rFonts w:ascii="Times New Roman" w:hAnsi="Times New Roman" w:cs="Times New Roman" w:eastAsia="Times New Roman" w:hint="default"/>
          <w:w w:val="95"/>
        </w:rPr>
        <w:t>5</w:t>
      </w:r>
      <w:r>
        <w:rPr>
          <w:w w:val="95"/>
        </w:rPr>
        <w:t>）向纳入合并财务报表范围的结构化主体提供的财务支持或其他支持  </w:t>
      </w:r>
      <w:r>
        <w:rPr>
          <w:spacing w:val="6"/>
          <w:w w:val="95"/>
        </w:rPr>
        <w:t> </w:t>
      </w:r>
      <w:r>
        <w:rPr>
          <w:rFonts w:ascii="宋体" w:hAnsi="宋体" w:cs="宋体" w:eastAsia="宋体" w:hint="default"/>
          <w:b w:val="0"/>
          <w:bCs w:val="0"/>
        </w:rPr>
        <w:t>无</w:t>
      </w:r>
    </w:p>
    <w:p>
      <w:pPr>
        <w:pStyle w:val="Heading2"/>
        <w:spacing w:line="240" w:lineRule="auto" w:before="54"/>
        <w:ind w:right="0"/>
        <w:jc w:val="left"/>
        <w:rPr>
          <w:b w:val="0"/>
          <w:bCs w:val="0"/>
        </w:rPr>
      </w:pPr>
      <w:bookmarkStart w:name="2、在子公司的所有者权益份额发生变化且仍控制子公司的交易" w:id="390"/>
      <w:bookmarkEnd w:id="39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pStyle w:val="Heading2"/>
        <w:spacing w:line="331" w:lineRule="auto" w:before="128"/>
        <w:ind w:left="634" w:right="5470" w:hanging="480"/>
        <w:jc w:val="left"/>
        <w:rPr>
          <w:rFonts w:ascii="宋体" w:hAnsi="宋体" w:cs="宋体" w:eastAsia="宋体" w:hint="default"/>
          <w:b w:val="0"/>
          <w:bCs w:val="0"/>
        </w:rPr>
      </w:pPr>
      <w:bookmarkStart w:name="（1）在子公司所有者权益份额发生变化的情况说明" w:id="391"/>
      <w:bookmarkEnd w:id="391"/>
      <w:r>
        <w:rPr>
          <w:b w:val="0"/>
          <w:bCs w:val="0"/>
        </w:rPr>
      </w:r>
      <w:r>
        <w:rPr>
          <w:w w:val="95"/>
        </w:rPr>
        <w:t>（</w:t>
      </w:r>
      <w:r>
        <w:rPr>
          <w:rFonts w:ascii="Times New Roman" w:hAnsi="Times New Roman" w:cs="Times New Roman" w:eastAsia="Times New Roman" w:hint="default"/>
          <w:w w:val="95"/>
        </w:rPr>
        <w:t>1</w:t>
      </w:r>
      <w:r>
        <w:rPr>
          <w:w w:val="95"/>
        </w:rPr>
        <w:t>）在子公司所有者权益份额发生变化的情况说明 </w:t>
      </w:r>
      <w:r>
        <w:rPr>
          <w:spacing w:val="23"/>
          <w:w w:val="95"/>
        </w:rPr>
        <w:t> </w:t>
      </w:r>
      <w:r>
        <w:rPr>
          <w:spacing w:val="23"/>
          <w:w w:val="95"/>
        </w:rPr>
      </w:r>
      <w:r>
        <w:rPr>
          <w:rFonts w:ascii="宋体" w:hAnsi="宋体" w:cs="宋体" w:eastAsia="宋体" w:hint="default"/>
          <w:b w:val="0"/>
          <w:bCs w:val="0"/>
        </w:rPr>
        <w:t>无</w:t>
      </w:r>
    </w:p>
    <w:p>
      <w:pPr>
        <w:pStyle w:val="Heading2"/>
        <w:spacing w:line="333" w:lineRule="auto" w:before="54"/>
        <w:ind w:left="634" w:right="4270" w:hanging="480"/>
        <w:jc w:val="left"/>
        <w:rPr>
          <w:rFonts w:ascii="宋体" w:hAnsi="宋体" w:cs="宋体" w:eastAsia="宋体" w:hint="default"/>
          <w:b w:val="0"/>
          <w:bCs w:val="0"/>
        </w:rPr>
      </w:pPr>
      <w:bookmarkStart w:name="（2）交易对于少数股东权益及归属于母公司所有者权益的影响" w:id="392"/>
      <w:bookmarkEnd w:id="392"/>
      <w:r>
        <w:rPr>
          <w:b w:val="0"/>
          <w:bCs w:val="0"/>
        </w:rPr>
      </w:r>
      <w:r>
        <w:rPr>
          <w:w w:val="95"/>
        </w:rPr>
        <w:t>（</w:t>
      </w:r>
      <w:r>
        <w:rPr>
          <w:rFonts w:ascii="Times New Roman" w:hAnsi="Times New Roman" w:cs="Times New Roman" w:eastAsia="Times New Roman" w:hint="default"/>
          <w:w w:val="95"/>
        </w:rPr>
        <w:t>2</w:t>
      </w:r>
      <w:r>
        <w:rPr>
          <w:w w:val="95"/>
        </w:rPr>
        <w:t>）交易对于少数股东权益及归属于母公司所有者权益的影响 </w:t>
      </w:r>
      <w:r>
        <w:rPr>
          <w:spacing w:val="77"/>
          <w:w w:val="95"/>
        </w:rPr>
        <w:t> </w:t>
      </w:r>
      <w:r>
        <w:rPr>
          <w:rFonts w:ascii="宋体" w:hAnsi="宋体" w:cs="宋体" w:eastAsia="宋体" w:hint="default"/>
          <w:b w:val="0"/>
          <w:bCs w:val="0"/>
        </w:rPr>
        <w:t>无</w:t>
      </w:r>
    </w:p>
    <w:p>
      <w:pPr>
        <w:pStyle w:val="Heading2"/>
        <w:spacing w:line="240" w:lineRule="auto" w:before="52"/>
        <w:ind w:right="0"/>
        <w:jc w:val="left"/>
        <w:rPr>
          <w:b w:val="0"/>
          <w:bCs w:val="0"/>
        </w:rPr>
      </w:pPr>
      <w:bookmarkStart w:name="3、在合营安排或联营企业中的权益" w:id="393"/>
      <w:bookmarkEnd w:id="393"/>
      <w:r>
        <w:rPr>
          <w:b w:val="0"/>
          <w:bCs w:val="0"/>
        </w:rPr>
      </w:r>
      <w:r>
        <w:rPr>
          <w:rFonts w:ascii="Times New Roman" w:hAnsi="Times New Roman" w:cs="Times New Roman" w:eastAsia="Times New Roman" w:hint="default"/>
        </w:rPr>
        <w:t>3</w:t>
      </w:r>
      <w:r>
        <w:rPr/>
        <w:t>、在合营安排或联营企业中的权益</w:t>
      </w:r>
      <w:r>
        <w:rPr>
          <w:b w:val="0"/>
          <w:bCs w:val="0"/>
        </w:rPr>
      </w:r>
    </w:p>
    <w:p>
      <w:pPr>
        <w:pStyle w:val="Heading2"/>
        <w:spacing w:line="240" w:lineRule="auto" w:before="127"/>
        <w:ind w:right="0"/>
        <w:jc w:val="left"/>
        <w:rPr>
          <w:b w:val="0"/>
          <w:bCs w:val="0"/>
        </w:rPr>
      </w:pPr>
      <w:bookmarkStart w:name="（1）重要的合营企业或联营企业" w:id="394"/>
      <w:bookmarkEnd w:id="39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658"/>
        <w:gridCol w:w="1076"/>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7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658"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658"/>
        <w:gridCol w:w="1076"/>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飞天联合</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系统技术有限公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北京市海淀区东北 旺西路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电信、广播电</w:t>
            </w:r>
            <w:r>
              <w:rPr>
                <w:rFonts w:ascii="宋体" w:hAnsi="宋体" w:cs="宋体" w:eastAsia="宋体" w:hint="default"/>
                <w:sz w:val="18"/>
                <w:szCs w:val="18"/>
              </w:rPr>
              <w:t> 视和卫星传 输服务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北京赛弗网络科 技有限责任公司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北京市海淀区西小 口路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 </w:t>
            </w:r>
            <w:r>
              <w:rPr>
                <w:rFonts w:ascii="宋体" w:hAnsi="宋体" w:cs="宋体" w:eastAsia="宋体" w:hint="default"/>
                <w:sz w:val="18"/>
                <w:szCs w:val="18"/>
              </w:rPr>
              <w:t>室</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43"/>
              <w:jc w:val="left"/>
              <w:rPr>
                <w:rFonts w:ascii="宋体" w:hAnsi="宋体" w:cs="宋体" w:eastAsia="宋体" w:hint="default"/>
                <w:sz w:val="18"/>
                <w:szCs w:val="18"/>
              </w:rPr>
            </w:pPr>
            <w:r>
              <w:rPr>
                <w:rFonts w:ascii="宋体" w:hAnsi="宋体" w:cs="宋体" w:eastAsia="宋体" w:hint="default"/>
                <w:sz w:val="18"/>
                <w:szCs w:val="18"/>
              </w:rPr>
              <w:t>科技推广和 应用服务业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10"/>
        <w:rPr>
          <w:rFonts w:ascii="宋体" w:hAnsi="宋体" w:cs="宋体" w:eastAsia="宋体" w:hint="default"/>
          <w:b/>
          <w:bCs/>
          <w:sz w:val="4"/>
          <w:szCs w:val="4"/>
        </w:rPr>
      </w:pPr>
    </w:p>
    <w:p>
      <w:pPr>
        <w:pStyle w:val="BodyText"/>
        <w:spacing w:line="352" w:lineRule="auto" w:before="26"/>
        <w:ind w:left="634" w:right="1152"/>
        <w:jc w:val="left"/>
      </w:pPr>
      <w:r>
        <w:rPr/>
        <w:t>在合营企业或联营企业的持股比例不同于表决权比例的说明：无 持有</w:t>
      </w:r>
      <w:r>
        <w:rPr>
          <w:rFonts w:ascii="宋体" w:hAnsi="宋体" w:cs="宋体" w:eastAsia="宋体" w:hint="default"/>
        </w:rPr>
        <w:t>20%</w:t>
      </w:r>
      <w:r>
        <w:rPr/>
        <w:t>以下表决权但具有重大影响，或者持有</w:t>
      </w:r>
      <w:r>
        <w:rPr>
          <w:rFonts w:ascii="宋体" w:hAnsi="宋体" w:cs="宋体" w:eastAsia="宋体" w:hint="default"/>
        </w:rPr>
        <w:t>20%</w:t>
      </w:r>
      <w:r>
        <w:rPr/>
        <w:t>或以上表决权但不具有重大影响的依</w:t>
      </w:r>
    </w:p>
    <w:p>
      <w:pPr>
        <w:pStyle w:val="BodyText"/>
        <w:spacing w:line="240" w:lineRule="auto" w:before="32"/>
        <w:ind w:right="0"/>
        <w:jc w:val="left"/>
      </w:pPr>
      <w:r>
        <w:rPr/>
        <w:t>据：无</w:t>
      </w:r>
    </w:p>
    <w:p>
      <w:pPr>
        <w:pStyle w:val="Heading2"/>
        <w:spacing w:line="333" w:lineRule="auto" w:before="145"/>
        <w:ind w:left="634" w:right="7150" w:hanging="480"/>
        <w:jc w:val="left"/>
        <w:rPr>
          <w:rFonts w:ascii="宋体" w:hAnsi="宋体" w:cs="宋体" w:eastAsia="宋体" w:hint="default"/>
          <w:b w:val="0"/>
          <w:bCs w:val="0"/>
        </w:rPr>
      </w:pPr>
      <w:bookmarkStart w:name="（2）重要合营企业的主要财务信息" w:id="395"/>
      <w:bookmarkEnd w:id="395"/>
      <w:r>
        <w:rPr>
          <w:b w:val="0"/>
          <w:bCs w:val="0"/>
        </w:rPr>
      </w:r>
      <w:r>
        <w:rPr>
          <w:w w:val="95"/>
        </w:rPr>
        <w:t>（</w:t>
      </w:r>
      <w:r>
        <w:rPr>
          <w:rFonts w:ascii="Times New Roman" w:hAnsi="Times New Roman" w:cs="Times New Roman" w:eastAsia="Times New Roman" w:hint="default"/>
          <w:w w:val="95"/>
        </w:rPr>
        <w:t>2</w:t>
      </w:r>
      <w:r>
        <w:rPr>
          <w:w w:val="95"/>
        </w:rPr>
        <w:t>）重要合营企业的主要财务信息</w:t>
      </w:r>
      <w:r>
        <w:rPr>
          <w:spacing w:val="58"/>
          <w:w w:val="95"/>
        </w:rPr>
        <w:t> </w:t>
      </w:r>
      <w:r>
        <w:rPr>
          <w:rFonts w:ascii="宋体" w:hAnsi="宋体" w:cs="宋体" w:eastAsia="宋体" w:hint="default"/>
          <w:b w:val="0"/>
          <w:bCs w:val="0"/>
        </w:rPr>
        <w:t>无</w:t>
      </w:r>
    </w:p>
    <w:p>
      <w:pPr>
        <w:pStyle w:val="Heading2"/>
        <w:spacing w:line="240" w:lineRule="auto" w:before="52"/>
        <w:ind w:right="0"/>
        <w:jc w:val="left"/>
        <w:rPr>
          <w:b w:val="0"/>
          <w:bCs w:val="0"/>
        </w:rPr>
      </w:pPr>
      <w:bookmarkStart w:name="（3）重要联营企业的主要财务信息" w:id="396"/>
      <w:bookmarkEnd w:id="39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before="9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501" w:right="81" w:hanging="420"/>
              <w:jc w:val="left"/>
              <w:rPr>
                <w:rFonts w:ascii="宋体" w:hAnsi="宋体" w:cs="宋体" w:eastAsia="宋体" w:hint="default"/>
                <w:sz w:val="18"/>
                <w:szCs w:val="18"/>
              </w:rPr>
            </w:pPr>
            <w:r>
              <w:rPr>
                <w:rFonts w:ascii="宋体" w:hAnsi="宋体" w:cs="宋体" w:eastAsia="宋体" w:hint="default"/>
                <w:sz w:val="18"/>
                <w:szCs w:val="18"/>
              </w:rPr>
              <w:t>飞天联合</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系统技 术有限公司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北京赛弗网络科技有限 责任公司</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501" w:right="80" w:hanging="420"/>
              <w:jc w:val="left"/>
              <w:rPr>
                <w:rFonts w:ascii="宋体" w:hAnsi="宋体" w:cs="宋体" w:eastAsia="宋体" w:hint="default"/>
                <w:sz w:val="18"/>
                <w:szCs w:val="18"/>
              </w:rPr>
            </w:pPr>
            <w:r>
              <w:rPr>
                <w:rFonts w:ascii="宋体" w:hAnsi="宋体" w:cs="宋体" w:eastAsia="宋体" w:hint="default"/>
                <w:sz w:val="18"/>
                <w:szCs w:val="18"/>
              </w:rPr>
              <w:t>飞天联合</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系统技 术有限公司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北京赛弗网络科技有限 责任公司</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66,164,045.30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7,392,248.69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68,971,755.83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11,502,957.86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75,672,693.70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16,411,580.51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74,569,412.71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18,070,995.15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141,836,739.00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23,803,829.20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143,541,168.54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29,573,953.01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50,378,536.93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843,939.88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41,473,866.64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2,123,964.35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688,307.69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2,929,796.69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51,066,844.62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843,939.88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44,403,663.33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2,123,964.35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1,142,461.85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1,142,461.85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89,627,432.53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22,959,889.32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97,995,043.36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27,449,988.66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18,879,426.75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7,576,763.48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22,880,078.71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9,058,496.26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60,331,124.82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1,314,361.25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50,218,491.29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1,314,361.25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79,210,551.57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8,891,124.73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73,098,570.01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10,372,857.51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20,523,527.16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6,065,099.80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11,733,205.65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6,108,090.55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-31,423,268.26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-4,490,099.34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-36,824,349.84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-19,476,471.81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-31,423,268.26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-4,490,099.34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-36,824,349.84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-19,476,471.81</w:t>
            </w:r>
          </w:p>
        </w:tc>
      </w:tr>
    </w:tbl>
    <w:p>
      <w:pPr>
        <w:spacing w:line="240" w:lineRule="auto" w:before="10"/>
        <w:rPr>
          <w:rFonts w:ascii="宋体" w:hAnsi="宋体" w:cs="宋体" w:eastAsia="宋体" w:hint="default"/>
          <w:sz w:val="4"/>
          <w:szCs w:val="4"/>
        </w:rPr>
      </w:pPr>
    </w:p>
    <w:p>
      <w:pPr>
        <w:pStyle w:val="Heading2"/>
        <w:spacing w:line="333" w:lineRule="auto"/>
        <w:ind w:left="634" w:right="5470" w:hanging="480"/>
        <w:jc w:val="left"/>
        <w:rPr>
          <w:rFonts w:ascii="宋体" w:hAnsi="宋体" w:cs="宋体" w:eastAsia="宋体" w:hint="default"/>
          <w:b w:val="0"/>
          <w:bCs w:val="0"/>
        </w:rPr>
      </w:pPr>
      <w:bookmarkStart w:name="（4）不重要的合营企业和联营企业的汇总财务信息" w:id="397"/>
      <w:bookmarkEnd w:id="397"/>
      <w:r>
        <w:rPr>
          <w:b w:val="0"/>
          <w:bCs w:val="0"/>
        </w:rPr>
      </w:r>
      <w:r>
        <w:rPr>
          <w:w w:val="95"/>
        </w:rPr>
        <w:t>（</w:t>
      </w:r>
      <w:r>
        <w:rPr>
          <w:rFonts w:ascii="Times New Roman" w:hAnsi="Times New Roman" w:cs="Times New Roman" w:eastAsia="Times New Roman" w:hint="default"/>
          <w:w w:val="95"/>
        </w:rPr>
        <w:t>4</w:t>
      </w:r>
      <w:r>
        <w:rPr>
          <w:w w:val="95"/>
        </w:rPr>
        <w:t>）不重要的合营企业和联营企业的汇总财务信息 </w:t>
      </w:r>
      <w:r>
        <w:rPr>
          <w:spacing w:val="21"/>
          <w:w w:val="95"/>
        </w:rPr>
        <w:t> </w:t>
      </w:r>
      <w:r>
        <w:rPr>
          <w:rFonts w:ascii="宋体" w:hAnsi="宋体" w:cs="宋体" w:eastAsia="宋体" w:hint="default"/>
          <w:b w:val="0"/>
          <w:bCs w:val="0"/>
        </w:rPr>
        <w:t>无</w:t>
      </w:r>
    </w:p>
    <w:p>
      <w:pPr>
        <w:spacing w:after="0" w:line="333" w:lineRule="auto"/>
        <w:jc w:val="left"/>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331" w:lineRule="auto" w:before="199"/>
        <w:ind w:left="634" w:right="3432" w:hanging="480"/>
        <w:jc w:val="left"/>
        <w:rPr>
          <w:rFonts w:ascii="宋体" w:hAnsi="宋体" w:cs="宋体" w:eastAsia="宋体" w:hint="default"/>
          <w:b w:val="0"/>
          <w:bCs w:val="0"/>
        </w:rPr>
      </w:pPr>
      <w:bookmarkStart w:name="（5）合营企业或联营企业向本公司转移资金的能力存在重大限制的说明" w:id="398"/>
      <w:bookmarkEnd w:id="398"/>
      <w:r>
        <w:rPr>
          <w:b w:val="0"/>
          <w:bCs w:val="0"/>
        </w:rPr>
      </w:r>
      <w:r>
        <w:rPr>
          <w:w w:val="95"/>
        </w:rPr>
        <w:t>（</w:t>
      </w:r>
      <w:r>
        <w:rPr>
          <w:rFonts w:ascii="Times New Roman" w:hAnsi="Times New Roman" w:cs="Times New Roman" w:eastAsia="Times New Roman" w:hint="default"/>
          <w:w w:val="95"/>
        </w:rPr>
        <w:t>5</w:t>
      </w:r>
      <w:r>
        <w:rPr>
          <w:w w:val="95"/>
        </w:rPr>
        <w:t>）合营企业或联营企业向本公司转移资金的能力存在重大限制的说明  </w:t>
      </w:r>
      <w:r>
        <w:rPr>
          <w:spacing w:val="6"/>
          <w:w w:val="95"/>
        </w:rPr>
        <w:t> </w:t>
      </w:r>
      <w:r>
        <w:rPr>
          <w:rFonts w:ascii="宋体" w:hAnsi="宋体" w:cs="宋体" w:eastAsia="宋体" w:hint="default"/>
          <w:b w:val="0"/>
          <w:bCs w:val="0"/>
        </w:rPr>
        <w:t>无</w:t>
      </w:r>
    </w:p>
    <w:p>
      <w:pPr>
        <w:pStyle w:val="Heading2"/>
        <w:spacing w:line="331" w:lineRule="auto" w:before="55"/>
        <w:ind w:left="634" w:right="6430" w:hanging="480"/>
        <w:jc w:val="left"/>
        <w:rPr>
          <w:rFonts w:ascii="宋体" w:hAnsi="宋体" w:cs="宋体" w:eastAsia="宋体" w:hint="default"/>
          <w:b w:val="0"/>
          <w:bCs w:val="0"/>
        </w:rPr>
      </w:pPr>
      <w:bookmarkStart w:name="（6）合营企业或联营企业发生的超额亏损" w:id="399"/>
      <w:bookmarkEnd w:id="399"/>
      <w:r>
        <w:rPr>
          <w:b w:val="0"/>
          <w:bCs w:val="0"/>
        </w:rPr>
      </w:r>
      <w:r>
        <w:rPr>
          <w:w w:val="95"/>
        </w:rPr>
        <w:t>（</w:t>
      </w:r>
      <w:r>
        <w:rPr>
          <w:rFonts w:ascii="Times New Roman" w:hAnsi="Times New Roman" w:cs="Times New Roman" w:eastAsia="Times New Roman" w:hint="default"/>
          <w:w w:val="95"/>
        </w:rPr>
        <w:t>6</w:t>
      </w:r>
      <w:r>
        <w:rPr>
          <w:w w:val="95"/>
        </w:rPr>
        <w:t>）合营企业或联营企业发生的超额亏损</w:t>
      </w:r>
      <w:r>
        <w:rPr>
          <w:spacing w:val="92"/>
          <w:w w:val="95"/>
        </w:rPr>
        <w:t> </w:t>
      </w:r>
      <w:r>
        <w:rPr>
          <w:rFonts w:ascii="宋体" w:hAnsi="宋体" w:cs="宋体" w:eastAsia="宋体" w:hint="default"/>
          <w:b w:val="0"/>
          <w:bCs w:val="0"/>
        </w:rPr>
        <w:t>无</w:t>
      </w:r>
    </w:p>
    <w:p>
      <w:pPr>
        <w:pStyle w:val="Heading2"/>
        <w:spacing w:line="333" w:lineRule="auto" w:before="54"/>
        <w:ind w:left="634" w:right="6672" w:hanging="480"/>
        <w:jc w:val="left"/>
        <w:rPr>
          <w:rFonts w:ascii="宋体" w:hAnsi="宋体" w:cs="宋体" w:eastAsia="宋体" w:hint="default"/>
          <w:b w:val="0"/>
          <w:bCs w:val="0"/>
        </w:rPr>
      </w:pPr>
      <w:bookmarkStart w:name="（7）与合营企业投资相关的未确认承诺" w:id="400"/>
      <w:bookmarkEnd w:id="400"/>
      <w:r>
        <w:rPr>
          <w:b w:val="0"/>
          <w:bCs w:val="0"/>
        </w:rPr>
      </w:r>
      <w:r>
        <w:rPr>
          <w:w w:val="95"/>
        </w:rPr>
        <w:t>（</w:t>
      </w:r>
      <w:r>
        <w:rPr>
          <w:rFonts w:ascii="Times New Roman" w:hAnsi="Times New Roman" w:cs="Times New Roman" w:eastAsia="Times New Roman" w:hint="default"/>
          <w:w w:val="95"/>
        </w:rPr>
        <w:t>7</w:t>
      </w:r>
      <w:r>
        <w:rPr>
          <w:w w:val="95"/>
        </w:rPr>
        <w:t>）与合营企业投资相关的未确认承诺</w:t>
      </w:r>
      <w:r>
        <w:rPr>
          <w:spacing w:val="80"/>
          <w:w w:val="95"/>
        </w:rPr>
        <w:t> </w:t>
      </w:r>
      <w:r>
        <w:rPr>
          <w:rFonts w:ascii="宋体" w:hAnsi="宋体" w:cs="宋体" w:eastAsia="宋体" w:hint="default"/>
          <w:b w:val="0"/>
          <w:bCs w:val="0"/>
        </w:rPr>
        <w:t>无</w:t>
      </w:r>
    </w:p>
    <w:p>
      <w:pPr>
        <w:pStyle w:val="Heading2"/>
        <w:spacing w:line="331" w:lineRule="auto" w:before="52"/>
        <w:ind w:left="634" w:right="5710" w:hanging="480"/>
        <w:jc w:val="left"/>
        <w:rPr>
          <w:rFonts w:ascii="宋体" w:hAnsi="宋体" w:cs="宋体" w:eastAsia="宋体" w:hint="default"/>
          <w:b w:val="0"/>
          <w:bCs w:val="0"/>
        </w:rPr>
      </w:pPr>
      <w:bookmarkStart w:name="（8）与合营企业或联营企业投资相关的或有负债" w:id="401"/>
      <w:bookmarkEnd w:id="401"/>
      <w:r>
        <w:rPr>
          <w:b w:val="0"/>
          <w:bCs w:val="0"/>
        </w:rPr>
      </w:r>
      <w:r>
        <w:rPr>
          <w:w w:val="95"/>
        </w:rPr>
        <w:t>（</w:t>
      </w:r>
      <w:r>
        <w:rPr>
          <w:rFonts w:ascii="Times New Roman" w:hAnsi="Times New Roman" w:cs="Times New Roman" w:eastAsia="Times New Roman" w:hint="default"/>
          <w:w w:val="95"/>
        </w:rPr>
        <w:t>8</w:t>
      </w:r>
      <w:r>
        <w:rPr>
          <w:w w:val="95"/>
        </w:rPr>
        <w:t>）与合营企业或联营企业投资相关的或有负债 </w:t>
      </w:r>
      <w:r>
        <w:rPr>
          <w:spacing w:val="10"/>
          <w:w w:val="95"/>
        </w:rPr>
        <w:t> </w:t>
      </w:r>
      <w:r>
        <w:rPr>
          <w:rFonts w:ascii="宋体" w:hAnsi="宋体" w:cs="宋体" w:eastAsia="宋体" w:hint="default"/>
          <w:b w:val="0"/>
          <w:bCs w:val="0"/>
        </w:rPr>
        <w:t>无</w:t>
      </w:r>
    </w:p>
    <w:p>
      <w:pPr>
        <w:pStyle w:val="Heading2"/>
        <w:spacing w:line="331" w:lineRule="auto" w:before="55"/>
        <w:ind w:left="634" w:right="8704" w:hanging="480"/>
        <w:jc w:val="left"/>
        <w:rPr>
          <w:rFonts w:ascii="宋体" w:hAnsi="宋体" w:cs="宋体" w:eastAsia="宋体" w:hint="default"/>
          <w:b w:val="0"/>
          <w:bCs w:val="0"/>
        </w:rPr>
      </w:pPr>
      <w:bookmarkStart w:name="4、重要的共同经营" w:id="402"/>
      <w:bookmarkEnd w:id="402"/>
      <w:r>
        <w:rPr>
          <w:b w:val="0"/>
          <w:bCs w:val="0"/>
        </w:rPr>
      </w:r>
      <w:r>
        <w:rPr>
          <w:rFonts w:ascii="Times New Roman" w:hAnsi="Times New Roman" w:cs="Times New Roman" w:eastAsia="Times New Roman" w:hint="default"/>
        </w:rPr>
        <w:t>4</w:t>
      </w:r>
      <w:r>
        <w:rPr/>
        <w:t>、重要的共同经营</w:t>
      </w:r>
      <w:r>
        <w:rPr>
          <w:w w:val="99"/>
        </w:rPr>
        <w:t> </w:t>
      </w:r>
      <w:r>
        <w:rPr>
          <w:rFonts w:ascii="宋体" w:hAnsi="宋体" w:cs="宋体" w:eastAsia="宋体" w:hint="default"/>
          <w:b w:val="0"/>
          <w:bCs w:val="0"/>
        </w:rPr>
        <w:t>无</w:t>
      </w:r>
    </w:p>
    <w:p>
      <w:pPr>
        <w:spacing w:line="333" w:lineRule="auto" w:before="54"/>
        <w:ind w:left="634" w:right="4512" w:hanging="480"/>
        <w:jc w:val="left"/>
        <w:rPr>
          <w:rFonts w:ascii="宋体" w:hAnsi="宋体" w:cs="宋体" w:eastAsia="宋体" w:hint="default"/>
          <w:sz w:val="24"/>
          <w:szCs w:val="24"/>
        </w:rPr>
      </w:pPr>
      <w:bookmarkStart w:name="5、在未纳入合并财务报表范围的结构化主体中的权益" w:id="403"/>
      <w:bookmarkEnd w:id="403"/>
      <w:r>
        <w:rPr/>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、在未纳入合并财务报表范围的结构化主体中的权益</w:t>
      </w:r>
      <w:r>
        <w:rPr>
          <w:rFonts w:ascii="宋体" w:hAnsi="宋体" w:cs="宋体" w:eastAsia="宋体" w:hint="default"/>
          <w:b/>
          <w:bCs/>
          <w:w w:val="99"/>
          <w:sz w:val="24"/>
          <w:szCs w:val="24"/>
        </w:rPr>
        <w:t> </w:t>
      </w:r>
      <w:r>
        <w:rPr>
          <w:rFonts w:ascii="宋体" w:hAnsi="宋体" w:cs="宋体" w:eastAsia="宋体" w:hint="default"/>
          <w:sz w:val="24"/>
          <w:szCs w:val="24"/>
        </w:rPr>
        <w:t>未纳入合并财务报表范围的结构化主体的相关说明：无</w:t>
      </w:r>
    </w:p>
    <w:p>
      <w:pPr>
        <w:pStyle w:val="Heading2"/>
        <w:spacing w:line="240" w:lineRule="auto" w:before="52"/>
        <w:ind w:right="0"/>
        <w:jc w:val="left"/>
        <w:rPr>
          <w:b w:val="0"/>
          <w:bCs w:val="0"/>
        </w:rPr>
      </w:pPr>
      <w:bookmarkStart w:name="6、其他" w:id="404"/>
      <w:bookmarkEnd w:id="404"/>
      <w:r>
        <w:rPr>
          <w:b w:val="0"/>
          <w:bCs w:val="0"/>
        </w:rPr>
      </w:r>
      <w:r>
        <w:rPr>
          <w:rFonts w:ascii="Times New Roman" w:hAnsi="Times New Roman" w:cs="Times New Roman" w:eastAsia="Times New Roman" w:hint="default"/>
        </w:rPr>
        <w:t>6</w:t>
      </w:r>
      <w:r>
        <w:rPr/>
        <w:t>、其他</w:t>
      </w:r>
      <w:r>
        <w:rPr>
          <w:b w:val="0"/>
          <w:bCs w:val="0"/>
        </w:rPr>
      </w:r>
    </w:p>
    <w:p>
      <w:pPr>
        <w:pStyle w:val="Heading2"/>
        <w:spacing w:line="487" w:lineRule="auto" w:before="127"/>
        <w:ind w:right="7691" w:firstLine="480"/>
        <w:jc w:val="left"/>
        <w:rPr>
          <w:b w:val="0"/>
          <w:bCs w:val="0"/>
        </w:rPr>
      </w:pPr>
      <w:r>
        <w:rPr>
          <w:rFonts w:ascii="宋体" w:hAnsi="宋体" w:cs="宋体" w:eastAsia="宋体" w:hint="default"/>
          <w:b w:val="0"/>
          <w:bCs w:val="0"/>
        </w:rPr>
        <w:t>无 </w:t>
      </w:r>
      <w:bookmarkStart w:name="十、与金融工具相关的风险" w:id="405"/>
      <w:bookmarkEnd w:id="405"/>
      <w:r>
        <w:rPr>
          <w:rFonts w:ascii="宋体" w:hAnsi="宋体" w:cs="宋体" w:eastAsia="宋体" w:hint="default"/>
          <w:b w:val="0"/>
          <w:bCs w:val="0"/>
        </w:rPr>
      </w:r>
      <w:r>
        <w:rPr>
          <w:w w:val="95"/>
        </w:rPr>
        <w:t>十、与金融工具相关的风险</w:t>
      </w:r>
      <w:r>
        <w:rPr>
          <w:b w:val="0"/>
          <w:bCs w:val="0"/>
        </w:rPr>
      </w:r>
    </w:p>
    <w:p>
      <w:pPr>
        <w:pStyle w:val="BodyText"/>
        <w:spacing w:line="350" w:lineRule="auto" w:before="176"/>
        <w:ind w:right="1170" w:firstLine="480"/>
        <w:jc w:val="both"/>
      </w:pPr>
      <w:r>
        <w:rPr/>
        <w:t>本公司的经营活动会面临各种金融风险：信用风险、流动风险和市场风险（主要为汇率 风险和利率风险）。本公司整体的风险管理计划针对金融市场的不可预见性，力求减少对本 公司财务业绩的潜在不利影响。</w:t>
      </w:r>
    </w:p>
    <w:p>
      <w:pPr>
        <w:spacing w:line="208" w:lineRule="exact"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（一）信用风险</w:t>
      </w:r>
      <w:r>
        <w:rPr>
          <w:rFonts w:ascii="宋体" w:hAnsi="宋体" w:cs="宋体" w:eastAsia="宋体" w:hint="default"/>
          <w:sz w:val="21"/>
          <w:szCs w:val="21"/>
        </w:rPr>
      </w:r>
    </w:p>
    <w:p>
      <w:pPr>
        <w:pStyle w:val="BodyText"/>
        <w:spacing w:line="350" w:lineRule="auto" w:before="140"/>
        <w:ind w:right="1170" w:firstLine="480"/>
        <w:jc w:val="both"/>
      </w:pPr>
      <w:r>
        <w:rPr/>
        <w:t>信用风险是指交易对手未能履行合同义务而导致本公司产生财务损失的风险。本公司的 信用风险主要来自货币资金、应收票据、应收账款、其他应收款和可供出售金融资产等。管 理层已制定适当的信用政策，并且不断监察这些信用风险的敞口。</w:t>
      </w:r>
    </w:p>
    <w:p>
      <w:pPr>
        <w:pStyle w:val="BodyText"/>
        <w:spacing w:line="350" w:lineRule="auto"/>
        <w:ind w:right="1169" w:firstLine="480"/>
        <w:jc w:val="both"/>
      </w:pPr>
      <w:r>
        <w:rPr/>
        <w:t>本公司持有的货币资金，主要存放于国有控股银行和其他大中型商业银行等金融机构， 管理层认为这些商业银行具备较高信誉和资产状况，不存在重大的信用风险，不会产生因对 方单位违约而导致的任何重大损失。</w:t>
      </w:r>
    </w:p>
    <w:p>
      <w:pPr>
        <w:pStyle w:val="BodyText"/>
        <w:spacing w:line="352" w:lineRule="auto"/>
        <w:ind w:right="1170" w:firstLine="480"/>
        <w:jc w:val="both"/>
      </w:pPr>
      <w:r>
        <w:rPr/>
        <w:t>对于应收账款、其他应收款和应收票据，本公司设定相关政策以控制信用风险敞口。本 公司基于对客户的财务状况、从第三方获取担保的可能性、信用记录及其它因素诸如目前市 场状况等评估客户的信用资质并设置相应信用期。本公司会定期对客户信用记录进行监控， 对于信用记录不良的客户，本公司会采用书面催款、缩短信用期或取消信用期等方式，以确</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4" w:right="1128" w:hanging="480"/>
        <w:jc w:val="left"/>
        <w:rPr>
          <w:rFonts w:ascii="宋体" w:hAnsi="宋体" w:cs="宋体" w:eastAsia="宋体" w:hint="default"/>
        </w:rPr>
      </w:pPr>
      <w:r>
        <w:rPr/>
        <w:t>保本公司的整体信用风险在可控的范围内。 </w:t>
      </w:r>
      <w:r>
        <w:rPr>
          <w:spacing w:val="-7"/>
        </w:rPr>
        <w:t>截止</w:t>
      </w:r>
      <w:r>
        <w:rPr>
          <w:rFonts w:ascii="宋体" w:hAnsi="宋体" w:cs="宋体" w:eastAsia="宋体" w:hint="default"/>
          <w:spacing w:val="-7"/>
        </w:rPr>
        <w:t>2018</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31</w:t>
      </w:r>
      <w:r>
        <w:rPr>
          <w:spacing w:val="-7"/>
        </w:rPr>
        <w:t>日，本公司的前五大客户的应收款占本公司应收款项总额</w:t>
      </w:r>
      <w:r>
        <w:rPr>
          <w:rFonts w:ascii="宋体" w:hAnsi="宋体" w:cs="宋体" w:eastAsia="宋体" w:hint="default"/>
          <w:spacing w:val="-7"/>
        </w:rPr>
        <w:t>9.89%</w:t>
      </w:r>
      <w:r>
        <w:rPr>
          <w:spacing w:val="-7"/>
        </w:rPr>
        <w:t>。（</w:t>
      </w:r>
      <w:r>
        <w:rPr>
          <w:rFonts w:ascii="宋体" w:hAnsi="宋体" w:cs="宋体" w:eastAsia="宋体" w:hint="default"/>
          <w:spacing w:val="-7"/>
        </w:rPr>
        <w:t>2017</w:t>
      </w:r>
    </w:p>
    <w:p>
      <w:pPr>
        <w:pStyle w:val="BodyText"/>
        <w:spacing w:line="240" w:lineRule="auto"/>
        <w:ind w:right="0"/>
        <w:jc w:val="left"/>
      </w:pPr>
      <w:r>
        <w:rPr/>
        <w:t>年为</w:t>
      </w:r>
      <w:r>
        <w:rPr>
          <w:rFonts w:ascii="宋体" w:hAnsi="宋体" w:cs="宋体" w:eastAsia="宋体" w:hint="default"/>
        </w:rPr>
        <w:t>16.08%</w:t>
      </w:r>
      <w:r>
        <w:rPr/>
        <w:t>）</w:t>
      </w:r>
    </w:p>
    <w:p>
      <w:pPr>
        <w:pStyle w:val="BodyText"/>
        <w:spacing w:line="350" w:lineRule="auto" w:before="146"/>
        <w:ind w:right="1392" w:firstLine="480"/>
        <w:jc w:val="left"/>
      </w:pPr>
      <w:r>
        <w:rPr/>
        <w:t>本公司所承受的最大信用风险敞口为资产负债表中每项金融资产</w:t>
      </w:r>
      <w:r>
        <w:rPr>
          <w:rFonts w:ascii="宋体" w:hAnsi="宋体" w:cs="宋体" w:eastAsia="宋体" w:hint="default"/>
        </w:rPr>
        <w:t>(</w:t>
      </w:r>
      <w:r>
        <w:rPr/>
        <w:t>包括衍生金融工具</w:t>
      </w:r>
      <w:r>
        <w:rPr>
          <w:rFonts w:ascii="宋体" w:hAnsi="宋体" w:cs="宋体" w:eastAsia="宋体" w:hint="default"/>
        </w:rPr>
        <w:t>) </w:t>
      </w:r>
      <w:r>
        <w:rPr/>
        <w:t>的账面金额。本公司没有提供任何其他可能令本公司承受信用风险的担保。</w:t>
      </w:r>
    </w:p>
    <w:p>
      <w:pPr>
        <w:spacing w:before="89"/>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（二）流动性风险</w:t>
      </w:r>
      <w:r>
        <w:rPr>
          <w:rFonts w:ascii="宋体" w:hAnsi="宋体" w:cs="宋体" w:eastAsia="宋体" w:hint="default"/>
          <w:sz w:val="21"/>
          <w:szCs w:val="21"/>
        </w:rPr>
      </w:r>
    </w:p>
    <w:p>
      <w:pPr>
        <w:pStyle w:val="BodyText"/>
        <w:spacing w:line="350" w:lineRule="auto" w:before="140"/>
        <w:ind w:right="1272" w:firstLine="480"/>
        <w:jc w:val="left"/>
      </w:pPr>
      <w:r>
        <w:rPr/>
        <w:t>流动性风险是指本公司无法及时获得充足资金</w:t>
      </w:r>
      <w:r>
        <w:rPr>
          <w:rFonts w:ascii="宋体" w:hAnsi="宋体" w:cs="宋体" w:eastAsia="宋体" w:hint="default"/>
        </w:rPr>
        <w:t>,</w:t>
      </w:r>
      <w:r>
        <w:rPr/>
        <w:t>满足业务发展需要或偿付到期债务以及 其他支付义务的风险。</w:t>
      </w:r>
    </w:p>
    <w:p>
      <w:pPr>
        <w:pStyle w:val="BodyText"/>
        <w:spacing w:line="352" w:lineRule="auto" w:before="35"/>
        <w:ind w:right="1170" w:firstLine="480"/>
        <w:jc w:val="both"/>
      </w:pPr>
      <w:r>
        <w:rPr/>
        <w:t>本公司财务部门持续监控公司短期和长期的资金需求，以确保维持充裕的现金储备；同 时持续监控是否符合借款协议的规定，从主要金融机构获得提供足够备用资金的承诺，以满 足短期和长期的资金需求。</w:t>
      </w:r>
    </w:p>
    <w:p>
      <w:pPr>
        <w:pStyle w:val="BodyText"/>
        <w:spacing w:line="352" w:lineRule="auto" w:before="32"/>
        <w:ind w:right="1152" w:firstLine="480"/>
        <w:jc w:val="left"/>
      </w:pPr>
      <w:r>
        <w:rPr/>
        <w:pict>
          <v:shape style="position:absolute;margin-left:63.240002pt;margin-top:43.215622pt;width:469.1pt;height:205.7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4"/>
                    <w:gridCol w:w="1337"/>
                    <w:gridCol w:w="1463"/>
                    <w:gridCol w:w="1530"/>
                    <w:gridCol w:w="1215"/>
                    <w:gridCol w:w="713"/>
                    <w:gridCol w:w="835"/>
                  </w:tblGrid>
                  <w:tr>
                    <w:trPr>
                      <w:trHeight w:val="342" w:hRule="exact"/>
                    </w:trPr>
                    <w:tc>
                      <w:tcPr>
                        <w:tcW w:w="2274"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274" w:type="dxa"/>
                        <w:vMerge/>
                        <w:tcBorders>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3"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6"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r>
                  <w:tr>
                    <w:trPr>
                      <w:trHeight w:val="34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489,058,726.56</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489,058,726.56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489,058,726.56</w:t>
                        </w:r>
                      </w:p>
                    </w:tc>
                    <w:tc>
                      <w:tcPr>
                        <w:tcW w:w="121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578,439,535.12</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694,318,981.47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694,318,981.47</w:t>
                        </w:r>
                      </w:p>
                    </w:tc>
                    <w:tc>
                      <w:tcPr>
                        <w:tcW w:w="121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27,706,647.14</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29,864,851.18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29,864,851.18</w:t>
                        </w:r>
                      </w:p>
                    </w:tc>
                    <w:tc>
                      <w:tcPr>
                        <w:tcW w:w="121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w:t>
                        </w:r>
                        <w:r>
                          <w:rPr>
                            <w:rFonts w:ascii="宋体" w:hAnsi="宋体" w:cs="宋体" w:eastAsia="宋体" w:hint="default"/>
                            <w:sz w:val="18"/>
                            <w:szCs w:val="18"/>
                          </w:rPr>
                          <w:t>银行理财产品</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153,000,000.00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153,000,000.00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153,000,000.00</w:t>
                        </w:r>
                      </w:p>
                    </w:tc>
                    <w:tc>
                      <w:tcPr>
                        <w:tcW w:w="121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9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1,248,204,908.82</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1,366,242,559.21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1,366,242,559.21</w:t>
                        </w:r>
                      </w:p>
                    </w:tc>
                    <w:tc>
                      <w:tcPr>
                        <w:tcW w:w="121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178,056,443.14</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178,056,443.14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178,056,443.14</w:t>
                        </w:r>
                      </w:p>
                    </w:tc>
                    <w:tc>
                      <w:tcPr>
                        <w:tcW w:w="121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174,622,824.67</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174,622,824.67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174,622,824.67</w:t>
                        </w:r>
                      </w:p>
                    </w:tc>
                    <w:tc>
                      <w:tcPr>
                        <w:tcW w:w="121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77,000,000.00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77,000,000.00</w:t>
                        </w:r>
                      </w:p>
                    </w:tc>
                    <w:tc>
                      <w:tcPr>
                        <w:tcW w:w="15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77,000,000.00</w:t>
                        </w:r>
                      </w:p>
                    </w:tc>
                    <w:tc>
                      <w:tcPr>
                        <w:tcW w:w="713"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50,000,000.00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50,000,000.00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50,000,000.00</w:t>
                        </w:r>
                      </w:p>
                    </w:tc>
                    <w:tc>
                      <w:tcPr>
                        <w:tcW w:w="1215"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91" w:right="0"/>
                          <w:jc w:val="left"/>
                          <w:rPr>
                            <w:rFonts w:ascii="宋体" w:hAnsi="宋体" w:cs="宋体" w:eastAsia="宋体" w:hint="default"/>
                            <w:sz w:val="18"/>
                            <w:szCs w:val="18"/>
                          </w:rPr>
                        </w:pPr>
                        <w:r>
                          <w:rPr>
                            <w:rFonts w:ascii="宋体" w:hAnsi="宋体" w:cs="宋体" w:eastAsia="宋体" w:hint="default"/>
                            <w:sz w:val="18"/>
                            <w:szCs w:val="18"/>
                          </w:rPr>
                          <w:t>金融负债小计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479,679,267.81</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479,679,267.81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402,679,267.81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77,000,000.00</w:t>
                        </w:r>
                      </w:p>
                    </w:tc>
                    <w:tc>
                      <w:tcPr>
                        <w:tcW w:w="713"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日，本公司各项金融资产及金融负债以未折现的合同现金流量按到期 日列示如下：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26"/>
        <w:ind w:left="634" w:right="0"/>
        <w:jc w:val="left"/>
      </w:pPr>
      <w:r>
        <w:rPr/>
        <w:t>续：</w:t>
      </w:r>
    </w:p>
    <w:p>
      <w:pPr>
        <w:spacing w:line="240" w:lineRule="auto" w:before="6"/>
        <w:rPr>
          <w:rFonts w:ascii="宋体" w:hAnsi="宋体" w:cs="宋体" w:eastAsia="宋体" w:hint="default"/>
          <w:sz w:val="4"/>
          <w:szCs w:val="4"/>
        </w:rPr>
      </w:pPr>
    </w:p>
    <w:tbl>
      <w:tblPr>
        <w:tblW w:w="0" w:type="auto"/>
        <w:jc w:val="left"/>
        <w:tblInd w:w="216" w:type="dxa"/>
        <w:tblLayout w:type="fixed"/>
        <w:tblCellMar>
          <w:top w:w="0" w:type="dxa"/>
          <w:left w:w="0" w:type="dxa"/>
          <w:bottom w:w="0" w:type="dxa"/>
          <w:right w:w="0" w:type="dxa"/>
        </w:tblCellMar>
        <w:tblLook w:val="01E0"/>
      </w:tblPr>
      <w:tblGrid>
        <w:gridCol w:w="2187"/>
        <w:gridCol w:w="1394"/>
        <w:gridCol w:w="1620"/>
        <w:gridCol w:w="1486"/>
        <w:gridCol w:w="692"/>
        <w:gridCol w:w="1277"/>
        <w:gridCol w:w="850"/>
      </w:tblGrid>
      <w:tr>
        <w:trPr>
          <w:trHeight w:val="342" w:hRule="exact"/>
        </w:trPr>
        <w:tc>
          <w:tcPr>
            <w:tcW w:w="2187" w:type="dxa"/>
            <w:vMerge w:val="restart"/>
            <w:tcBorders>
              <w:top w:val="single" w:sz="4" w:space="0" w:color="000000"/>
              <w:left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3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2" w:hRule="exact"/>
        </w:trPr>
        <w:tc>
          <w:tcPr>
            <w:tcW w:w="2187" w:type="dxa"/>
            <w:vMerge/>
            <w:tcBorders>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r>
      <w:tr>
        <w:trPr>
          <w:trHeight w:val="342"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888,934,246.92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888,934,246.92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888,934,246.92</w:t>
            </w:r>
          </w:p>
        </w:tc>
        <w:tc>
          <w:tcPr>
            <w:tcW w:w="6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598,132,352.49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705,313,487.93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705,313,487.93</w:t>
            </w:r>
          </w:p>
        </w:tc>
        <w:tc>
          <w:tcPr>
            <w:tcW w:w="6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23,550,638.98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24,979,179.75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24,979,179.75</w:t>
            </w:r>
          </w:p>
        </w:tc>
        <w:tc>
          <w:tcPr>
            <w:tcW w:w="6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7"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1,510,617,238.39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1,619,226,914.60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1,619,226,914.60</w:t>
            </w:r>
          </w:p>
        </w:tc>
        <w:tc>
          <w:tcPr>
            <w:tcW w:w="6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99,563,440.79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99,563,440.79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99,563,440.79</w:t>
            </w:r>
          </w:p>
        </w:tc>
        <w:tc>
          <w:tcPr>
            <w:tcW w:w="6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208,504,797.03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208,504,797.03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208,504,797.03</w:t>
            </w:r>
          </w:p>
        </w:tc>
        <w:tc>
          <w:tcPr>
            <w:tcW w:w="6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16" w:type="dxa"/>
        <w:tblLayout w:type="fixed"/>
        <w:tblCellMar>
          <w:top w:w="0" w:type="dxa"/>
          <w:left w:w="0" w:type="dxa"/>
          <w:bottom w:w="0" w:type="dxa"/>
          <w:right w:w="0" w:type="dxa"/>
        </w:tblCellMar>
        <w:tblLook w:val="01E0"/>
      </w:tblPr>
      <w:tblGrid>
        <w:gridCol w:w="2187"/>
        <w:gridCol w:w="1394"/>
        <w:gridCol w:w="1620"/>
        <w:gridCol w:w="1486"/>
        <w:gridCol w:w="692"/>
        <w:gridCol w:w="1277"/>
        <w:gridCol w:w="850"/>
      </w:tblGrid>
      <w:tr>
        <w:trPr>
          <w:trHeight w:val="342"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6,513,653.83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6,513,653.83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6,513,653.83</w:t>
            </w:r>
          </w:p>
        </w:tc>
        <w:tc>
          <w:tcPr>
            <w:tcW w:w="6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127,000,000.00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127,000,000.00</w:t>
            </w:r>
          </w:p>
        </w:tc>
        <w:tc>
          <w:tcPr>
            <w:tcW w:w="1486"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127,000,000.00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263,859,109.30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263,859,109.30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263,859,109.30</w:t>
            </w:r>
          </w:p>
        </w:tc>
        <w:tc>
          <w:tcPr>
            <w:tcW w:w="6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7" w:right="0"/>
              <w:jc w:val="left"/>
              <w:rPr>
                <w:rFonts w:ascii="宋体" w:hAnsi="宋体" w:cs="宋体" w:eastAsia="宋体" w:hint="default"/>
                <w:sz w:val="18"/>
                <w:szCs w:val="18"/>
              </w:rPr>
            </w:pPr>
            <w:r>
              <w:rPr>
                <w:rFonts w:ascii="宋体" w:hAnsi="宋体" w:cs="宋体" w:eastAsia="宋体" w:hint="default"/>
                <w:sz w:val="18"/>
                <w:szCs w:val="18"/>
              </w:rPr>
              <w:t>金融负债小计</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705,441,000.95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705,441,000.95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578,441,000.95</w:t>
            </w:r>
          </w:p>
        </w:tc>
        <w:tc>
          <w:tcPr>
            <w:tcW w:w="6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127,000,000.00</w:t>
            </w: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（三）市场风险</w:t>
      </w:r>
      <w:r>
        <w:rPr>
          <w:rFonts w:ascii="宋体" w:hAnsi="宋体" w:cs="宋体" w:eastAsia="宋体" w:hint="default"/>
          <w:sz w:val="21"/>
          <w:szCs w:val="21"/>
        </w:rPr>
      </w:r>
    </w:p>
    <w:p>
      <w:pPr>
        <w:pStyle w:val="BodyText"/>
        <w:spacing w:line="355" w:lineRule="auto" w:before="169"/>
        <w:ind w:left="634" w:right="4032"/>
        <w:jc w:val="left"/>
      </w:pPr>
      <w:r>
        <w:rPr/>
        <w:t>汇率风险 本公司的主要经营位于中国境内，主要业务以人民币结算。 利率风险</w:t>
      </w:r>
    </w:p>
    <w:p>
      <w:pPr>
        <w:pStyle w:val="BodyText"/>
        <w:spacing w:line="350" w:lineRule="auto" w:before="10"/>
        <w:ind w:right="1170" w:firstLine="480"/>
        <w:jc w:val="both"/>
      </w:pPr>
      <w:r>
        <w:rPr/>
        <w:t>本公司的利率风险主要产生于银行借款等。浮动利率的金融负债使本公司面临现金流量 利率风险，固定利率的金融负债使本公司面临公允价值利率风险。本公司根据当时的市场环 境来决定固定利率及浮动利率合同的相对比例。</w:t>
      </w:r>
    </w:p>
    <w:p>
      <w:pPr>
        <w:pStyle w:val="BodyText"/>
        <w:spacing w:line="350" w:lineRule="auto"/>
        <w:ind w:right="1169" w:firstLine="480"/>
        <w:jc w:val="both"/>
      </w:pPr>
      <w:r>
        <w:rPr/>
        <w:t>本公司财务部门持续监控公司利率水平。利率上升会增加新增带息债务的成本以及本公 司尚未付清的以浮动利率计息的带息债务的利息支出，并对本公司的财务业绩产生一定的不 利影响，管理层会依据最新的市场状况及时做出调整。</w:t>
      </w:r>
    </w:p>
    <w:p>
      <w:pPr>
        <w:pStyle w:val="BodyText"/>
        <w:spacing w:line="240" w:lineRule="auto"/>
        <w:ind w:left="634" w:right="0"/>
        <w:jc w:val="left"/>
      </w:pPr>
      <w:r>
        <w:rPr/>
        <w:t>（</w:t>
      </w:r>
      <w:r>
        <w:rPr>
          <w:rFonts w:ascii="宋体" w:hAnsi="宋体" w:cs="宋体" w:eastAsia="宋体" w:hint="default"/>
        </w:rPr>
        <w:t>1</w:t>
      </w:r>
      <w:r>
        <w:rPr/>
        <w:t>）本年度公司无利率互换安排。</w:t>
      </w:r>
    </w:p>
    <w:p>
      <w:pPr>
        <w:pStyle w:val="BodyText"/>
        <w:spacing w:line="350" w:lineRule="auto" w:before="145"/>
        <w:ind w:right="1032" w:firstLine="480"/>
        <w:jc w:val="left"/>
      </w:pPr>
      <w:r>
        <w:rPr/>
        <w:t>（</w:t>
      </w:r>
      <w:r>
        <w:rPr>
          <w:rFonts w:ascii="宋体" w:hAnsi="宋体" w:cs="宋体" w:eastAsia="宋体" w:hint="default"/>
        </w:rPr>
        <w:t>2</w:t>
      </w:r>
      <w:r>
        <w:rPr/>
        <w:t>）截止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日，本公司长短期带息债务主要为人民币计价的固定利率合同， 合计金额为</w:t>
      </w:r>
      <w:r>
        <w:rPr>
          <w:rFonts w:ascii="宋体" w:hAnsi="宋体" w:cs="宋体" w:eastAsia="宋体" w:hint="default"/>
        </w:rPr>
        <w:t>305,056,443.14</w:t>
      </w:r>
      <w:r>
        <w:rPr/>
        <w:t>元。</w:t>
      </w:r>
    </w:p>
    <w:p>
      <w:pPr>
        <w:pStyle w:val="BodyText"/>
        <w:spacing w:line="350" w:lineRule="auto"/>
        <w:ind w:left="634" w:right="1152"/>
        <w:jc w:val="left"/>
      </w:pPr>
      <w:r>
        <w:rPr/>
        <w:t>（</w:t>
      </w:r>
      <w:r>
        <w:rPr>
          <w:rFonts w:ascii="宋体" w:hAnsi="宋体" w:cs="宋体" w:eastAsia="宋体" w:hint="default"/>
        </w:rPr>
        <w:t>3</w:t>
      </w:r>
      <w:r>
        <w:rPr/>
        <w:t>）敏感性分析： 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日，因本公司长短期带息债务主要为人民币计价的固定利率合同，而</w:t>
      </w:r>
    </w:p>
    <w:p>
      <w:pPr>
        <w:pStyle w:val="BodyText"/>
        <w:spacing w:line="352" w:lineRule="auto" w:before="35"/>
        <w:ind w:left="634" w:right="1152" w:hanging="480"/>
        <w:jc w:val="left"/>
      </w:pPr>
      <w:r>
        <w:rPr/>
        <w:t>其他因素保持不变，对本公司的净利润无影响。 上述敏感性分析假定在资产负债表日已发生利率变动，并且已应用于本公司所有按浮动</w:t>
      </w:r>
    </w:p>
    <w:p>
      <w:pPr>
        <w:spacing w:line="484" w:lineRule="auto" w:before="32"/>
        <w:ind w:left="154" w:right="8112" w:firstLine="0"/>
        <w:jc w:val="left"/>
        <w:rPr>
          <w:rFonts w:ascii="宋体" w:hAnsi="宋体" w:cs="宋体" w:eastAsia="宋体" w:hint="default"/>
          <w:sz w:val="24"/>
          <w:szCs w:val="24"/>
        </w:rPr>
      </w:pPr>
      <w:r>
        <w:rPr>
          <w:rFonts w:ascii="宋体" w:hAnsi="宋体" w:cs="宋体" w:eastAsia="宋体" w:hint="default"/>
          <w:sz w:val="24"/>
          <w:szCs w:val="24"/>
        </w:rPr>
        <w:t>利率获得的借款。 </w:t>
      </w:r>
      <w:bookmarkStart w:name="十一、公允价值的披露" w:id="406"/>
      <w:bookmarkEnd w:id="406"/>
      <w:r>
        <w:rPr>
          <w:rFonts w:ascii="宋体" w:hAnsi="宋体" w:cs="宋体" w:eastAsia="宋体" w:hint="default"/>
          <w:sz w:val="24"/>
          <w:szCs w:val="24"/>
        </w:rPr>
      </w:r>
      <w:r>
        <w:rPr>
          <w:rFonts w:ascii="宋体" w:hAnsi="宋体" w:cs="宋体" w:eastAsia="宋体" w:hint="default"/>
          <w:b/>
          <w:bCs/>
          <w:w w:val="95"/>
          <w:sz w:val="24"/>
          <w:szCs w:val="24"/>
        </w:rPr>
        <w:t>十一、公允价值的披露</w:t>
      </w:r>
      <w:r>
        <w:rPr>
          <w:rFonts w:ascii="宋体" w:hAnsi="宋体" w:cs="宋体" w:eastAsia="宋体" w:hint="default"/>
          <w:sz w:val="24"/>
          <w:szCs w:val="24"/>
        </w:rPr>
      </w:r>
    </w:p>
    <w:p>
      <w:pPr>
        <w:pStyle w:val="Heading2"/>
        <w:spacing w:line="487" w:lineRule="auto" w:before="179"/>
        <w:ind w:right="8112" w:firstLine="480"/>
        <w:jc w:val="left"/>
        <w:rPr>
          <w:b w:val="0"/>
          <w:bCs w:val="0"/>
        </w:rPr>
      </w:pPr>
      <w:r>
        <w:rPr>
          <w:rFonts w:ascii="宋体" w:hAnsi="宋体" w:cs="宋体" w:eastAsia="宋体" w:hint="default"/>
          <w:b w:val="0"/>
          <w:bCs w:val="0"/>
        </w:rPr>
        <w:t>无 </w:t>
      </w:r>
      <w:bookmarkStart w:name="十二、关联方及关联交易" w:id="407"/>
      <w:bookmarkEnd w:id="407"/>
      <w:r>
        <w:rPr>
          <w:rFonts w:ascii="宋体" w:hAnsi="宋体" w:cs="宋体" w:eastAsia="宋体" w:hint="default"/>
          <w:b w:val="0"/>
          <w:bCs w:val="0"/>
        </w:rPr>
      </w:r>
      <w:r>
        <w:rPr>
          <w:w w:val="95"/>
        </w:rPr>
        <w:t>十二、关联方及关联交易</w:t>
      </w:r>
      <w:r>
        <w:rPr>
          <w:b w:val="0"/>
          <w:bCs w:val="0"/>
        </w:rPr>
      </w:r>
    </w:p>
    <w:p>
      <w:pPr>
        <w:pStyle w:val="Heading2"/>
        <w:spacing w:line="331" w:lineRule="auto" w:before="176"/>
        <w:ind w:left="634" w:right="8230" w:hanging="480"/>
        <w:jc w:val="left"/>
        <w:rPr>
          <w:rFonts w:ascii="宋体" w:hAnsi="宋体" w:cs="宋体" w:eastAsia="宋体" w:hint="default"/>
          <w:b w:val="0"/>
          <w:bCs w:val="0"/>
        </w:rPr>
      </w:pPr>
      <w:bookmarkStart w:name="1、本企业的母公司情况" w:id="408"/>
      <w:bookmarkEnd w:id="408"/>
      <w:r>
        <w:rPr>
          <w:b w:val="0"/>
          <w:bCs w:val="0"/>
        </w:rPr>
      </w:r>
      <w:r>
        <w:rPr>
          <w:rFonts w:ascii="Times New Roman" w:hAnsi="Times New Roman" w:cs="Times New Roman" w:eastAsia="Times New Roman" w:hint="default"/>
          <w:w w:val="95"/>
        </w:rPr>
        <w:t>1</w:t>
      </w:r>
      <w:r>
        <w:rPr>
          <w:w w:val="95"/>
        </w:rPr>
        <w:t>、本企业的母公司情况</w:t>
      </w:r>
      <w:r>
        <w:rPr>
          <w:spacing w:val="2"/>
          <w:w w:val="95"/>
        </w:rPr>
        <w:t> </w:t>
      </w:r>
      <w:r>
        <w:rPr>
          <w:rFonts w:ascii="宋体" w:hAnsi="宋体" w:cs="宋体" w:eastAsia="宋体" w:hint="default"/>
          <w:b w:val="0"/>
          <w:bCs w:val="0"/>
        </w:rPr>
        <w:t>无</w:t>
      </w:r>
    </w:p>
    <w:p>
      <w:pPr>
        <w:spacing w:line="333" w:lineRule="auto" w:before="54"/>
        <w:ind w:left="634" w:right="4032" w:hanging="480"/>
        <w:jc w:val="left"/>
        <w:rPr>
          <w:rFonts w:ascii="宋体" w:hAnsi="宋体" w:cs="宋体" w:eastAsia="宋体" w:hint="default"/>
          <w:sz w:val="24"/>
          <w:szCs w:val="24"/>
        </w:rPr>
      </w:pPr>
      <w:bookmarkStart w:name="2、本企业的子公司情况" w:id="409"/>
      <w:bookmarkEnd w:id="409"/>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、本企业的子公司情况</w:t>
      </w:r>
      <w:r>
        <w:rPr>
          <w:rFonts w:ascii="宋体" w:hAnsi="宋体" w:cs="宋体" w:eastAsia="宋体" w:hint="default"/>
          <w:b/>
          <w:bCs/>
          <w:w w:val="99"/>
          <w:sz w:val="24"/>
          <w:szCs w:val="24"/>
        </w:rPr>
        <w:t> </w:t>
      </w:r>
      <w:r>
        <w:rPr>
          <w:rFonts w:ascii="宋体" w:hAnsi="宋体" w:cs="宋体" w:eastAsia="宋体" w:hint="default"/>
          <w:sz w:val="24"/>
          <w:szCs w:val="24"/>
        </w:rPr>
        <w:t>本企业子公司的情况详见附注七（一）在子公司中的权益。</w:t>
      </w:r>
    </w:p>
    <w:p>
      <w:pPr>
        <w:spacing w:after="0" w:line="333"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43" w:lineRule="auto" w:before="199"/>
        <w:ind w:left="634" w:right="1152" w:hanging="480"/>
        <w:jc w:val="left"/>
      </w:pPr>
      <w:bookmarkStart w:name="3、本企业合营和联营企业情况" w:id="410"/>
      <w:bookmarkEnd w:id="410"/>
      <w:r>
        <w:rPr/>
      </w:r>
      <w:r>
        <w:rPr>
          <w:rFonts w:ascii="Times New Roman" w:hAnsi="Times New Roman" w:cs="Times New Roman" w:eastAsia="Times New Roman" w:hint="default"/>
          <w:b/>
          <w:bCs/>
        </w:rPr>
        <w:t>3</w:t>
      </w:r>
      <w:r>
        <w:rPr>
          <w:rFonts w:ascii="宋体" w:hAnsi="宋体" w:cs="宋体" w:eastAsia="宋体" w:hint="default"/>
          <w:b/>
          <w:bCs/>
        </w:rPr>
        <w:t>、本企业合营和联营企业情况</w:t>
      </w:r>
      <w:r>
        <w:rPr>
          <w:rFonts w:ascii="宋体" w:hAnsi="宋体" w:cs="宋体" w:eastAsia="宋体" w:hint="default"/>
          <w:b/>
          <w:bCs/>
          <w:w w:val="99"/>
        </w:rPr>
        <w:t> </w:t>
      </w:r>
      <w:r>
        <w:rPr/>
        <w:t>本企业重要的合营或联营企业详见附注七（二）在合营安排或联营企业中的权益。 本期与本公司发生关联方交易，或前期与本公司发生关联方交易形成余额的其他合营或</w:t>
      </w:r>
    </w:p>
    <w:p>
      <w:pPr>
        <w:pStyle w:val="BodyText"/>
        <w:spacing w:line="240" w:lineRule="auto" w:before="42"/>
        <w:ind w:right="0"/>
        <w:jc w:val="left"/>
      </w:pPr>
      <w:r>
        <w:rPr/>
        <w:t>联营企业情况如下：</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40"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飞天联合</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系统技术有限公司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本公司的参股公司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北京赛弗网络科技有限责任公司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本公司的参股公司</w:t>
            </w:r>
          </w:p>
        </w:tc>
      </w:tr>
    </w:tbl>
    <w:p>
      <w:pPr>
        <w:spacing w:line="240" w:lineRule="auto" w:before="10"/>
        <w:rPr>
          <w:rFonts w:ascii="宋体" w:hAnsi="宋体" w:cs="宋体" w:eastAsia="宋体" w:hint="default"/>
          <w:sz w:val="4"/>
          <w:szCs w:val="4"/>
        </w:rPr>
      </w:pPr>
    </w:p>
    <w:p>
      <w:pPr>
        <w:pStyle w:val="BodyText"/>
        <w:spacing w:line="240" w:lineRule="auto" w:before="26"/>
        <w:ind w:left="634" w:right="0"/>
        <w:jc w:val="left"/>
      </w:pPr>
      <w:r>
        <w:rPr/>
        <w:t>其他说明：无</w:t>
      </w:r>
    </w:p>
    <w:p>
      <w:pPr>
        <w:pStyle w:val="Heading2"/>
        <w:spacing w:line="240" w:lineRule="auto" w:before="145"/>
        <w:ind w:right="0"/>
        <w:jc w:val="left"/>
        <w:rPr>
          <w:b w:val="0"/>
          <w:bCs w:val="0"/>
        </w:rPr>
      </w:pPr>
      <w:bookmarkStart w:name="4、其他关联方情况" w:id="411"/>
      <w:bookmarkEnd w:id="41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32"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北京智慧图科技有限责任公司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本公司的参股公司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深圳丰图辉煌基金管理中心</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本公司的参股公司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北京七彩通达传媒股份有限公司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本公司的参股公司</w:t>
            </w:r>
          </w:p>
        </w:tc>
      </w:tr>
    </w:tbl>
    <w:p>
      <w:pPr>
        <w:spacing w:line="240" w:lineRule="auto" w:before="10"/>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BodyText"/>
        <w:spacing w:line="240" w:lineRule="auto" w:before="26"/>
        <w:ind w:left="634" w:right="0"/>
        <w:jc w:val="left"/>
      </w:pPr>
      <w:r>
        <w:rPr/>
        <w:t>其他说明：无</w:t>
      </w:r>
    </w:p>
    <w:p>
      <w:pPr>
        <w:pStyle w:val="Heading2"/>
        <w:spacing w:line="240" w:lineRule="auto" w:before="145"/>
        <w:ind w:right="0"/>
        <w:jc w:val="left"/>
        <w:rPr>
          <w:b w:val="0"/>
          <w:bCs w:val="0"/>
        </w:rPr>
      </w:pPr>
      <w:bookmarkStart w:name="5、关联交易情况" w:id="412"/>
      <w:bookmarkEnd w:id="412"/>
      <w:r>
        <w:rPr>
          <w:b w:val="0"/>
          <w:bCs w:val="0"/>
        </w:rPr>
      </w:r>
      <w:r>
        <w:rPr>
          <w:rFonts w:ascii="Times New Roman" w:hAnsi="Times New Roman" w:cs="Times New Roman" w:eastAsia="Times New Roman" w:hint="default"/>
        </w:rPr>
        <w:t>5</w:t>
      </w:r>
      <w:r>
        <w:rPr/>
        <w:t>、关联交易情况</w:t>
      </w:r>
      <w:r>
        <w:rPr>
          <w:b w:val="0"/>
          <w:bCs w:val="0"/>
        </w:rPr>
      </w:r>
    </w:p>
    <w:p>
      <w:pPr>
        <w:spacing w:line="333" w:lineRule="auto" w:before="127"/>
        <w:ind w:left="634" w:right="0" w:hanging="480"/>
        <w:jc w:val="left"/>
        <w:rPr>
          <w:rFonts w:ascii="宋体" w:hAnsi="宋体" w:cs="宋体" w:eastAsia="宋体" w:hint="default"/>
          <w:sz w:val="24"/>
          <w:szCs w:val="24"/>
        </w:rPr>
      </w:pPr>
      <w:bookmarkStart w:name="（1）购销商品、提供和接受劳务的关联交易" w:id="413"/>
      <w:bookmarkEnd w:id="413"/>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）购销商品、提供和接受劳务的关联交易</w:t>
      </w:r>
      <w:r>
        <w:rPr>
          <w:rFonts w:ascii="宋体" w:hAnsi="宋体" w:cs="宋体" w:eastAsia="宋体" w:hint="default"/>
          <w:b/>
          <w:bCs/>
          <w:spacing w:val="103"/>
          <w:w w:val="95"/>
          <w:sz w:val="24"/>
          <w:szCs w:val="24"/>
        </w:rPr>
        <w:t> </w:t>
      </w: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3980"/>
            <w:col w:w="2101"/>
          </w:cols>
        </w:sectPr>
      </w:pPr>
    </w:p>
    <w:p>
      <w:pPr>
        <w:spacing w:line="240" w:lineRule="auto" w:before="1"/>
        <w:rPr>
          <w:rFonts w:ascii="宋体" w:hAnsi="宋体" w:cs="宋体" w:eastAsia="宋体" w:hint="default"/>
          <w:sz w:val="8"/>
          <w:szCs w:val="8"/>
        </w:rPr>
      </w:pPr>
    </w:p>
    <w:tbl>
      <w:tblPr>
        <w:tblW w:w="0" w:type="auto"/>
        <w:jc w:val="left"/>
        <w:tblInd w:w="236" w:type="dxa"/>
        <w:tblLayout w:type="fixed"/>
        <w:tblCellMar>
          <w:top w:w="0" w:type="dxa"/>
          <w:left w:w="0" w:type="dxa"/>
          <w:bottom w:w="0" w:type="dxa"/>
          <w:right w:w="0" w:type="dxa"/>
        </w:tblCellMar>
        <w:tblLook w:val="01E0"/>
      </w:tblPr>
      <w:tblGrid>
        <w:gridCol w:w="2355"/>
        <w:gridCol w:w="1455"/>
        <w:gridCol w:w="1453"/>
        <w:gridCol w:w="1708"/>
        <w:gridCol w:w="1216"/>
        <w:gridCol w:w="1277"/>
      </w:tblGrid>
      <w:tr>
        <w:trPr>
          <w:trHeight w:val="714"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3" w:right="0"/>
              <w:jc w:val="left"/>
              <w:rPr>
                <w:rFonts w:ascii="宋体" w:hAnsi="宋体" w:cs="宋体" w:eastAsia="宋体" w:hint="default"/>
                <w:sz w:val="21"/>
                <w:szCs w:val="21"/>
              </w:rPr>
            </w:pPr>
            <w:r>
              <w:rPr>
                <w:rFonts w:ascii="宋体" w:hAnsi="宋体" w:cs="宋体" w:eastAsia="宋体" w:hint="default"/>
                <w:sz w:val="21"/>
                <w:szCs w:val="21"/>
              </w:rPr>
              <w:t>获批的交易额度</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88" w:right="77" w:hanging="210"/>
              <w:jc w:val="left"/>
              <w:rPr>
                <w:rFonts w:ascii="宋体" w:hAnsi="宋体" w:cs="宋体" w:eastAsia="宋体" w:hint="default"/>
                <w:sz w:val="21"/>
                <w:szCs w:val="21"/>
              </w:rPr>
            </w:pPr>
            <w:r>
              <w:rPr>
                <w:rFonts w:ascii="宋体" w:hAnsi="宋体" w:cs="宋体" w:eastAsia="宋体" w:hint="default"/>
                <w:sz w:val="21"/>
                <w:szCs w:val="21"/>
              </w:rPr>
              <w:t>是否超过交 易额度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4"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4" w:right="219"/>
              <w:jc w:val="left"/>
              <w:rPr>
                <w:rFonts w:ascii="宋体" w:hAnsi="宋体" w:cs="宋体" w:eastAsia="宋体" w:hint="default"/>
                <w:sz w:val="21"/>
                <w:szCs w:val="21"/>
              </w:rPr>
            </w:pPr>
            <w:r>
              <w:rPr>
                <w:rFonts w:ascii="宋体" w:hAnsi="宋体" w:cs="宋体" w:eastAsia="宋体" w:hint="default"/>
                <w:sz w:val="21"/>
                <w:szCs w:val="21"/>
              </w:rPr>
              <w:t>北京赛弗网络科技有限 责任公司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6" w:right="0"/>
              <w:jc w:val="left"/>
              <w:rPr>
                <w:rFonts w:ascii="Times New Roman" w:hAnsi="Times New Roman" w:cs="Times New Roman" w:eastAsia="Times New Roman" w:hint="default"/>
                <w:sz w:val="21"/>
                <w:szCs w:val="21"/>
              </w:rPr>
            </w:pPr>
            <w:r>
              <w:rPr>
                <w:rFonts w:ascii="Times New Roman"/>
                <w:sz w:val="21"/>
              </w:rPr>
              <w:t>960,000.00</w:t>
            </w:r>
          </w:p>
        </w:tc>
        <w:tc>
          <w:tcPr>
            <w:tcW w:w="1708"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240" w:lineRule="auto" w:before="26"/>
        <w:ind w:left="634" w:right="0"/>
        <w:jc w:val="left"/>
      </w:pPr>
      <w:r>
        <w:rPr/>
        <w:t>出售商品</w:t>
      </w:r>
      <w:r>
        <w:rPr>
          <w:rFonts w:ascii="宋体" w:hAnsi="宋体" w:cs="宋体" w:eastAsia="宋体" w:hint="default"/>
        </w:rPr>
        <w:t>/</w:t>
      </w:r>
      <w:r>
        <w:rPr/>
        <w:t>提供劳务情况表：无</w:t>
      </w:r>
    </w:p>
    <w:p>
      <w:pPr>
        <w:spacing w:line="343" w:lineRule="auto" w:before="145"/>
        <w:ind w:left="634" w:right="5952" w:hanging="480"/>
        <w:jc w:val="left"/>
        <w:rPr>
          <w:rFonts w:ascii="宋体" w:hAnsi="宋体" w:cs="宋体" w:eastAsia="宋体" w:hint="default"/>
          <w:sz w:val="24"/>
          <w:szCs w:val="24"/>
        </w:rPr>
      </w:pPr>
      <w:bookmarkStart w:name="（2）关联受托管理/承包及委托管理/出包情况" w:id="414"/>
      <w:bookmarkEnd w:id="414"/>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2</w:t>
      </w:r>
      <w:r>
        <w:rPr>
          <w:rFonts w:ascii="宋体" w:hAnsi="宋体" w:cs="宋体" w:eastAsia="宋体" w:hint="default"/>
          <w:b/>
          <w:bCs/>
          <w:w w:val="95"/>
          <w:sz w:val="24"/>
          <w:szCs w:val="24"/>
        </w:rPr>
        <w:t>）关联受托管理</w:t>
      </w: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承包及委托管理</w:t>
      </w: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出包情况</w:t>
      </w:r>
      <w:r>
        <w:rPr>
          <w:rFonts w:ascii="宋体" w:hAnsi="宋体" w:cs="宋体" w:eastAsia="宋体" w:hint="default"/>
          <w:b/>
          <w:bCs/>
          <w:spacing w:val="112"/>
          <w:w w:val="95"/>
          <w:sz w:val="24"/>
          <w:szCs w:val="24"/>
        </w:rPr>
        <w:t> </w:t>
      </w:r>
      <w:r>
        <w:rPr>
          <w:rFonts w:ascii="宋体" w:hAnsi="宋体" w:cs="宋体" w:eastAsia="宋体" w:hint="default"/>
          <w:sz w:val="24"/>
          <w:szCs w:val="24"/>
        </w:rPr>
        <w:t>本公司受托管理</w:t>
      </w:r>
      <w:r>
        <w:rPr>
          <w:rFonts w:ascii="宋体" w:hAnsi="宋体" w:cs="宋体" w:eastAsia="宋体" w:hint="default"/>
          <w:sz w:val="24"/>
          <w:szCs w:val="24"/>
        </w:rPr>
        <w:t>/</w:t>
      </w:r>
      <w:r>
        <w:rPr>
          <w:rFonts w:ascii="宋体" w:hAnsi="宋体" w:cs="宋体" w:eastAsia="宋体" w:hint="default"/>
          <w:sz w:val="24"/>
          <w:szCs w:val="24"/>
        </w:rPr>
        <w:t>承包情况表：无 本公司委托管理</w:t>
      </w:r>
      <w:r>
        <w:rPr>
          <w:rFonts w:ascii="宋体" w:hAnsi="宋体" w:cs="宋体" w:eastAsia="宋体" w:hint="default"/>
          <w:sz w:val="24"/>
          <w:szCs w:val="24"/>
        </w:rPr>
        <w:t>/</w:t>
      </w:r>
      <w:r>
        <w:rPr>
          <w:rFonts w:ascii="宋体" w:hAnsi="宋体" w:cs="宋体" w:eastAsia="宋体" w:hint="default"/>
          <w:sz w:val="24"/>
          <w:szCs w:val="24"/>
        </w:rPr>
        <w:t>出包情况表：无</w:t>
      </w:r>
    </w:p>
    <w:p>
      <w:pPr>
        <w:pStyle w:val="Heading2"/>
        <w:spacing w:line="333" w:lineRule="auto" w:before="42"/>
        <w:ind w:left="634" w:right="8704" w:hanging="480"/>
        <w:jc w:val="left"/>
        <w:rPr>
          <w:rFonts w:ascii="宋体" w:hAnsi="宋体" w:cs="宋体" w:eastAsia="宋体" w:hint="default"/>
          <w:b w:val="0"/>
          <w:bCs w:val="0"/>
        </w:rPr>
      </w:pPr>
      <w:bookmarkStart w:name="（3）关联租赁情况" w:id="415"/>
      <w:bookmarkEnd w:id="415"/>
      <w:r>
        <w:rPr>
          <w:b w:val="0"/>
          <w:bCs w:val="0"/>
        </w:rPr>
      </w:r>
      <w:r>
        <w:rPr/>
        <w:t>（</w:t>
      </w:r>
      <w:r>
        <w:rPr>
          <w:rFonts w:ascii="Times New Roman" w:hAnsi="Times New Roman" w:cs="Times New Roman" w:eastAsia="Times New Roman" w:hint="default"/>
        </w:rPr>
        <w:t>3</w:t>
      </w:r>
      <w:r>
        <w:rPr/>
        <w:t>）关联租赁情况</w:t>
      </w:r>
      <w:r>
        <w:rPr>
          <w:w w:val="99"/>
        </w:rPr>
        <w:t> </w:t>
      </w:r>
      <w:r>
        <w:rPr>
          <w:rFonts w:ascii="宋体" w:hAnsi="宋体" w:cs="宋体" w:eastAsia="宋体" w:hint="default"/>
          <w:b w:val="0"/>
          <w:bCs w:val="0"/>
        </w:rPr>
        <w:t>无</w:t>
      </w:r>
    </w:p>
    <w:p>
      <w:pPr>
        <w:pStyle w:val="Heading2"/>
        <w:spacing w:line="331" w:lineRule="auto" w:before="52"/>
        <w:ind w:left="634" w:right="8704" w:hanging="480"/>
        <w:jc w:val="left"/>
        <w:rPr>
          <w:rFonts w:ascii="宋体" w:hAnsi="宋体" w:cs="宋体" w:eastAsia="宋体" w:hint="default"/>
          <w:b w:val="0"/>
          <w:bCs w:val="0"/>
        </w:rPr>
      </w:pPr>
      <w:bookmarkStart w:name="（4）关联担保情况" w:id="416"/>
      <w:bookmarkEnd w:id="416"/>
      <w:r>
        <w:rPr>
          <w:b w:val="0"/>
          <w:bCs w:val="0"/>
        </w:rPr>
      </w:r>
      <w:r>
        <w:rPr/>
        <w:t>（</w:t>
      </w:r>
      <w:r>
        <w:rPr>
          <w:rFonts w:ascii="Times New Roman" w:hAnsi="Times New Roman" w:cs="Times New Roman" w:eastAsia="Times New Roman" w:hint="default"/>
        </w:rPr>
        <w:t>4</w:t>
      </w:r>
      <w:r>
        <w:rPr/>
        <w:t>）关联担保情况</w:t>
      </w:r>
      <w:r>
        <w:rPr>
          <w:w w:val="99"/>
        </w:rPr>
        <w:t> </w:t>
      </w:r>
      <w:r>
        <w:rPr>
          <w:rFonts w:ascii="宋体" w:hAnsi="宋体" w:cs="宋体" w:eastAsia="宋体" w:hint="default"/>
          <w:b w:val="0"/>
          <w:bCs w:val="0"/>
        </w:rPr>
        <w:t>无</w:t>
      </w:r>
    </w:p>
    <w:p>
      <w:pPr>
        <w:pStyle w:val="Heading2"/>
        <w:spacing w:line="331" w:lineRule="auto" w:before="55"/>
        <w:ind w:left="634" w:right="8463" w:hanging="480"/>
        <w:jc w:val="left"/>
        <w:rPr>
          <w:rFonts w:ascii="宋体" w:hAnsi="宋体" w:cs="宋体" w:eastAsia="宋体" w:hint="default"/>
          <w:b w:val="0"/>
          <w:bCs w:val="0"/>
        </w:rPr>
      </w:pPr>
      <w:bookmarkStart w:name="（5）关联方资金拆借" w:id="417"/>
      <w:bookmarkEnd w:id="417"/>
      <w:r>
        <w:rPr>
          <w:b w:val="0"/>
          <w:bCs w:val="0"/>
        </w:rPr>
      </w:r>
      <w:r>
        <w:rPr/>
        <w:t>（</w:t>
      </w:r>
      <w:r>
        <w:rPr>
          <w:rFonts w:ascii="Times New Roman" w:hAnsi="Times New Roman" w:cs="Times New Roman" w:eastAsia="Times New Roman" w:hint="default"/>
        </w:rPr>
        <w:t>5</w:t>
      </w:r>
      <w:r>
        <w:rPr/>
        <w:t>）关联方资金拆借</w:t>
      </w:r>
      <w:r>
        <w:rPr>
          <w:w w:val="99"/>
        </w:rPr>
        <w:t> </w:t>
      </w:r>
      <w:r>
        <w:rPr>
          <w:rFonts w:ascii="宋体" w:hAnsi="宋体" w:cs="宋体" w:eastAsia="宋体" w:hint="default"/>
          <w:b w:val="0"/>
          <w:bCs w:val="0"/>
        </w:rPr>
        <w:t>无</w:t>
      </w:r>
    </w:p>
    <w:p>
      <w:pPr>
        <w:spacing w:after="0" w:line="331" w:lineRule="auto"/>
        <w:jc w:val="left"/>
        <w:rPr>
          <w:rFonts w:ascii="宋体" w:hAnsi="宋体" w:cs="宋体" w:eastAsia="宋体" w:hint="default"/>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Heading2"/>
        <w:spacing w:line="331" w:lineRule="auto" w:before="199"/>
        <w:ind w:left="634" w:right="0" w:hanging="480"/>
        <w:jc w:val="left"/>
        <w:rPr>
          <w:rFonts w:ascii="宋体" w:hAnsi="宋体" w:cs="宋体" w:eastAsia="宋体" w:hint="default"/>
          <w:b w:val="0"/>
          <w:bCs w:val="0"/>
        </w:rPr>
      </w:pPr>
      <w:bookmarkStart w:name="（6）关联方资产转让、债务重组情况" w:id="418"/>
      <w:bookmarkEnd w:id="418"/>
      <w:r>
        <w:rPr>
          <w:b w:val="0"/>
          <w:bCs w:val="0"/>
        </w:rPr>
      </w:r>
      <w:r>
        <w:rPr>
          <w:w w:val="95"/>
        </w:rPr>
        <w:t>（</w:t>
      </w:r>
      <w:r>
        <w:rPr>
          <w:rFonts w:ascii="Times New Roman" w:hAnsi="Times New Roman" w:cs="Times New Roman" w:eastAsia="Times New Roman" w:hint="default"/>
          <w:w w:val="95"/>
        </w:rPr>
        <w:t>6</w:t>
      </w:r>
      <w:r>
        <w:rPr>
          <w:w w:val="95"/>
        </w:rPr>
        <w:t>）关联方资产转让、债务重组情况</w:t>
      </w:r>
      <w:r>
        <w:rPr>
          <w:spacing w:val="69"/>
          <w:w w:val="95"/>
        </w:rPr>
        <w:t> </w:t>
      </w:r>
      <w:r>
        <w:rPr>
          <w:rFonts w:ascii="宋体" w:hAnsi="宋体" w:cs="宋体" w:eastAsia="宋体" w:hint="default"/>
          <w:b w:val="0"/>
          <w:bCs w:val="0"/>
        </w:rPr>
        <w:t>无</w:t>
      </w:r>
    </w:p>
    <w:p>
      <w:pPr>
        <w:pStyle w:val="Heading2"/>
        <w:spacing w:line="240" w:lineRule="auto" w:before="55"/>
        <w:ind w:right="0"/>
        <w:jc w:val="left"/>
        <w:rPr>
          <w:b w:val="0"/>
          <w:bCs w:val="0"/>
        </w:rPr>
      </w:pPr>
      <w:bookmarkStart w:name="（7）关键管理人员报酬" w:id="419"/>
      <w:bookmarkEnd w:id="41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29"/>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26" w:space="4703"/>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4" w:right="0"/>
              <w:jc w:val="left"/>
              <w:rPr>
                <w:rFonts w:ascii="Times New Roman" w:hAnsi="Times New Roman" w:cs="Times New Roman" w:eastAsia="Times New Roman" w:hint="default"/>
                <w:sz w:val="21"/>
                <w:szCs w:val="21"/>
              </w:rPr>
            </w:pPr>
            <w:r>
              <w:rPr>
                <w:rFonts w:ascii="Times New Roman"/>
                <w:sz w:val="21"/>
              </w:rPr>
              <w:t>3,147,000.00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5" w:right="0"/>
              <w:jc w:val="left"/>
              <w:rPr>
                <w:rFonts w:ascii="Times New Roman" w:hAnsi="Times New Roman" w:cs="Times New Roman" w:eastAsia="Times New Roman" w:hint="default"/>
                <w:sz w:val="21"/>
                <w:szCs w:val="21"/>
              </w:rPr>
            </w:pPr>
            <w:r>
              <w:rPr>
                <w:rFonts w:ascii="Times New Roman"/>
                <w:sz w:val="21"/>
              </w:rPr>
              <w:t>2,919,100.00</w:t>
            </w:r>
          </w:p>
        </w:tc>
      </w:tr>
    </w:tbl>
    <w:p>
      <w:pPr>
        <w:spacing w:line="240" w:lineRule="auto" w:before="10"/>
        <w:rPr>
          <w:rFonts w:ascii="宋体" w:hAnsi="宋体" w:cs="宋体" w:eastAsia="宋体" w:hint="default"/>
          <w:sz w:val="4"/>
          <w:szCs w:val="4"/>
        </w:rPr>
      </w:pPr>
    </w:p>
    <w:p>
      <w:pPr>
        <w:pStyle w:val="Heading2"/>
        <w:spacing w:line="331" w:lineRule="auto"/>
        <w:ind w:left="634" w:right="8704" w:hanging="480"/>
        <w:jc w:val="left"/>
        <w:rPr>
          <w:rFonts w:ascii="宋体" w:hAnsi="宋体" w:cs="宋体" w:eastAsia="宋体" w:hint="default"/>
          <w:b w:val="0"/>
          <w:bCs w:val="0"/>
        </w:rPr>
      </w:pPr>
      <w:bookmarkStart w:name="（8）其他关联交易" w:id="420"/>
      <w:bookmarkEnd w:id="420"/>
      <w:r>
        <w:rPr>
          <w:b w:val="0"/>
          <w:bCs w:val="0"/>
        </w:rPr>
      </w:r>
      <w:r>
        <w:rPr/>
        <w:t>（</w:t>
      </w:r>
      <w:r>
        <w:rPr>
          <w:rFonts w:ascii="Times New Roman" w:hAnsi="Times New Roman" w:cs="Times New Roman" w:eastAsia="Times New Roman" w:hint="default"/>
        </w:rPr>
        <w:t>8</w:t>
      </w:r>
      <w:r>
        <w:rPr/>
        <w:t>）其他关联交易</w:t>
      </w:r>
      <w:r>
        <w:rPr>
          <w:w w:val="99"/>
        </w:rPr>
        <w:t> </w:t>
      </w:r>
      <w:r>
        <w:rPr>
          <w:rFonts w:ascii="宋体" w:hAnsi="宋体" w:cs="宋体" w:eastAsia="宋体" w:hint="default"/>
          <w:b w:val="0"/>
          <w:bCs w:val="0"/>
        </w:rPr>
        <w:t>无</w:t>
      </w:r>
    </w:p>
    <w:p>
      <w:pPr>
        <w:pStyle w:val="Heading2"/>
        <w:spacing w:line="331" w:lineRule="auto" w:before="55"/>
        <w:ind w:left="634" w:right="8230" w:hanging="480"/>
        <w:jc w:val="left"/>
        <w:rPr>
          <w:rFonts w:ascii="宋体" w:hAnsi="宋体" w:cs="宋体" w:eastAsia="宋体" w:hint="default"/>
          <w:b w:val="0"/>
          <w:bCs w:val="0"/>
        </w:rPr>
      </w:pPr>
      <w:bookmarkStart w:name="6、关联方应收应付款项" w:id="421"/>
      <w:bookmarkEnd w:id="421"/>
      <w:r>
        <w:rPr>
          <w:b w:val="0"/>
          <w:bCs w:val="0"/>
        </w:rPr>
      </w:r>
      <w:r>
        <w:rPr>
          <w:rFonts w:ascii="Times New Roman" w:hAnsi="Times New Roman" w:cs="Times New Roman" w:eastAsia="Times New Roman" w:hint="default"/>
          <w:w w:val="95"/>
        </w:rPr>
        <w:t>6</w:t>
      </w:r>
      <w:r>
        <w:rPr>
          <w:w w:val="95"/>
        </w:rPr>
        <w:t>、关联方应收应付款项</w:t>
      </w:r>
      <w:r>
        <w:rPr>
          <w:spacing w:val="2"/>
          <w:w w:val="95"/>
        </w:rPr>
        <w:t> </w:t>
      </w:r>
      <w:r>
        <w:rPr>
          <w:rFonts w:ascii="宋体" w:hAnsi="宋体" w:cs="宋体" w:eastAsia="宋体" w:hint="default"/>
          <w:b w:val="0"/>
          <w:bCs w:val="0"/>
        </w:rPr>
        <w:t>无</w:t>
      </w:r>
    </w:p>
    <w:p>
      <w:pPr>
        <w:pStyle w:val="Heading2"/>
        <w:spacing w:line="240" w:lineRule="auto" w:before="54"/>
        <w:ind w:right="0"/>
        <w:jc w:val="left"/>
        <w:rPr>
          <w:b w:val="0"/>
          <w:bCs w:val="0"/>
        </w:rPr>
      </w:pPr>
      <w:bookmarkStart w:name="7、关联方承诺" w:id="422"/>
      <w:bookmarkEnd w:id="422"/>
      <w:r>
        <w:rPr>
          <w:b w:val="0"/>
          <w:bCs w:val="0"/>
        </w:rPr>
      </w:r>
      <w:r>
        <w:rPr>
          <w:rFonts w:ascii="Times New Roman" w:hAnsi="Times New Roman" w:cs="Times New Roman" w:eastAsia="Times New Roman" w:hint="default"/>
        </w:rPr>
        <w:t>7</w:t>
      </w:r>
      <w:r>
        <w:rPr/>
        <w:t>、关联方承诺</w:t>
      </w:r>
      <w:r>
        <w:rPr>
          <w:b w:val="0"/>
          <w:bCs w:val="0"/>
        </w:rPr>
      </w:r>
    </w:p>
    <w:p>
      <w:pPr>
        <w:pStyle w:val="BodyText"/>
        <w:spacing w:line="240" w:lineRule="auto" w:before="128"/>
        <w:ind w:left="634" w:right="0"/>
        <w:jc w:val="left"/>
      </w:pPr>
      <w:r>
        <w:rPr/>
        <w:t>无</w:t>
      </w:r>
    </w:p>
    <w:p>
      <w:pPr>
        <w:pStyle w:val="Heading2"/>
        <w:spacing w:line="240" w:lineRule="auto" w:before="145"/>
        <w:ind w:right="0"/>
        <w:jc w:val="left"/>
        <w:rPr>
          <w:b w:val="0"/>
          <w:bCs w:val="0"/>
        </w:rPr>
      </w:pPr>
      <w:bookmarkStart w:name="8、其他" w:id="423"/>
      <w:bookmarkEnd w:id="423"/>
      <w:r>
        <w:rPr>
          <w:b w:val="0"/>
          <w:bCs w:val="0"/>
        </w:rPr>
      </w:r>
      <w:r>
        <w:rPr>
          <w:rFonts w:ascii="Times New Roman" w:hAnsi="Times New Roman" w:cs="Times New Roman" w:eastAsia="Times New Roman" w:hint="default"/>
        </w:rPr>
        <w:t>8</w:t>
      </w:r>
      <w:r>
        <w:rPr/>
        <w:t>、其他</w:t>
      </w:r>
      <w:r>
        <w:rPr>
          <w:b w:val="0"/>
          <w:bCs w:val="0"/>
        </w:rPr>
      </w:r>
    </w:p>
    <w:p>
      <w:pPr>
        <w:spacing w:line="487" w:lineRule="auto" w:before="127"/>
        <w:ind w:left="154" w:right="9065" w:firstLine="480"/>
        <w:jc w:val="left"/>
        <w:rPr>
          <w:rFonts w:ascii="宋体" w:hAnsi="宋体" w:cs="宋体" w:eastAsia="宋体" w:hint="default"/>
          <w:sz w:val="24"/>
          <w:szCs w:val="24"/>
        </w:rPr>
      </w:pPr>
      <w:r>
        <w:rPr>
          <w:rFonts w:ascii="宋体" w:hAnsi="宋体" w:cs="宋体" w:eastAsia="宋体" w:hint="default"/>
          <w:sz w:val="24"/>
          <w:szCs w:val="24"/>
        </w:rPr>
        <w:t>无 </w:t>
      </w:r>
      <w:bookmarkStart w:name="十三、股份支付" w:id="424"/>
      <w:bookmarkEnd w:id="424"/>
      <w:r>
        <w:rPr>
          <w:rFonts w:ascii="宋体" w:hAnsi="宋体" w:cs="宋体" w:eastAsia="宋体" w:hint="default"/>
          <w:sz w:val="24"/>
          <w:szCs w:val="24"/>
        </w:rPr>
      </w:r>
      <w:r>
        <w:rPr>
          <w:rFonts w:ascii="宋体" w:hAnsi="宋体" w:cs="宋体" w:eastAsia="宋体" w:hint="default"/>
          <w:b/>
          <w:bCs/>
          <w:sz w:val="24"/>
          <w:szCs w:val="24"/>
        </w:rPr>
        <w:t>十三、股份支付</w:t>
      </w:r>
      <w:r>
        <w:rPr>
          <w:rFonts w:ascii="宋体" w:hAnsi="宋体" w:cs="宋体" w:eastAsia="宋体" w:hint="default"/>
          <w:sz w:val="24"/>
          <w:szCs w:val="24"/>
        </w:rPr>
      </w:r>
    </w:p>
    <w:p>
      <w:pPr>
        <w:pStyle w:val="Heading2"/>
        <w:spacing w:line="484" w:lineRule="auto" w:before="177"/>
        <w:ind w:right="8112" w:firstLine="480"/>
        <w:jc w:val="left"/>
        <w:rPr>
          <w:b w:val="0"/>
          <w:bCs w:val="0"/>
        </w:rPr>
      </w:pPr>
      <w:r>
        <w:rPr>
          <w:rFonts w:ascii="宋体" w:hAnsi="宋体" w:cs="宋体" w:eastAsia="宋体" w:hint="default"/>
          <w:b w:val="0"/>
          <w:bCs w:val="0"/>
        </w:rPr>
        <w:t>无 </w:t>
      </w:r>
      <w:bookmarkStart w:name="十四、承诺及或有事项" w:id="425"/>
      <w:bookmarkEnd w:id="425"/>
      <w:r>
        <w:rPr>
          <w:rFonts w:ascii="宋体" w:hAnsi="宋体" w:cs="宋体" w:eastAsia="宋体" w:hint="default"/>
          <w:b w:val="0"/>
          <w:bCs w:val="0"/>
        </w:rPr>
      </w:r>
      <w:r>
        <w:rPr>
          <w:w w:val="95"/>
        </w:rPr>
        <w:t>十四、承诺及或有事项</w:t>
      </w:r>
      <w:r>
        <w:rPr>
          <w:b w:val="0"/>
          <w:bCs w:val="0"/>
        </w:rPr>
      </w:r>
    </w:p>
    <w:p>
      <w:pPr>
        <w:spacing w:line="331" w:lineRule="auto" w:before="179"/>
        <w:ind w:left="634" w:right="7152" w:hanging="480"/>
        <w:jc w:val="left"/>
        <w:rPr>
          <w:rFonts w:ascii="宋体" w:hAnsi="宋体" w:cs="宋体" w:eastAsia="宋体" w:hint="default"/>
          <w:sz w:val="24"/>
          <w:szCs w:val="24"/>
        </w:rPr>
      </w:pPr>
      <w:bookmarkStart w:name="1、重要承诺事项" w:id="426"/>
      <w:bookmarkEnd w:id="426"/>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、重要承诺事项</w:t>
      </w:r>
      <w:r>
        <w:rPr>
          <w:rFonts w:ascii="宋体" w:hAnsi="宋体" w:cs="宋体" w:eastAsia="宋体" w:hint="default"/>
          <w:b/>
          <w:bCs/>
          <w:w w:val="99"/>
          <w:sz w:val="24"/>
          <w:szCs w:val="24"/>
        </w:rPr>
        <w:t> </w:t>
      </w:r>
      <w:r>
        <w:rPr>
          <w:rFonts w:ascii="宋体" w:hAnsi="宋体" w:cs="宋体" w:eastAsia="宋体" w:hint="default"/>
          <w:sz w:val="24"/>
          <w:szCs w:val="24"/>
        </w:rPr>
        <w:t>资产负债表日存在的重要承诺</w:t>
      </w:r>
    </w:p>
    <w:p>
      <w:pPr>
        <w:pStyle w:val="BodyText"/>
        <w:spacing w:line="350" w:lineRule="auto" w:before="55"/>
        <w:ind w:right="1289" w:firstLine="480"/>
        <w:jc w:val="both"/>
      </w:pPr>
      <w:r>
        <w:rPr/>
        <w:t>本公司</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日与中国民生银行股份有限公司郑州分行签订合同编号为公借贷字 第</w:t>
      </w:r>
      <w:r>
        <w:rPr>
          <w:rFonts w:ascii="宋体" w:hAnsi="宋体" w:cs="宋体" w:eastAsia="宋体" w:hint="default"/>
        </w:rPr>
        <w:t>ZH1700000043153</w:t>
      </w:r>
      <w:r>
        <w:rPr/>
        <w:t>号的并购贷款借款合同，借款金额为</w:t>
      </w:r>
      <w:r>
        <w:rPr>
          <w:rFonts w:ascii="宋体" w:hAnsi="宋体" w:cs="宋体" w:eastAsia="宋体" w:hint="default"/>
        </w:rPr>
        <w:t>2,700.00</w:t>
      </w:r>
      <w:r>
        <w:rPr/>
        <w:t>万元人民币，借款期限为 </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日至</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17</w:t>
      </w:r>
      <w:r>
        <w:rPr/>
        <w:t>日，还款方式为到期一次还本。合同约定利息采用基准利率</w:t>
      </w:r>
    </w:p>
    <w:p>
      <w:pPr>
        <w:pStyle w:val="BodyText"/>
        <w:spacing w:line="350" w:lineRule="auto"/>
        <w:ind w:right="1128"/>
        <w:jc w:val="left"/>
      </w:pPr>
      <w:r>
        <w:rPr>
          <w:rFonts w:ascii="宋体" w:hAnsi="宋体" w:cs="宋体" w:eastAsia="宋体" w:hint="default"/>
          <w:spacing w:val="-2"/>
        </w:rPr>
        <w:t>4.75%</w:t>
      </w:r>
      <w:r>
        <w:rPr>
          <w:spacing w:val="-2"/>
        </w:rPr>
        <w:t>上浮</w:t>
      </w:r>
      <w:r>
        <w:rPr>
          <w:rFonts w:ascii="宋体" w:hAnsi="宋体" w:cs="宋体" w:eastAsia="宋体" w:hint="default"/>
          <w:spacing w:val="-2"/>
        </w:rPr>
        <w:t>5.2%</w:t>
      </w:r>
      <w:r>
        <w:rPr>
          <w:spacing w:val="-2"/>
        </w:rPr>
        <w:t>后的固定利率，年利率为</w:t>
      </w:r>
      <w:r>
        <w:rPr>
          <w:rFonts w:ascii="宋体" w:hAnsi="宋体" w:cs="宋体" w:eastAsia="宋体" w:hint="default"/>
          <w:spacing w:val="-2"/>
        </w:rPr>
        <w:t>4.997%</w:t>
      </w:r>
      <w:r>
        <w:rPr>
          <w:spacing w:val="-2"/>
        </w:rPr>
        <w:t>。该笔借款由河南辉煌科技股份有限公司以对</w:t>
      </w:r>
      <w:r>
        <w:rPr>
          <w:spacing w:val="-106"/>
        </w:rPr>
        <w:t> </w:t>
      </w:r>
      <w:r>
        <w:rPr>
          <w:spacing w:val="-106"/>
        </w:rPr>
      </w:r>
      <w:r>
        <w:rPr/>
        <w:t>成都西南交大驱动技术有限公司</w:t>
      </w:r>
      <w:r>
        <w:rPr>
          <w:rFonts w:ascii="宋体" w:hAnsi="宋体" w:cs="宋体" w:eastAsia="宋体" w:hint="default"/>
        </w:rPr>
        <w:t>51%</w:t>
      </w:r>
      <w:r>
        <w:rPr/>
        <w:t>的股权作为质押物，最高额质押合同编号为 </w:t>
      </w:r>
      <w:r>
        <w:rPr>
          <w:rFonts w:ascii="宋体" w:hAnsi="宋体" w:cs="宋体" w:eastAsia="宋体" w:hint="default"/>
        </w:rPr>
        <w:t>DB1700000032666</w:t>
      </w:r>
      <w:r>
        <w:rPr/>
        <w:t>号。</w:t>
      </w:r>
    </w:p>
    <w:p>
      <w:pPr>
        <w:pStyle w:val="Heading2"/>
        <w:spacing w:line="240" w:lineRule="auto" w:before="36"/>
        <w:ind w:right="0"/>
        <w:jc w:val="left"/>
        <w:rPr>
          <w:b w:val="0"/>
          <w:bCs w:val="0"/>
        </w:rPr>
      </w:pPr>
      <w:bookmarkStart w:name="2、或有事项" w:id="427"/>
      <w:bookmarkEnd w:id="427"/>
      <w:r>
        <w:rPr>
          <w:b w:val="0"/>
          <w:bCs w:val="0"/>
        </w:rPr>
      </w:r>
      <w:r>
        <w:rPr>
          <w:rFonts w:ascii="Times New Roman" w:hAnsi="Times New Roman" w:cs="Times New Roman" w:eastAsia="Times New Roman" w:hint="default"/>
        </w:rPr>
        <w:t>2</w:t>
      </w:r>
      <w:r>
        <w:rPr/>
        <w:t>、或有事项</w:t>
      </w:r>
      <w:r>
        <w:rPr>
          <w:b w:val="0"/>
          <w:bCs w:val="0"/>
        </w:rPr>
      </w:r>
    </w:p>
    <w:p>
      <w:pPr>
        <w:spacing w:line="331" w:lineRule="auto" w:before="127"/>
        <w:ind w:left="634" w:right="3072" w:hanging="480"/>
        <w:jc w:val="left"/>
        <w:rPr>
          <w:rFonts w:ascii="宋体" w:hAnsi="宋体" w:cs="宋体" w:eastAsia="宋体" w:hint="default"/>
          <w:sz w:val="24"/>
          <w:szCs w:val="24"/>
        </w:rPr>
      </w:pPr>
      <w:bookmarkStart w:name="（1）资产负债表日存在的重要或有事项" w:id="428"/>
      <w:bookmarkEnd w:id="428"/>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）资产负债表日存在的重要或有事项</w:t>
      </w:r>
      <w:r>
        <w:rPr>
          <w:rFonts w:ascii="宋体" w:hAnsi="宋体" w:cs="宋体" w:eastAsia="宋体" w:hint="default"/>
          <w:b/>
          <w:bCs/>
          <w:w w:val="99"/>
          <w:sz w:val="24"/>
          <w:szCs w:val="24"/>
        </w:rPr>
        <w:t> </w:t>
      </w:r>
      <w:r>
        <w:rPr>
          <w:rFonts w:ascii="宋体" w:hAnsi="宋体" w:cs="宋体" w:eastAsia="宋体" w:hint="default"/>
          <w:sz w:val="24"/>
          <w:szCs w:val="24"/>
        </w:rPr>
        <w:t>截止</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日，本公司无其他应披露未披露的重要或有事项。</w:t>
      </w:r>
    </w:p>
    <w:p>
      <w:pPr>
        <w:spacing w:after="0" w:line="331" w:lineRule="auto"/>
        <w:jc w:val="left"/>
        <w:rPr>
          <w:rFonts w:ascii="宋体" w:hAnsi="宋体" w:cs="宋体" w:eastAsia="宋体" w:hint="default"/>
          <w:sz w:val="24"/>
          <w:szCs w:val="24"/>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331" w:lineRule="auto" w:before="199"/>
        <w:ind w:left="634" w:right="1116" w:hanging="480"/>
        <w:jc w:val="left"/>
        <w:rPr>
          <w:rFonts w:ascii="宋体" w:hAnsi="宋体" w:cs="宋体" w:eastAsia="宋体" w:hint="default"/>
          <w:sz w:val="24"/>
          <w:szCs w:val="24"/>
        </w:rPr>
      </w:pPr>
      <w:bookmarkStart w:name="（2）公司没有需要披露的重要或有事项，也应予以说明" w:id="429"/>
      <w:bookmarkEnd w:id="429"/>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2</w:t>
      </w:r>
      <w:r>
        <w:rPr>
          <w:rFonts w:ascii="宋体" w:hAnsi="宋体" w:cs="宋体" w:eastAsia="宋体" w:hint="default"/>
          <w:b/>
          <w:bCs/>
          <w:w w:val="95"/>
          <w:sz w:val="24"/>
          <w:szCs w:val="24"/>
        </w:rPr>
        <w:t>）公司没有需要披露的重要或有事项，也应予以说明</w:t>
      </w:r>
      <w:r>
        <w:rPr>
          <w:rFonts w:ascii="宋体" w:hAnsi="宋体" w:cs="宋体" w:eastAsia="宋体" w:hint="default"/>
          <w:b/>
          <w:bCs/>
          <w:spacing w:val="43"/>
          <w:w w:val="95"/>
          <w:sz w:val="24"/>
          <w:szCs w:val="24"/>
        </w:rPr>
        <w:t> </w:t>
      </w:r>
      <w:r>
        <w:rPr>
          <w:rFonts w:ascii="宋体" w:hAnsi="宋体" w:cs="宋体" w:eastAsia="宋体" w:hint="default"/>
          <w:sz w:val="24"/>
          <w:szCs w:val="24"/>
        </w:rPr>
        <w:t>公司不存在需要披露的重要或有事项。</w:t>
      </w:r>
    </w:p>
    <w:p>
      <w:pPr>
        <w:pStyle w:val="Heading2"/>
        <w:spacing w:line="240" w:lineRule="auto" w:before="55"/>
        <w:ind w:right="0"/>
        <w:jc w:val="left"/>
        <w:rPr>
          <w:b w:val="0"/>
          <w:bCs w:val="0"/>
        </w:rPr>
      </w:pPr>
      <w:bookmarkStart w:name="3、其他" w:id="430"/>
      <w:bookmarkEnd w:id="430"/>
      <w:r>
        <w:rPr>
          <w:b w:val="0"/>
          <w:bCs w:val="0"/>
        </w:rPr>
      </w:r>
      <w:r>
        <w:rPr>
          <w:rFonts w:ascii="Times New Roman" w:hAnsi="Times New Roman" w:cs="Times New Roman" w:eastAsia="Times New Roman" w:hint="default"/>
        </w:rPr>
        <w:t>3</w:t>
      </w:r>
      <w:r>
        <w:rPr/>
        <w:t>、其他</w:t>
      </w:r>
      <w:r>
        <w:rPr>
          <w:b w:val="0"/>
          <w:bCs w:val="0"/>
        </w:rPr>
      </w:r>
    </w:p>
    <w:p>
      <w:pPr>
        <w:pStyle w:val="Heading2"/>
        <w:spacing w:line="484" w:lineRule="auto" w:before="127"/>
        <w:ind w:right="7691" w:firstLine="480"/>
        <w:jc w:val="left"/>
        <w:rPr>
          <w:b w:val="0"/>
          <w:bCs w:val="0"/>
        </w:rPr>
      </w:pPr>
      <w:r>
        <w:rPr>
          <w:rFonts w:ascii="宋体" w:hAnsi="宋体" w:cs="宋体" w:eastAsia="宋体" w:hint="default"/>
          <w:b w:val="0"/>
          <w:bCs w:val="0"/>
        </w:rPr>
        <w:t>无 </w:t>
      </w:r>
      <w:bookmarkStart w:name="十五、资产负债表日后事项" w:id="431"/>
      <w:bookmarkEnd w:id="431"/>
      <w:r>
        <w:rPr>
          <w:rFonts w:ascii="宋体" w:hAnsi="宋体" w:cs="宋体" w:eastAsia="宋体" w:hint="default"/>
          <w:b w:val="0"/>
          <w:bCs w:val="0"/>
        </w:rPr>
      </w:r>
      <w:r>
        <w:rPr>
          <w:w w:val="95"/>
        </w:rPr>
        <w:t>十五、资产负债表日后事项</w:t>
      </w:r>
      <w:r>
        <w:rPr>
          <w:b w:val="0"/>
          <w:bCs w:val="0"/>
        </w:rPr>
      </w:r>
    </w:p>
    <w:p>
      <w:pPr>
        <w:pStyle w:val="Heading2"/>
        <w:spacing w:line="333" w:lineRule="auto" w:before="179"/>
        <w:ind w:left="634" w:right="8463" w:hanging="480"/>
        <w:jc w:val="left"/>
        <w:rPr>
          <w:rFonts w:ascii="宋体" w:hAnsi="宋体" w:cs="宋体" w:eastAsia="宋体" w:hint="default"/>
          <w:b w:val="0"/>
          <w:bCs w:val="0"/>
        </w:rPr>
      </w:pPr>
      <w:bookmarkStart w:name="1、 重要的非调整事项" w:id="432"/>
      <w:bookmarkEnd w:id="432"/>
      <w:r>
        <w:rPr>
          <w:b w:val="0"/>
          <w:bCs w:val="0"/>
        </w:rPr>
      </w:r>
      <w:r>
        <w:rPr>
          <w:rFonts w:ascii="Times New Roman" w:hAnsi="Times New Roman" w:cs="Times New Roman" w:eastAsia="Times New Roman" w:hint="default"/>
        </w:rPr>
        <w:t>1</w:t>
      </w:r>
      <w:r>
        <w:rPr/>
        <w:t>、重要的非调整事项</w:t>
      </w:r>
      <w:r>
        <w:rPr>
          <w:spacing w:val="-118"/>
        </w:rPr>
        <w:t> </w:t>
      </w:r>
      <w:r>
        <w:rPr>
          <w:spacing w:val="-118"/>
        </w:rPr>
      </w:r>
      <w:r>
        <w:rPr>
          <w:rFonts w:ascii="宋体" w:hAnsi="宋体" w:cs="宋体" w:eastAsia="宋体" w:hint="default"/>
          <w:b w:val="0"/>
          <w:bCs w:val="0"/>
        </w:rPr>
        <w:t>无</w:t>
      </w:r>
    </w:p>
    <w:p>
      <w:pPr>
        <w:pStyle w:val="Heading2"/>
        <w:spacing w:line="331" w:lineRule="auto" w:before="52"/>
        <w:ind w:left="634" w:right="8945" w:hanging="480"/>
        <w:jc w:val="left"/>
        <w:rPr>
          <w:rFonts w:ascii="宋体" w:hAnsi="宋体" w:cs="宋体" w:eastAsia="宋体" w:hint="default"/>
          <w:b w:val="0"/>
          <w:bCs w:val="0"/>
        </w:rPr>
      </w:pPr>
      <w:bookmarkStart w:name="2、利润分配情况" w:id="433"/>
      <w:bookmarkEnd w:id="433"/>
      <w:r>
        <w:rPr>
          <w:b w:val="0"/>
          <w:bCs w:val="0"/>
        </w:rPr>
      </w:r>
      <w:r>
        <w:rPr>
          <w:rFonts w:ascii="Times New Roman" w:hAnsi="Times New Roman" w:cs="Times New Roman" w:eastAsia="Times New Roman" w:hint="default"/>
        </w:rPr>
        <w:t>2</w:t>
      </w:r>
      <w:r>
        <w:rPr/>
        <w:t>、利润分配情况</w:t>
      </w:r>
      <w:r>
        <w:rPr>
          <w:w w:val="99"/>
        </w:rPr>
        <w:t> </w:t>
      </w:r>
      <w:r>
        <w:rPr>
          <w:rFonts w:ascii="宋体" w:hAnsi="宋体" w:cs="宋体" w:eastAsia="宋体" w:hint="default"/>
          <w:b w:val="0"/>
          <w:bCs w:val="0"/>
        </w:rPr>
        <w:t>无</w:t>
      </w:r>
    </w:p>
    <w:p>
      <w:pPr>
        <w:pStyle w:val="Heading2"/>
        <w:spacing w:line="331" w:lineRule="auto" w:before="55"/>
        <w:ind w:left="634" w:right="9427" w:hanging="480"/>
        <w:jc w:val="left"/>
        <w:rPr>
          <w:rFonts w:ascii="宋体" w:hAnsi="宋体" w:cs="宋体" w:eastAsia="宋体" w:hint="default"/>
          <w:b w:val="0"/>
          <w:bCs w:val="0"/>
        </w:rPr>
      </w:pPr>
      <w:bookmarkStart w:name="3、销售退回" w:id="434"/>
      <w:bookmarkEnd w:id="434"/>
      <w:r>
        <w:rPr>
          <w:b w:val="0"/>
          <w:bCs w:val="0"/>
        </w:rPr>
      </w:r>
      <w:r>
        <w:rPr>
          <w:rFonts w:ascii="Times New Roman" w:hAnsi="Times New Roman" w:cs="Times New Roman" w:eastAsia="Times New Roman" w:hint="default"/>
        </w:rPr>
        <w:t>3</w:t>
      </w:r>
      <w:r>
        <w:rPr/>
        <w:t>、销售退回</w:t>
      </w:r>
      <w:r>
        <w:rPr>
          <w:w w:val="99"/>
        </w:rPr>
        <w:t> </w:t>
      </w:r>
      <w:r>
        <w:rPr>
          <w:rFonts w:ascii="宋体" w:hAnsi="宋体" w:cs="宋体" w:eastAsia="宋体" w:hint="default"/>
          <w:b w:val="0"/>
          <w:bCs w:val="0"/>
        </w:rPr>
        <w:t>无</w:t>
      </w:r>
    </w:p>
    <w:p>
      <w:pPr>
        <w:spacing w:line="333" w:lineRule="auto" w:before="54"/>
        <w:ind w:left="634" w:right="1120" w:hanging="480"/>
        <w:jc w:val="left"/>
        <w:rPr>
          <w:rFonts w:ascii="宋体" w:hAnsi="宋体" w:cs="宋体" w:eastAsia="宋体" w:hint="default"/>
          <w:sz w:val="24"/>
          <w:szCs w:val="24"/>
        </w:rPr>
      </w:pPr>
      <w:bookmarkStart w:name="4、其他资产负债表日后事项说明" w:id="435"/>
      <w:bookmarkEnd w:id="435"/>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、其他资产负债表日后事项说明</w:t>
      </w:r>
      <w:r>
        <w:rPr>
          <w:rFonts w:ascii="宋体" w:hAnsi="宋体" w:cs="宋体" w:eastAsia="宋体" w:hint="default"/>
          <w:b/>
          <w:bCs/>
          <w:w w:val="99"/>
          <w:sz w:val="24"/>
          <w:szCs w:val="24"/>
        </w:rPr>
        <w:t> </w:t>
      </w:r>
      <w:r>
        <w:rPr>
          <w:rFonts w:ascii="宋体" w:hAnsi="宋体" w:cs="宋体" w:eastAsia="宋体" w:hint="default"/>
          <w:spacing w:val="-2"/>
          <w:sz w:val="24"/>
          <w:szCs w:val="24"/>
        </w:rPr>
        <w:t>经</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3</w:t>
      </w:r>
      <w:r>
        <w:rPr>
          <w:rFonts w:ascii="宋体" w:hAnsi="宋体" w:cs="宋体" w:eastAsia="宋体" w:hint="default"/>
          <w:spacing w:val="-2"/>
          <w:sz w:val="24"/>
          <w:szCs w:val="24"/>
        </w:rPr>
        <w:t>月</w:t>
      </w:r>
      <w:r>
        <w:rPr>
          <w:rFonts w:ascii="宋体" w:hAnsi="宋体" w:cs="宋体" w:eastAsia="宋体" w:hint="default"/>
          <w:spacing w:val="-2"/>
          <w:sz w:val="24"/>
          <w:szCs w:val="24"/>
        </w:rPr>
        <w:t>19</w:t>
      </w:r>
      <w:r>
        <w:rPr>
          <w:rFonts w:ascii="宋体" w:hAnsi="宋体" w:cs="宋体" w:eastAsia="宋体" w:hint="default"/>
          <w:spacing w:val="-2"/>
          <w:sz w:val="24"/>
          <w:szCs w:val="24"/>
        </w:rPr>
        <w:t>日第六届董事会第十七次会议审议决定：</w:t>
      </w:r>
      <w:r>
        <w:rPr>
          <w:rFonts w:ascii="宋体" w:hAnsi="宋体" w:cs="宋体" w:eastAsia="宋体" w:hint="default"/>
          <w:spacing w:val="-2"/>
          <w:sz w:val="24"/>
          <w:szCs w:val="24"/>
        </w:rPr>
        <w:t>2018</w:t>
      </w:r>
      <w:r>
        <w:rPr>
          <w:rFonts w:ascii="宋体" w:hAnsi="宋体" w:cs="宋体" w:eastAsia="宋体" w:hint="default"/>
          <w:spacing w:val="-2"/>
          <w:sz w:val="24"/>
          <w:szCs w:val="24"/>
        </w:rPr>
        <w:t>年度不进行利润分配，不以</w:t>
      </w:r>
    </w:p>
    <w:p>
      <w:pPr>
        <w:pStyle w:val="BodyText"/>
        <w:spacing w:line="350" w:lineRule="auto" w:before="52"/>
        <w:ind w:right="1152"/>
        <w:jc w:val="left"/>
      </w:pPr>
      <w:r>
        <w:rPr/>
        <w:t>公积金转增股本，未分配利润结转下一年度。上述决定尚需</w:t>
      </w:r>
      <w:r>
        <w:rPr>
          <w:rFonts w:ascii="宋体" w:hAnsi="宋体" w:cs="宋体" w:eastAsia="宋体" w:hint="default"/>
        </w:rPr>
        <w:t>2018</w:t>
      </w:r>
      <w:r>
        <w:rPr/>
        <w:t>年度股东大会审议批准后实 施。</w:t>
      </w:r>
    </w:p>
    <w:p>
      <w:pPr>
        <w:pStyle w:val="BodyText"/>
        <w:spacing w:line="350" w:lineRule="auto"/>
        <w:ind w:right="1152" w:firstLine="480"/>
        <w:jc w:val="left"/>
      </w:pPr>
      <w:r>
        <w:rPr/>
        <w:t>除存在上述或有事项外，截止财务报告日，本公司无其他应披露未披露的重大资产负债 表日后事项。</w:t>
      </w:r>
    </w:p>
    <w:p>
      <w:pPr>
        <w:pStyle w:val="Heading2"/>
        <w:spacing w:line="240" w:lineRule="auto" w:before="210"/>
        <w:ind w:right="0"/>
        <w:jc w:val="left"/>
        <w:rPr>
          <w:b w:val="0"/>
          <w:bCs w:val="0"/>
        </w:rPr>
      </w:pPr>
      <w:bookmarkStart w:name="十六、其他重要事项" w:id="436"/>
      <w:bookmarkEnd w:id="436"/>
      <w:r>
        <w:rPr>
          <w:b w:val="0"/>
          <w:bCs w:val="0"/>
        </w:rPr>
      </w:r>
      <w:r>
        <w:rPr/>
        <w:t>十六、其他重要事项</w:t>
      </w:r>
      <w:r>
        <w:rPr>
          <w:b w:val="0"/>
          <w:bCs w:val="0"/>
        </w:rPr>
      </w:r>
    </w:p>
    <w:p>
      <w:pPr>
        <w:spacing w:line="240" w:lineRule="auto" w:before="5"/>
        <w:rPr>
          <w:rFonts w:ascii="宋体" w:hAnsi="宋体" w:cs="宋体" w:eastAsia="宋体" w:hint="default"/>
          <w:b/>
          <w:bCs/>
          <w:sz w:val="32"/>
          <w:szCs w:val="32"/>
        </w:rPr>
      </w:pPr>
    </w:p>
    <w:p>
      <w:pPr>
        <w:pStyle w:val="Heading2"/>
        <w:spacing w:line="333" w:lineRule="auto" w:before="0"/>
        <w:ind w:left="634" w:right="8463" w:hanging="480"/>
        <w:jc w:val="left"/>
        <w:rPr>
          <w:rFonts w:ascii="宋体" w:hAnsi="宋体" w:cs="宋体" w:eastAsia="宋体" w:hint="default"/>
          <w:b w:val="0"/>
          <w:bCs w:val="0"/>
        </w:rPr>
      </w:pPr>
      <w:bookmarkStart w:name="1、 前期会计差错更正" w:id="437"/>
      <w:bookmarkEnd w:id="437"/>
      <w:r>
        <w:rPr>
          <w:b w:val="0"/>
          <w:bCs w:val="0"/>
        </w:rPr>
      </w:r>
      <w:r>
        <w:rPr>
          <w:rFonts w:ascii="Times New Roman" w:hAnsi="Times New Roman" w:cs="Times New Roman" w:eastAsia="Times New Roman" w:hint="default"/>
        </w:rPr>
        <w:t>1</w:t>
      </w:r>
      <w:r>
        <w:rPr/>
        <w:t>、前期会计差错更正</w:t>
      </w:r>
      <w:r>
        <w:rPr>
          <w:spacing w:val="-118"/>
        </w:rPr>
        <w:t> </w:t>
      </w:r>
      <w:r>
        <w:rPr>
          <w:spacing w:val="-118"/>
        </w:rPr>
      </w:r>
      <w:r>
        <w:rPr>
          <w:rFonts w:ascii="宋体" w:hAnsi="宋体" w:cs="宋体" w:eastAsia="宋体" w:hint="default"/>
          <w:b w:val="0"/>
          <w:bCs w:val="0"/>
        </w:rPr>
        <w:t>无</w:t>
      </w:r>
    </w:p>
    <w:p>
      <w:pPr>
        <w:pStyle w:val="Heading2"/>
        <w:spacing w:line="340" w:lineRule="auto" w:before="52"/>
        <w:ind w:left="134" w:right="9427"/>
        <w:jc w:val="center"/>
        <w:rPr>
          <w:rFonts w:ascii="宋体" w:hAnsi="宋体" w:cs="宋体" w:eastAsia="宋体" w:hint="default"/>
          <w:b w:val="0"/>
          <w:bCs w:val="0"/>
        </w:rPr>
      </w:pPr>
      <w:bookmarkStart w:name="2、债务重组" w:id="438"/>
      <w:bookmarkEnd w:id="438"/>
      <w:r>
        <w:rPr>
          <w:b w:val="0"/>
          <w:bCs w:val="0"/>
        </w:rPr>
      </w:r>
      <w:r>
        <w:rPr>
          <w:rFonts w:ascii="Times New Roman" w:hAnsi="Times New Roman" w:cs="Times New Roman" w:eastAsia="Times New Roman" w:hint="default"/>
          <w:w w:val="95"/>
        </w:rPr>
        <w:t>2</w:t>
      </w:r>
      <w:r>
        <w:rPr>
          <w:w w:val="95"/>
        </w:rPr>
        <w:t>、债务重组</w:t>
      </w:r>
      <w:r>
        <w:rPr>
          <w:spacing w:val="-58"/>
          <w:w w:val="95"/>
        </w:rPr>
        <w:t> </w:t>
      </w:r>
      <w:r>
        <w:rPr>
          <w:rFonts w:ascii="宋体" w:hAnsi="宋体" w:cs="宋体" w:eastAsia="宋体" w:hint="default"/>
          <w:b w:val="0"/>
          <w:bCs w:val="0"/>
        </w:rPr>
        <w:t>无 </w:t>
      </w:r>
      <w:bookmarkStart w:name="3、资产置换" w:id="439"/>
      <w:bookmarkEnd w:id="439"/>
      <w:r>
        <w:rPr>
          <w:rFonts w:ascii="宋体" w:hAnsi="宋体" w:cs="宋体" w:eastAsia="宋体" w:hint="default"/>
          <w:b w:val="0"/>
          <w:bCs w:val="0"/>
        </w:rPr>
      </w:r>
      <w:r>
        <w:rPr>
          <w:rFonts w:ascii="Times New Roman" w:hAnsi="Times New Roman" w:cs="Times New Roman" w:eastAsia="Times New Roman" w:hint="default"/>
          <w:w w:val="95"/>
        </w:rPr>
        <w:t>3</w:t>
      </w:r>
      <w:r>
        <w:rPr>
          <w:w w:val="95"/>
        </w:rPr>
        <w:t>、资产置换</w:t>
      </w:r>
      <w:r>
        <w:rPr>
          <w:spacing w:val="-58"/>
          <w:w w:val="95"/>
        </w:rPr>
        <w:t> </w:t>
      </w:r>
      <w:r>
        <w:rPr>
          <w:rFonts w:ascii="宋体" w:hAnsi="宋体" w:cs="宋体" w:eastAsia="宋体" w:hint="default"/>
          <w:b w:val="0"/>
          <w:bCs w:val="0"/>
        </w:rPr>
        <w:t>无 </w:t>
      </w:r>
      <w:bookmarkStart w:name="4、年金计划" w:id="440"/>
      <w:bookmarkEnd w:id="440"/>
      <w:r>
        <w:rPr>
          <w:rFonts w:ascii="宋体" w:hAnsi="宋体" w:cs="宋体" w:eastAsia="宋体" w:hint="default"/>
          <w:b w:val="0"/>
          <w:bCs w:val="0"/>
        </w:rPr>
      </w:r>
      <w:r>
        <w:rPr>
          <w:rFonts w:ascii="Times New Roman" w:hAnsi="Times New Roman" w:cs="Times New Roman" w:eastAsia="Times New Roman" w:hint="default"/>
          <w:w w:val="95"/>
        </w:rPr>
        <w:t>4</w:t>
      </w:r>
      <w:r>
        <w:rPr>
          <w:w w:val="95"/>
        </w:rPr>
        <w:t>、年金计划</w:t>
      </w:r>
      <w:r>
        <w:rPr>
          <w:spacing w:val="-58"/>
          <w:w w:val="95"/>
        </w:rPr>
        <w:t> </w:t>
      </w:r>
      <w:r>
        <w:rPr>
          <w:rFonts w:ascii="宋体" w:hAnsi="宋体" w:cs="宋体" w:eastAsia="宋体" w:hint="default"/>
          <w:b w:val="0"/>
          <w:bCs w:val="0"/>
        </w:rPr>
        <w:t>无 </w:t>
      </w:r>
      <w:bookmarkStart w:name="5、终止经营" w:id="441"/>
      <w:bookmarkEnd w:id="441"/>
      <w:r>
        <w:rPr>
          <w:rFonts w:ascii="宋体" w:hAnsi="宋体" w:cs="宋体" w:eastAsia="宋体" w:hint="default"/>
          <w:b w:val="0"/>
          <w:bCs w:val="0"/>
        </w:rPr>
      </w:r>
      <w:r>
        <w:rPr>
          <w:rFonts w:ascii="Times New Roman" w:hAnsi="Times New Roman" w:cs="Times New Roman" w:eastAsia="Times New Roman" w:hint="default"/>
          <w:w w:val="95"/>
        </w:rPr>
        <w:t>5</w:t>
      </w:r>
      <w:r>
        <w:rPr>
          <w:w w:val="95"/>
        </w:rPr>
        <w:t>、终止经营</w:t>
      </w:r>
      <w:r>
        <w:rPr>
          <w:spacing w:val="-58"/>
          <w:w w:val="95"/>
        </w:rPr>
        <w:t> </w:t>
      </w:r>
      <w:r>
        <w:rPr>
          <w:rFonts w:ascii="宋体" w:hAnsi="宋体" w:cs="宋体" w:eastAsia="宋体" w:hint="default"/>
          <w:b w:val="0"/>
          <w:bCs w:val="0"/>
        </w:rPr>
        <w:t>无</w:t>
      </w:r>
    </w:p>
    <w:p>
      <w:pPr>
        <w:spacing w:after="0" w:line="340" w:lineRule="auto"/>
        <w:jc w:val="center"/>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0"/>
        <w:jc w:val="left"/>
        <w:rPr>
          <w:b w:val="0"/>
          <w:bCs w:val="0"/>
        </w:rPr>
      </w:pPr>
      <w:bookmarkStart w:name="6、分部信息" w:id="442"/>
      <w:bookmarkEnd w:id="44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5"/>
        <w:rPr>
          <w:rFonts w:ascii="宋体" w:hAnsi="宋体" w:cs="宋体" w:eastAsia="宋体" w:hint="default"/>
          <w:b/>
          <w:bCs/>
          <w:sz w:val="18"/>
          <w:szCs w:val="18"/>
        </w:rPr>
      </w:pPr>
    </w:p>
    <w:p>
      <w:pPr>
        <w:pStyle w:val="Heading2"/>
        <w:spacing w:line="403" w:lineRule="auto" w:before="0"/>
        <w:ind w:left="514" w:right="6671" w:hanging="360"/>
        <w:jc w:val="left"/>
        <w:rPr>
          <w:b w:val="0"/>
          <w:bCs w:val="0"/>
        </w:rPr>
      </w:pPr>
      <w:bookmarkStart w:name="（1） 报告分部的确定依据与会计政策" w:id="443"/>
      <w:bookmarkEnd w:id="443"/>
      <w:r>
        <w:rPr>
          <w:b w:val="0"/>
          <w:bCs w:val="0"/>
        </w:rPr>
      </w:r>
      <w:r>
        <w:rPr/>
        <w:t>（</w:t>
      </w:r>
      <w:r>
        <w:rPr>
          <w:rFonts w:ascii="Times New Roman" w:hAnsi="Times New Roman" w:cs="Times New Roman" w:eastAsia="Times New Roman" w:hint="default"/>
        </w:rPr>
        <w:t>1</w:t>
      </w:r>
      <w:r>
        <w:rPr/>
        <w:t>）</w:t>
      </w:r>
      <w:r>
        <w:rPr>
          <w:spacing w:val="-15"/>
        </w:rPr>
        <w:t> </w:t>
      </w:r>
      <w:r>
        <w:rPr/>
        <w:t>报告分部的确定依据与会计政策</w:t>
      </w:r>
      <w:r>
        <w:rPr>
          <w:w w:val="99"/>
        </w:rPr>
        <w:t> </w:t>
      </w:r>
      <w:r>
        <w:rPr/>
        <w:t>报告分部的确定依据与会计政策</w:t>
      </w:r>
      <w:r>
        <w:rPr>
          <w:b w:val="0"/>
          <w:bCs w:val="0"/>
        </w:rPr>
      </w:r>
    </w:p>
    <w:p>
      <w:pPr>
        <w:pStyle w:val="BodyText"/>
        <w:spacing w:line="298" w:lineRule="exact" w:before="0"/>
        <w:ind w:left="634" w:right="0"/>
        <w:jc w:val="left"/>
      </w:pPr>
      <w:r>
        <w:rPr/>
        <w:t>本公司以内部组织结构、管理要求、内部报告制度为依据确定经营分部。本公司的经营</w:t>
      </w:r>
    </w:p>
    <w:p>
      <w:pPr>
        <w:pStyle w:val="BodyText"/>
        <w:spacing w:line="350" w:lineRule="auto" w:before="145"/>
        <w:ind w:right="4992"/>
        <w:jc w:val="left"/>
      </w:pPr>
      <w:r>
        <w:rPr/>
        <w:t>分部是指同时满足下列条件的组成部分： </w:t>
      </w:r>
      <w:r>
        <w:rPr>
          <w:rFonts w:ascii="宋体" w:hAnsi="宋体" w:cs="宋体" w:eastAsia="宋体" w:hint="default"/>
        </w:rPr>
        <w:t>1.</w:t>
      </w:r>
      <w:r>
        <w:rPr/>
        <w:t>该组成部分能够在日常活动中产生收入、发生费用；</w:t>
      </w:r>
    </w:p>
    <w:p>
      <w:pPr>
        <w:pStyle w:val="BodyText"/>
        <w:spacing w:line="240" w:lineRule="auto"/>
        <w:ind w:right="0"/>
        <w:jc w:val="left"/>
      </w:pPr>
      <w:r>
        <w:rPr>
          <w:rFonts w:ascii="宋体" w:hAnsi="宋体" w:cs="宋体" w:eastAsia="宋体" w:hint="default"/>
        </w:rPr>
        <w:t>2.</w:t>
      </w:r>
      <w:r>
        <w:rPr/>
        <w:t>管理层能够定期评价该组成部分的经营成果，以决定向其配置资源、评价其业绩；</w:t>
      </w:r>
    </w:p>
    <w:p>
      <w:pPr>
        <w:pStyle w:val="BodyText"/>
        <w:spacing w:line="350" w:lineRule="auto" w:before="145"/>
        <w:ind w:left="634" w:right="0" w:hanging="480"/>
        <w:jc w:val="left"/>
      </w:pPr>
      <w:r>
        <w:rPr>
          <w:rFonts w:ascii="宋体" w:hAnsi="宋体" w:cs="宋体" w:eastAsia="宋体" w:hint="default"/>
        </w:rPr>
        <w:t>3.</w:t>
      </w:r>
      <w:r>
        <w:rPr/>
        <w:t>能够取得该组成部分的财务状况、经营成果和现金流量等有关会计信息。 </w:t>
      </w:r>
      <w:r>
        <w:rPr>
          <w:spacing w:val="-3"/>
        </w:rPr>
        <w:t>本公司以经营分部为基础确定报告分部，满足下列条件之一的经营分部确定为报告分部：</w:t>
      </w:r>
    </w:p>
    <w:p>
      <w:pPr>
        <w:pStyle w:val="BodyText"/>
        <w:spacing w:line="240" w:lineRule="auto"/>
        <w:ind w:right="0"/>
        <w:jc w:val="left"/>
      </w:pPr>
      <w:r>
        <w:rPr>
          <w:rFonts w:ascii="宋体" w:hAnsi="宋体" w:cs="宋体" w:eastAsia="宋体" w:hint="default"/>
        </w:rPr>
        <w:t>1. </w:t>
      </w:r>
      <w:r>
        <w:rPr/>
        <w:t>该经营分部的分部收入占所有分部收入合计的</w:t>
      </w:r>
      <w:r>
        <w:rPr>
          <w:rFonts w:ascii="Times New Roman" w:hAnsi="Times New Roman" w:cs="Times New Roman" w:eastAsia="Times New Roman" w:hint="default"/>
        </w:rPr>
        <w:t>10%</w:t>
      </w:r>
      <w:r>
        <w:rPr/>
        <w:t>或者以上；</w:t>
      </w:r>
    </w:p>
    <w:p>
      <w:pPr>
        <w:pStyle w:val="BodyText"/>
        <w:spacing w:line="343" w:lineRule="auto" w:before="127"/>
        <w:ind w:left="514" w:right="1118" w:hanging="360"/>
        <w:jc w:val="left"/>
      </w:pPr>
      <w:r>
        <w:rPr>
          <w:rFonts w:ascii="宋体" w:hAnsi="宋体" w:cs="宋体" w:eastAsia="宋体" w:hint="default"/>
        </w:rPr>
        <w:t>2.</w:t>
      </w:r>
      <w:r>
        <w:rPr>
          <w:rFonts w:ascii="宋体" w:hAnsi="宋体" w:cs="宋体" w:eastAsia="宋体" w:hint="default"/>
          <w:spacing w:val="31"/>
        </w:rPr>
        <w:t> </w:t>
      </w:r>
      <w:r>
        <w:rPr>
          <w:spacing w:val="-3"/>
        </w:rPr>
        <w:t>该分部的分部利润（亏损）的绝对额，占所有盈利分部利润合计额或者所有亏损分部亏损</w:t>
      </w:r>
      <w:r>
        <w:rPr/>
        <w:t> 合计额的绝对额两者中较大者的</w:t>
      </w:r>
      <w:r>
        <w:rPr>
          <w:rFonts w:ascii="Times New Roman" w:hAnsi="Times New Roman" w:cs="Times New Roman" w:eastAsia="Times New Roman" w:hint="default"/>
        </w:rPr>
        <w:t>10%</w:t>
      </w:r>
      <w:r>
        <w:rPr/>
        <w:t>或者以上。 按上述会计政策确定的报告分部的经营分部的对外交易收入合计额占合并总收入的比重</w:t>
      </w:r>
    </w:p>
    <w:p>
      <w:pPr>
        <w:pStyle w:val="BodyText"/>
        <w:spacing w:line="350" w:lineRule="auto" w:before="42"/>
        <w:ind w:right="1116"/>
        <w:jc w:val="left"/>
      </w:pPr>
      <w:r>
        <w:rPr>
          <w:spacing w:val="-2"/>
        </w:rPr>
        <w:t>未达到</w:t>
      </w:r>
      <w:r>
        <w:rPr>
          <w:rFonts w:ascii="宋体" w:hAnsi="宋体" w:cs="宋体" w:eastAsia="宋体" w:hint="default"/>
          <w:spacing w:val="-2"/>
        </w:rPr>
        <w:t>75%</w:t>
      </w:r>
      <w:r>
        <w:rPr>
          <w:spacing w:val="-2"/>
        </w:rPr>
        <w:t>时，增加报告分部的数量，按下述规定将其他未作为报告分部的经营分部纳入报告</w:t>
      </w:r>
      <w:r>
        <w:rPr>
          <w:spacing w:val="-118"/>
        </w:rPr>
        <w:t> </w:t>
      </w:r>
      <w:r>
        <w:rPr>
          <w:spacing w:val="-118"/>
        </w:rPr>
      </w:r>
      <w:r>
        <w:rPr/>
        <w:t>分部的范围，直到该比重达到</w:t>
      </w:r>
      <w:r>
        <w:rPr>
          <w:rFonts w:ascii="宋体" w:hAnsi="宋体" w:cs="宋体" w:eastAsia="宋体" w:hint="default"/>
        </w:rPr>
        <w:t>75%</w:t>
      </w:r>
      <w:r>
        <w:rPr/>
        <w:t>：</w:t>
      </w:r>
    </w:p>
    <w:p>
      <w:pPr>
        <w:pStyle w:val="BodyText"/>
        <w:spacing w:line="240" w:lineRule="auto"/>
        <w:ind w:right="0"/>
        <w:jc w:val="left"/>
      </w:pPr>
      <w:r>
        <w:rPr>
          <w:rFonts w:ascii="宋体" w:hAnsi="宋体" w:cs="宋体" w:eastAsia="宋体" w:hint="default"/>
        </w:rPr>
        <w:t>1. </w:t>
      </w:r>
      <w:r>
        <w:rPr/>
        <w:t>将管理层认为披露该经营分部信息对会计信息使用者有用的经营分部确定为报告分部；</w:t>
      </w:r>
    </w:p>
    <w:p>
      <w:pPr>
        <w:pStyle w:val="BodyText"/>
        <w:spacing w:line="352" w:lineRule="auto" w:before="145"/>
        <w:ind w:left="514" w:right="1116" w:hanging="360"/>
        <w:jc w:val="left"/>
      </w:pPr>
      <w:r>
        <w:rPr>
          <w:rFonts w:ascii="宋体" w:hAnsi="宋体" w:cs="宋体" w:eastAsia="宋体" w:hint="default"/>
        </w:rPr>
        <w:t>2.</w:t>
      </w:r>
      <w:r>
        <w:rPr>
          <w:rFonts w:ascii="宋体" w:hAnsi="宋体" w:cs="宋体" w:eastAsia="宋体" w:hint="default"/>
          <w:spacing w:val="33"/>
        </w:rPr>
        <w:t> </w:t>
      </w:r>
      <w:r>
        <w:rPr>
          <w:spacing w:val="-3"/>
        </w:rPr>
        <w:t>将该经营分部与一个或一个以上的具有相似经济特征、满足经营分部合并条件的其他经营</w:t>
      </w:r>
      <w:r>
        <w:rPr/>
        <w:t> 分部合并，作为一个报告分部。 分部间转移价格参照市场价格确定，与各分部共同使用的资产、相关的费用按照收入比</w:t>
      </w:r>
    </w:p>
    <w:p>
      <w:pPr>
        <w:spacing w:line="350" w:lineRule="auto" w:before="32"/>
        <w:ind w:left="255" w:right="2592" w:hanging="102"/>
        <w:jc w:val="left"/>
        <w:rPr>
          <w:rFonts w:ascii="宋体" w:hAnsi="宋体" w:cs="宋体" w:eastAsia="宋体" w:hint="default"/>
          <w:sz w:val="24"/>
          <w:szCs w:val="24"/>
        </w:rPr>
      </w:pPr>
      <w:r>
        <w:rPr>
          <w:rFonts w:ascii="宋体" w:hAnsi="宋体" w:cs="宋体" w:eastAsia="宋体" w:hint="default"/>
          <w:sz w:val="24"/>
          <w:szCs w:val="24"/>
        </w:rPr>
        <w:t>例在不同的分部之间分配 </w:t>
      </w:r>
      <w:r>
        <w:rPr>
          <w:rFonts w:ascii="宋体" w:hAnsi="宋体" w:cs="宋体" w:eastAsia="宋体" w:hint="default"/>
          <w:b/>
          <w:bCs/>
          <w:w w:val="95"/>
          <w:sz w:val="24"/>
          <w:szCs w:val="24"/>
        </w:rPr>
        <w:t>本公司确定报告分部考虑的因素、报告分部的产品和劳务的类型</w:t>
      </w:r>
      <w:r>
        <w:rPr>
          <w:rFonts w:ascii="宋体" w:hAnsi="宋体" w:cs="宋体" w:eastAsia="宋体" w:hint="default"/>
          <w:sz w:val="24"/>
          <w:szCs w:val="24"/>
        </w:rPr>
      </w:r>
    </w:p>
    <w:p>
      <w:pPr>
        <w:pStyle w:val="BodyText"/>
        <w:spacing w:line="350" w:lineRule="auto"/>
        <w:ind w:right="1171" w:firstLine="480"/>
        <w:jc w:val="both"/>
      </w:pPr>
      <w:r>
        <w:rPr/>
        <w:t>本公司报告分部生产经营活动及业务内容相同：为铁路信号通信产品的研发、生产、销 售、安装和维护等；但从内部组织结构、管理要求、内部报告制度及地理区域等方面分为如 下</w:t>
      </w:r>
      <w:r>
        <w:rPr>
          <w:rFonts w:ascii="宋体" w:hAnsi="宋体" w:cs="宋体" w:eastAsia="宋体" w:hint="default"/>
        </w:rPr>
        <w:t>3</w:t>
      </w:r>
      <w:r>
        <w:rPr/>
        <w:t>个分部：</w:t>
      </w:r>
    </w:p>
    <w:p>
      <w:pPr>
        <w:pStyle w:val="BodyText"/>
        <w:spacing w:line="350" w:lineRule="auto"/>
        <w:ind w:right="994" w:firstLine="480"/>
        <w:jc w:val="left"/>
      </w:pPr>
      <w:r>
        <w:rPr/>
        <w:t>郑州分部、北京分部、其他分部。郑州分部包括：股份本部、河南辉煌软件有限公司、 </w:t>
      </w:r>
      <w:r>
        <w:rPr>
          <w:spacing w:val="-2"/>
        </w:rPr>
        <w:t>河南辉煌信通软件有限公司、北京全路信通软件科技有限公司、河南辉煌城轨科技有限公司；</w:t>
      </w:r>
      <w:r>
        <w:rPr/>
        <w:t> 北京分部包括：北京国铁路阳技术有限公司、北京国铁路阳软件有限公司、天津辉煌路阳科 技有限公司、天津信通铁路电气技术有限公司、天津智信源科技有限公司；其他分部：成都 西南交大驱动技术有限责任公司、成都新一驱动科技有限责任公司。</w:t>
      </w:r>
    </w:p>
    <w:p>
      <w:pPr>
        <w:spacing w:after="0" w:line="35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ind w:right="0"/>
        <w:jc w:val="left"/>
        <w:rPr>
          <w:b w:val="0"/>
          <w:bCs w:val="0"/>
        </w:rPr>
      </w:pPr>
      <w:bookmarkStart w:name="（2） 报告分部的财务信息" w:id="444"/>
      <w:bookmarkEnd w:id="444"/>
      <w:r>
        <w:rPr>
          <w:b w:val="0"/>
          <w:bCs w:val="0"/>
        </w:rPr>
      </w:r>
      <w:r>
        <w:rPr/>
        <w:t>（</w:t>
      </w:r>
      <w:r>
        <w:rPr>
          <w:rFonts w:ascii="Times New Roman" w:hAnsi="Times New Roman" w:cs="Times New Roman" w:eastAsia="Times New Roman" w:hint="default"/>
        </w:rPr>
        <w:t>2</w:t>
      </w:r>
      <w:r>
        <w:rPr/>
        <w:t>）</w:t>
      </w:r>
      <w:r>
        <w:rPr>
          <w:spacing w:val="-12"/>
        </w:rPr>
        <w:t> </w:t>
      </w:r>
      <w:r>
        <w:rPr/>
        <w:t>报告分部的财务信息</w:t>
      </w:r>
      <w:r>
        <w:rPr>
          <w:b w:val="0"/>
          <w:bCs w:val="0"/>
        </w:rPr>
      </w:r>
    </w:p>
    <w:p>
      <w:pPr>
        <w:spacing w:line="240" w:lineRule="auto" w:before="2"/>
        <w:rPr>
          <w:rFonts w:ascii="宋体" w:hAnsi="宋体" w:cs="宋体" w:eastAsia="宋体" w:hint="default"/>
          <w:b/>
          <w:bCs/>
          <w:sz w:val="8"/>
          <w:szCs w:val="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5"/>
        <w:gridCol w:w="1571"/>
        <w:gridCol w:w="1418"/>
        <w:gridCol w:w="1417"/>
        <w:gridCol w:w="1450"/>
        <w:gridCol w:w="1594"/>
      </w:tblGrid>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25" w:right="0"/>
              <w:jc w:val="left"/>
              <w:rPr>
                <w:rFonts w:ascii="宋体" w:hAnsi="宋体" w:cs="宋体" w:eastAsia="宋体" w:hint="default"/>
                <w:sz w:val="18"/>
                <w:szCs w:val="18"/>
              </w:rPr>
            </w:pPr>
            <w:r>
              <w:rPr>
                <w:rFonts w:ascii="宋体" w:hAnsi="宋体" w:cs="宋体" w:eastAsia="宋体" w:hint="default"/>
                <w:sz w:val="18"/>
                <w:szCs w:val="18"/>
              </w:rPr>
              <w:t>郑州分部</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北京分部</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其他分部</w:t>
            </w:r>
          </w:p>
        </w:tc>
        <w:tc>
          <w:tcPr>
            <w:tcW w:w="14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6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  </w:t>
            </w:r>
            <w:r>
              <w:rPr>
                <w:rFonts w:ascii="宋体" w:hAnsi="宋体" w:cs="宋体" w:eastAsia="宋体" w:hint="default"/>
                <w:sz w:val="18"/>
                <w:szCs w:val="18"/>
              </w:rPr>
              <w:t>营业收入</w:t>
            </w:r>
          </w:p>
        </w:tc>
        <w:tc>
          <w:tcPr>
            <w:tcW w:w="157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396,853,774.75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93,693,041.82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40,765,194.99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-2,603,806.53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528,708,205.03</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57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394,406,002.70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93,537,007.34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40,765,194.99</w:t>
            </w: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528,708,205.03</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57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2,447,772.05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156,034.48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-2,603,806.53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  </w:t>
            </w:r>
            <w:r>
              <w:rPr>
                <w:rFonts w:ascii="宋体" w:hAnsi="宋体" w:cs="宋体" w:eastAsia="宋体" w:hint="default"/>
                <w:sz w:val="18"/>
                <w:szCs w:val="18"/>
              </w:rPr>
              <w:t>营业费用</w:t>
            </w:r>
          </w:p>
        </w:tc>
        <w:tc>
          <w:tcPr>
            <w:tcW w:w="157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380,815,039.81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102,125,456.78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27,012,434.22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-2,603,806.53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507,349,124.28</w:t>
            </w:r>
          </w:p>
        </w:tc>
      </w:tr>
      <w:tr>
        <w:trPr>
          <w:trHeight w:val="714"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8"/>
                <w:sz w:val="18"/>
                <w:szCs w:val="18"/>
              </w:rPr>
              <w:t>其中：对联营和合营企业的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投资收益</w:t>
            </w:r>
          </w:p>
        </w:tc>
        <w:tc>
          <w:tcPr>
            <w:tcW w:w="157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-8,100,836.71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-8,100,836.71</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7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71,296,042.45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-2,200,280.16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1,161,017.87</w:t>
            </w: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70,256,780.16</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折旧费和摊销费</w:t>
            </w:r>
          </w:p>
        </w:tc>
        <w:tc>
          <w:tcPr>
            <w:tcW w:w="157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13,045,111.89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2,949,758.41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296,954.62</w:t>
            </w: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16,291,824.92</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利润总额（亏损）</w:t>
            </w:r>
          </w:p>
        </w:tc>
        <w:tc>
          <w:tcPr>
            <w:tcW w:w="157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43,516,119.93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-8,255,147.77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15,278,861.95</w:t>
            </w: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50,539,834.11</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  </w:t>
            </w:r>
            <w:r>
              <w:rPr>
                <w:rFonts w:ascii="宋体" w:hAnsi="宋体" w:cs="宋体" w:eastAsia="宋体" w:hint="default"/>
                <w:sz w:val="18"/>
                <w:szCs w:val="18"/>
              </w:rPr>
              <w:t>所得税费用</w:t>
            </w:r>
          </w:p>
        </w:tc>
        <w:tc>
          <w:tcPr>
            <w:tcW w:w="157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13,220,009.36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1,303,780.49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1,561,576.12</w:t>
            </w: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16,085,365.97</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净利润（亏损）</w:t>
            </w:r>
          </w:p>
        </w:tc>
        <w:tc>
          <w:tcPr>
            <w:tcW w:w="157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30,296,110.57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-9,558,928.26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13,717,285.83</w:t>
            </w: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34,454,468.14</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  </w:t>
            </w:r>
            <w:r>
              <w:rPr>
                <w:rFonts w:ascii="宋体" w:hAnsi="宋体" w:cs="宋体" w:eastAsia="宋体" w:hint="default"/>
                <w:sz w:val="18"/>
                <w:szCs w:val="18"/>
              </w:rPr>
              <w:t>资产总额</w:t>
            </w:r>
          </w:p>
        </w:tc>
        <w:tc>
          <w:tcPr>
            <w:tcW w:w="157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1,978,835,397.88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328,284,106.87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77,001,260.94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-335,120,618.11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2,049,000,147.58</w:t>
            </w: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  </w:t>
            </w:r>
            <w:r>
              <w:rPr>
                <w:rFonts w:ascii="宋体" w:hAnsi="宋体" w:cs="宋体" w:eastAsia="宋体" w:hint="default"/>
                <w:sz w:val="18"/>
                <w:szCs w:val="18"/>
              </w:rPr>
              <w:t>负债总额</w:t>
            </w:r>
          </w:p>
        </w:tc>
        <w:tc>
          <w:tcPr>
            <w:tcW w:w="157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524,830,820.03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116,319,200.70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13,295,474.76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-64,893,729.06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589,551,766.43</w:t>
            </w:r>
          </w:p>
        </w:tc>
      </w:tr>
    </w:tbl>
    <w:p>
      <w:pPr>
        <w:pStyle w:val="Heading2"/>
        <w:spacing w:line="403" w:lineRule="auto" w:before="81"/>
        <w:ind w:left="634" w:right="1573" w:hanging="480"/>
        <w:jc w:val="left"/>
        <w:rPr>
          <w:rFonts w:ascii="宋体" w:hAnsi="宋体" w:cs="宋体" w:eastAsia="宋体" w:hint="default"/>
          <w:b w:val="0"/>
          <w:bCs w:val="0"/>
        </w:rPr>
      </w:pPr>
      <w:bookmarkStart w:name="（3）公司无报告分部的，或者不能披露各报告分部的资产总额和负债总额的，应说明原因" w:id="445"/>
      <w:bookmarkEnd w:id="445"/>
      <w:r>
        <w:rPr>
          <w:b w:val="0"/>
          <w:bCs w:val="0"/>
        </w:rPr>
      </w:r>
      <w:r>
        <w:rPr>
          <w:w w:val="95"/>
        </w:rPr>
        <w:t>（</w:t>
      </w:r>
      <w:r>
        <w:rPr>
          <w:rFonts w:ascii="Times New Roman" w:hAnsi="Times New Roman" w:cs="Times New Roman" w:eastAsia="Times New Roman" w:hint="default"/>
          <w:w w:val="95"/>
        </w:rPr>
        <w:t>3</w:t>
      </w:r>
      <w:r>
        <w:rPr>
          <w:w w:val="95"/>
        </w:rPr>
        <w:t>）公司无报告分部的，或者不能披露各报告分部的资产总额和负债总额的，应说明原因  </w:t>
      </w:r>
      <w:r>
        <w:rPr>
          <w:spacing w:val="95"/>
          <w:w w:val="95"/>
        </w:rPr>
        <w:t> </w:t>
      </w:r>
      <w:r>
        <w:rPr>
          <w:rFonts w:ascii="宋体" w:hAnsi="宋体" w:cs="宋体" w:eastAsia="宋体" w:hint="default"/>
          <w:b w:val="0"/>
          <w:bCs w:val="0"/>
        </w:rPr>
        <w:t>无</w:t>
      </w:r>
    </w:p>
    <w:p>
      <w:pPr>
        <w:pStyle w:val="Heading2"/>
        <w:spacing w:line="307" w:lineRule="exact" w:before="0"/>
        <w:ind w:right="0"/>
        <w:jc w:val="left"/>
        <w:rPr>
          <w:b w:val="0"/>
          <w:bCs w:val="0"/>
        </w:rPr>
      </w:pPr>
      <w:bookmarkStart w:name="（4）其他说明" w:id="446"/>
      <w:bookmarkEnd w:id="44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5"/>
        <w:rPr>
          <w:rFonts w:ascii="宋体" w:hAnsi="宋体" w:cs="宋体" w:eastAsia="宋体" w:hint="default"/>
          <w:b/>
          <w:bCs/>
          <w:sz w:val="17"/>
          <w:szCs w:val="17"/>
        </w:rPr>
      </w:pPr>
    </w:p>
    <w:p>
      <w:pPr>
        <w:pStyle w:val="BodyText"/>
        <w:spacing w:line="240" w:lineRule="auto" w:before="0"/>
        <w:ind w:left="634" w:right="0"/>
        <w:jc w:val="left"/>
      </w:pPr>
      <w:r>
        <w:rPr/>
        <w:t>无</w:t>
      </w:r>
    </w:p>
    <w:p>
      <w:pPr>
        <w:pStyle w:val="Heading2"/>
        <w:spacing w:line="333" w:lineRule="auto" w:before="145"/>
        <w:ind w:left="634" w:right="5952" w:hanging="480"/>
        <w:jc w:val="left"/>
        <w:rPr>
          <w:rFonts w:ascii="宋体" w:hAnsi="宋体" w:cs="宋体" w:eastAsia="宋体" w:hint="default"/>
          <w:b w:val="0"/>
          <w:bCs w:val="0"/>
        </w:rPr>
      </w:pPr>
      <w:bookmarkStart w:name="7、其他对投资者决策有影响的重要交易和事项" w:id="447"/>
      <w:bookmarkEnd w:id="447"/>
      <w:r>
        <w:rPr>
          <w:b w:val="0"/>
          <w:bCs w:val="0"/>
        </w:rPr>
      </w:r>
      <w:r>
        <w:rPr>
          <w:rFonts w:ascii="Times New Roman" w:hAnsi="Times New Roman" w:cs="Times New Roman" w:eastAsia="Times New Roman" w:hint="default"/>
          <w:w w:val="95"/>
        </w:rPr>
        <w:t>7</w:t>
      </w:r>
      <w:r>
        <w:rPr>
          <w:w w:val="95"/>
        </w:rPr>
        <w:t>、其他对投资者决策有影响的重要交易和事项</w:t>
      </w:r>
      <w:r>
        <w:rPr>
          <w:spacing w:val="113"/>
          <w:w w:val="95"/>
        </w:rPr>
        <w:t> </w:t>
      </w:r>
      <w:r>
        <w:rPr>
          <w:rFonts w:ascii="宋体" w:hAnsi="宋体" w:cs="宋体" w:eastAsia="宋体" w:hint="default"/>
          <w:b w:val="0"/>
          <w:bCs w:val="0"/>
        </w:rPr>
        <w:t>无</w:t>
      </w:r>
    </w:p>
    <w:p>
      <w:pPr>
        <w:pStyle w:val="Heading2"/>
        <w:spacing w:line="240" w:lineRule="auto" w:before="52"/>
        <w:ind w:right="0"/>
        <w:jc w:val="left"/>
        <w:rPr>
          <w:b w:val="0"/>
          <w:bCs w:val="0"/>
        </w:rPr>
      </w:pPr>
      <w:bookmarkStart w:name="8、其他" w:id="448"/>
      <w:bookmarkEnd w:id="448"/>
      <w:r>
        <w:rPr>
          <w:b w:val="0"/>
          <w:bCs w:val="0"/>
        </w:rPr>
      </w:r>
      <w:r>
        <w:rPr>
          <w:rFonts w:ascii="Times New Roman" w:hAnsi="Times New Roman" w:cs="Times New Roman" w:eastAsia="Times New Roman" w:hint="default"/>
        </w:rPr>
        <w:t>8</w:t>
      </w:r>
      <w:r>
        <w:rPr/>
        <w:t>、其他</w:t>
      </w:r>
      <w:r>
        <w:rPr>
          <w:b w:val="0"/>
          <w:bCs w:val="0"/>
        </w:rPr>
      </w:r>
    </w:p>
    <w:p>
      <w:pPr>
        <w:pStyle w:val="Heading2"/>
        <w:spacing w:line="487" w:lineRule="auto" w:before="127"/>
        <w:ind w:right="6672" w:firstLine="480"/>
        <w:jc w:val="left"/>
        <w:rPr>
          <w:b w:val="0"/>
          <w:bCs w:val="0"/>
        </w:rPr>
      </w:pPr>
      <w:r>
        <w:rPr>
          <w:rFonts w:ascii="宋体" w:hAnsi="宋体" w:cs="宋体" w:eastAsia="宋体" w:hint="default"/>
          <w:b w:val="0"/>
          <w:bCs w:val="0"/>
        </w:rPr>
        <w:t>无 </w:t>
      </w:r>
      <w:bookmarkStart w:name="十七、母公司财务报表主要项目注释" w:id="449"/>
      <w:bookmarkEnd w:id="449"/>
      <w:r>
        <w:rPr>
          <w:rFonts w:ascii="宋体" w:hAnsi="宋体" w:cs="宋体" w:eastAsia="宋体" w:hint="default"/>
          <w:b w:val="0"/>
          <w:bCs w:val="0"/>
        </w:rPr>
      </w:r>
      <w:r>
        <w:rPr>
          <w:w w:val="95"/>
        </w:rPr>
        <w:t>十七、母公司财务报表主要项目注释</w:t>
      </w:r>
      <w:r>
        <w:rPr>
          <w:b w:val="0"/>
          <w:bCs w:val="0"/>
        </w:rPr>
      </w:r>
    </w:p>
    <w:p>
      <w:pPr>
        <w:spacing w:line="240" w:lineRule="auto" w:before="7"/>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747" w:footer="979" w:top="1060" w:bottom="1160" w:left="980" w:right="0"/>
        </w:sectPr>
      </w:pPr>
    </w:p>
    <w:p>
      <w:pPr>
        <w:pStyle w:val="Heading2"/>
        <w:spacing w:line="240" w:lineRule="auto"/>
        <w:ind w:right="0"/>
        <w:jc w:val="left"/>
        <w:rPr>
          <w:b w:val="0"/>
          <w:bCs w:val="0"/>
        </w:rPr>
      </w:pPr>
      <w:bookmarkStart w:name="1、应收票据及应收账款" w:id="450"/>
      <w:bookmarkEnd w:id="450"/>
      <w:r>
        <w:rPr>
          <w:b w:val="0"/>
          <w:bCs w:val="0"/>
        </w:rPr>
      </w:r>
      <w:r>
        <w:rPr>
          <w:rFonts w:ascii="Times New Roman" w:hAnsi="Times New Roman" w:cs="Times New Roman" w:eastAsia="Times New Roman" w:hint="default"/>
          <w:w w:val="95"/>
        </w:rPr>
        <w:t>1</w:t>
      </w:r>
      <w:r>
        <w:rPr>
          <w:w w:val="95"/>
        </w:rPr>
        <w:t>、应收票据及应收账款</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681" w:space="6148"/>
            <w:col w:w="210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46,014,139.00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22,560,287.07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378,915,350.66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419,929,976.57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424,929,489.66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442,490,263.64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ind w:right="0"/>
        <w:jc w:val="left"/>
        <w:rPr>
          <w:b w:val="0"/>
          <w:bCs w:val="0"/>
        </w:rPr>
      </w:pPr>
      <w:bookmarkStart w:name="（1）应收票据" w:id="451"/>
      <w:bookmarkEnd w:id="451"/>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5"/>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747" w:footer="979" w:top="1060" w:bottom="1160" w:left="980" w:right="0"/>
        </w:sectPr>
      </w:pPr>
    </w:p>
    <w:p>
      <w:pPr>
        <w:pStyle w:val="BodyText"/>
        <w:spacing w:line="240" w:lineRule="auto" w:before="26"/>
        <w:ind w:right="-20"/>
        <w:jc w:val="left"/>
      </w:pPr>
      <w:r>
        <w:rPr>
          <w:rFonts w:ascii="Times New Roman" w:hAnsi="Times New Roman" w:cs="Times New Roman" w:eastAsia="Times New Roman" w:hint="default"/>
        </w:rPr>
        <w:t>1)</w:t>
      </w:r>
      <w:r>
        <w:rPr/>
        <w:t>应收票据分类列示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275" w:space="65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10,484,640.00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11,385,365.47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35,529,499.00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11,174,921.60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46,014,139.00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22,560,287.07</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333" w:lineRule="auto" w:before="26"/>
        <w:ind w:left="634" w:right="3580" w:hanging="480"/>
        <w:jc w:val="left"/>
      </w:pPr>
      <w:r>
        <w:rPr>
          <w:rFonts w:ascii="Times New Roman" w:hAnsi="Times New Roman" w:cs="Times New Roman" w:eastAsia="Times New Roman" w:hint="default"/>
        </w:rPr>
        <w:t>2)</w:t>
      </w:r>
      <w:r>
        <w:rPr/>
        <w:t>期末公司已质押的应收票据</w:t>
      </w:r>
      <w:r>
        <w:rPr>
          <w:w w:val="99"/>
        </w:rPr>
        <w:t> </w:t>
      </w:r>
      <w:r>
        <w:rPr/>
        <w:t>无</w:t>
      </w:r>
    </w:p>
    <w:p>
      <w:pPr>
        <w:pStyle w:val="BodyText"/>
        <w:spacing w:line="240" w:lineRule="auto" w:before="52"/>
        <w:ind w:right="-20"/>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835" w:space="199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6,248,020.00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3,731,821.00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9,979,841.00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333" w:lineRule="auto" w:before="26"/>
        <w:ind w:left="634" w:right="4272" w:hanging="480"/>
        <w:jc w:val="left"/>
      </w:pPr>
      <w:r>
        <w:rPr>
          <w:rFonts w:ascii="Times New Roman" w:hAnsi="Times New Roman" w:cs="Times New Roman" w:eastAsia="Times New Roman" w:hint="default"/>
        </w:rPr>
        <w:t>4)</w:t>
      </w:r>
      <w:r>
        <w:rPr/>
        <w:t>期末公司因出票人未履约而将其转应收账款的票据</w:t>
      </w:r>
      <w:r>
        <w:rPr>
          <w:w w:val="99"/>
        </w:rPr>
        <w:t> </w:t>
      </w:r>
      <w:r>
        <w:rPr/>
        <w:t>期末公司不存在因出票人未履约而将其转应收账款的票据</w:t>
      </w:r>
    </w:p>
    <w:p>
      <w:pPr>
        <w:pStyle w:val="Heading2"/>
        <w:spacing w:line="240" w:lineRule="auto" w:before="44"/>
        <w:ind w:right="0"/>
        <w:jc w:val="left"/>
        <w:rPr>
          <w:b w:val="0"/>
          <w:bCs w:val="0"/>
        </w:rPr>
      </w:pPr>
      <w:bookmarkStart w:name="（2）应收账款" w:id="452"/>
      <w:bookmarkEnd w:id="452"/>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5"/>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type w:val="continuous"/>
          <w:pgSz w:w="11910" w:h="16840"/>
          <w:pgMar w:top="1060" w:bottom="1160" w:left="980" w:right="0"/>
        </w:sectPr>
      </w:pPr>
    </w:p>
    <w:p>
      <w:pPr>
        <w:pStyle w:val="BodyText"/>
        <w:spacing w:line="240" w:lineRule="auto" w:before="26"/>
        <w:ind w:right="-20"/>
        <w:jc w:val="left"/>
      </w:pPr>
      <w:r>
        <w:rPr>
          <w:rFonts w:ascii="Times New Roman" w:hAnsi="Times New Roman" w:cs="Times New Roman" w:eastAsia="Times New Roman" w:hint="default"/>
        </w:rPr>
        <w:t>1)</w:t>
      </w:r>
      <w:r>
        <w:rPr/>
        <w:t>应收账款分类披露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275" w:space="65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472,432,</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162.66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93,516,8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12.00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19.79%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378,915,3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50.66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503,836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,667.46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83,906,69</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0.89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419,929,97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6.57</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472,432,</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162.66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93,516,8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12.00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19.79%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378,915,3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50.66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503,836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,667.46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83,906,69</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0.89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16.65%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419,929,97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6.57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240" w:lineRule="auto" w:before="26"/>
        <w:ind w:left="634" w:right="0"/>
        <w:jc w:val="left"/>
      </w:pPr>
      <w:r>
        <w:rPr/>
        <w:t>期末单项金额重大并单项计提坏账准备的应收账款：</w:t>
      </w:r>
    </w:p>
    <w:p>
      <w:pPr>
        <w:pStyle w:val="BodyText"/>
        <w:spacing w:line="350" w:lineRule="auto" w:before="147"/>
        <w:ind w:left="634" w:right="4992"/>
        <w:jc w:val="left"/>
      </w:pPr>
      <w:r>
        <w:rPr/>
        <w:t>□ 适用 √ 不适用 组合中，按账龄分析法计提坏账准备的应收账款：</w:t>
      </w:r>
    </w:p>
    <w:p>
      <w:pPr>
        <w:pStyle w:val="BodyText"/>
        <w:spacing w:line="240" w:lineRule="auto" w:before="35"/>
        <w:ind w:left="634" w:right="0"/>
        <w:jc w:val="left"/>
      </w:pPr>
      <w:r>
        <w:rPr/>
        <w:t>√ 适用 □ 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2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244,323,582.51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12,216,179.13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244,323,582.51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12,216,179.13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107,029,510.67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10,702,951.07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57,397,546.25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17,219,263.88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63,681,523.23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53,378,417.92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18,532,775.41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2"/>
                <w:sz w:val="21"/>
              </w:rPr>
              <w:t>11,119,665.25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14,449,975.74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11,559,980.59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80.00%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30,698,772.08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30,698,772.08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472,432,162.66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93,516,812.00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350" w:lineRule="auto" w:before="26"/>
        <w:ind w:left="634" w:right="4512"/>
        <w:jc w:val="left"/>
      </w:pPr>
      <w:r>
        <w:rPr/>
        <w:t>确定该组合依据的说明：无 组合中，采用余额百分比法计提坏账准备的应收账款：</w:t>
      </w:r>
    </w:p>
    <w:p>
      <w:pPr>
        <w:pStyle w:val="BodyText"/>
        <w:spacing w:line="352" w:lineRule="auto" w:before="35"/>
        <w:ind w:left="634" w:right="4752"/>
        <w:jc w:val="left"/>
      </w:pPr>
      <w:r>
        <w:rPr/>
        <w:t>□ 适用 √ 不适用 组合中，采用其他方法计提坏账准备的应收账款：无</w:t>
      </w:r>
    </w:p>
    <w:p>
      <w:pPr>
        <w:pStyle w:val="BodyText"/>
        <w:spacing w:line="343" w:lineRule="auto" w:before="33"/>
        <w:ind w:left="634" w:right="1872" w:hanging="480"/>
        <w:jc w:val="left"/>
      </w:pPr>
      <w:r>
        <w:rPr>
          <w:rFonts w:ascii="Times New Roman" w:hAnsi="Times New Roman" w:cs="Times New Roman" w:eastAsia="Times New Roman" w:hint="default"/>
        </w:rPr>
        <w:t>2)</w:t>
      </w:r>
      <w:r>
        <w:rPr/>
        <w:t>本期计提、收回或转回的坏账准备情况</w:t>
      </w:r>
      <w:r>
        <w:rPr>
          <w:w w:val="99"/>
        </w:rPr>
        <w:t> </w:t>
      </w:r>
      <w:r>
        <w:rPr/>
        <w:t>本期计提坏账准备金额</w:t>
      </w:r>
      <w:r>
        <w:rPr>
          <w:rFonts w:ascii="宋体" w:hAnsi="宋体" w:cs="宋体" w:eastAsia="宋体" w:hint="default"/>
        </w:rPr>
        <w:t>9,610,121.11</w:t>
      </w:r>
      <w:r>
        <w:rPr/>
        <w:t>元；本期收回或转回坏账准备金额</w:t>
      </w:r>
      <w:r>
        <w:rPr>
          <w:rFonts w:ascii="宋体" w:hAnsi="宋体" w:cs="宋体" w:eastAsia="宋体" w:hint="default"/>
        </w:rPr>
        <w:t>0.00</w:t>
      </w:r>
      <w:r>
        <w:rPr/>
        <w:t>元。</w:t>
      </w:r>
      <w:r>
        <w:rPr>
          <w:w w:val="99"/>
        </w:rPr>
        <w:t> </w:t>
      </w:r>
      <w:r>
        <w:rPr/>
        <w:t>其中本期坏账准备收回或转回金额重要的：无</w:t>
      </w:r>
    </w:p>
    <w:p>
      <w:pPr>
        <w:pStyle w:val="BodyText"/>
        <w:spacing w:line="331" w:lineRule="auto" w:before="42"/>
        <w:ind w:left="634" w:right="4752" w:hanging="480"/>
        <w:jc w:val="left"/>
      </w:pPr>
      <w:r>
        <w:rPr>
          <w:rFonts w:ascii="Times New Roman" w:hAnsi="Times New Roman" w:cs="Times New Roman" w:eastAsia="Times New Roman" w:hint="default"/>
        </w:rPr>
        <w:t>3)</w:t>
      </w:r>
      <w:r>
        <w:rPr/>
        <w:t>本期实际核销的应收账款情况</w:t>
      </w:r>
      <w:r>
        <w:rPr>
          <w:w w:val="99"/>
        </w:rPr>
        <w:t> </w:t>
      </w:r>
      <w:r>
        <w:rPr/>
        <w:t>应收账款核销说明：本报告期无实际核销的应收账款</w:t>
      </w:r>
    </w:p>
    <w:p>
      <w:pPr>
        <w:pStyle w:val="BodyText"/>
        <w:spacing w:line="240" w:lineRule="auto" w:before="55"/>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
        <w:rPr>
          <w:rFonts w:ascii="宋体" w:hAnsi="宋体" w:cs="宋体" w:eastAsia="宋体" w:hint="default"/>
          <w:sz w:val="3"/>
          <w:szCs w:val="3"/>
        </w:rPr>
      </w:pPr>
    </w:p>
    <w:tbl>
      <w:tblPr>
        <w:tblW w:w="0" w:type="auto"/>
        <w:jc w:val="left"/>
        <w:tblInd w:w="186" w:type="dxa"/>
        <w:tblLayout w:type="fixed"/>
        <w:tblCellMar>
          <w:top w:w="0" w:type="dxa"/>
          <w:left w:w="0" w:type="dxa"/>
          <w:bottom w:w="0" w:type="dxa"/>
          <w:right w:w="0" w:type="dxa"/>
        </w:tblCellMar>
        <w:tblLook w:val="01E0"/>
      </w:tblPr>
      <w:tblGrid>
        <w:gridCol w:w="4255"/>
        <w:gridCol w:w="1694"/>
        <w:gridCol w:w="1781"/>
        <w:gridCol w:w="1834"/>
      </w:tblGrid>
      <w:tr>
        <w:trPr>
          <w:trHeight w:val="653" w:hRule="exact"/>
        </w:trPr>
        <w:tc>
          <w:tcPr>
            <w:tcW w:w="42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308" w:right="43" w:hanging="26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占应收账款期末余 额的比例</w:t>
            </w:r>
            <w:r>
              <w:rPr>
                <w:rFonts w:ascii="Times New Roman" w:hAnsi="Times New Roman" w:cs="Times New Roman" w:eastAsia="Times New Roman" w:hint="default"/>
                <w:sz w:val="21"/>
                <w:szCs w:val="21"/>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left="176" w:right="0"/>
              <w:jc w:val="left"/>
              <w:rPr>
                <w:rFonts w:ascii="宋体" w:hAnsi="宋体" w:cs="宋体" w:eastAsia="宋体" w:hint="default"/>
                <w:sz w:val="21"/>
                <w:szCs w:val="21"/>
              </w:rPr>
            </w:pPr>
            <w:r>
              <w:rPr>
                <w:rFonts w:ascii="宋体" w:hAnsi="宋体" w:cs="宋体" w:eastAsia="宋体" w:hint="default"/>
                <w:sz w:val="21"/>
                <w:szCs w:val="21"/>
              </w:rPr>
              <w:t>已计提坏账准备</w:t>
            </w:r>
          </w:p>
        </w:tc>
      </w:tr>
      <w:tr>
        <w:trPr>
          <w:trHeight w:val="34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中国铁建电气化局集团有限公司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2" w:right="0"/>
              <w:jc w:val="left"/>
              <w:rPr>
                <w:rFonts w:ascii="Times New Roman" w:hAnsi="Times New Roman" w:cs="Times New Roman" w:eastAsia="Times New Roman" w:hint="default"/>
                <w:sz w:val="21"/>
                <w:szCs w:val="21"/>
              </w:rPr>
            </w:pPr>
            <w:r>
              <w:rPr>
                <w:rFonts w:ascii="Times New Roman"/>
                <w:sz w:val="21"/>
              </w:rPr>
              <w:t>25,495,198.28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5.39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1,348,177.31</w:t>
            </w:r>
          </w:p>
        </w:tc>
      </w:tr>
      <w:tr>
        <w:trPr>
          <w:trHeight w:val="34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广州铁路物资有限公司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2" w:right="0"/>
              <w:jc w:val="left"/>
              <w:rPr>
                <w:rFonts w:ascii="Times New Roman" w:hAnsi="Times New Roman" w:cs="Times New Roman" w:eastAsia="Times New Roman" w:hint="default"/>
                <w:sz w:val="21"/>
                <w:szCs w:val="21"/>
              </w:rPr>
            </w:pPr>
            <w:r>
              <w:rPr>
                <w:rFonts w:ascii="Times New Roman"/>
                <w:sz w:val="21"/>
              </w:rPr>
              <w:t>17,932,088.83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3.79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2,090,804.01</w:t>
            </w:r>
          </w:p>
        </w:tc>
      </w:tr>
      <w:tr>
        <w:trPr>
          <w:trHeight w:val="34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上海铁路电务实业有限公司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2" w:right="0"/>
              <w:jc w:val="left"/>
              <w:rPr>
                <w:rFonts w:ascii="Times New Roman" w:hAnsi="Times New Roman" w:cs="Times New Roman" w:eastAsia="Times New Roman" w:hint="default"/>
                <w:sz w:val="21"/>
                <w:szCs w:val="21"/>
              </w:rPr>
            </w:pPr>
            <w:r>
              <w:rPr>
                <w:rFonts w:ascii="Times New Roman"/>
                <w:sz w:val="21"/>
              </w:rPr>
              <w:t>14,698,254.99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3.11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1,196,518.30</w:t>
            </w:r>
          </w:p>
        </w:tc>
      </w:tr>
      <w:tr>
        <w:trPr>
          <w:trHeight w:val="34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北京全路通信信号研究设计院集团有限公司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2" w:right="0"/>
              <w:jc w:val="left"/>
              <w:rPr>
                <w:rFonts w:ascii="Times New Roman" w:hAnsi="Times New Roman" w:cs="Times New Roman" w:eastAsia="Times New Roman" w:hint="default"/>
                <w:sz w:val="21"/>
                <w:szCs w:val="21"/>
              </w:rPr>
            </w:pPr>
            <w:r>
              <w:rPr>
                <w:rFonts w:ascii="Times New Roman"/>
                <w:sz w:val="21"/>
              </w:rPr>
              <w:t>14,055,918.15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2.97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2,918,786.50</w:t>
            </w:r>
          </w:p>
        </w:tc>
      </w:tr>
      <w:tr>
        <w:trPr>
          <w:trHeight w:val="34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中国铁建电气化局集团第二工程有限公司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2" w:right="0"/>
              <w:jc w:val="left"/>
              <w:rPr>
                <w:rFonts w:ascii="Times New Roman" w:hAnsi="Times New Roman" w:cs="Times New Roman" w:eastAsia="Times New Roman" w:hint="default"/>
                <w:sz w:val="21"/>
                <w:szCs w:val="21"/>
              </w:rPr>
            </w:pPr>
            <w:r>
              <w:rPr>
                <w:rFonts w:ascii="Times New Roman"/>
                <w:sz w:val="21"/>
              </w:rPr>
              <w:t>13,307,736.35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2.82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665,386.82</w:t>
            </w:r>
          </w:p>
        </w:tc>
      </w:tr>
      <w:tr>
        <w:trPr>
          <w:trHeight w:val="34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2" w:right="0"/>
              <w:jc w:val="left"/>
              <w:rPr>
                <w:rFonts w:ascii="Times New Roman" w:hAnsi="Times New Roman" w:cs="Times New Roman" w:eastAsia="Times New Roman" w:hint="default"/>
                <w:sz w:val="21"/>
                <w:szCs w:val="21"/>
              </w:rPr>
            </w:pPr>
            <w:r>
              <w:rPr>
                <w:rFonts w:ascii="Times New Roman"/>
                <w:sz w:val="21"/>
              </w:rPr>
              <w:t>85,489,196.60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18.08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8,219,672.94</w:t>
            </w:r>
          </w:p>
        </w:tc>
      </w:tr>
    </w:tbl>
    <w:p>
      <w:pPr>
        <w:spacing w:line="240" w:lineRule="auto" w:before="10"/>
        <w:rPr>
          <w:rFonts w:ascii="宋体" w:hAnsi="宋体" w:cs="宋体" w:eastAsia="宋体" w:hint="default"/>
          <w:sz w:val="4"/>
          <w:szCs w:val="4"/>
        </w:rPr>
      </w:pPr>
    </w:p>
    <w:p>
      <w:pPr>
        <w:pStyle w:val="BodyText"/>
        <w:spacing w:line="333" w:lineRule="auto" w:before="26"/>
        <w:ind w:left="634" w:right="5232" w:hanging="480"/>
        <w:jc w:val="left"/>
      </w:pPr>
      <w:r>
        <w:rPr>
          <w:rFonts w:ascii="Times New Roman" w:hAnsi="Times New Roman" w:cs="Times New Roman" w:eastAsia="Times New Roman" w:hint="default"/>
        </w:rPr>
        <w:t>5)</w:t>
      </w:r>
      <w:r>
        <w:rPr/>
        <w:t>因金融资产转移而终止确认的应收账款</w:t>
      </w:r>
      <w:r>
        <w:rPr>
          <w:w w:val="99"/>
        </w:rPr>
        <w:t> </w:t>
      </w:r>
      <w:r>
        <w:rPr/>
        <w:t>本期无因金融资产转移而终止确认的应收款项。</w:t>
      </w:r>
    </w:p>
    <w:p>
      <w:pPr>
        <w:pStyle w:val="BodyText"/>
        <w:spacing w:line="240" w:lineRule="auto" w:before="52"/>
        <w:ind w:right="0"/>
        <w:jc w:val="left"/>
      </w:pPr>
      <w:r>
        <w:rPr>
          <w:rFonts w:ascii="Times New Roman" w:hAnsi="Times New Roman" w:cs="Times New Roman" w:eastAsia="Times New Roman" w:hint="default"/>
        </w:rPr>
        <w:t>6)</w:t>
      </w:r>
      <w:r>
        <w:rPr/>
        <w:t>转移应收账款且继续涉入形成的资产、负债金额</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4" w:right="1392"/>
        <w:jc w:val="left"/>
      </w:pPr>
      <w:r>
        <w:rPr/>
        <w:t>本期无转移应收款项且继续涉入而形成的资产、负债的金额。 其他说明：期末应收账款中无持本公司</w:t>
      </w:r>
      <w:r>
        <w:rPr>
          <w:rFonts w:ascii="宋体" w:hAnsi="宋体" w:cs="宋体" w:eastAsia="宋体" w:hint="default"/>
        </w:rPr>
        <w:t>5%</w:t>
      </w:r>
      <w:r>
        <w:rPr/>
        <w:t>以上（含</w:t>
      </w:r>
      <w:r>
        <w:rPr>
          <w:rFonts w:ascii="宋体" w:hAnsi="宋体" w:cs="宋体" w:eastAsia="宋体" w:hint="default"/>
        </w:rPr>
        <w:t>5%</w:t>
      </w:r>
      <w:r>
        <w:rPr/>
        <w:t>）表决权股份的股东单位欠款。</w:t>
      </w:r>
    </w:p>
    <w:p>
      <w:pPr>
        <w:pStyle w:val="Heading2"/>
        <w:spacing w:line="240" w:lineRule="auto" w:before="36"/>
        <w:ind w:right="0"/>
        <w:jc w:val="left"/>
        <w:rPr>
          <w:b w:val="0"/>
          <w:bCs w:val="0"/>
        </w:rPr>
      </w:pPr>
      <w:bookmarkStart w:name="2、其他应收款" w:id="453"/>
      <w:bookmarkEnd w:id="453"/>
      <w:r>
        <w:rPr>
          <w:b w:val="0"/>
          <w:bCs w:val="0"/>
        </w:rPr>
      </w:r>
      <w:r>
        <w:rPr>
          <w:rFonts w:ascii="Times New Roman" w:hAnsi="Times New Roman" w:cs="Times New Roman" w:eastAsia="Times New Roman" w:hint="default"/>
        </w:rPr>
        <w:t>2</w:t>
      </w:r>
      <w:r>
        <w:rPr/>
        <w:t>、其他应收款</w:t>
      </w:r>
      <w:r>
        <w:rPr>
          <w:b w:val="0"/>
          <w:bCs w:val="0"/>
        </w:rPr>
      </w:r>
    </w:p>
    <w:p>
      <w:pPr>
        <w:spacing w:before="9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7,704,791.66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5,329,791.66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255,000.00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69,413,094.24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68,945,318.54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77,372,885.90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74,275,110.20</w:t>
            </w:r>
          </w:p>
        </w:tc>
      </w:tr>
    </w:tbl>
    <w:p>
      <w:pPr>
        <w:pStyle w:val="Heading2"/>
        <w:spacing w:line="240" w:lineRule="auto" w:before="81"/>
        <w:ind w:right="0"/>
        <w:jc w:val="left"/>
        <w:rPr>
          <w:b w:val="0"/>
          <w:bCs w:val="0"/>
        </w:rPr>
      </w:pPr>
      <w:bookmarkStart w:name="（1）应收利息" w:id="454"/>
      <w:bookmarkEnd w:id="45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747" w:footer="979" w:top="1060" w:bottom="1160" w:left="980" w:right="0"/>
        </w:sectPr>
      </w:pPr>
    </w:p>
    <w:p>
      <w:pPr>
        <w:pStyle w:val="BodyText"/>
        <w:spacing w:line="240" w:lineRule="auto" w:before="26"/>
        <w:ind w:right="-20"/>
        <w:jc w:val="left"/>
      </w:pPr>
      <w:r>
        <w:rPr>
          <w:rFonts w:ascii="Times New Roman" w:hAnsi="Times New Roman" w:cs="Times New Roman" w:eastAsia="Times New Roman" w:hint="default"/>
        </w:rPr>
        <w:t>1)</w:t>
      </w:r>
      <w:r>
        <w:rPr/>
        <w:t>应收利息分类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795" w:space="70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资金拆借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7,704,791.66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5,329,791.66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7,704,791.66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5,329,791.66</w:t>
            </w:r>
          </w:p>
        </w:tc>
      </w:tr>
    </w:tbl>
    <w:p>
      <w:pPr>
        <w:spacing w:line="240" w:lineRule="auto" w:before="10"/>
        <w:rPr>
          <w:rFonts w:ascii="宋体" w:hAnsi="宋体" w:cs="宋体" w:eastAsia="宋体" w:hint="default"/>
          <w:sz w:val="4"/>
          <w:szCs w:val="4"/>
        </w:rPr>
      </w:pPr>
    </w:p>
    <w:p>
      <w:pPr>
        <w:pStyle w:val="BodyText"/>
        <w:spacing w:line="333" w:lineRule="auto" w:before="26"/>
        <w:ind w:left="634" w:right="7632" w:hanging="480"/>
        <w:jc w:val="left"/>
      </w:pPr>
      <w:r>
        <w:rPr>
          <w:rFonts w:ascii="Times New Roman" w:hAnsi="Times New Roman" w:cs="Times New Roman" w:eastAsia="Times New Roman" w:hint="default"/>
        </w:rPr>
        <w:t>2)</w:t>
      </w:r>
      <w:r>
        <w:rPr/>
        <w:t>重要逾期利息</w:t>
      </w:r>
      <w:r>
        <w:rPr>
          <w:w w:val="99"/>
        </w:rPr>
        <w:t> </w:t>
      </w:r>
      <w:r>
        <w:rPr/>
        <w:t>本年度无重要逾期利息。</w:t>
      </w:r>
    </w:p>
    <w:p>
      <w:pPr>
        <w:pStyle w:val="Heading2"/>
        <w:spacing w:line="240" w:lineRule="auto" w:before="44"/>
        <w:ind w:right="0"/>
        <w:jc w:val="left"/>
        <w:rPr>
          <w:b w:val="0"/>
          <w:bCs w:val="0"/>
        </w:rPr>
      </w:pPr>
      <w:bookmarkStart w:name="（2）应收股利" w:id="455"/>
      <w:bookmarkEnd w:id="45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5"/>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type w:val="continuous"/>
          <w:pgSz w:w="11910" w:h="16840"/>
          <w:pgMar w:top="1060" w:bottom="1160" w:left="980" w:right="0"/>
        </w:sectPr>
      </w:pPr>
    </w:p>
    <w:p>
      <w:pPr>
        <w:pStyle w:val="BodyText"/>
        <w:spacing w:line="240" w:lineRule="auto" w:before="26"/>
        <w:ind w:right="-20"/>
        <w:jc w:val="left"/>
      </w:pPr>
      <w:r>
        <w:rPr>
          <w:rFonts w:ascii="Times New Roman" w:hAnsi="Times New Roman" w:cs="Times New Roman" w:eastAsia="Times New Roman" w:hint="default"/>
        </w:rPr>
        <w:t>1)</w:t>
      </w:r>
      <w:r>
        <w:rPr/>
        <w:t>应收股利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315" w:space="75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3120"/>
        <w:gridCol w:w="2906"/>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或被投资单位</w:t>
            </w:r>
            <w:r>
              <w:rPr>
                <w:rFonts w:ascii="Times New Roman" w:hAnsi="Times New Roman" w:cs="Times New Roman" w:eastAsia="Times New Roman" w:hint="default"/>
                <w:sz w:val="21"/>
                <w:szCs w:val="21"/>
              </w:rPr>
              <w:t>)</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成都西南交大驱动技术有限责任公司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255,000.00</w:t>
            </w:r>
          </w:p>
        </w:tc>
        <w:tc>
          <w:tcPr>
            <w:tcW w:w="29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255,000.00</w:t>
            </w:r>
          </w:p>
        </w:tc>
        <w:tc>
          <w:tcPr>
            <w:tcW w:w="29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333" w:lineRule="auto" w:before="26"/>
        <w:ind w:left="634" w:right="7192" w:hanging="480"/>
        <w:jc w:val="left"/>
      </w:pPr>
      <w:r>
        <w:rPr>
          <w:rFonts w:ascii="Times New Roman" w:hAnsi="Times New Roman" w:cs="Times New Roman" w:eastAsia="Times New Roman" w:hint="default"/>
        </w:rPr>
        <w:t>2)</w:t>
      </w:r>
      <w:r>
        <w:rPr/>
        <w:t>重要的账龄超过</w:t>
      </w:r>
      <w:r>
        <w:rPr>
          <w:spacing w:val="-60"/>
        </w:rPr>
        <w:t> </w:t>
      </w:r>
      <w:r>
        <w:rPr>
          <w:rFonts w:ascii="Times New Roman" w:hAnsi="Times New Roman" w:cs="Times New Roman" w:eastAsia="Times New Roman" w:hint="default"/>
        </w:rPr>
        <w:t>1 </w:t>
      </w:r>
      <w:r>
        <w:rPr/>
        <w:t>年的应收股利</w:t>
      </w:r>
      <w:r>
        <w:rPr>
          <w:w w:val="99"/>
        </w:rPr>
        <w:t> </w:t>
      </w:r>
      <w:r>
        <w:rPr/>
        <w:t>无</w:t>
      </w:r>
    </w:p>
    <w:p>
      <w:pPr>
        <w:pStyle w:val="Heading2"/>
        <w:spacing w:line="240" w:lineRule="auto" w:before="44"/>
        <w:ind w:right="0"/>
        <w:jc w:val="left"/>
        <w:rPr>
          <w:b w:val="0"/>
          <w:bCs w:val="0"/>
        </w:rPr>
      </w:pPr>
      <w:bookmarkStart w:name="（3）其他应收款" w:id="456"/>
      <w:bookmarkEnd w:id="45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5"/>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type w:val="continuous"/>
          <w:pgSz w:w="11910" w:h="16840"/>
          <w:pgMar w:top="1060" w:bottom="1160" w:left="980" w:right="0"/>
        </w:sectPr>
      </w:pPr>
    </w:p>
    <w:p>
      <w:pPr>
        <w:pStyle w:val="BodyText"/>
        <w:spacing w:line="240" w:lineRule="auto" w:before="26"/>
        <w:ind w:right="-20"/>
        <w:jc w:val="left"/>
      </w:pPr>
      <w:r>
        <w:rPr>
          <w:rFonts w:ascii="Times New Roman" w:hAnsi="Times New Roman" w:cs="Times New Roman" w:eastAsia="Times New Roman" w:hint="default"/>
        </w:rPr>
        <w:t>1)</w:t>
      </w:r>
      <w:r>
        <w:rPr/>
        <w:t>其他应收款分类披露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15" w:space="63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70,527,8</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58.06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1,114,76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69,413,09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69,514,</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590.94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569,272.4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68,945,318.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70,527,8</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58.06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1,114,76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69,413,09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69,514,</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590.94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569,272.4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68,945,318.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BodyText"/>
        <w:spacing w:line="240" w:lineRule="auto" w:before="26"/>
        <w:ind w:left="634" w:right="-20"/>
        <w:jc w:val="left"/>
      </w:pPr>
      <w:r>
        <w:rPr/>
        <w:t>期末单项金额重大并单项计提坏账准备的其他应收款：</w:t>
      </w:r>
    </w:p>
    <w:p>
      <w:pPr>
        <w:pStyle w:val="BodyText"/>
        <w:spacing w:line="350" w:lineRule="auto" w:before="146"/>
        <w:ind w:left="634" w:right="220"/>
        <w:jc w:val="left"/>
      </w:pPr>
      <w:r>
        <w:rPr/>
        <w:t>□ 适用 √ 不适用 组合中，按账龄分析法计提坏账准备的其他应收款：</w:t>
      </w:r>
    </w:p>
    <w:p>
      <w:pPr>
        <w:pStyle w:val="BodyText"/>
        <w:spacing w:line="240" w:lineRule="auto" w:before="35"/>
        <w:ind w:left="6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395" w:space="1955"/>
            <w:col w:w="258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11,523,489.67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576,174.48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11,523,489.67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576,174.48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2,790,782.81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279,078.28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380,000.00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114,000.00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155,060.66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145,511.06</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7,874.00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4,724.40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25,600.00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80.00%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115,186.66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115,186.66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14,849,333.14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1,114,763.82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350" w:lineRule="auto" w:before="26"/>
        <w:ind w:left="634" w:right="4032"/>
        <w:jc w:val="left"/>
      </w:pPr>
      <w:r>
        <w:rPr/>
        <w:pict>
          <v:shape style="position:absolute;margin-left:66.720001pt;margin-top:42.855671pt;width:462.2pt;height:188.7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12"/>
                    <w:gridCol w:w="1427"/>
                    <w:gridCol w:w="1214"/>
                    <w:gridCol w:w="1410"/>
                    <w:gridCol w:w="1066"/>
                  </w:tblGrid>
                  <w:tr>
                    <w:trPr>
                      <w:trHeight w:val="342" w:hRule="exact"/>
                    </w:trPr>
                    <w:tc>
                      <w:tcPr>
                        <w:tcW w:w="411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66"/>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64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7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81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42" w:hRule="exact"/>
                    </w:trPr>
                    <w:tc>
                      <w:tcPr>
                        <w:tcW w:w="4112" w:type="dxa"/>
                        <w:vMerge/>
                        <w:tcBorders>
                          <w:left w:val="single" w:sz="4" w:space="0" w:color="000000"/>
                          <w:bottom w:val="single" w:sz="4" w:space="0" w:color="000000"/>
                          <w:right w:val="single" w:sz="4" w:space="0" w:color="000000"/>
                        </w:tcBorders>
                        <w:shd w:val="clear" w:color="auto" w:fill="D9D9D9"/>
                      </w:tcPr>
                      <w:p>
                        <w:pPr/>
                      </w:p>
                    </w:tc>
                    <w:tc>
                      <w:tcPr>
                        <w:tcW w:w="14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c>
                      <w:tcPr>
                        <w:tcW w:w="12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社会养老统筹</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259,643.75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213,634.26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医疗保险</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43,641.66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32,123.38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失业保险</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41,177.29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49,174.13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234,062.22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193,710.22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上海申通德高地铁广告有限公司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上海申通地铁资产经营管理有限公司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2,100,000.00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2,100,000.00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河南辉煌信通软件有限公司</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天津辉煌路阳科技有限公司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50,000,000.00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年以内</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50,000,000.00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年以内</w:t>
                        </w:r>
                      </w:p>
                    </w:tc>
                  </w:tr>
                  <w:tr>
                    <w:trPr>
                      <w:trHeight w:val="34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55,678,524.92</w:t>
                        </w:r>
                      </w:p>
                    </w:tc>
                    <w:tc>
                      <w:tcPr>
                        <w:tcW w:w="1214"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60,588,641.99</w:t>
                        </w:r>
                      </w:p>
                    </w:tc>
                    <w:tc>
                      <w:tcPr>
                        <w:tcW w:w="106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确定该组合依据的说明： 组合中，因不存在回收风险，不计提坏账准备的其他应收款</w:t>
      </w:r>
    </w:p>
    <w:p>
      <w:pPr>
        <w:spacing w:after="0" w:line="35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BodyText"/>
        <w:spacing w:line="240" w:lineRule="auto" w:before="199"/>
        <w:ind w:left="634" w:right="-19"/>
        <w:jc w:val="left"/>
      </w:pPr>
      <w:r>
        <w:rPr/>
        <w:t>组合中，采用余额百分比法计提坏账准备的其他应收款：</w:t>
      </w:r>
    </w:p>
    <w:p>
      <w:pPr>
        <w:pStyle w:val="BodyText"/>
        <w:spacing w:line="352" w:lineRule="auto" w:before="145"/>
        <w:ind w:left="634" w:right="2621"/>
        <w:jc w:val="left"/>
      </w:pPr>
      <w:r>
        <w:rPr/>
        <w:t>□ 适用 √ 不适用 组合中，采用其他方法计提坏账准备的其他应收款：</w:t>
      </w:r>
    </w:p>
    <w:p>
      <w:pPr>
        <w:pStyle w:val="BodyText"/>
        <w:spacing w:line="240" w:lineRule="auto" w:before="33"/>
        <w:ind w:left="634" w:right="-19"/>
        <w:jc w:val="left"/>
      </w:pPr>
      <w:r>
        <w:rPr/>
        <w:t>□ 适用 √ 不适用</w:t>
      </w:r>
    </w:p>
    <w:p>
      <w:pPr>
        <w:pStyle w:val="BodyText"/>
        <w:spacing w:line="343" w:lineRule="auto" w:before="145"/>
        <w:ind w:left="634" w:right="-19" w:hanging="480"/>
        <w:jc w:val="left"/>
      </w:pPr>
      <w:r>
        <w:rPr>
          <w:rFonts w:ascii="Times New Roman" w:hAnsi="Times New Roman" w:cs="Times New Roman" w:eastAsia="Times New Roman" w:hint="default"/>
        </w:rPr>
        <w:t>2)</w:t>
      </w:r>
      <w:r>
        <w:rPr/>
        <w:t>本期计提、收回或转回的坏账准备情况</w:t>
      </w:r>
      <w:r>
        <w:rPr>
          <w:w w:val="99"/>
        </w:rPr>
        <w:t> </w:t>
      </w:r>
      <w:r>
        <w:rPr/>
        <w:t>本期计提坏账准备金额</w:t>
      </w:r>
      <w:r>
        <w:rPr>
          <w:rFonts w:ascii="宋体" w:hAnsi="宋体" w:cs="宋体" w:eastAsia="宋体" w:hint="default"/>
        </w:rPr>
        <w:t>545,491.42</w:t>
      </w:r>
      <w:r>
        <w:rPr/>
        <w:t>元；本期收回或转回坏账准备金额</w:t>
      </w:r>
      <w:r>
        <w:rPr>
          <w:rFonts w:ascii="宋体" w:hAnsi="宋体" w:cs="宋体" w:eastAsia="宋体" w:hint="default"/>
        </w:rPr>
        <w:t>0.00</w:t>
      </w:r>
      <w:r>
        <w:rPr/>
        <w:t>元。</w:t>
      </w:r>
      <w:r>
        <w:rPr>
          <w:w w:val="99"/>
        </w:rPr>
        <w:t> </w:t>
      </w:r>
      <w:r>
        <w:rPr/>
        <w:t>其中本期坏账准备转回或收回金额重要的：无</w:t>
      </w:r>
    </w:p>
    <w:p>
      <w:pPr>
        <w:pStyle w:val="BodyText"/>
        <w:spacing w:line="333" w:lineRule="auto" w:before="42"/>
        <w:ind w:left="634" w:right="5061" w:hanging="480"/>
        <w:jc w:val="left"/>
      </w:pPr>
      <w:r>
        <w:rPr>
          <w:rFonts w:ascii="Times New Roman" w:hAnsi="Times New Roman" w:cs="Times New Roman" w:eastAsia="Times New Roman" w:hint="default"/>
        </w:rPr>
        <w:t>3)</w:t>
      </w:r>
      <w:r>
        <w:rPr/>
        <w:t>本期实际核销的其他应收款情况</w:t>
      </w:r>
      <w:r>
        <w:rPr>
          <w:w w:val="99"/>
        </w:rPr>
        <w:t> </w:t>
      </w:r>
      <w:r>
        <w:rPr/>
        <w:t>无</w:t>
      </w:r>
    </w:p>
    <w:p>
      <w:pPr>
        <w:pStyle w:val="BodyText"/>
        <w:spacing w:line="240" w:lineRule="auto" w:before="52"/>
        <w:ind w:right="-19"/>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96" w:space="40"/>
            <w:col w:w="2094"/>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1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1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899,395.04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746,583.49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13,836,089.84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11,689,300.00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资金拆借</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55,000,000.00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代缴代扣款项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578,524.92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488,641.99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技术服务费、非公开发行费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386,244.00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554,940.00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4,827,604.26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1,035,125.46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70,527,858.06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69,514,590.94</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BodyText"/>
        <w:spacing w:line="240" w:lineRule="auto" w:before="26"/>
        <w:ind w:right="-20"/>
        <w:jc w:val="left"/>
      </w:pPr>
      <w:r>
        <w:rPr>
          <w:rFonts w:ascii="Times New Roman" w:hAnsi="Times New Roman" w:cs="Times New Roman" w:eastAsia="Times New Roman" w:hint="default"/>
        </w:rPr>
        <w:t>5)</w:t>
      </w:r>
      <w:r>
        <w:rPr/>
        <w:t>按欠款方归集的期末余额前五名的其他应收款情况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635" w:space="3195"/>
            <w:col w:w="2100"/>
          </w:cols>
        </w:sectPr>
      </w:pPr>
    </w:p>
    <w:p>
      <w:pPr>
        <w:spacing w:line="240" w:lineRule="auto" w:before="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048"/>
        <w:gridCol w:w="1276"/>
        <w:gridCol w:w="1417"/>
        <w:gridCol w:w="1277"/>
        <w:gridCol w:w="1433"/>
        <w:gridCol w:w="1260"/>
      </w:tblGrid>
      <w:tr>
        <w:trPr>
          <w:trHeight w:val="1025" w:hRule="exact"/>
        </w:trPr>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422"/>
              <w:jc w:val="right"/>
              <w:rPr>
                <w:rFonts w:ascii="宋体" w:hAnsi="宋体" w:cs="宋体" w:eastAsia="宋体" w:hint="default"/>
                <w:sz w:val="21"/>
                <w:szCs w:val="21"/>
              </w:rPr>
            </w:pPr>
            <w:r>
              <w:rPr>
                <w:rFonts w:ascii="宋体" w:hAnsi="宋体" w:cs="宋体" w:eastAsia="宋体" w:hint="default"/>
                <w:sz w:val="21"/>
                <w:szCs w:val="21"/>
              </w:rPr>
              <w:t>账龄</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81" w:right="79"/>
              <w:jc w:val="center"/>
              <w:rPr>
                <w:rFonts w:ascii="宋体" w:hAnsi="宋体" w:cs="宋体" w:eastAsia="宋体" w:hint="default"/>
                <w:sz w:val="21"/>
                <w:szCs w:val="21"/>
              </w:rPr>
            </w:pPr>
            <w:r>
              <w:rPr>
                <w:rFonts w:ascii="宋体" w:hAnsi="宋体" w:cs="宋体" w:eastAsia="宋体" w:hint="default"/>
                <w:sz w:val="21"/>
                <w:szCs w:val="21"/>
              </w:rPr>
              <w:t>占其他应收款 期末余额合计 数的比例</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09" w:right="98" w:hanging="210"/>
              <w:jc w:val="left"/>
              <w:rPr>
                <w:rFonts w:ascii="宋体" w:hAnsi="宋体" w:cs="宋体" w:eastAsia="宋体" w:hint="default"/>
                <w:sz w:val="21"/>
                <w:szCs w:val="21"/>
              </w:rPr>
            </w:pPr>
            <w:r>
              <w:rPr>
                <w:rFonts w:ascii="宋体" w:hAnsi="宋体" w:cs="宋体" w:eastAsia="宋体" w:hint="default"/>
                <w:sz w:val="21"/>
                <w:szCs w:val="21"/>
              </w:rPr>
              <w:t>坏账准备期 末余额</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天津辉煌路阳科技有限公司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资金拆借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55"/>
              <w:jc w:val="righ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70.89%</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上海申通德高地铁广告有限公司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5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4.25%</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75"/>
              <w:jc w:val="left"/>
              <w:rPr>
                <w:rFonts w:ascii="宋体" w:hAnsi="宋体" w:cs="宋体" w:eastAsia="宋体" w:hint="default"/>
                <w:sz w:val="21"/>
                <w:szCs w:val="21"/>
              </w:rPr>
            </w:pPr>
            <w:r>
              <w:rPr>
                <w:rFonts w:ascii="宋体" w:hAnsi="宋体" w:cs="宋体" w:eastAsia="宋体" w:hint="default"/>
                <w:sz w:val="21"/>
                <w:szCs w:val="21"/>
              </w:rPr>
              <w:t>上海申通地铁资产经营管理有限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45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2.98%</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通号（北京）招标有限公司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1,838,411.94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5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91,920.60</w:t>
            </w:r>
          </w:p>
        </w:tc>
      </w:tr>
      <w:tr>
        <w:trPr>
          <w:trHeight w:val="714"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75"/>
              <w:jc w:val="left"/>
              <w:rPr>
                <w:rFonts w:ascii="宋体" w:hAnsi="宋体" w:cs="宋体" w:eastAsia="宋体" w:hint="default"/>
                <w:sz w:val="21"/>
                <w:szCs w:val="21"/>
              </w:rPr>
            </w:pPr>
            <w:r>
              <w:rPr>
                <w:rFonts w:ascii="宋体" w:hAnsi="宋体" w:cs="宋体" w:eastAsia="宋体" w:hint="default"/>
                <w:sz w:val="21"/>
                <w:szCs w:val="21"/>
              </w:rPr>
              <w:t>中铁建电气化局集团科技有限公 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1,780,500.00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45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178,050.00</w:t>
            </w:r>
          </w:p>
        </w:tc>
      </w:tr>
      <w:tr>
        <w:trPr>
          <w:trHeight w:val="403" w:hRule="exact"/>
        </w:trPr>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58,718,911.94</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83.25%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269,970.60</w:t>
            </w:r>
          </w:p>
        </w:tc>
      </w:tr>
    </w:tbl>
    <w:p>
      <w:pPr>
        <w:spacing w:line="240" w:lineRule="auto" w:before="10"/>
        <w:rPr>
          <w:rFonts w:ascii="宋体" w:hAnsi="宋体" w:cs="宋体" w:eastAsia="宋体" w:hint="default"/>
          <w:sz w:val="4"/>
          <w:szCs w:val="4"/>
        </w:rPr>
      </w:pPr>
    </w:p>
    <w:p>
      <w:pPr>
        <w:pStyle w:val="BodyText"/>
        <w:spacing w:line="240" w:lineRule="auto" w:before="26"/>
        <w:ind w:right="0"/>
        <w:jc w:val="left"/>
      </w:pPr>
      <w:r>
        <w:rPr>
          <w:rFonts w:ascii="Times New Roman" w:hAnsi="Times New Roman" w:cs="Times New Roman" w:eastAsia="Times New Roman" w:hint="default"/>
        </w:rPr>
        <w:t>6)</w:t>
      </w:r>
      <w:r>
        <w:rPr/>
        <w:t>涉及政府补助的应收款项</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BodyText"/>
        <w:spacing w:line="240" w:lineRule="auto" w:before="199"/>
        <w:ind w:left="634" w:right="940"/>
        <w:jc w:val="left"/>
      </w:pPr>
      <w:r>
        <w:rPr/>
        <w:t>无</w:t>
      </w:r>
    </w:p>
    <w:p>
      <w:pPr>
        <w:pStyle w:val="BodyText"/>
        <w:spacing w:line="333" w:lineRule="auto" w:before="145"/>
        <w:ind w:left="634" w:right="940" w:hanging="480"/>
        <w:jc w:val="left"/>
      </w:pPr>
      <w:r>
        <w:rPr>
          <w:rFonts w:ascii="Times New Roman" w:hAnsi="Times New Roman" w:cs="Times New Roman" w:eastAsia="Times New Roman" w:hint="default"/>
        </w:rPr>
        <w:t>7)</w:t>
      </w:r>
      <w:r>
        <w:rPr/>
        <w:t>因金融资产转移而终止确认的其他应收款</w:t>
      </w:r>
      <w:r>
        <w:rPr>
          <w:w w:val="99"/>
        </w:rPr>
        <w:t> </w:t>
      </w:r>
      <w:r>
        <w:rPr/>
        <w:t>无</w:t>
      </w:r>
    </w:p>
    <w:p>
      <w:pPr>
        <w:pStyle w:val="BodyText"/>
        <w:spacing w:line="331" w:lineRule="auto" w:before="52"/>
        <w:ind w:left="634" w:right="-20" w:hanging="480"/>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pStyle w:val="Heading2"/>
        <w:spacing w:line="240" w:lineRule="auto" w:before="55"/>
        <w:ind w:right="940"/>
        <w:jc w:val="left"/>
        <w:rPr>
          <w:b w:val="0"/>
          <w:bCs w:val="0"/>
        </w:rPr>
      </w:pPr>
      <w:bookmarkStart w:name="3、长期股权投资" w:id="457"/>
      <w:bookmarkEnd w:id="45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635" w:space="3194"/>
            <w:col w:w="210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450,664,857.83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97,435,520.93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353,229,336.90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414,164,857.83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53,949,157.83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360,215,700.00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79,210,551.57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79,210,551.57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73,098,570.01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73,098,570.01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529,875,409.40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97,435,520.93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432,439,888.47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487,263,427.84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53,949,157.83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433,314,270.01</w:t>
            </w:r>
          </w:p>
        </w:tc>
      </w:tr>
    </w:tbl>
    <w:p>
      <w:pPr>
        <w:pStyle w:val="Heading2"/>
        <w:spacing w:line="240" w:lineRule="auto" w:before="81"/>
        <w:ind w:right="0"/>
        <w:jc w:val="left"/>
        <w:rPr>
          <w:b w:val="0"/>
          <w:bCs w:val="0"/>
        </w:rPr>
      </w:pPr>
      <w:bookmarkStart w:name="（1）对子公司投资" w:id="458"/>
      <w:bookmarkEnd w:id="45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8"/>
          <w:szCs w:val="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339"/>
        <w:gridCol w:w="1276"/>
        <w:gridCol w:w="1142"/>
        <w:gridCol w:w="985"/>
        <w:gridCol w:w="1276"/>
        <w:gridCol w:w="1276"/>
        <w:gridCol w:w="1277"/>
      </w:tblGrid>
      <w:tr>
        <w:trPr>
          <w:trHeight w:val="714"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52" w:right="91"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52" w:right="92"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142"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4"/>
              <w:jc w:val="left"/>
              <w:rPr>
                <w:rFonts w:ascii="宋体" w:hAnsi="宋体" w:cs="宋体" w:eastAsia="宋体" w:hint="default"/>
                <w:sz w:val="18"/>
                <w:szCs w:val="18"/>
              </w:rPr>
            </w:pPr>
            <w:r>
              <w:rPr>
                <w:rFonts w:ascii="宋体" w:hAnsi="宋体" w:cs="宋体" w:eastAsia="宋体" w:hint="default"/>
                <w:sz w:val="18"/>
                <w:szCs w:val="18"/>
              </w:rPr>
              <w:t>北京全路信通软件科技有限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142"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北京国铁路阳技术有限公司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311,398,257.83</w:t>
            </w:r>
          </w:p>
        </w:tc>
        <w:tc>
          <w:tcPr>
            <w:tcW w:w="1142"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311,398,257.83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30,947,500.00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84,896,657.83</w:t>
            </w:r>
          </w:p>
        </w:tc>
      </w:tr>
      <w:tr>
        <w:trPr>
          <w:trHeight w:val="402"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河南辉煌信通软件有限公司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河南辉煌城轨科技有限公司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34,000,000.00</w:t>
            </w:r>
          </w:p>
        </w:tc>
        <w:tc>
          <w:tcPr>
            <w:tcW w:w="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4"/>
              <w:jc w:val="left"/>
              <w:rPr>
                <w:rFonts w:ascii="宋体" w:hAnsi="宋体" w:cs="宋体" w:eastAsia="宋体" w:hint="default"/>
                <w:sz w:val="18"/>
                <w:szCs w:val="18"/>
              </w:rPr>
            </w:pPr>
            <w:r>
              <w:rPr>
                <w:rFonts w:ascii="宋体" w:hAnsi="宋体" w:cs="宋体" w:eastAsia="宋体" w:hint="default"/>
                <w:sz w:val="18"/>
                <w:szCs w:val="18"/>
              </w:rPr>
              <w:t>成都西南交大驱动技术有限 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54,266,600.00</w:t>
            </w:r>
          </w:p>
        </w:tc>
        <w:tc>
          <w:tcPr>
            <w:tcW w:w="1142"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54,266,600.00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12,538,863.10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12,538,863.10</w:t>
            </w: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414,164,857.83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36,500,000.00</w:t>
            </w:r>
          </w:p>
        </w:tc>
        <w:tc>
          <w:tcPr>
            <w:tcW w:w="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450,664,857.83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43,486,363.10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97,435,520.93</w:t>
            </w:r>
          </w:p>
        </w:tc>
      </w:tr>
    </w:tbl>
    <w:p>
      <w:pPr>
        <w:pStyle w:val="Heading2"/>
        <w:spacing w:line="240" w:lineRule="auto" w:before="81"/>
        <w:ind w:right="0"/>
        <w:jc w:val="left"/>
        <w:rPr>
          <w:b w:val="0"/>
          <w:bCs w:val="0"/>
        </w:rPr>
      </w:pPr>
      <w:bookmarkStart w:name="（2）对联营、合营企业投资" w:id="459"/>
      <w:bookmarkEnd w:id="45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8"/>
          <w:szCs w:val="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13" w:type="dxa"/>
        <w:tblLayout w:type="fixed"/>
        <w:tblCellMar>
          <w:top w:w="0" w:type="dxa"/>
          <w:left w:w="0" w:type="dxa"/>
          <w:bottom w:w="0" w:type="dxa"/>
          <w:right w:w="0" w:type="dxa"/>
        </w:tblCellMar>
        <w:tblLook w:val="01E0"/>
      </w:tblPr>
      <w:tblGrid>
        <w:gridCol w:w="1522"/>
        <w:gridCol w:w="1276"/>
        <w:gridCol w:w="474"/>
        <w:gridCol w:w="495"/>
        <w:gridCol w:w="798"/>
        <w:gridCol w:w="798"/>
        <w:gridCol w:w="798"/>
        <w:gridCol w:w="798"/>
        <w:gridCol w:w="565"/>
        <w:gridCol w:w="284"/>
        <w:gridCol w:w="992"/>
        <w:gridCol w:w="709"/>
      </w:tblGrid>
      <w:tr>
        <w:trPr>
          <w:trHeight w:val="402" w:hRule="exact"/>
        </w:trPr>
        <w:tc>
          <w:tcPr>
            <w:tcW w:w="15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01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6" w:hRule="exact"/>
        </w:trPr>
        <w:tc>
          <w:tcPr>
            <w:tcW w:w="1522"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1" w:right="50"/>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3"/>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7" w:right="9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 w:right="44"/>
              <w:jc w:val="left"/>
              <w:rPr>
                <w:rFonts w:ascii="宋体" w:hAnsi="宋体" w:cs="宋体" w:eastAsia="宋体" w:hint="default"/>
                <w:sz w:val="18"/>
                <w:szCs w:val="18"/>
              </w:rPr>
            </w:pPr>
            <w:r>
              <w:rPr>
                <w:rFonts w:ascii="宋体" w:hAnsi="宋体" w:cs="宋体" w:eastAsia="宋体" w:hint="default"/>
                <w:sz w:val="18"/>
                <w:szCs w:val="18"/>
              </w:rPr>
              <w:t>其 他</w:t>
            </w:r>
          </w:p>
        </w:tc>
        <w:tc>
          <w:tcPr>
            <w:tcW w:w="992"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0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0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13" w:type="dxa"/>
        <w:tblLayout w:type="fixed"/>
        <w:tblCellMar>
          <w:top w:w="0" w:type="dxa"/>
          <w:left w:w="0" w:type="dxa"/>
          <w:bottom w:w="0" w:type="dxa"/>
          <w:right w:w="0" w:type="dxa"/>
        </w:tblCellMar>
        <w:tblLook w:val="01E0"/>
      </w:tblPr>
      <w:tblGrid>
        <w:gridCol w:w="1522"/>
        <w:gridCol w:w="1276"/>
        <w:gridCol w:w="474"/>
        <w:gridCol w:w="495"/>
        <w:gridCol w:w="798"/>
        <w:gridCol w:w="798"/>
        <w:gridCol w:w="798"/>
        <w:gridCol w:w="798"/>
        <w:gridCol w:w="565"/>
        <w:gridCol w:w="284"/>
        <w:gridCol w:w="992"/>
        <w:gridCol w:w="709"/>
      </w:tblGrid>
      <w:tr>
        <w:trPr>
          <w:trHeight w:val="71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飞天联合</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系 统技术有限公司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73,098,570.01</w:t>
            </w:r>
          </w:p>
        </w:tc>
        <w:tc>
          <w:tcPr>
            <w:tcW w:w="474"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-6,619,10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12,731,08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5.49</w:t>
            </w:r>
          </w:p>
        </w:tc>
        <w:tc>
          <w:tcPr>
            <w:tcW w:w="79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79,210,551.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73,098,570.01</w:t>
            </w:r>
          </w:p>
        </w:tc>
        <w:tc>
          <w:tcPr>
            <w:tcW w:w="474"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-6,619,10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12,731,08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5.49</w:t>
            </w:r>
          </w:p>
        </w:tc>
        <w:tc>
          <w:tcPr>
            <w:tcW w:w="79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79,210,551.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73,098,570.01</w:t>
            </w:r>
          </w:p>
        </w:tc>
        <w:tc>
          <w:tcPr>
            <w:tcW w:w="474"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-6,619,10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12,731,08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5.49</w:t>
            </w:r>
          </w:p>
        </w:tc>
        <w:tc>
          <w:tcPr>
            <w:tcW w:w="79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79,210,551.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709"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81"/>
        <w:ind w:right="0"/>
        <w:jc w:val="left"/>
        <w:rPr>
          <w:b w:val="0"/>
          <w:bCs w:val="0"/>
        </w:rPr>
      </w:pPr>
      <w:bookmarkStart w:name="（3）其他说明" w:id="460"/>
      <w:bookmarkEnd w:id="46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17"/>
          <w:szCs w:val="17"/>
        </w:rPr>
      </w:pPr>
    </w:p>
    <w:p>
      <w:pPr>
        <w:pStyle w:val="BodyText"/>
        <w:spacing w:line="350" w:lineRule="auto" w:before="0"/>
        <w:ind w:right="1122" w:firstLine="480"/>
        <w:jc w:val="left"/>
      </w:pPr>
      <w:r>
        <w:rPr/>
        <w:t>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日北京国融兴华资产评估有限责任公司运用“资产基础法”对国铁路 阳的全部股东权益进行评估，确认评估基准日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日国铁路阳全部权益价值为 </w:t>
      </w:r>
      <w:r>
        <w:rPr>
          <w:rFonts w:ascii="宋体" w:hAnsi="宋体" w:cs="宋体" w:eastAsia="宋体" w:hint="default"/>
          <w:spacing w:val="-2"/>
        </w:rPr>
        <w:t>22,650.16</w:t>
      </w:r>
      <w:r>
        <w:rPr>
          <w:spacing w:val="-2"/>
        </w:rPr>
        <w:t>万元，由此确认该长期股权投资的可收回金额，本公司对可收回金额低于账面价值</w:t>
      </w:r>
      <w:r>
        <w:rPr>
          <w:spacing w:val="-112"/>
        </w:rPr>
        <w:t> </w:t>
      </w:r>
      <w:r>
        <w:rPr>
          <w:spacing w:val="-112"/>
        </w:rPr>
      </w:r>
      <w:r>
        <w:rPr/>
        <w:t>的部分</w:t>
      </w:r>
      <w:r>
        <w:rPr>
          <w:rFonts w:ascii="宋体" w:hAnsi="宋体" w:cs="宋体" w:eastAsia="宋体" w:hint="default"/>
        </w:rPr>
        <w:t>3,094.75</w:t>
      </w:r>
      <w:r>
        <w:rPr/>
        <w:t>万元计提了长期投资减值准备。</w:t>
      </w:r>
    </w:p>
    <w:p>
      <w:pPr>
        <w:pStyle w:val="BodyText"/>
        <w:spacing w:line="350" w:lineRule="auto"/>
        <w:ind w:right="1152" w:firstLine="480"/>
        <w:jc w:val="left"/>
        <w:rPr>
          <w:rFonts w:ascii="宋体" w:hAnsi="宋体" w:cs="宋体" w:eastAsia="宋体" w:hint="default"/>
        </w:rPr>
      </w:pPr>
      <w:r>
        <w:rPr/>
        <w:t>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日中联资产评估集团有限公司运用“收益法”对交大驱动的全部权益 进行评估，根据公司以往获利能力及营运资金情况估计公司资产的未来获利能力、净现金流 量，并以</w:t>
      </w:r>
      <w:r>
        <w:rPr>
          <w:rFonts w:ascii="宋体" w:hAnsi="宋体" w:cs="宋体" w:eastAsia="宋体" w:hint="default"/>
        </w:rPr>
        <w:t>12.45%</w:t>
      </w:r>
      <w:r>
        <w:rPr/>
        <w:t>的折现率进行折现，确认评估基准日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日辉煌科技持有的交大驱 动全部股东权益价值为</w:t>
      </w:r>
      <w:r>
        <w:rPr>
          <w:rFonts w:ascii="宋体" w:hAnsi="宋体" w:cs="宋体" w:eastAsia="宋体" w:hint="default"/>
        </w:rPr>
        <w:t>4,172.77</w:t>
      </w:r>
      <w:r>
        <w:rPr/>
        <w:t>万元，由此确认该长期股权投资的可收回金额，本公司对可 收回金额低于账面价值的部分</w:t>
      </w:r>
      <w:r>
        <w:rPr>
          <w:rFonts w:ascii="宋体" w:hAnsi="宋体" w:cs="宋体" w:eastAsia="宋体" w:hint="default"/>
        </w:rPr>
        <w:t>1,253.89</w:t>
      </w:r>
      <w:r>
        <w:rPr/>
        <w:t>万元计提了长期投资减值准备。 </w:t>
      </w:r>
      <w:bookmarkStart w:name="4、营业收入和营业成本" w:id="461"/>
      <w:bookmarkEnd w:id="461"/>
      <w:r>
        <w:rPr/>
      </w:r>
      <w:r>
        <w:rPr>
          <w:rFonts w:ascii="Times New Roman" w:hAnsi="Times New Roman" w:cs="Times New Roman" w:eastAsia="Times New Roman" w:hint="default"/>
          <w:b/>
          <w:bCs/>
        </w:rPr>
        <w:t>4</w:t>
      </w:r>
      <w:r>
        <w:rPr>
          <w:rFonts w:ascii="宋体" w:hAnsi="宋体" w:cs="宋体" w:eastAsia="宋体" w:hint="default"/>
          <w:b/>
          <w:bCs/>
        </w:rPr>
        <w:t>、营业收入和营业成本</w:t>
      </w:r>
      <w:r>
        <w:rPr>
          <w:rFonts w:ascii="宋体" w:hAnsi="宋体" w:cs="宋体" w:eastAsia="宋体" w:hint="default"/>
        </w:rPr>
      </w:r>
    </w:p>
    <w:p>
      <w:pPr>
        <w:spacing w:line="205"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9"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343,272,095.55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215,573,015.87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320,334,275.85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179,396,685.32</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56,673,059.60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18,077,854.95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79,056,225.53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50,178,008.22</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399,945,155.15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233,650,870.82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399,390,501.38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229,574,693.54</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BodyText"/>
        <w:spacing w:line="240" w:lineRule="auto" w:before="26"/>
        <w:ind w:left="634" w:right="-20"/>
        <w:jc w:val="left"/>
      </w:pPr>
      <w:r>
        <w:rPr/>
        <w:t>其他说明：无</w:t>
      </w:r>
    </w:p>
    <w:p>
      <w:pPr>
        <w:pStyle w:val="Heading2"/>
        <w:spacing w:line="240" w:lineRule="auto" w:before="145"/>
        <w:ind w:right="-20"/>
        <w:jc w:val="left"/>
        <w:rPr>
          <w:b w:val="0"/>
          <w:bCs w:val="0"/>
        </w:rPr>
      </w:pPr>
      <w:bookmarkStart w:name="5、投资收益" w:id="462"/>
      <w:bookmarkEnd w:id="46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075" w:space="67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255,000.00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-6,619,103.93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-8,483,544.73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12,840,775.90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6,476,671.97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-8,483,544.73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0"/>
        <w:jc w:val="left"/>
        <w:rPr>
          <w:b w:val="0"/>
          <w:bCs w:val="0"/>
        </w:rPr>
      </w:pPr>
      <w:bookmarkStart w:name="6、其他" w:id="463"/>
      <w:bookmarkEnd w:id="463"/>
      <w:r>
        <w:rPr>
          <w:b w:val="0"/>
          <w:bCs w:val="0"/>
        </w:rPr>
      </w:r>
      <w:r>
        <w:rPr>
          <w:rFonts w:ascii="Times New Roman" w:hAnsi="Times New Roman" w:cs="Times New Roman" w:eastAsia="Times New Roman" w:hint="default"/>
        </w:rPr>
        <w:t>6</w:t>
      </w:r>
      <w:r>
        <w:rPr/>
        <w:t>、其他</w:t>
      </w:r>
      <w:r>
        <w:rPr>
          <w:b w:val="0"/>
          <w:bCs w:val="0"/>
        </w:rPr>
      </w:r>
    </w:p>
    <w:p>
      <w:pPr>
        <w:spacing w:line="487" w:lineRule="auto" w:before="127"/>
        <w:ind w:left="154" w:right="9065" w:firstLine="480"/>
        <w:jc w:val="left"/>
        <w:rPr>
          <w:rFonts w:ascii="宋体" w:hAnsi="宋体" w:cs="宋体" w:eastAsia="宋体" w:hint="default"/>
          <w:sz w:val="24"/>
          <w:szCs w:val="24"/>
        </w:rPr>
      </w:pPr>
      <w:r>
        <w:rPr>
          <w:rFonts w:ascii="宋体" w:hAnsi="宋体" w:cs="宋体" w:eastAsia="宋体" w:hint="default"/>
          <w:sz w:val="24"/>
          <w:szCs w:val="24"/>
        </w:rPr>
        <w:t>无 </w:t>
      </w:r>
      <w:bookmarkStart w:name="十八、补充资料" w:id="464"/>
      <w:bookmarkEnd w:id="464"/>
      <w:r>
        <w:rPr>
          <w:rFonts w:ascii="宋体" w:hAnsi="宋体" w:cs="宋体" w:eastAsia="宋体" w:hint="default"/>
          <w:sz w:val="24"/>
          <w:szCs w:val="24"/>
        </w:rPr>
      </w:r>
      <w:r>
        <w:rPr>
          <w:rFonts w:ascii="宋体" w:hAnsi="宋体" w:cs="宋体" w:eastAsia="宋体" w:hint="default"/>
          <w:b/>
          <w:bCs/>
          <w:sz w:val="24"/>
          <w:szCs w:val="24"/>
        </w:rPr>
        <w:t>十八、补充资料</w:t>
      </w:r>
      <w:r>
        <w:rPr>
          <w:rFonts w:ascii="宋体" w:hAnsi="宋体" w:cs="宋体" w:eastAsia="宋体" w:hint="default"/>
          <w:sz w:val="24"/>
          <w:szCs w:val="24"/>
        </w:rPr>
      </w:r>
    </w:p>
    <w:p>
      <w:pPr>
        <w:spacing w:line="240" w:lineRule="auto" w:before="7"/>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747" w:footer="979" w:top="1060" w:bottom="1160" w:left="980" w:right="0"/>
        </w:sectPr>
      </w:pPr>
    </w:p>
    <w:p>
      <w:pPr>
        <w:pStyle w:val="Heading2"/>
        <w:spacing w:line="240" w:lineRule="auto"/>
        <w:ind w:right="0"/>
        <w:jc w:val="left"/>
        <w:rPr>
          <w:b w:val="0"/>
          <w:bCs w:val="0"/>
        </w:rPr>
      </w:pPr>
      <w:bookmarkStart w:name="1、当期非经常性损益明细表" w:id="465"/>
      <w:bookmarkEnd w:id="465"/>
      <w:r>
        <w:rPr>
          <w:b w:val="0"/>
          <w:bCs w:val="0"/>
        </w:rPr>
      </w:r>
      <w:r>
        <w:rPr>
          <w:rFonts w:ascii="Times New Roman" w:hAnsi="Times New Roman" w:cs="Times New Roman" w:eastAsia="Times New Roman" w:hint="default"/>
          <w:w w:val="95"/>
        </w:rPr>
        <w:t>1</w:t>
      </w:r>
      <w:r>
        <w:rPr>
          <w:w w:val="95"/>
        </w:rPr>
        <w:t>、当期非经常性损益明细表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163" w:space="5666"/>
            <w:col w:w="210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790"/>
        <w:gridCol w:w="2280"/>
        <w:gridCol w:w="1489"/>
      </w:tblGrid>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-145,761.44</w:t>
            </w:r>
            <w:r>
              <w:rPr>
                <w:rFonts w:ascii="Times New Roman"/>
                <w:sz w:val="21"/>
              </w:rPr>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6"/>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 一标准定额或定量享受的政府补助除外）</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5,197,456.85</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12,840,775.90</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236,316.57</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2,733,201.64</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635,621.14</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z w:val="21"/>
              </w:rPr>
              <w:t>14,759,965.10</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宋体" w:hAnsi="宋体" w:cs="宋体" w:eastAsia="宋体" w:hint="default"/>
          <w:sz w:val="4"/>
          <w:szCs w:val="4"/>
        </w:rPr>
      </w:pPr>
    </w:p>
    <w:p>
      <w:pPr>
        <w:pStyle w:val="BodyText"/>
        <w:spacing w:line="352" w:lineRule="auto" w:before="26"/>
        <w:ind w:right="1130" w:firstLine="480"/>
        <w:jc w:val="both"/>
      </w:pPr>
      <w:r>
        <w:rPr>
          <w:spacing w:val="-3"/>
        </w:rPr>
        <w:t>对公司根据《公开发行证券的公司信息披露解释性公告第</w:t>
      </w:r>
      <w:r>
        <w:rPr>
          <w:rFonts w:ascii="宋体" w:hAnsi="宋体" w:cs="宋体" w:eastAsia="宋体" w:hint="default"/>
          <w:spacing w:val="-3"/>
        </w:rPr>
        <w:t>1</w:t>
      </w:r>
      <w:r>
        <w:rPr>
          <w:spacing w:val="-3"/>
        </w:rPr>
        <w:t>号——非经常性损益》定义界</w:t>
      </w:r>
      <w:r>
        <w:rPr/>
        <w:t> </w:t>
      </w:r>
      <w:r>
        <w:rPr>
          <w:spacing w:val="-2"/>
        </w:rPr>
        <w:t>定的非经常性损益项目，以及把《公开发行证券的公司信息披露解释性公告第</w:t>
      </w:r>
      <w:r>
        <w:rPr>
          <w:rFonts w:ascii="宋体" w:hAnsi="宋体" w:cs="宋体" w:eastAsia="宋体" w:hint="default"/>
          <w:spacing w:val="-2"/>
        </w:rPr>
        <w:t>1</w:t>
      </w:r>
      <w:r>
        <w:rPr>
          <w:spacing w:val="-2"/>
        </w:rPr>
        <w:t>号——非经常</w:t>
      </w:r>
      <w:r>
        <w:rPr/>
        <w:t> 性损益》中列举的非经常性损益项目界定为经常性损益的项目，应说明原因。</w:t>
      </w:r>
    </w:p>
    <w:p>
      <w:pPr>
        <w:pStyle w:val="BodyText"/>
        <w:spacing w:line="240" w:lineRule="auto" w:before="32"/>
        <w:ind w:left="125" w:right="7741"/>
        <w:jc w:val="center"/>
      </w:pPr>
      <w:r>
        <w:rPr/>
        <w:t>□ 适用 √ 不适用</w:t>
      </w:r>
    </w:p>
    <w:p>
      <w:pPr>
        <w:pStyle w:val="Heading2"/>
        <w:spacing w:line="240" w:lineRule="auto" w:before="145"/>
        <w:ind w:left="134" w:right="7741"/>
        <w:jc w:val="center"/>
        <w:rPr>
          <w:b w:val="0"/>
          <w:bCs w:val="0"/>
        </w:rPr>
      </w:pPr>
      <w:bookmarkStart w:name="2、净资产收益率及每股收益" w:id="466"/>
      <w:bookmarkEnd w:id="46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
        <w:rPr>
          <w:rFonts w:ascii="宋体" w:hAnsi="宋体" w:cs="宋体" w:eastAsia="宋体" w:hint="default"/>
          <w:b/>
          <w:bCs/>
          <w:sz w:val="3"/>
          <w:szCs w:val="3"/>
        </w:rPr>
      </w:pPr>
    </w:p>
    <w:tbl>
      <w:tblPr>
        <w:tblW w:w="0" w:type="auto"/>
        <w:jc w:val="left"/>
        <w:tblInd w:w="160" w:type="dxa"/>
        <w:tblLayout w:type="fixed"/>
        <w:tblCellMar>
          <w:top w:w="0" w:type="dxa"/>
          <w:left w:w="0" w:type="dxa"/>
          <w:bottom w:w="0" w:type="dxa"/>
          <w:right w:w="0" w:type="dxa"/>
        </w:tblCellMar>
        <w:tblLook w:val="01E0"/>
      </w:tblPr>
      <w:tblGrid>
        <w:gridCol w:w="3251"/>
        <w:gridCol w:w="2481"/>
        <w:gridCol w:w="1913"/>
        <w:gridCol w:w="1913"/>
      </w:tblGrid>
      <w:tr>
        <w:trPr>
          <w:trHeight w:val="380" w:hRule="exact"/>
        </w:trPr>
        <w:tc>
          <w:tcPr>
            <w:tcW w:w="3251"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481"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3826"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4" w:hRule="exact"/>
        </w:trPr>
        <w:tc>
          <w:tcPr>
            <w:tcW w:w="3251" w:type="dxa"/>
            <w:tcBorders>
              <w:top w:val="single" w:sz="14" w:space="0" w:color="FFFFFF"/>
              <w:left w:val="single" w:sz="4" w:space="0" w:color="000000"/>
              <w:bottom w:val="nil" w:sz="6" w:space="0" w:color="auto"/>
              <w:right w:val="single" w:sz="4" w:space="0" w:color="000000"/>
            </w:tcBorders>
            <w:shd w:val="clear" w:color="auto" w:fill="D2D2D2"/>
          </w:tcPr>
          <w:p>
            <w:pPr>
              <w:pStyle w:val="TableParagraph"/>
              <w:spacing w:line="266" w:lineRule="exact"/>
              <w:ind w:right="1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481" w:type="dxa"/>
            <w:tcBorders>
              <w:top w:val="single" w:sz="14" w:space="0" w:color="FFFFFF"/>
              <w:left w:val="single" w:sz="4" w:space="0" w:color="000000"/>
              <w:bottom w:val="nil" w:sz="6" w:space="0" w:color="auto"/>
              <w:right w:val="single" w:sz="4" w:space="0" w:color="000000"/>
            </w:tcBorders>
            <w:shd w:val="clear" w:color="auto" w:fill="D2D2D2"/>
          </w:tcPr>
          <w:p>
            <w:pPr>
              <w:pStyle w:val="TableParagraph"/>
              <w:spacing w:line="266" w:lineRule="exact"/>
              <w:ind w:left="18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913" w:type="dxa"/>
            <w:vMerge w:val="restart"/>
            <w:tcBorders>
              <w:top w:val="single" w:sz="14" w:space="0" w:color="FFFFFF"/>
              <w:left w:val="single" w:sz="4" w:space="0" w:color="000000"/>
              <w:right w:val="single" w:sz="4" w:space="0" w:color="000000"/>
            </w:tcBorders>
            <w:shd w:val="clear" w:color="auto" w:fill="D2D2D2"/>
          </w:tcPr>
          <w:p>
            <w:pPr>
              <w:pStyle w:val="TableParagraph"/>
              <w:spacing w:line="256" w:lineRule="auto" w:before="35"/>
              <w:ind w:left="741" w:right="81" w:hanging="66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 </w:t>
            </w:r>
            <w:r>
              <w:rPr>
                <w:rFonts w:ascii="宋体" w:hAnsi="宋体" w:cs="宋体" w:eastAsia="宋体" w:hint="default"/>
                <w:sz w:val="21"/>
                <w:szCs w:val="21"/>
              </w:rPr>
              <w:t>股）</w:t>
            </w:r>
          </w:p>
        </w:tc>
        <w:tc>
          <w:tcPr>
            <w:tcW w:w="1913" w:type="dxa"/>
            <w:vMerge w:val="restart"/>
            <w:tcBorders>
              <w:top w:val="single" w:sz="14" w:space="0" w:color="FFFFFF"/>
              <w:left w:val="single" w:sz="4" w:space="0" w:color="000000"/>
              <w:right w:val="single" w:sz="4" w:space="0" w:color="000000"/>
            </w:tcBorders>
            <w:shd w:val="clear" w:color="auto" w:fill="D2D2D2"/>
          </w:tcPr>
          <w:p>
            <w:pPr>
              <w:pStyle w:val="TableParagraph"/>
              <w:spacing w:line="256" w:lineRule="auto" w:before="35"/>
              <w:ind w:left="741" w:right="81" w:hanging="66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 </w:t>
            </w:r>
            <w:r>
              <w:rPr>
                <w:rFonts w:ascii="宋体" w:hAnsi="宋体" w:cs="宋体" w:eastAsia="宋体" w:hint="default"/>
                <w:sz w:val="21"/>
                <w:szCs w:val="21"/>
              </w:rPr>
              <w:t>股）</w:t>
            </w:r>
          </w:p>
        </w:tc>
      </w:tr>
      <w:tr>
        <w:trPr>
          <w:trHeight w:val="362" w:hRule="exact"/>
        </w:trPr>
        <w:tc>
          <w:tcPr>
            <w:tcW w:w="32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4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4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0.0736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0.0736</w:t>
            </w:r>
          </w:p>
        </w:tc>
      </w:tr>
      <w:tr>
        <w:trPr>
          <w:trHeight w:val="714"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77"/>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 通股股东的净利润</w:t>
            </w:r>
          </w:p>
        </w:tc>
        <w:tc>
          <w:tcPr>
            <w:tcW w:w="24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0.0344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0.0344</w:t>
            </w:r>
          </w:p>
        </w:tc>
      </w:tr>
    </w:tbl>
    <w:p>
      <w:pPr>
        <w:spacing w:line="240" w:lineRule="auto" w:before="10"/>
        <w:rPr>
          <w:rFonts w:ascii="宋体" w:hAnsi="宋体" w:cs="宋体" w:eastAsia="宋体" w:hint="default"/>
          <w:b/>
          <w:bCs/>
          <w:sz w:val="4"/>
          <w:szCs w:val="4"/>
        </w:rPr>
      </w:pPr>
    </w:p>
    <w:p>
      <w:pPr>
        <w:pStyle w:val="Heading2"/>
        <w:spacing w:line="240" w:lineRule="auto"/>
        <w:ind w:right="0"/>
        <w:jc w:val="left"/>
        <w:rPr>
          <w:b w:val="0"/>
          <w:bCs w:val="0"/>
        </w:rPr>
      </w:pPr>
      <w:bookmarkStart w:name="3、境内外会计准则下会计数据差异" w:id="467"/>
      <w:bookmarkEnd w:id="467"/>
      <w:r>
        <w:rPr>
          <w:b w:val="0"/>
          <w:bCs w:val="0"/>
        </w:rPr>
      </w:r>
      <w:r>
        <w:rPr>
          <w:rFonts w:ascii="Times New Roman" w:hAnsi="Times New Roman" w:cs="Times New Roman" w:eastAsia="Times New Roman" w:hint="default"/>
        </w:rPr>
        <w:t>3</w:t>
      </w:r>
      <w:r>
        <w:rPr/>
        <w:t>、境内外会计准则下会计数据差异</w:t>
      </w:r>
      <w:r>
        <w:rPr>
          <w:b w:val="0"/>
          <w:bCs w:val="0"/>
        </w:rPr>
      </w:r>
    </w:p>
    <w:p>
      <w:pPr>
        <w:pStyle w:val="Heading2"/>
        <w:spacing w:line="240" w:lineRule="auto" w:before="120"/>
        <w:ind w:right="0"/>
        <w:jc w:val="left"/>
        <w:rPr>
          <w:b w:val="0"/>
          <w:bCs w:val="0"/>
        </w:rPr>
      </w:pPr>
      <w:bookmarkStart w:name="（1）同时按照国际会计准则与按中国会计准则披露的财务报告中净利润和净资产差异情况" w:id="468"/>
      <w:bookmarkEnd w:id="46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17"/>
          <w:szCs w:val="17"/>
        </w:rPr>
      </w:pPr>
    </w:p>
    <w:p>
      <w:pPr>
        <w:pStyle w:val="BodyText"/>
        <w:spacing w:line="240" w:lineRule="auto" w:before="0"/>
        <w:ind w:left="634" w:right="0"/>
        <w:jc w:val="left"/>
      </w:pPr>
      <w:r>
        <w:rPr/>
        <w:t>□ 适用 √ 不适用</w:t>
      </w:r>
    </w:p>
    <w:p>
      <w:pPr>
        <w:pStyle w:val="Heading2"/>
        <w:spacing w:line="240" w:lineRule="auto" w:before="140"/>
        <w:ind w:right="0"/>
        <w:jc w:val="left"/>
        <w:rPr>
          <w:b w:val="0"/>
          <w:bCs w:val="0"/>
        </w:rPr>
      </w:pPr>
      <w:bookmarkStart w:name="（2）同时按照境外会计准则与按中国会计准则披露的财务报告中净利润和净资产差异情况" w:id="469"/>
      <w:bookmarkEnd w:id="46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17"/>
          <w:szCs w:val="17"/>
        </w:rPr>
      </w:pPr>
    </w:p>
    <w:p>
      <w:pPr>
        <w:pStyle w:val="BodyText"/>
        <w:spacing w:line="240" w:lineRule="auto" w:before="0"/>
        <w:ind w:left="634" w:right="0"/>
        <w:jc w:val="left"/>
      </w:pPr>
      <w:r>
        <w:rPr/>
        <w:t>□ 适用 √ 不适用</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Heading2"/>
        <w:spacing w:line="319" w:lineRule="auto" w:before="182"/>
        <w:ind w:right="0"/>
        <w:jc w:val="left"/>
        <w:rPr>
          <w:b w:val="0"/>
          <w:bCs w:val="0"/>
        </w:rPr>
      </w:pPr>
      <w:bookmarkStart w:name="（3）境内外会计准则下会计数据差异原因说明，对已经境外审计机构审计的数据进行差异" w:id="470"/>
      <w:bookmarkEnd w:id="470"/>
      <w:r>
        <w:rPr>
          <w:b w:val="0"/>
          <w:bCs w:val="0"/>
        </w:rPr>
      </w: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w:t>
      </w:r>
      <w:r>
        <w:rPr>
          <w:spacing w:val="5"/>
          <w:w w:val="95"/>
        </w:rPr>
        <w:t> </w:t>
      </w:r>
      <w:r>
        <w:rPr>
          <w:spacing w:val="5"/>
          <w:w w:val="95"/>
        </w:rPr>
      </w:r>
      <w:r>
        <w:rPr/>
        <w:t>节的，应注明该境外机构的名称</w:t>
      </w:r>
      <w:r>
        <w:rPr>
          <w:b w:val="0"/>
          <w:bCs w:val="0"/>
        </w:rPr>
      </w:r>
    </w:p>
    <w:p>
      <w:pPr>
        <w:pStyle w:val="BodyText"/>
        <w:spacing w:line="240" w:lineRule="auto" w:before="183"/>
        <w:ind w:left="634" w:right="0"/>
        <w:jc w:val="left"/>
      </w:pPr>
      <w:r>
        <w:rPr/>
        <w:t>无</w:t>
      </w:r>
    </w:p>
    <w:p>
      <w:pPr>
        <w:pStyle w:val="Heading2"/>
        <w:spacing w:line="240" w:lineRule="auto" w:before="146"/>
        <w:ind w:right="0"/>
        <w:jc w:val="left"/>
        <w:rPr>
          <w:b w:val="0"/>
          <w:bCs w:val="0"/>
        </w:rPr>
      </w:pPr>
      <w:bookmarkStart w:name="4、其他" w:id="471"/>
      <w:bookmarkEnd w:id="471"/>
      <w:r>
        <w:rPr>
          <w:b w:val="0"/>
          <w:bCs w:val="0"/>
        </w:rPr>
      </w:r>
      <w:r>
        <w:rPr>
          <w:rFonts w:ascii="Times New Roman" w:hAnsi="Times New Roman" w:cs="Times New Roman" w:eastAsia="Times New Roman" w:hint="default"/>
        </w:rPr>
        <w:t>4</w:t>
      </w:r>
      <w:r>
        <w:rPr/>
        <w:t>、其他</w:t>
      </w:r>
      <w:r>
        <w:rPr>
          <w:b w:val="0"/>
          <w:bCs w:val="0"/>
        </w:rPr>
      </w:r>
    </w:p>
    <w:p>
      <w:pPr>
        <w:pStyle w:val="BodyText"/>
        <w:spacing w:line="240" w:lineRule="auto" w:before="127"/>
        <w:ind w:left="634" w:right="0"/>
        <w:jc w:val="left"/>
      </w:pPr>
      <w:r>
        <w:rPr/>
        <w:t>无</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第十二节 备查文件目录" w:id="472"/>
      <w:bookmarkEnd w:id="472"/>
      <w:r>
        <w:rPr>
          <w:b w:val="0"/>
          <w:bCs w:val="0"/>
        </w:rPr>
      </w:r>
      <w:bookmarkStart w:name="_bookmark11" w:id="473"/>
      <w:bookmarkEnd w:id="473"/>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352" w:lineRule="auto" w:before="215"/>
        <w:ind w:right="1152" w:firstLine="480"/>
        <w:jc w:val="left"/>
      </w:pPr>
      <w:r>
        <w:rPr/>
        <w:t>一、载有公司法定负责人、主管会计工作负责人、会计机构负责人签名并盖章的会计报 表。</w:t>
      </w:r>
    </w:p>
    <w:p>
      <w:pPr>
        <w:pStyle w:val="BodyText"/>
        <w:spacing w:line="350" w:lineRule="auto" w:before="32"/>
        <w:ind w:left="634" w:right="1152"/>
        <w:jc w:val="left"/>
      </w:pPr>
      <w:r>
        <w:rPr/>
        <w:t>二、载有会计师事务所盖章、注册会计师签名并盖章的财务审计报告原件。 三、报告期内，在中国证监会指定网站上公开披露过的所有公司文件的正本及公告的原</w:t>
      </w:r>
    </w:p>
    <w:p>
      <w:pPr>
        <w:pStyle w:val="BodyText"/>
        <w:spacing w:line="240" w:lineRule="auto"/>
        <w:ind w:right="0"/>
        <w:jc w:val="left"/>
      </w:pPr>
      <w:r>
        <w:rPr/>
        <w:t>稿。</w:t>
      </w:r>
    </w:p>
    <w:p>
      <w:pPr>
        <w:pStyle w:val="BodyText"/>
        <w:spacing w:line="240" w:lineRule="auto" w:before="145"/>
        <w:ind w:left="634" w:right="0"/>
        <w:jc w:val="left"/>
      </w:pPr>
      <w:r>
        <w:rPr/>
        <w:t>四、以上备查文件的备置地点：证券办公室。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2048" type="#_x0000_t75" stroked="false">
          <v:imagedata r:id="rId1" o:title=""/>
        </v:shape>
      </w:pict>
    </w:r>
    <w:r>
      <w:rPr/>
      <w:pict>
        <v:shape style="position:absolute;margin-left:533.179993pt;margin-top:795.517944pt;width:6.5pt;height:11pt;mso-position-horizontal-relative:page;mso-position-vertical-relative:page;z-index:-8920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2000" type="#_x0000_t75" stroked="false">
          <v:imagedata r:id="rId1" o:title=""/>
        </v:shape>
      </w:pict>
    </w:r>
    <w:r>
      <w:rPr/>
      <w:pict>
        <v:shape style="position:absolute;margin-left:527.679993pt;margin-top:781.957947pt;width:13pt;height:11pt;mso-position-horizontal-relative:page;mso-position-vertical-relative:page;z-index:-891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1952" type="#_x0000_t75" stroked="false">
          <v:imagedata r:id="rId1" o:title=""/>
        </v:shape>
      </w:pict>
    </w:r>
    <w:r>
      <w:rPr/>
      <w:pict>
        <v:shape style="position:absolute;margin-left:79.820pt;margin-top:724.467468pt;width:206pt;height:37pt;mso-position-horizontal-relative:page;mso-position-vertical-relative:page;z-index:-891928" type="#_x0000_t202" filled="false" stroked="false">
          <v:textbox inset="0,0,0,0">
            <w:txbxContent>
              <w:p>
                <w:pPr>
                  <w:pStyle w:val="BodyText"/>
                  <w:spacing w:line="260" w:lineRule="exact" w:before="0"/>
                  <w:ind w:left="20" w:right="0"/>
                  <w:jc w:val="left"/>
                </w:pPr>
                <w:r>
                  <w:rPr/>
                  <w:t>公司是否需要遵守特殊行业的披露要求</w:t>
                </w:r>
              </w:p>
              <w:p>
                <w:pPr>
                  <w:pStyle w:val="BodyText"/>
                  <w:spacing w:line="240" w:lineRule="auto" w:before="145"/>
                  <w:ind w:left="20" w:right="0"/>
                  <w:jc w:val="left"/>
                </w:pPr>
                <w:r>
                  <w:rPr/>
                  <w:t>是</w:t>
                </w:r>
              </w:p>
            </w:txbxContent>
          </v:textbox>
          <w10:wrap type="none"/>
        </v:shape>
      </w:pict>
    </w:r>
    <w:r>
      <w:rPr/>
      <w:pict>
        <v:shape style="position:absolute;margin-left:527.679993pt;margin-top:781.957947pt;width:13pt;height:11pt;mso-position-horizontal-relative:page;mso-position-vertical-relative:page;z-index:-891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1880" type="#_x0000_t75" stroked="false">
          <v:imagedata r:id="rId1" o:title=""/>
        </v:shape>
      </w:pict>
    </w:r>
    <w:r>
      <w:rPr/>
      <w:pict>
        <v:shape style="position:absolute;margin-left:527.679993pt;margin-top:781.957947pt;width:13pt;height:11pt;mso-position-horizontal-relative:page;mso-position-vertical-relative:page;z-index:-891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1832" type="#_x0000_t75" stroked="false">
          <v:imagedata r:id="rId1" o:title=""/>
        </v:shape>
      </w:pict>
    </w:r>
    <w:r>
      <w:rPr/>
      <w:pict>
        <v:shape style="position:absolute;margin-left:524.179993pt;margin-top:781.957947pt;width:15.5pt;height:11pt;mso-position-horizontal-relative:page;mso-position-vertical-relative:page;z-index:-8918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1784" type="#_x0000_t75" stroked="false">
          <v:imagedata r:id="rId1" o:title=""/>
        </v:shape>
      </w:pict>
    </w:r>
    <w:r>
      <w:rPr/>
      <w:pict>
        <v:shape style="position:absolute;margin-left:523.179993pt;margin-top:781.957947pt;width:17.5pt;height:11pt;mso-position-horizontal-relative:page;mso-position-vertical-relative:page;z-index:-891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8920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7"/>
      <w:ind w:left="154"/>
    </w:pPr>
    <w:rPr>
      <w:rFonts w:ascii="宋体" w:hAnsi="宋体" w:eastAsia="宋体"/>
      <w:b/>
      <w:bCs/>
      <w:sz w:val="28"/>
      <w:szCs w:val="28"/>
    </w:rPr>
  </w:style>
  <w:style w:styleId="BodyText" w:type="paragraph">
    <w:name w:val="Body Text"/>
    <w:basedOn w:val="Normal"/>
    <w:uiPriority w:val="1"/>
    <w:qFormat/>
    <w:pPr>
      <w:spacing w:before="36"/>
      <w:ind w:left="154"/>
    </w:pPr>
    <w:rPr>
      <w:rFonts w:ascii="宋体" w:hAnsi="宋体" w:eastAsia="宋体"/>
      <w:sz w:val="24"/>
      <w:szCs w:val="24"/>
    </w:rPr>
  </w:style>
  <w:style w:styleId="Heading1" w:type="paragraph">
    <w:name w:val="Heading 1"/>
    <w:basedOn w:val="Normal"/>
    <w:uiPriority w:val="1"/>
    <w:qFormat/>
    <w:pPr>
      <w:spacing w:before="1"/>
      <w:ind w:left="134"/>
      <w:outlineLvl w:val="1"/>
    </w:pPr>
    <w:rPr>
      <w:rFonts w:ascii="宋体" w:hAnsi="宋体" w:eastAsia="宋体"/>
      <w:b/>
      <w:bCs/>
      <w:sz w:val="32"/>
      <w:szCs w:val="32"/>
    </w:rPr>
  </w:style>
  <w:style w:styleId="Heading2" w:type="paragraph">
    <w:name w:val="Heading 2"/>
    <w:basedOn w:val="Normal"/>
    <w:uiPriority w:val="1"/>
    <w:qFormat/>
    <w:pPr>
      <w:spacing w:before="26"/>
      <w:ind w:left="154"/>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hhkj.cn/" TargetMode="External"/><Relationship Id="rId10" Type="http://schemas.openxmlformats.org/officeDocument/2006/relationships/hyperlink" Target="mailto:zqb@hhkj.cn" TargetMode="External"/><Relationship Id="rId11" Type="http://schemas.openxmlformats.org/officeDocument/2006/relationships/hyperlink" Target="mailto:duxusheng@hhkj.cn" TargetMode="External"/><Relationship Id="rId12" Type="http://schemas.openxmlformats.org/officeDocument/2006/relationships/hyperlink" Target="mailto:guozhimin@hhkj.cn"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3.jpeg"/><Relationship Id="rId17" Type="http://schemas.openxmlformats.org/officeDocument/2006/relationships/footer" Target="footer5.xml"/><Relationship Id="rId18"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河南辉煌科技股份有限公司</dc:creator>
  <dc:title>河南辉煌科技股份有限公司2018年年度报告全文</dc:title>
  <dcterms:created xsi:type="dcterms:W3CDTF">2020-05-04T18:59:23Z</dcterms:created>
  <dcterms:modified xsi:type="dcterms:W3CDTF">2020-05-04T18:59:23Z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2019-03-19T00:00:00Z</vt:filetime>
  </property>
  <property fmtid="{D5CDD505-2E9C-101B-9397-08002B2CF9AE}" pid="3" name="Creator">
    <vt:lpwstr>Microsoft® Office Word 2007</vt:lpwstr>
  </property>
  <property fmtid="{D5CDD505-2E9C-101B-9397-08002B2CF9AE}" pid="4" name="LastSaved">
    <vt:filetime>2020-05-04T00:00:00Z</vt:filetime>
  </property>
</Properties>
</file>