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81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127760" cy="51815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27760" cy="518159"/>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sz w:val="36"/>
          <w:szCs w:val="36"/>
        </w:rPr>
        <w:t>河南辉煌科技股份有限公司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0" w:right="979" w:firstLine="0"/>
        <w:jc w:val="center"/>
        <w:rPr>
          <w:rFonts w:ascii="Times New Roman" w:hAnsi="Times New Roman" w:cs="Times New Roman" w:eastAsia="Times New Roman" w:hint="default"/>
          <w:sz w:val="32"/>
          <w:szCs w:val="32"/>
        </w:rPr>
      </w:pPr>
      <w:r>
        <w:rPr>
          <w:rFonts w:ascii="Times New Roman"/>
          <w:b/>
          <w:sz w:val="32"/>
        </w:rPr>
        <w:t>2020-020</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right="980"/>
        <w:jc w:val="center"/>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6"/>
        <w:ind w:right="996" w:firstLine="480"/>
        <w:jc w:val="left"/>
      </w:pPr>
      <w:r>
        <w:rPr/>
        <w:t>公司董事会、监事会及董事、监事、高级管理人员保证年度报告内容的真实、准确、完 整，不存在虚假记载、误导性陈述或重大遗漏，并承担个别和连带的法律责任。</w:t>
      </w:r>
    </w:p>
    <w:p>
      <w:pPr>
        <w:pStyle w:val="BodyText"/>
        <w:spacing w:line="331" w:lineRule="auto" w:before="34"/>
        <w:ind w:right="996" w:firstLine="480"/>
        <w:jc w:val="left"/>
      </w:pPr>
      <w:r>
        <w:rPr>
          <w:spacing w:val="2"/>
        </w:rPr>
        <w:t>公司负责人李海鹰、主管会计工作负责人侯菊艳及会计机构负责人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窦永 </w:t>
      </w:r>
      <w:r>
        <w:rPr/>
        <w:t>贺声明：保证年度报告中财务报告的真实、准确、完整。</w:t>
      </w:r>
    </w:p>
    <w:p>
      <w:pPr>
        <w:pStyle w:val="BodyText"/>
        <w:spacing w:line="352" w:lineRule="auto" w:before="55"/>
        <w:ind w:left="633" w:right="996"/>
        <w:jc w:val="left"/>
      </w:pPr>
      <w:r>
        <w:rPr/>
        <w:t>所有董事均已出席了审议本报告的董事会会议。 本年度报告内容中如有涉及未来的计划、业绩预测等方面的前瞻性陈述，均不构成本公</w:t>
      </w:r>
    </w:p>
    <w:p>
      <w:pPr>
        <w:pStyle w:val="BodyText"/>
        <w:spacing w:line="352" w:lineRule="auto" w:before="31"/>
        <w:ind w:right="1139"/>
        <w:jc w:val="both"/>
      </w:pPr>
      <w:r>
        <w:rPr/>
        <w:t>司对任何投资者的实质承诺，能否实现取决于市场状况变化、经营团队的努力程度等多种因</w:t>
      </w:r>
      <w:r>
        <w:rPr>
          <w:spacing w:val="-91"/>
        </w:rPr>
        <w:t> </w:t>
      </w:r>
      <w:r>
        <w:rPr>
          <w:spacing w:val="-91"/>
        </w:rPr>
      </w:r>
      <w:r>
        <w:rPr/>
        <w:t>素，存在很大的不确定性，请投资者注意投资风险。</w:t>
      </w:r>
    </w:p>
    <w:p>
      <w:pPr>
        <w:pStyle w:val="BodyText"/>
        <w:spacing w:line="331" w:lineRule="auto" w:before="34"/>
        <w:ind w:left="633" w:right="996"/>
        <w:jc w:val="left"/>
      </w:pPr>
      <w:r>
        <w:rPr>
          <w:rFonts w:ascii="Times New Roman" w:hAnsi="Times New Roman" w:cs="Times New Roman" w:eastAsia="Times New Roman" w:hint="default"/>
        </w:rPr>
        <w:t>1</w:t>
      </w:r>
      <w:r>
        <w:rPr/>
        <w:t>、行业政策变化风险。 近年来国家持续加大对交通运输业的重视，并将交通强国建设与</w:t>
      </w:r>
      <w:r>
        <w:rPr>
          <w:rFonts w:ascii="Times New Roman" w:hAnsi="Times New Roman" w:cs="Times New Roman" w:eastAsia="Times New Roman" w:hint="default"/>
        </w:rPr>
        <w:t>“</w:t>
      </w:r>
      <w:r>
        <w:rPr/>
        <w:t>新三步走</w:t>
      </w:r>
      <w:r>
        <w:rPr>
          <w:rFonts w:ascii="Times New Roman" w:hAnsi="Times New Roman" w:cs="Times New Roman" w:eastAsia="Times New Roman" w:hint="default"/>
        </w:rPr>
        <w:t>”</w:t>
      </w:r>
      <w:r>
        <w:rPr/>
        <w:t>战略时间点</w:t>
      </w:r>
    </w:p>
    <w:p>
      <w:pPr>
        <w:pStyle w:val="BodyText"/>
        <w:spacing w:line="348" w:lineRule="auto" w:before="27"/>
        <w:ind w:right="1131"/>
        <w:jc w:val="both"/>
      </w:pPr>
      <w:r>
        <w:rPr/>
        <w:t>相结合，持续稳步推进交通强国建设，完善交通基础设施安全技术标准规范，持续加大基础</w:t>
      </w:r>
      <w:r>
        <w:rPr>
          <w:spacing w:val="-91"/>
        </w:rPr>
        <w:t> </w:t>
      </w:r>
      <w:r>
        <w:rPr>
          <w:spacing w:val="-91"/>
        </w:rPr>
      </w:r>
      <w:r>
        <w:rPr>
          <w:spacing w:val="-5"/>
        </w:rPr>
        <w:t>设施安全防护投入。结合《交通强国建设纲要》、</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
        </w:rPr>
        <w:t>月印发的《中长期铁路网规划》</w:t>
      </w:r>
      <w:r>
        <w:rPr/>
        <w:t> 以及 </w:t>
      </w: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spacing w:val="-4"/>
          <w:w w:val="100"/>
        </w:rPr>
        <w:t>年印发的《铁路</w:t>
      </w:r>
      <w:r>
        <w:rPr>
          <w:rFonts w:ascii="Times New Roman" w:hAnsi="Times New Roman" w:cs="Times New Roman" w:eastAsia="Times New Roman" w:hint="default"/>
          <w:spacing w:val="-4"/>
          <w:w w:val="100"/>
        </w:rPr>
        <w:t>“</w:t>
      </w:r>
      <w:r>
        <w:rPr>
          <w:spacing w:val="-4"/>
          <w:w w:val="100"/>
        </w:rPr>
        <w:t>十三五</w:t>
      </w:r>
      <w:r>
        <w:rPr>
          <w:rFonts w:ascii="Times New Roman" w:hAnsi="Times New Roman" w:cs="Times New Roman" w:eastAsia="Times New Roman" w:hint="default"/>
          <w:spacing w:val="-4"/>
          <w:w w:val="100"/>
        </w:rPr>
        <w:t>”</w:t>
      </w:r>
      <w:r>
        <w:rPr>
          <w:spacing w:val="-4"/>
          <w:w w:val="100"/>
        </w:rPr>
        <w:t>发展规划》，预计未来十年，铁路及轨道交通领域发展空</w:t>
      </w:r>
      <w:r>
        <w:rPr/>
        <w:t> 间可观，相关项目建设投资可能大幅增加。现阶段轨道交通建设项目主要由政府进行主导，</w:t>
      </w:r>
      <w:r>
        <w:rPr>
          <w:spacing w:val="-91"/>
        </w:rPr>
        <w:t> </w:t>
      </w:r>
      <w:r>
        <w:rPr>
          <w:spacing w:val="-91"/>
        </w:rPr>
      </w:r>
      <w:r>
        <w:rPr/>
        <w:t>建设资金主要来自于政府财政和外部融资。政府对轨道交通等交通基础设施建设的投入规划</w:t>
      </w:r>
      <w:r>
        <w:rPr>
          <w:spacing w:val="-91"/>
        </w:rPr>
        <w:t> </w:t>
      </w:r>
      <w:r>
        <w:rPr>
          <w:spacing w:val="-91"/>
        </w:rPr>
      </w:r>
      <w:r>
        <w:rPr/>
        <w:t>取决于对我国总体经济情况的预期、现有基础设施使用情况、预期的需求情况、政府融资渠</w:t>
      </w:r>
      <w:r>
        <w:rPr>
          <w:spacing w:val="-91"/>
        </w:rPr>
        <w:t> </w:t>
      </w:r>
      <w:r>
        <w:rPr>
          <w:spacing w:val="-91"/>
        </w:rPr>
      </w:r>
      <w:r>
        <w:rPr/>
        <w:t>道及财政支出能力以及各地区经济发展的政策、政府债务政策等相关政策的变化。如果未来</w:t>
      </w:r>
      <w:r>
        <w:rPr>
          <w:spacing w:val="-91"/>
        </w:rPr>
        <w:t> </w:t>
      </w:r>
      <w:r>
        <w:rPr>
          <w:spacing w:val="-91"/>
        </w:rPr>
      </w:r>
      <w:r>
        <w:rPr/>
        <w:t>限制轨道交通行业发展的不利政策出台，或宏观经济增长水平回落导致政府财政趋于紧张，</w:t>
      </w:r>
      <w:r>
        <w:rPr>
          <w:spacing w:val="-90"/>
        </w:rPr>
        <w:t> </w:t>
      </w:r>
      <w:r>
        <w:rPr>
          <w:spacing w:val="-90"/>
        </w:rPr>
      </w:r>
      <w:r>
        <w:rPr/>
        <w:t>地方政府可能减少对轨道交通建设项目的投资，市场需求发生不利变化，从而对公司的经营</w:t>
      </w:r>
      <w:r>
        <w:rPr>
          <w:spacing w:val="-91"/>
        </w:rPr>
        <w:t> </w:t>
      </w:r>
      <w:r>
        <w:rPr>
          <w:spacing w:val="-91"/>
        </w:rPr>
      </w:r>
      <w:r>
        <w:rPr/>
        <w:t>状况和盈利能力产生重大影响。应对措施：公司及时收集行业相关信息，掌握和了解轨道交</w:t>
      </w:r>
      <w:r>
        <w:rPr>
          <w:spacing w:val="-91"/>
        </w:rPr>
        <w:t> </w:t>
      </w:r>
      <w:r>
        <w:rPr>
          <w:spacing w:val="-91"/>
        </w:rPr>
      </w:r>
      <w:r>
        <w:rPr/>
        <w:t>通行业的政策变化，分析研究政策变化对公司产生的影响，积极应对，提早防范；结合行业</w:t>
      </w:r>
      <w:r>
        <w:rPr>
          <w:spacing w:val="-91"/>
        </w:rPr>
        <w:t> </w:t>
      </w:r>
      <w:r>
        <w:rPr>
          <w:spacing w:val="-91"/>
        </w:rPr>
      </w:r>
      <w:r>
        <w:rPr/>
        <w:t>发展趋势，及时调整公司战略规划和产业布局，优化业务线条，创新商业模式，提高公司抵</w:t>
      </w:r>
      <w:r>
        <w:rPr>
          <w:spacing w:val="-91"/>
        </w:rPr>
        <w:t> </w:t>
      </w:r>
      <w:r>
        <w:rPr>
          <w:spacing w:val="-91"/>
        </w:rPr>
      </w:r>
      <w:r>
        <w:rPr/>
        <w:t>御风险能力。</w:t>
      </w:r>
    </w:p>
    <w:p>
      <w:pPr>
        <w:pStyle w:val="BodyText"/>
        <w:spacing w:line="331" w:lineRule="auto" w:before="38"/>
        <w:ind w:left="633" w:right="996"/>
        <w:jc w:val="left"/>
      </w:pPr>
      <w:r>
        <w:rPr>
          <w:rFonts w:ascii="Times New Roman" w:hAnsi="Times New Roman" w:cs="Times New Roman" w:eastAsia="Times New Roman" w:hint="default"/>
        </w:rPr>
        <w:t>2</w:t>
      </w:r>
      <w:r>
        <w:rPr/>
        <w:t>、行业竞争加剧可能导致利润空间变小风险。 中国铁路集团公司的公司制改革仍在进行中，国铁集团下属的大型科研机构的企业化运</w:t>
      </w:r>
    </w:p>
    <w:p>
      <w:pPr>
        <w:pStyle w:val="BodyText"/>
        <w:spacing w:line="352" w:lineRule="auto" w:before="55"/>
        <w:ind w:right="996"/>
        <w:jc w:val="left"/>
      </w:pPr>
      <w:r>
        <w:rPr>
          <w:spacing w:val="-3"/>
        </w:rPr>
        <w:t>行体系正在逐步转变，进而成为新的拥有轨道交通行业全产业链大型企业。另外，中共中央、</w:t>
      </w:r>
      <w:r>
        <w:rPr>
          <w:spacing w:val="-81"/>
        </w:rPr>
        <w:t> </w:t>
      </w:r>
      <w:r>
        <w:rPr>
          <w:spacing w:val="-81"/>
        </w:rPr>
      </w:r>
      <w:r>
        <w:rPr/>
        <w:t>国务院印发的《关于营造更好发展环境支持民营企业改革发展的意见》中进一步放开民营企</w:t>
      </w:r>
    </w:p>
    <w:p>
      <w:pPr>
        <w:spacing w:after="0" w:line="352" w:lineRule="auto"/>
        <w:jc w:val="left"/>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352" w:lineRule="auto" w:before="26"/>
        <w:ind w:right="1130"/>
        <w:jc w:val="both"/>
      </w:pPr>
      <w:r>
        <w:rPr>
          <w:spacing w:val="-5"/>
        </w:rPr>
        <w:t>业市场准入，以及国家铁路局发布了《国家铁路局关于废止部分规范性文件的通知》，取消了</w:t>
      </w:r>
      <w:r>
        <w:rPr>
          <w:spacing w:val="-116"/>
        </w:rPr>
        <w:t> </w:t>
      </w:r>
      <w:r>
        <w:rPr>
          <w:spacing w:val="-116"/>
        </w:rPr>
      </w:r>
      <w:r>
        <w:rPr/>
        <w:t>铁路专用设备产品准入等行政化审批事项。使公司所在行业的准入门槛随之降低，潜在竞争</w:t>
      </w:r>
      <w:r>
        <w:rPr>
          <w:spacing w:val="-87"/>
        </w:rPr>
        <w:t> </w:t>
      </w:r>
      <w:r>
        <w:rPr>
          <w:spacing w:val="-87"/>
        </w:rPr>
      </w:r>
      <w:r>
        <w:rPr/>
        <w:t>者数量增加。随着未来铁路行业的进一步市场化以及与公司相关的传统铁路装备市场趋于饱</w:t>
      </w:r>
      <w:r>
        <w:rPr>
          <w:spacing w:val="-91"/>
        </w:rPr>
        <w:t> </w:t>
      </w:r>
      <w:r>
        <w:rPr>
          <w:spacing w:val="-91"/>
        </w:rPr>
      </w:r>
      <w:r>
        <w:rPr/>
        <w:t>和，公司将面临市场竞争加剧的风险。公司主要产品可能受到竞争加剧导致销售价格下降、</w:t>
      </w:r>
      <w:r>
        <w:rPr>
          <w:spacing w:val="-91"/>
        </w:rPr>
        <w:t> </w:t>
      </w:r>
      <w:r>
        <w:rPr>
          <w:spacing w:val="-91"/>
        </w:rPr>
      </w:r>
      <w:r>
        <w:rPr/>
        <w:t>毛利率降低。应对措施：整合内外部资源，加大研发投入，加强成熟系统的智能升级，提升</w:t>
      </w:r>
      <w:r>
        <w:rPr>
          <w:spacing w:val="-89"/>
        </w:rPr>
        <w:t> </w:t>
      </w:r>
      <w:r>
        <w:rPr>
          <w:spacing w:val="-89"/>
        </w:rPr>
      </w:r>
      <w:r>
        <w:rPr/>
        <w:t>客户满意度，打造以技术和质量为核心的产品竞争力，避免恶性价格竞争；积极开拓城轨市</w:t>
      </w:r>
      <w:r>
        <w:rPr>
          <w:spacing w:val="-91"/>
        </w:rPr>
        <w:t> </w:t>
      </w:r>
      <w:r>
        <w:rPr>
          <w:spacing w:val="-91"/>
        </w:rPr>
      </w:r>
      <w:r>
        <w:rPr/>
        <w:t>场，集中优势资源推进新产品在城轨领域的全面布局，对公司总体毛利水平产生正向积极作</w:t>
      </w:r>
      <w:r>
        <w:rPr>
          <w:spacing w:val="-91"/>
        </w:rPr>
        <w:t> </w:t>
      </w:r>
      <w:r>
        <w:rPr>
          <w:spacing w:val="-91"/>
        </w:rPr>
      </w:r>
      <w:r>
        <w:rPr/>
        <w:t>用。</w:t>
      </w:r>
    </w:p>
    <w:p>
      <w:pPr>
        <w:pStyle w:val="BodyText"/>
        <w:spacing w:line="333" w:lineRule="auto" w:before="32"/>
        <w:ind w:left="633" w:right="996"/>
        <w:jc w:val="left"/>
      </w:pPr>
      <w:r>
        <w:rPr>
          <w:rFonts w:ascii="Times New Roman" w:hAnsi="Times New Roman" w:cs="Times New Roman" w:eastAsia="Times New Roman" w:hint="default"/>
        </w:rPr>
        <w:t>3</w:t>
      </w:r>
      <w:r>
        <w:rPr/>
        <w:t>、新产品研发未如期形成收入的风险。 为了保持市场地位，公司根据客户需求情况不断开展新技术和新产品的研发，需要投入</w:t>
      </w:r>
    </w:p>
    <w:p>
      <w:pPr>
        <w:pStyle w:val="BodyText"/>
        <w:spacing w:line="350" w:lineRule="auto" w:before="53"/>
        <w:ind w:right="1137"/>
        <w:jc w:val="both"/>
      </w:pPr>
      <w:r>
        <w:rPr/>
        <w:t>大量的人力和财力。由于从技术研发到产业化过程中将可能遇到技术研发进度缓慢、技术及</w:t>
      </w:r>
      <w:r>
        <w:rPr>
          <w:spacing w:val="-91"/>
        </w:rPr>
        <w:t> </w:t>
      </w:r>
      <w:r>
        <w:rPr>
          <w:spacing w:val="-91"/>
        </w:rPr>
      </w:r>
      <w:r>
        <w:rPr/>
        <w:t>产品发展趋势判断失误以及技术成果转化不力等不确定性因素，可能导致新技术、新产品研</w:t>
      </w:r>
      <w:r>
        <w:rPr>
          <w:spacing w:val="-91"/>
        </w:rPr>
        <w:t> </w:t>
      </w:r>
      <w:r>
        <w:rPr>
          <w:spacing w:val="-91"/>
        </w:rPr>
      </w:r>
      <w:r>
        <w:rPr/>
        <w:t>发失败或投入市场的新产品无法如期为公司带来预期的收益，对公司的发展产生不利影响。</w:t>
      </w:r>
      <w:r>
        <w:rPr>
          <w:spacing w:val="-90"/>
        </w:rPr>
        <w:t> </w:t>
      </w:r>
      <w:r>
        <w:rPr>
          <w:spacing w:val="-90"/>
        </w:rPr>
      </w:r>
      <w:r>
        <w:rPr/>
        <w:t>应对措施：公司将在持续加大技术研发投入的同时，加强与高等院校、专业机构等合作，加</w:t>
      </w:r>
      <w:r>
        <w:rPr>
          <w:spacing w:val="-91"/>
        </w:rPr>
        <w:t> </w:t>
      </w:r>
      <w:r>
        <w:rPr>
          <w:spacing w:val="-91"/>
        </w:rPr>
      </w:r>
      <w:r>
        <w:rPr/>
        <w:t>大新产品试点、推广力度，同时紧跟行业发展趋势，加强与客户沟通，根据市场需求及时调</w:t>
      </w:r>
      <w:r>
        <w:rPr>
          <w:spacing w:val="-91"/>
        </w:rPr>
        <w:t> </w:t>
      </w:r>
      <w:r>
        <w:rPr>
          <w:spacing w:val="-91"/>
        </w:rPr>
      </w:r>
      <w:r>
        <w:rPr/>
        <w:t>整研发方向。</w:t>
      </w:r>
    </w:p>
    <w:p>
      <w:pPr>
        <w:pStyle w:val="BodyText"/>
        <w:spacing w:line="331" w:lineRule="auto" w:before="36"/>
        <w:ind w:left="633" w:right="996"/>
        <w:jc w:val="left"/>
      </w:pPr>
      <w:r>
        <w:rPr>
          <w:rFonts w:ascii="Times New Roman" w:hAnsi="Times New Roman" w:cs="Times New Roman" w:eastAsia="Times New Roman" w:hint="default"/>
        </w:rPr>
        <w:t>4</w:t>
      </w:r>
      <w:r>
        <w:rPr/>
        <w:t>、业务整合带来的管理风险。 随着这些新领域的拓展，业务及产品线的延展，公司已经发展为拥有多家控参股子公司</w:t>
      </w:r>
    </w:p>
    <w:p>
      <w:pPr>
        <w:pStyle w:val="BodyText"/>
        <w:spacing w:line="350" w:lineRule="auto" w:before="55"/>
        <w:ind w:right="996"/>
        <w:jc w:val="left"/>
      </w:pPr>
      <w:r>
        <w:rPr/>
        <w:t>的构架体系，公司在执行战略规划、人力资源管理、项目管理、财务管理及内部控制等方面</w:t>
      </w:r>
      <w:r>
        <w:rPr>
          <w:spacing w:val="-91"/>
        </w:rPr>
        <w:t> </w:t>
      </w:r>
      <w:r>
        <w:rPr>
          <w:spacing w:val="-91"/>
        </w:rPr>
      </w:r>
      <w:r>
        <w:rPr/>
        <w:t>将面临更大的挑战。如何提高整体运营效能，发挥协同优势并保持可持续发展和增长是面临</w:t>
      </w:r>
      <w:r>
        <w:rPr>
          <w:spacing w:val="-91"/>
        </w:rPr>
        <w:t> </w:t>
      </w:r>
      <w:r>
        <w:rPr>
          <w:spacing w:val="-91"/>
        </w:rPr>
      </w:r>
      <w:r>
        <w:rPr>
          <w:spacing w:val="-2"/>
        </w:rPr>
        <w:t>的新挑战。应对措施：加大对各业务板块的经营目标考核管理，不断从战略发展、市场协同、</w:t>
      </w:r>
      <w:r>
        <w:rPr/>
        <w:t> 人才激励等各个方面完善相关内控制度与流程。持续优化多业务板块的内部运营机制和监督</w:t>
      </w:r>
      <w:r>
        <w:rPr>
          <w:spacing w:val="-91"/>
        </w:rPr>
        <w:t> </w:t>
      </w:r>
      <w:r>
        <w:rPr>
          <w:spacing w:val="-91"/>
        </w:rPr>
      </w:r>
      <w:r>
        <w:rPr/>
        <w:t>机制，整合发展要素，做好环境分析，确立风险管理战略与偏好，保证公司整体运营健康、</w:t>
      </w:r>
      <w:r>
        <w:rPr>
          <w:spacing w:val="-91"/>
        </w:rPr>
        <w:t> </w:t>
      </w:r>
      <w:r>
        <w:rPr>
          <w:spacing w:val="-91"/>
        </w:rPr>
      </w:r>
      <w:r>
        <w:rPr/>
        <w:t>安全、高效。</w:t>
      </w:r>
    </w:p>
    <w:p>
      <w:pPr>
        <w:pStyle w:val="BodyText"/>
        <w:spacing w:line="240" w:lineRule="auto" w:before="37"/>
        <w:ind w:left="633" w:right="996"/>
        <w:jc w:val="left"/>
      </w:pPr>
      <w:r>
        <w:rPr/>
        <w:t>公司经本次董事会审议通过的利润分配预案为：以公司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3"/>
        </w:rPr>
        <w:t> </w:t>
      </w:r>
      <w:r>
        <w:rPr/>
        <w:t>日的总股本</w:t>
      </w:r>
    </w:p>
    <w:p>
      <w:pPr>
        <w:pStyle w:val="BodyText"/>
        <w:spacing w:line="331" w:lineRule="auto" w:before="128"/>
        <w:ind w:right="1002"/>
        <w:jc w:val="left"/>
      </w:pPr>
      <w:r>
        <w:rPr>
          <w:rFonts w:ascii="Times New Roman" w:hAnsi="Times New Roman" w:cs="Times New Roman" w:eastAsia="Times New Roman" w:hint="default"/>
        </w:rPr>
        <w:t>376,656,420 </w:t>
      </w:r>
      <w:r>
        <w:rPr>
          <w:spacing w:val="-5"/>
        </w:rPr>
        <w:t>股为基数，向全体股东每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9"/>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spacing w:val="-25"/>
        </w:rPr>
        <w:t>元（含税），送红股</w:t>
      </w:r>
      <w:r>
        <w:rPr>
          <w:spacing w:val="-59"/>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29"/>
        </w:rPr>
        <w:t>股（含税），</w:t>
      </w:r>
      <w:r>
        <w:rPr/>
        <w:t> 不以公积金转增股本。</w:t>
      </w:r>
    </w:p>
    <w:p>
      <w:pPr>
        <w:spacing w:after="0" w:line="33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24" w:val="left" w:leader="none"/>
        </w:tabs>
        <w:spacing w:before="125"/>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40</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49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54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55</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56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62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68</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t>69</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207</w:t>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公司、辉煌科技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辉煌软件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河南辉煌软件有限公司，公司全资子公司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北京全路信通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北京全路信通技术有限公司，公司全资子公司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国铁路阳</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辉煌城轨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辉煌信通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洛阳辉煌城轨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洛阳辉煌城轨科技有限公司，公司全资子公司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飞天联合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飞天联合（北京）系统技术有限公司，公司参股子公司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赛弗科技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北京赛弗网络科技有限责任公司，公司参股子公司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七彩通达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北京七彩通达传媒股份有限公司，公司参股子公司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北京智慧图科技有限责任公司，公司参股子公司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丰图辉煌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深圳丰图辉煌基金管理中心（有限合伙</w:t>
            </w:r>
            <w:r>
              <w:rPr>
                <w:rFonts w:ascii="宋体" w:hAnsi="宋体" w:cs="宋体" w:eastAsia="宋体" w:hint="default"/>
                <w:spacing w:val="-92"/>
                <w:sz w:val="18"/>
                <w:szCs w:val="18"/>
              </w:rPr>
              <w:t>）</w:t>
            </w:r>
            <w:r>
              <w:rPr>
                <w:rFonts w:ascii="宋体" w:hAnsi="宋体" w:cs="宋体" w:eastAsia="宋体" w:hint="default"/>
                <w:sz w:val="18"/>
                <w:szCs w:val="18"/>
              </w:rPr>
              <w:t>，公司合伙企业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西南交大驱动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成都西南交大驱动技术有限责任公司，公司控股子公司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r>
              <w:rPr>
                <w:rFonts w:ascii="Times New Roman" w:hAnsi="Times New Roman" w:cs="Times New Roman" w:eastAsia="Times New Roman" w:hint="default"/>
                <w:sz w:val="18"/>
                <w:szCs w:val="18"/>
              </w:rPr>
              <w:t>/</w:t>
            </w:r>
            <w:r>
              <w:rPr>
                <w:rFonts w:ascii="宋体" w:hAnsi="宋体" w:cs="宋体" w:eastAsia="宋体" w:hint="default"/>
                <w:sz w:val="18"/>
                <w:szCs w:val="18"/>
              </w:rPr>
              <w:t>股东会、董事会、监事会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河南辉煌科技股份有限公司股东大会、董事会、监事会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《河南辉煌科技股份有限公司公司章程》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国铁集团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中国铁路总公司、中国国家铁路集团有限公司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深圳证券交易所中小企业板</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CRCC</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铁路产品认证管理委员会暨中铁检验认证中心有限公司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城市轨道交通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996"/>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2"/>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996"/>
        <w:jc w:val="left"/>
        <w:rPr>
          <w:b w:val="0"/>
          <w:bCs w:val="0"/>
        </w:rPr>
      </w:pPr>
      <w:bookmarkStart w:name="一、公司信息" w:id="5"/>
      <w:bookmarkEnd w:id="5"/>
      <w:r>
        <w:rPr>
          <w:b w:val="0"/>
          <w:bCs w:val="0"/>
        </w:rPr>
      </w:r>
      <w:r>
        <w:rPr/>
        <w:t>一、公司信息</w:t>
      </w:r>
      <w:r>
        <w:rPr>
          <w:b w:val="0"/>
          <w:bCs w:val="0"/>
        </w:rPr>
      </w: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828"/>
        <w:gridCol w:w="2410"/>
        <w:gridCol w:w="1418"/>
        <w:gridCol w:w="1913"/>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辉煌科技</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002296</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辉煌科技</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HeNan Splendor Science &amp; Technology Co.,</w:t>
            </w:r>
            <w:r>
              <w:rPr>
                <w:rFonts w:ascii="Times New Roman"/>
                <w:spacing w:val="-29"/>
                <w:sz w:val="21"/>
              </w:rPr>
              <w:t> </w:t>
            </w:r>
            <w:r>
              <w:rPr>
                <w:rFonts w:ascii="Times New Roman"/>
                <w:sz w:val="21"/>
              </w:rPr>
              <w:t>Ltd.</w:t>
            </w:r>
          </w:p>
        </w:tc>
      </w:tr>
      <w:tr>
        <w:trPr>
          <w:trHeight w:val="404"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HHKJ</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李海鹰</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450001</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450001</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hyperlink r:id="rId9">
              <w:r>
                <w:rPr>
                  <w:rFonts w:ascii="Times New Roman"/>
                  <w:sz w:val="21"/>
                </w:rPr>
                <w:t>http://www.hhkj.cn</w:t>
              </w:r>
            </w:hyperlink>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hyperlink r:id="rId10">
              <w:r>
                <w:rPr>
                  <w:rFonts w:ascii="Times New Roman"/>
                  <w:sz w:val="21"/>
                </w:rPr>
                <w:t>zqb@hhkj.cn</w:t>
              </w:r>
            </w:hyperlink>
          </w:p>
        </w:tc>
      </w:tr>
    </w:tbl>
    <w:p>
      <w:pPr>
        <w:spacing w:line="240" w:lineRule="auto" w:before="12"/>
        <w:rPr>
          <w:rFonts w:ascii="宋体" w:hAnsi="宋体" w:cs="宋体" w:eastAsia="宋体" w:hint="default"/>
          <w:b/>
          <w:bCs/>
          <w:sz w:val="17"/>
          <w:szCs w:val="17"/>
        </w:rPr>
      </w:pPr>
    </w:p>
    <w:p>
      <w:pPr>
        <w:pStyle w:val="Heading2"/>
        <w:spacing w:line="240" w:lineRule="auto"/>
        <w:ind w:right="996"/>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
        <w:rPr>
          <w:rFonts w:ascii="宋体" w:hAnsi="宋体" w:cs="宋体" w:eastAsia="宋体" w:hint="default"/>
          <w:b/>
          <w:bCs/>
          <w:sz w:val="12"/>
          <w:szCs w:val="12"/>
        </w:rPr>
      </w:pPr>
    </w:p>
    <w:tbl>
      <w:tblPr>
        <w:tblW w:w="0" w:type="auto"/>
        <w:jc w:val="left"/>
        <w:tblInd w:w="160" w:type="dxa"/>
        <w:tblLayout w:type="fixed"/>
        <w:tblCellMar>
          <w:top w:w="0" w:type="dxa"/>
          <w:left w:w="0" w:type="dxa"/>
          <w:bottom w:w="0" w:type="dxa"/>
          <w:right w:w="0" w:type="dxa"/>
        </w:tblCellMar>
        <w:tblLook w:val="01E0"/>
      </w:tblPr>
      <w:tblGrid>
        <w:gridCol w:w="1253"/>
        <w:gridCol w:w="4124"/>
        <w:gridCol w:w="4181"/>
      </w:tblGrid>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杜旭升</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郭志敏</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郑州市高新技术产业开发区科学大道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0371-67371035</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0371-67371035</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0371-67388201</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0371-67388201</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1">
              <w:r>
                <w:rPr>
                  <w:rFonts w:ascii="Times New Roman"/>
                  <w:sz w:val="21"/>
                </w:rPr>
                <w:t>duxusheng@hhkj.cn</w:t>
              </w:r>
            </w:hyperlink>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hyperlink r:id="rId12">
              <w:r>
                <w:rPr>
                  <w:rFonts w:ascii="Times New Roman"/>
                  <w:sz w:val="21"/>
                </w:rPr>
                <w:t>guozhimin@hhkj.cn</w:t>
              </w:r>
            </w:hyperlink>
          </w:p>
        </w:tc>
      </w:tr>
    </w:tbl>
    <w:p>
      <w:pPr>
        <w:spacing w:line="240" w:lineRule="auto" w:before="11"/>
        <w:rPr>
          <w:rFonts w:ascii="宋体" w:hAnsi="宋体" w:cs="宋体" w:eastAsia="宋体" w:hint="default"/>
          <w:b/>
          <w:bCs/>
          <w:sz w:val="17"/>
          <w:szCs w:val="17"/>
        </w:rPr>
      </w:pPr>
    </w:p>
    <w:p>
      <w:pPr>
        <w:pStyle w:val="Heading2"/>
        <w:spacing w:line="240" w:lineRule="auto"/>
        <w:ind w:right="996"/>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4"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证券事务办公室</w:t>
            </w:r>
          </w:p>
        </w:tc>
      </w:tr>
    </w:tbl>
    <w:p>
      <w:pPr>
        <w:spacing w:line="240" w:lineRule="auto" w:before="11"/>
        <w:rPr>
          <w:rFonts w:ascii="宋体" w:hAnsi="宋体" w:cs="宋体" w:eastAsia="宋体" w:hint="default"/>
          <w:b/>
          <w:bCs/>
          <w:sz w:val="17"/>
          <w:szCs w:val="17"/>
        </w:rPr>
      </w:pPr>
    </w:p>
    <w:p>
      <w:pPr>
        <w:pStyle w:val="Heading2"/>
        <w:spacing w:line="240" w:lineRule="auto"/>
        <w:ind w:right="996"/>
        <w:jc w:val="left"/>
        <w:rPr>
          <w:b w:val="0"/>
          <w:bCs w:val="0"/>
        </w:rPr>
      </w:pPr>
      <w:bookmarkStart w:name="四、注册变更情况" w:id="8"/>
      <w:bookmarkEnd w:id="8"/>
      <w:r>
        <w:rPr>
          <w:b w:val="0"/>
          <w:bCs w:val="0"/>
        </w:rPr>
      </w:r>
      <w:r>
        <w:rPr/>
        <w:t>四、注册变更情况</w:t>
      </w:r>
      <w:r>
        <w:rPr>
          <w:b w:val="0"/>
          <w:bCs w:val="0"/>
        </w:rPr>
      </w:r>
    </w:p>
    <w:p>
      <w:pPr>
        <w:spacing w:line="240" w:lineRule="auto" w:before="1"/>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36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914101007324826746</w:t>
            </w:r>
          </w:p>
        </w:tc>
      </w:tr>
      <w:tr>
        <w:trPr>
          <w:trHeight w:val="36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公司上市以来主营业务的变化情况（如有）</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after="0" w:line="262" w:lineRule="exact"/>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671"/>
        <w:gridCol w:w="3898"/>
      </w:tblGrid>
      <w:tr>
        <w:trPr>
          <w:trHeight w:val="36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11"/>
        <w:rPr>
          <w:rFonts w:ascii="宋体" w:hAnsi="宋体" w:cs="宋体" w:eastAsia="宋体" w:hint="default"/>
          <w:b/>
          <w:bCs/>
          <w:sz w:val="17"/>
          <w:szCs w:val="17"/>
        </w:rPr>
      </w:pPr>
    </w:p>
    <w:p>
      <w:pPr>
        <w:spacing w:line="427" w:lineRule="auto" w:before="26"/>
        <w:ind w:left="152" w:right="8114" w:firstLine="0"/>
        <w:jc w:val="left"/>
        <w:rPr>
          <w:rFonts w:ascii="宋体" w:hAnsi="宋体" w:cs="宋体" w:eastAsia="宋体" w:hint="default"/>
          <w:sz w:val="24"/>
          <w:szCs w:val="24"/>
        </w:rPr>
      </w:pPr>
      <w:r>
        <w:rPr/>
        <w:pict>
          <v:shape style="position:absolute;margin-left:56.459999pt;margin-top:47.955612pt;width:479.2pt;height:60.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北京海淀区西四环中路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李斌</w:t>
                        </w:r>
                        <w:r>
                          <w:rPr>
                            <w:rFonts w:ascii="宋体" w:hAnsi="宋体" w:cs="宋体" w:eastAsia="宋体" w:hint="default"/>
                            <w:spacing w:val="1"/>
                            <w:sz w:val="21"/>
                            <w:szCs w:val="21"/>
                          </w:rPr>
                          <w:t> </w:t>
                        </w:r>
                        <w:r>
                          <w:rPr>
                            <w:rFonts w:ascii="宋体" w:hAnsi="宋体" w:cs="宋体" w:eastAsia="宋体" w:hint="default"/>
                            <w:sz w:val="21"/>
                            <w:szCs w:val="21"/>
                          </w:rPr>
                          <w:t>胡丽娟</w:t>
                        </w:r>
                      </w:p>
                    </w:tc>
                  </w:tr>
                </w:tbl>
                <w:p>
                  <w:pPr/>
                </w:p>
              </w:txbxContent>
            </v:textbox>
            <w10:wrap type="none"/>
          </v:shape>
        </w:pict>
      </w:r>
      <w:bookmarkStart w:name="五、其他有关资料" w:id="9"/>
      <w:bookmarkEnd w:id="9"/>
      <w:r>
        <w:rPr/>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right="996"/>
        <w:jc w:val="left"/>
      </w:pPr>
      <w:r>
        <w:rPr/>
        <w:t>公司聘请的报告期内履行持续督导职责的保荐机构</w:t>
      </w:r>
    </w:p>
    <w:p>
      <w:pPr>
        <w:pStyle w:val="BodyText"/>
        <w:spacing w:line="240" w:lineRule="auto" w:before="146"/>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36"/>
        <w:ind w:left="0" w:right="1136" w:firstLine="0"/>
        <w:jc w:val="right"/>
        <w:rPr>
          <w:rFonts w:ascii="宋体" w:hAnsi="宋体" w:cs="宋体" w:eastAsia="宋体" w:hint="default"/>
          <w:sz w:val="21"/>
          <w:szCs w:val="21"/>
        </w:rPr>
      </w:pPr>
      <w:r>
        <w:rPr/>
        <w:pict>
          <v:shape style="position:absolute;margin-left:56.400002pt;margin-top:-35.766308pt;width:479.3pt;height:56.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1880"/>
                    <w:gridCol w:w="2907"/>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62" w:right="0"/>
                          <w:jc w:val="left"/>
                          <w:rPr>
                            <w:rFonts w:ascii="宋体" w:hAnsi="宋体" w:cs="宋体" w:eastAsia="宋体" w:hint="default"/>
                            <w:sz w:val="21"/>
                            <w:szCs w:val="21"/>
                          </w:rPr>
                        </w:pPr>
                        <w:r>
                          <w:rPr>
                            <w:rFonts w:ascii="宋体" w:hAnsi="宋体" w:cs="宋体" w:eastAsia="宋体" w:hint="default"/>
                            <w:sz w:val="21"/>
                            <w:szCs w:val="21"/>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50"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99"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18"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3"/>
                          <w:jc w:val="left"/>
                          <w:rPr>
                            <w:rFonts w:ascii="宋体" w:hAnsi="宋体" w:cs="宋体" w:eastAsia="宋体" w:hint="default"/>
                            <w:sz w:val="21"/>
                            <w:szCs w:val="21"/>
                          </w:rPr>
                        </w:pPr>
                        <w:r>
                          <w:rPr>
                            <w:rFonts w:ascii="宋体" w:hAnsi="宋体" w:cs="宋体" w:eastAsia="宋体" w:hint="default"/>
                            <w:spacing w:val="-2"/>
                            <w:sz w:val="21"/>
                            <w:szCs w:val="21"/>
                          </w:rPr>
                          <w:t>申万宏源证券承销保荐有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上海市徐汇区常熟路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239</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纪平、叶强</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86"/>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非公开发行募集资金使用完毕</w:t>
                        </w:r>
                      </w:p>
                    </w:tc>
                  </w:tr>
                </w:tbl>
                <w:p>
                  <w:pPr/>
                </w:p>
              </w:txbxContent>
            </v:textbox>
            <w10:wrap type="none"/>
          </v:shape>
        </w:pict>
      </w:r>
      <w:r>
        <w:rPr>
          <w:rFonts w:ascii="宋体" w:hAnsi="宋体" w:cs="宋体" w:eastAsia="宋体" w:hint="default"/>
          <w:w w:val="100"/>
          <w:sz w:val="21"/>
          <w:szCs w:val="21"/>
        </w:rPr>
        <w:t>。</w:t>
      </w:r>
    </w:p>
    <w:p>
      <w:pPr>
        <w:spacing w:line="240" w:lineRule="auto" w:before="4"/>
        <w:rPr>
          <w:rFonts w:ascii="宋体" w:hAnsi="宋体" w:cs="宋体" w:eastAsia="宋体" w:hint="default"/>
          <w:sz w:val="12"/>
          <w:szCs w:val="12"/>
        </w:rPr>
      </w:pPr>
    </w:p>
    <w:p>
      <w:pPr>
        <w:pStyle w:val="BodyText"/>
        <w:spacing w:line="240" w:lineRule="auto" w:before="26"/>
        <w:ind w:right="996"/>
        <w:jc w:val="left"/>
      </w:pPr>
      <w:r>
        <w:rPr/>
        <w:t>公司聘请的报告期内履行持续督导职责的财务顾问</w:t>
      </w:r>
    </w:p>
    <w:p>
      <w:pPr>
        <w:spacing w:line="441" w:lineRule="auto" w:before="144"/>
        <w:ind w:left="152" w:right="595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bookmarkStart w:name="六、主要会计数据和财务指标" w:id="10"/>
      <w:bookmarkEnd w:id="10"/>
      <w:r>
        <w:rPr>
          <w:rFonts w:ascii="宋体" w:hAnsi="宋体" w:cs="宋体" w:eastAsia="宋体" w:hint="default"/>
          <w:sz w:val="24"/>
          <w:szCs w:val="24"/>
        </w:rPr>
      </w:r>
      <w:r>
        <w:rPr>
          <w:rFonts w:ascii="宋体" w:hAnsi="宋体" w:cs="宋体" w:eastAsia="宋体" w:hint="default"/>
          <w:b/>
          <w:bCs/>
          <w:sz w:val="24"/>
          <w:szCs w:val="24"/>
        </w:rPr>
        <w:t>六、主要会计数据和财务指标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公司是否需追溯调整或重述以前年度会计数据</w:t>
      </w:r>
    </w:p>
    <w:p>
      <w:pPr>
        <w:pStyle w:val="BodyText"/>
        <w:spacing w:line="277" w:lineRule="exact"/>
        <w:ind w:right="996"/>
        <w:jc w:val="left"/>
      </w:pPr>
      <w:r>
        <w:rPr/>
        <w:pict>
          <v:group style="position:absolute;margin-left:188.059998pt;margin-top:99.540504pt;width:86.45pt;height:27.95pt;mso-position-horizontal-relative:page;mso-position-vertical-relative:paragraph;z-index:-947272" coordorigin="3761,1991" coordsize="1729,559">
            <v:group style="position:absolute;left:3772;top:2002;width:2;height:392" coordorigin="3772,2002" coordsize="2,392">
              <v:shape style="position:absolute;left:3772;top:2002;width:2;height:392" coordorigin="3772,2002" coordsize="0,392" path="m3772,2002l3772,2393e" filled="false" stroked="true" strokeweight="1.104pt" strokecolor="#ffffff">
                <v:path arrowok="t"/>
              </v:shape>
            </v:group>
            <v:group style="position:absolute;left:3761;top:2393;width:1729;height:156" coordorigin="3761,2393" coordsize="1729,156">
              <v:shape style="position:absolute;left:3761;top:2393;width:1729;height:156" coordorigin="3761,2393" coordsize="1729,156" path="m3761,2549l5490,2549,5490,2393,3761,2393,3761,2549xe" filled="true" fillcolor="#ffffff" stroked="false">
                <v:path arrowok="t"/>
                <v:fill type="solid"/>
              </v:shape>
            </v:group>
            <v:group style="position:absolute;left:3783;top:2002;width:1683;height:392" coordorigin="3783,2002" coordsize="1683,392">
              <v:shape style="position:absolute;left:3783;top:2002;width:1683;height:392" coordorigin="3783,2002" coordsize="1683,392" path="m3783,2393l5466,2393,5466,2002,3783,2002,3783,2393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598"/>
        <w:gridCol w:w="308"/>
        <w:gridCol w:w="1441"/>
        <w:gridCol w:w="1738"/>
        <w:gridCol w:w="1738"/>
        <w:gridCol w:w="1735"/>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7"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97" w:right="0"/>
              <w:jc w:val="left"/>
              <w:rPr>
                <w:rFonts w:ascii="Times New Roman" w:hAnsi="Times New Roman" w:cs="Times New Roman" w:eastAsia="Times New Roman" w:hint="default"/>
                <w:sz w:val="21"/>
                <w:szCs w:val="21"/>
              </w:rPr>
            </w:pPr>
            <w:r>
              <w:rPr>
                <w:rFonts w:ascii="Times New Roman"/>
                <w:sz w:val="21"/>
              </w:rPr>
              <w:t>504,408,910.17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528,708,205.03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546,892,512.85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Times New Roman" w:hAnsi="Times New Roman" w:cs="Times New Roman" w:eastAsia="Times New Roman" w:hint="default"/>
                <w:sz w:val="21"/>
                <w:szCs w:val="21"/>
              </w:rPr>
            </w:pPr>
            <w:r>
              <w:rPr>
                <w:rFonts w:ascii="Times New Roman"/>
                <w:sz w:val="21"/>
              </w:rPr>
              <w:t>67,034,018.98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27,732,998.08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141.71%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-151,742,824.19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非经常性损益的净利润（元</w:t>
            </w:r>
          </w:p>
        </w:tc>
        <w:tc>
          <w:tcPr>
            <w:tcW w:w="308"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5" w:right="0"/>
              <w:jc w:val="left"/>
              <w:rPr>
                <w:rFonts w:ascii="Times New Roman" w:hAnsi="Times New Roman" w:cs="Times New Roman" w:eastAsia="Times New Roman" w:hint="default"/>
                <w:sz w:val="21"/>
                <w:szCs w:val="21"/>
              </w:rPr>
            </w:pPr>
            <w:r>
              <w:rPr>
                <w:rFonts w:ascii="Times New Roman"/>
                <w:sz w:val="21"/>
              </w:rPr>
              <w:t>67,724,411.54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12,973,032.98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422.04%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-150,273,799.41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1"/>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97" w:right="0"/>
              <w:jc w:val="left"/>
              <w:rPr>
                <w:rFonts w:ascii="Times New Roman" w:hAnsi="Times New Roman" w:cs="Times New Roman" w:eastAsia="Times New Roman" w:hint="default"/>
                <w:sz w:val="21"/>
                <w:szCs w:val="21"/>
              </w:rPr>
            </w:pPr>
            <w:r>
              <w:rPr>
                <w:rFonts w:ascii="Times New Roman"/>
                <w:sz w:val="21"/>
              </w:rPr>
              <w:t>230,703,862.97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16,501,550.31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1,298.07%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59,718,910.31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1132" w:right="0"/>
              <w:jc w:val="left"/>
              <w:rPr>
                <w:rFonts w:ascii="Times New Roman" w:hAnsi="Times New Roman" w:cs="Times New Roman" w:eastAsia="Times New Roman" w:hint="default"/>
                <w:sz w:val="21"/>
                <w:szCs w:val="21"/>
              </w:rPr>
            </w:pPr>
            <w:r>
              <w:rPr>
                <w:rFonts w:ascii="Times New Roman"/>
                <w:sz w:val="21"/>
              </w:rPr>
              <w:t>0.1780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0.0736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141.85%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-0.4029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left="1132" w:right="0"/>
              <w:jc w:val="left"/>
              <w:rPr>
                <w:rFonts w:ascii="Times New Roman" w:hAnsi="Times New Roman" w:cs="Times New Roman" w:eastAsia="Times New Roman" w:hint="default"/>
                <w:sz w:val="21"/>
                <w:szCs w:val="21"/>
              </w:rPr>
            </w:pPr>
            <w:r>
              <w:rPr>
                <w:rFonts w:ascii="Times New Roman"/>
                <w:sz w:val="21"/>
              </w:rPr>
              <w:t>0.1780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0.0736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141.85%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-0.4029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-10.36%</w:t>
            </w:r>
          </w:p>
        </w:tc>
      </w:tr>
      <w:tr>
        <w:trPr>
          <w:trHeight w:val="162"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758" w:right="19" w:hanging="735"/>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239" w:right="0"/>
              <w:jc w:val="left"/>
              <w:rPr>
                <w:rFonts w:ascii="Times New Roman" w:hAnsi="Times New Roman" w:cs="Times New Roman" w:eastAsia="Times New Roman" w:hint="default"/>
                <w:sz w:val="21"/>
                <w:szCs w:val="21"/>
              </w:rPr>
            </w:pPr>
            <w:r>
              <w:rPr>
                <w:rFonts w:ascii="Times New Roman"/>
                <w:sz w:val="21"/>
              </w:rPr>
              <w:t>1,867,276,002.10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2,049,000,147.58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2,248,890,482.18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产（元）</w:t>
            </w:r>
          </w:p>
        </w:tc>
        <w:tc>
          <w:tcPr>
            <w:tcW w:w="17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9" w:right="0"/>
              <w:jc w:val="left"/>
              <w:rPr>
                <w:rFonts w:ascii="Times New Roman" w:hAnsi="Times New Roman" w:cs="Times New Roman" w:eastAsia="Times New Roman" w:hint="default"/>
                <w:sz w:val="21"/>
                <w:szCs w:val="21"/>
              </w:rPr>
            </w:pPr>
            <w:r>
              <w:rPr>
                <w:rFonts w:ascii="Times New Roman"/>
                <w:sz w:val="21"/>
              </w:rPr>
              <w:t>1,525,653,331.96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1,428,232,545.92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1,387,768,462.35</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ind w:right="996"/>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before="0"/>
        <w:ind w:right="996"/>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17"/>
          <w:szCs w:val="17"/>
        </w:rPr>
      </w:pPr>
    </w:p>
    <w:p>
      <w:pPr>
        <w:pStyle w:val="BodyText"/>
        <w:spacing w:line="352" w:lineRule="auto"/>
        <w:ind w:right="1154"/>
        <w:jc w:val="left"/>
      </w:pPr>
      <w:r>
        <w:rPr/>
        <w:t>公司报告期不存在按照国际会计准则与按照中国会计准则披露的财务报告中净利润和净资产 差异情况。</w:t>
      </w:r>
    </w:p>
    <w:p>
      <w:pPr>
        <w:pStyle w:val="Heading2"/>
        <w:spacing w:line="240" w:lineRule="auto" w:before="204"/>
        <w:ind w:right="996"/>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17"/>
          <w:szCs w:val="17"/>
        </w:rPr>
      </w:pPr>
    </w:p>
    <w:p>
      <w:pPr>
        <w:pStyle w:val="BodyText"/>
        <w:spacing w:line="352" w:lineRule="auto"/>
        <w:ind w:right="1154"/>
        <w:jc w:val="left"/>
      </w:pPr>
      <w:r>
        <w:rPr/>
        <w:t>公司报告期不存在按照境外会计准则与按照中国会计准则披露的财务报告中净利润和净资产 差异情况。</w:t>
      </w:r>
    </w:p>
    <w:p>
      <w:pPr>
        <w:pStyle w:val="Heading2"/>
        <w:spacing w:line="240" w:lineRule="auto" w:before="209"/>
        <w:ind w:right="996"/>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1712"/>
        <w:gridCol w:w="1702"/>
        <w:gridCol w:w="1702"/>
        <w:gridCol w:w="1630"/>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1"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85,068,095.65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119,209,989.10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0" w:right="0"/>
              <w:jc w:val="left"/>
              <w:rPr>
                <w:rFonts w:ascii="Times New Roman" w:hAnsi="Times New Roman" w:cs="Times New Roman" w:eastAsia="Times New Roman" w:hint="default"/>
                <w:sz w:val="21"/>
                <w:szCs w:val="21"/>
              </w:rPr>
            </w:pPr>
            <w:r>
              <w:rPr>
                <w:rFonts w:ascii="Times New Roman"/>
                <w:sz w:val="21"/>
              </w:rPr>
              <w:t>92,003,203.88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208,127,621.54</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5,262,503.48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29,916,527.92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0" w:right="0"/>
              <w:jc w:val="left"/>
              <w:rPr>
                <w:rFonts w:ascii="Times New Roman" w:hAnsi="Times New Roman" w:cs="Times New Roman" w:eastAsia="Times New Roman" w:hint="default"/>
                <w:sz w:val="21"/>
                <w:szCs w:val="21"/>
              </w:rPr>
            </w:pPr>
            <w:r>
              <w:rPr>
                <w:rFonts w:ascii="Times New Roman"/>
                <w:sz w:val="21"/>
              </w:rPr>
              <w:t>22,880,528.29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8,974,459.29</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经常性损益的净利润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4,109,332.65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23,511,490.72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Times New Roman"/>
                <w:sz w:val="21"/>
              </w:rPr>
              <w:t>22,518,658.34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17,584,929.83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-4,684,608.63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32,202,963.20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60" w:right="0"/>
              <w:jc w:val="left"/>
              <w:rPr>
                <w:rFonts w:ascii="Times New Roman" w:hAnsi="Times New Roman" w:cs="Times New Roman" w:eastAsia="Times New Roman" w:hint="default"/>
                <w:sz w:val="21"/>
                <w:szCs w:val="21"/>
              </w:rPr>
            </w:pPr>
            <w:r>
              <w:rPr>
                <w:rFonts w:ascii="Times New Roman"/>
                <w:sz w:val="21"/>
              </w:rPr>
              <w:t>86,902,153.40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116,283,355.00</w:t>
            </w:r>
          </w:p>
        </w:tc>
      </w:tr>
    </w:tbl>
    <w:p>
      <w:pPr>
        <w:spacing w:line="240" w:lineRule="auto" w:before="9"/>
        <w:rPr>
          <w:rFonts w:ascii="宋体" w:hAnsi="宋体" w:cs="宋体" w:eastAsia="宋体" w:hint="default"/>
          <w:sz w:val="4"/>
          <w:szCs w:val="4"/>
        </w:rPr>
      </w:pPr>
    </w:p>
    <w:p>
      <w:pPr>
        <w:pStyle w:val="BodyText"/>
        <w:spacing w:line="350" w:lineRule="auto" w:before="26"/>
        <w:ind w:right="1154"/>
        <w:jc w:val="left"/>
      </w:pPr>
      <w:r>
        <w:rPr/>
        <w:t>上述财务指标或其加总数是否与公司已披露季度报告、半年度报告相关财务指标存在重大差 异</w:t>
      </w:r>
    </w:p>
    <w:p>
      <w:pPr>
        <w:spacing w:line="458" w:lineRule="auto" w:before="36"/>
        <w:ind w:left="152" w:right="762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bookmarkStart w:name="九、非经常性损益项目及金额" w:id="15"/>
      <w:bookmarkEnd w:id="15"/>
      <w:r>
        <w:rPr>
          <w:rFonts w:ascii="宋体" w:hAnsi="宋体" w:cs="宋体" w:eastAsia="宋体" w:hint="default"/>
          <w:sz w:val="24"/>
          <w:szCs w:val="24"/>
        </w:rPr>
      </w:r>
      <w:r>
        <w:rPr>
          <w:rFonts w:ascii="宋体" w:hAnsi="宋体" w:cs="宋体" w:eastAsia="宋体" w:hint="default"/>
          <w:b/>
          <w:bCs/>
          <w:sz w:val="24"/>
          <w:szCs w:val="24"/>
        </w:rPr>
        <w:t>九、非经常性损益项目及金额</w:t>
      </w:r>
      <w:r>
        <w:rPr>
          <w:rFonts w:ascii="宋体" w:hAnsi="宋体" w:cs="宋体" w:eastAsia="宋体" w:hint="default"/>
          <w:sz w:val="24"/>
          <w:szCs w:val="24"/>
        </w:rPr>
      </w:r>
    </w:p>
    <w:p>
      <w:pPr>
        <w:spacing w:before="12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302" w:type="dxa"/>
        <w:tblLayout w:type="fixed"/>
        <w:tblCellMar>
          <w:top w:w="0" w:type="dxa"/>
          <w:left w:w="0" w:type="dxa"/>
          <w:bottom w:w="0" w:type="dxa"/>
          <w:right w:w="0" w:type="dxa"/>
        </w:tblCellMar>
        <w:tblLook w:val="01E0"/>
      </w:tblPr>
      <w:tblGrid>
        <w:gridCol w:w="3567"/>
        <w:gridCol w:w="1520"/>
        <w:gridCol w:w="1522"/>
        <w:gridCol w:w="1522"/>
        <w:gridCol w:w="1214"/>
      </w:tblGrid>
      <w:tr>
        <w:trPr>
          <w:trHeight w:val="4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1"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7"/>
              <w:jc w:val="left"/>
              <w:rPr>
                <w:rFonts w:ascii="宋体" w:hAnsi="宋体" w:cs="宋体" w:eastAsia="宋体" w:hint="default"/>
                <w:sz w:val="21"/>
                <w:szCs w:val="21"/>
              </w:rPr>
            </w:pPr>
            <w:r>
              <w:rPr>
                <w:rFonts w:ascii="宋体" w:hAnsi="宋体" w:cs="宋体" w:eastAsia="宋体" w:hint="default"/>
                <w:spacing w:val="-5"/>
                <w:sz w:val="21"/>
                <w:szCs w:val="21"/>
              </w:rPr>
              <w:t>非流动资产处置损益（包括已计提资产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减值准备的冲销部分）</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-110,642.86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-145,761.44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-12,381.05</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4" w:right="0"/>
              <w:jc w:val="left"/>
              <w:rPr>
                <w:rFonts w:ascii="Times New Roman" w:hAnsi="Times New Roman" w:cs="Times New Roman" w:eastAsia="Times New Roman" w:hint="default"/>
                <w:sz w:val="21"/>
                <w:szCs w:val="21"/>
              </w:rPr>
            </w:pPr>
            <w:r>
              <w:rPr>
                <w:rFonts w:ascii="Times New Roman"/>
                <w:sz w:val="21"/>
              </w:rPr>
              <w:t>14,804,202.07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6" w:right="0"/>
              <w:jc w:val="left"/>
              <w:rPr>
                <w:rFonts w:ascii="Times New Roman" w:hAnsi="Times New Roman" w:cs="Times New Roman" w:eastAsia="Times New Roman" w:hint="default"/>
                <w:sz w:val="21"/>
                <w:szCs w:val="21"/>
              </w:rPr>
            </w:pPr>
            <w:r>
              <w:rPr>
                <w:rFonts w:ascii="Times New Roman"/>
                <w:sz w:val="21"/>
              </w:rPr>
              <w:t>5,197,456.85</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4,047,876.18</w:t>
            </w:r>
          </w:p>
        </w:tc>
        <w:tc>
          <w:tcPr>
            <w:tcW w:w="1214" w:type="dxa"/>
            <w:vMerge w:val="restart"/>
            <w:tcBorders>
              <w:top w:val="single" w:sz="4" w:space="0" w:color="000000"/>
              <w:left w:val="single" w:sz="4" w:space="0" w:color="000000"/>
              <w:right w:val="single" w:sz="4" w:space="0" w:color="000000"/>
            </w:tcBorders>
          </w:tcPr>
          <w:p>
            <w:pPr>
              <w:pStyle w:val="TableParagraph"/>
              <w:spacing w:line="273" w:lineRule="auto" w:before="29"/>
              <w:ind w:left="23" w:right="125"/>
              <w:jc w:val="both"/>
              <w:rPr>
                <w:rFonts w:ascii="宋体" w:hAnsi="宋体" w:cs="宋体" w:eastAsia="宋体" w:hint="default"/>
                <w:sz w:val="21"/>
                <w:szCs w:val="21"/>
              </w:rPr>
            </w:pPr>
            <w:r>
              <w:rPr>
                <w:rFonts w:ascii="宋体" w:hAnsi="宋体" w:cs="宋体" w:eastAsia="宋体" w:hint="default"/>
                <w:sz w:val="21"/>
                <w:szCs w:val="21"/>
              </w:rPr>
              <w:t>详见报告第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十二节合并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财务报表项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目注释</w:t>
            </w:r>
          </w:p>
        </w:tc>
      </w:tr>
      <w:tr>
        <w:trPr>
          <w:trHeight w:val="1015" w:hRule="exact"/>
        </w:trPr>
        <w:tc>
          <w:tcPr>
            <w:tcW w:w="35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17"/>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密切相关，按照国家统一标准定额或定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量享受的政府补助除外）</w:t>
            </w:r>
          </w:p>
        </w:tc>
        <w:tc>
          <w:tcPr>
            <w:tcW w:w="1520" w:type="dxa"/>
            <w:vMerge/>
            <w:tcBorders>
              <w:left w:val="single" w:sz="9" w:space="0" w:color="D2D2D2"/>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r>
      <w:tr>
        <w:trPr>
          <w:trHeight w:val="161" w:hRule="exact"/>
        </w:trPr>
        <w:tc>
          <w:tcPr>
            <w:tcW w:w="3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9" w:space="0" w:color="D2D2D2"/>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4,791,716.54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12,840,775.90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195,569.93</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90" w:type="dxa"/>
        <w:tblLayout w:type="fixed"/>
        <w:tblCellMar>
          <w:top w:w="0" w:type="dxa"/>
          <w:left w:w="0" w:type="dxa"/>
          <w:bottom w:w="0" w:type="dxa"/>
          <w:right w:w="0" w:type="dxa"/>
        </w:tblCellMar>
        <w:tblLook w:val="01E0"/>
      </w:tblPr>
      <w:tblGrid>
        <w:gridCol w:w="3568"/>
        <w:gridCol w:w="1530"/>
        <w:gridCol w:w="1522"/>
        <w:gridCol w:w="1522"/>
        <w:gridCol w:w="1214"/>
      </w:tblGrid>
      <w:tr>
        <w:trPr>
          <w:trHeight w:val="2274" w:hRule="exact"/>
        </w:trPr>
        <w:tc>
          <w:tcPr>
            <w:tcW w:w="3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4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r>
              <w:rPr>
                <w:rFonts w:ascii="宋体" w:hAnsi="宋体" w:cs="宋体" w:eastAsia="宋体" w:hint="default"/>
                <w:w w:val="100"/>
                <w:sz w:val="21"/>
                <w:szCs w:val="21"/>
              </w:rPr>
              <w:t> </w:t>
            </w:r>
            <w:r>
              <w:rPr>
                <w:rFonts w:ascii="宋体" w:hAnsi="宋体" w:cs="宋体" w:eastAsia="宋体" w:hint="default"/>
                <w:spacing w:val="-2"/>
                <w:sz w:val="21"/>
                <w:szCs w:val="21"/>
              </w:rPr>
              <w:t>期保值业务外，持有交易性金融资产、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衍生金融资产、交易性金融负债、衍生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金融负债产生的公允价值变动损益，以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及处置交易性金融资产、衍生金融资</w:t>
            </w:r>
            <w:r>
              <w:rPr>
                <w:rFonts w:ascii="宋体" w:hAnsi="宋体" w:cs="宋体" w:eastAsia="宋体" w:hint="default"/>
                <w:w w:val="100"/>
                <w:sz w:val="21"/>
                <w:szCs w:val="21"/>
              </w:rPr>
              <w:t> </w:t>
            </w:r>
            <w:r>
              <w:rPr>
                <w:rFonts w:ascii="宋体" w:hAnsi="宋体" w:cs="宋体" w:eastAsia="宋体" w:hint="default"/>
                <w:spacing w:val="-5"/>
                <w:sz w:val="21"/>
                <w:szCs w:val="21"/>
              </w:rPr>
              <w:t>产、交易性金融负债、衍生金融负债和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其他债权投资取得的投资收益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-19,813,164.79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23" w:right="125"/>
              <w:jc w:val="both"/>
              <w:rPr>
                <w:rFonts w:ascii="宋体" w:hAnsi="宋体" w:cs="宋体" w:eastAsia="宋体" w:hint="default"/>
                <w:sz w:val="21"/>
                <w:szCs w:val="21"/>
              </w:rPr>
            </w:pPr>
            <w:r>
              <w:rPr>
                <w:rFonts w:ascii="宋体" w:hAnsi="宋体" w:cs="宋体" w:eastAsia="宋体" w:hint="default"/>
                <w:sz w:val="21"/>
                <w:szCs w:val="21"/>
              </w:rPr>
              <w:t>详见报告第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十二节合并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财务报表项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目注释</w:t>
            </w:r>
          </w:p>
        </w:tc>
      </w:tr>
      <w:tr>
        <w:trPr>
          <w:trHeight w:val="714" w:hRule="exact"/>
        </w:trPr>
        <w:tc>
          <w:tcPr>
            <w:tcW w:w="3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3" w:right="16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支出</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-275,399.09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236,316.57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-5,291,844.94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-57,729.88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2,733,201.64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-106,790.73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144,834.31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635,621.14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515,035.63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-690,392.56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14,759,965.10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-1,469,024.78</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4"/>
          <w:szCs w:val="4"/>
        </w:rPr>
      </w:pPr>
    </w:p>
    <w:p>
      <w:pPr>
        <w:pStyle w:val="BodyText"/>
        <w:spacing w:line="240" w:lineRule="auto" w:before="26"/>
        <w:ind w:right="996"/>
        <w:jc w:val="left"/>
      </w:pPr>
      <w:r>
        <w:rPr/>
        <w:t>对公司根据《公开发行证券的公司信息披露解释性公告第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33" w:lineRule="auto" w:before="126"/>
        <w:ind w:right="1152"/>
        <w:jc w:val="left"/>
      </w:pPr>
      <w:r>
        <w:rPr/>
        <w:t>的非经常性损益项目，以及把《公开发行证券的公司信息披露解释性公告第</w:t>
      </w:r>
      <w:r>
        <w:rPr>
          <w:spacing w:val="-58"/>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pStyle w:val="BodyText"/>
        <w:spacing w:line="240" w:lineRule="auto" w:before="53"/>
        <w:ind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BodyText"/>
        <w:spacing w:line="333" w:lineRule="auto" w:before="126"/>
        <w:ind w:right="1153"/>
        <w:jc w:val="left"/>
      </w:pPr>
      <w:r>
        <w:rPr/>
        <w:t>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 益》定义、列举的非经常性损益项目界定为经常性损益的项目的情形。</w:t>
      </w:r>
    </w:p>
    <w:p>
      <w:pPr>
        <w:spacing w:after="0" w:line="33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84"/>
        <w:jc w:val="center"/>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before="0"/>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0"/>
        <w:rPr>
          <w:rFonts w:ascii="宋体" w:hAnsi="宋体" w:cs="宋体" w:eastAsia="宋体" w:hint="default"/>
          <w:b/>
          <w:bCs/>
          <w:sz w:val="18"/>
          <w:szCs w:val="18"/>
        </w:rPr>
      </w:pPr>
    </w:p>
    <w:p>
      <w:pPr>
        <w:pStyle w:val="BodyText"/>
        <w:spacing w:line="333" w:lineRule="auto"/>
        <w:ind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pStyle w:val="Heading2"/>
        <w:spacing w:line="240" w:lineRule="auto" w:before="53"/>
        <w:ind w:left="635" w:right="996"/>
        <w:jc w:val="left"/>
        <w:rPr>
          <w:b w:val="0"/>
          <w:bCs w:val="0"/>
        </w:rPr>
      </w:pPr>
      <w:r>
        <w:rPr/>
        <w:t>（一）公司主营业务及经营模式</w:t>
      </w:r>
      <w:r>
        <w:rPr>
          <w:b w:val="0"/>
          <w:bCs w:val="0"/>
        </w:rPr>
      </w:r>
    </w:p>
    <w:p>
      <w:pPr>
        <w:pStyle w:val="BodyText"/>
        <w:spacing w:line="333" w:lineRule="auto" w:before="144"/>
        <w:ind w:left="633" w:right="1153"/>
        <w:jc w:val="left"/>
      </w:pPr>
      <w:r>
        <w:rPr>
          <w:rFonts w:ascii="Times New Roman" w:hAnsi="Times New Roman" w:cs="Times New Roman" w:eastAsia="Times New Roman" w:hint="default"/>
        </w:rPr>
        <w:t>1</w:t>
      </w:r>
      <w:r>
        <w:rPr/>
        <w:t>、公司主营业务 公司专注于自动化测控技术的研发推广，主要产品聚焦于轨道交通行业，是国内领先的</w:t>
      </w:r>
    </w:p>
    <w:p>
      <w:pPr>
        <w:pStyle w:val="BodyText"/>
        <w:spacing w:line="350" w:lineRule="auto" w:before="53"/>
        <w:ind w:right="1171"/>
        <w:jc w:val="both"/>
      </w:pPr>
      <w:r>
        <w:rPr/>
        <w:t>轨道交通运维设备供应商及运营维护集成化解决方案提供商，主营业务为轨道交通高端装备 的研发、生产、销售、安装和维护等，公司主要客户是国铁集团下属各铁路局集团公司和轨 道交通的建设方。</w:t>
      </w:r>
    </w:p>
    <w:p>
      <w:pPr>
        <w:pStyle w:val="BodyText"/>
        <w:spacing w:line="350" w:lineRule="auto" w:before="36"/>
        <w:ind w:right="1171" w:firstLine="480"/>
        <w:jc w:val="both"/>
      </w:pPr>
      <w:r>
        <w:rPr/>
        <w:t>经过二十余年的发展，公司产品已覆盖轨道交通电务、工务、机务、供电、运营等专业 领域，主要分为监控产品线、运营管理产品线、信号基础设备产品线、综合运维信息化及运 维装备产品线四大系列。公司也根据客户需求提供其他配套产品及服务。</w:t>
      </w:r>
    </w:p>
    <w:p>
      <w:pPr>
        <w:pStyle w:val="BodyText"/>
        <w:spacing w:line="340" w:lineRule="auto" w:before="36"/>
        <w:ind w:right="996" w:firstLine="480"/>
        <w:jc w:val="left"/>
      </w:pPr>
      <w:r>
        <w:rPr/>
        <w:t>监控产品线涵盖设备监测、环境监视和综合监控等多个方向，针对铁路运营设备在运用 </w:t>
      </w:r>
      <w:r>
        <w:rPr>
          <w:spacing w:val="-2"/>
        </w:rPr>
        <w:t>过程中的状态进行监测和管理，提高设备的运用质量，降低维护人员的工作强度和维护成本，</w:t>
      </w:r>
      <w:r>
        <w:rPr/>
        <w:t> </w:t>
      </w:r>
      <w:r>
        <w:rPr>
          <w:spacing w:val="-6"/>
          <w:w w:val="99"/>
        </w:rPr>
        <w:t>主要产品包括信号集中监测系统（</w:t>
      </w:r>
      <w:r>
        <w:rPr>
          <w:rFonts w:ascii="Times New Roman" w:hAnsi="Times New Roman" w:cs="Times New Roman" w:eastAsia="Times New Roman" w:hint="default"/>
          <w:spacing w:val="-6"/>
          <w:w w:val="99"/>
        </w:rPr>
        <w:t>CSM</w:t>
      </w:r>
      <w:r>
        <w:rPr>
          <w:spacing w:val="-6"/>
          <w:w w:val="99"/>
        </w:rPr>
        <w:t>）、铁路防灾安全监控系统、综合视频监控系统、电加</w:t>
      </w:r>
      <w:r>
        <w:rPr>
          <w:spacing w:val="-98"/>
          <w:w w:val="99"/>
        </w:rPr>
        <w:t> </w:t>
      </w:r>
      <w:r>
        <w:rPr>
          <w:spacing w:val="-98"/>
          <w:w w:val="99"/>
        </w:rPr>
      </w:r>
      <w:r>
        <w:rPr>
          <w:spacing w:val="-6"/>
          <w:w w:val="99"/>
        </w:rPr>
        <w:t>热道岔融雪设备、动力及机房环境监控系统、城市轨道交通综合监控系统（</w:t>
      </w:r>
      <w:r>
        <w:rPr>
          <w:rFonts w:ascii="Times New Roman" w:hAnsi="Times New Roman" w:cs="Times New Roman" w:eastAsia="Times New Roman" w:hint="default"/>
          <w:spacing w:val="-6"/>
          <w:w w:val="99"/>
        </w:rPr>
        <w:t>ISCS</w:t>
      </w:r>
      <w:r>
        <w:rPr>
          <w:spacing w:val="-6"/>
          <w:w w:val="99"/>
        </w:rPr>
        <w:t>）、环境与设</w:t>
      </w:r>
      <w:r>
        <w:rPr>
          <w:spacing w:val="-91"/>
          <w:w w:val="99"/>
        </w:rPr>
        <w:t> </w:t>
      </w:r>
      <w:r>
        <w:rPr>
          <w:spacing w:val="-91"/>
          <w:w w:val="99"/>
        </w:rPr>
      </w:r>
      <w:r>
        <w:rPr/>
        <w:t>备监控系统（</w:t>
      </w:r>
      <w:r>
        <w:rPr>
          <w:rFonts w:ascii="Times New Roman" w:hAnsi="Times New Roman" w:cs="Times New Roman" w:eastAsia="Times New Roman" w:hint="default"/>
        </w:rPr>
        <w:t>BAS</w:t>
      </w:r>
      <w:r>
        <w:rPr/>
        <w:t>）和城市轨道交通信号维护支持系统（</w:t>
      </w:r>
      <w:r>
        <w:rPr>
          <w:rFonts w:ascii="Times New Roman" w:hAnsi="Times New Roman" w:cs="Times New Roman" w:eastAsia="Times New Roman" w:hint="default"/>
        </w:rPr>
        <w:t>MSS</w:t>
      </w:r>
      <w:r>
        <w:rPr/>
        <w:t>）等；运营管理产品线是为铁 路运营管理提供平台手段，提高运营管理的效率，主要产品包括铁路运输指挥综合系统、无 </w:t>
      </w:r>
      <w:r>
        <w:rPr>
          <w:spacing w:val="-4"/>
          <w:w w:val="99"/>
        </w:rPr>
        <w:t>线调车机车信号和监控系统（</w:t>
      </w:r>
      <w:r>
        <w:rPr>
          <w:rFonts w:ascii="Times New Roman" w:hAnsi="Times New Roman" w:cs="Times New Roman" w:eastAsia="Times New Roman" w:hint="default"/>
          <w:spacing w:val="-4"/>
          <w:w w:val="99"/>
        </w:rPr>
        <w:t>STP</w:t>
      </w:r>
      <w:r>
        <w:rPr>
          <w:spacing w:val="-4"/>
          <w:w w:val="99"/>
        </w:rPr>
        <w:t>）、列车自动监控系统（</w:t>
      </w:r>
      <w:r>
        <w:rPr>
          <w:rFonts w:ascii="Times New Roman" w:hAnsi="Times New Roman" w:cs="Times New Roman" w:eastAsia="Times New Roman" w:hint="default"/>
          <w:spacing w:val="-4"/>
          <w:w w:val="99"/>
        </w:rPr>
        <w:t>ATS</w:t>
      </w:r>
      <w:r>
        <w:rPr>
          <w:spacing w:val="-4"/>
          <w:w w:val="99"/>
        </w:rPr>
        <w:t>）和城市轨道交通自动售检票</w:t>
      </w:r>
      <w:r>
        <w:rPr>
          <w:spacing w:val="-97"/>
          <w:w w:val="99"/>
        </w:rPr>
        <w:t> </w:t>
      </w:r>
      <w:r>
        <w:rPr>
          <w:spacing w:val="-2"/>
        </w:rPr>
        <w:t>系统（</w:t>
      </w:r>
      <w:r>
        <w:rPr>
          <w:rFonts w:ascii="Times New Roman" w:hAnsi="Times New Roman" w:cs="Times New Roman" w:eastAsia="Times New Roman" w:hint="default"/>
          <w:spacing w:val="-2"/>
        </w:rPr>
        <w:t>AFC</w:t>
      </w:r>
      <w:r>
        <w:rPr>
          <w:spacing w:val="-2"/>
        </w:rPr>
        <w:t>）等；信号基础设备产品线是向铁路基层站段提供保障列车运行安全的基础设备，</w:t>
      </w:r>
      <w:r>
        <w:rPr>
          <w:spacing w:val="-107"/>
        </w:rPr>
        <w:t> </w:t>
      </w:r>
      <w:r>
        <w:rPr>
          <w:spacing w:val="-107"/>
        </w:rPr>
      </w:r>
      <w:r>
        <w:rPr>
          <w:spacing w:val="-3"/>
        </w:rPr>
        <w:t>主要产品包括智能电源设备、铁路信号计算机联锁系统（</w:t>
      </w:r>
      <w:r>
        <w:rPr>
          <w:rFonts w:ascii="Times New Roman" w:hAnsi="Times New Roman" w:cs="Times New Roman" w:eastAsia="Times New Roman" w:hint="default"/>
          <w:spacing w:val="-3"/>
        </w:rPr>
        <w:t>CBI</w:t>
      </w:r>
      <w:r>
        <w:rPr>
          <w:spacing w:val="-3"/>
        </w:rPr>
        <w:t>）、计轴设备和道岔转辙机等；</w:t>
      </w:r>
      <w:r>
        <w:rPr>
          <w:spacing w:val="-115"/>
        </w:rPr>
        <w:t> </w:t>
      </w:r>
      <w:r>
        <w:rPr>
          <w:spacing w:val="-115"/>
        </w:rPr>
      </w:r>
      <w:r>
        <w:rPr/>
        <w:t>综合运维信息化及运维装备是为运维单位提供智能化运维装备及运维全流程的信息化系统，</w:t>
      </w:r>
      <w:r>
        <w:rPr/>
        <w:t> 主要产品包括接触网水冲洗车、地铁隧道清洗车、电务生产指挥系统、电务大数据智能运维 平台、城市轨道交通数字化运维平台等。</w:t>
      </w:r>
    </w:p>
    <w:p>
      <w:pPr>
        <w:pStyle w:val="BodyText"/>
        <w:spacing w:line="331" w:lineRule="auto" w:before="46"/>
        <w:ind w:left="633" w:right="1125"/>
        <w:jc w:val="left"/>
      </w:pPr>
      <w:r>
        <w:rPr>
          <w:rFonts w:ascii="Times New Roman" w:hAnsi="Times New Roman" w:cs="Times New Roman" w:eastAsia="Times New Roman" w:hint="default"/>
        </w:rPr>
        <w:t>2</w:t>
      </w:r>
      <w:r>
        <w:rPr/>
        <w:t>、公司经营模式 </w:t>
      </w:r>
      <w:r>
        <w:rPr>
          <w:spacing w:val="-1"/>
        </w:rPr>
        <w:t>公司产品</w:t>
      </w:r>
      <w:r>
        <w:rPr>
          <w:rFonts w:ascii="Times New Roman" w:hAnsi="Times New Roman" w:cs="Times New Roman" w:eastAsia="Times New Roman" w:hint="default"/>
          <w:spacing w:val="-1"/>
        </w:rPr>
        <w:t>/</w:t>
      </w:r>
      <w:r>
        <w:rPr>
          <w:spacing w:val="-1"/>
        </w:rPr>
        <w:t>系统根据是否严格遵循行业内成文的标准规范文件，分为标准型和定制型。对</w:t>
      </w:r>
    </w:p>
    <w:p>
      <w:pPr>
        <w:pStyle w:val="BodyText"/>
        <w:spacing w:line="240" w:lineRule="auto" w:before="27"/>
        <w:ind w:right="0"/>
        <w:jc w:val="both"/>
      </w:pPr>
      <w:r>
        <w:rPr/>
        <w:t>于有对应行业标准规范的标准型产品，通过直接向客户销售和系统集成商合作配套销售两种</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54"/>
        <w:jc w:val="left"/>
      </w:pPr>
      <w:r>
        <w:rPr/>
        <w:t>方式，具体销售模式主要为参与招标或议标，通过投标或议标方式进行沟通和商议后最终定 价并获得订单，产品经过安装、现场调试、用户验收等环节后投入使用。</w:t>
      </w:r>
    </w:p>
    <w:p>
      <w:pPr>
        <w:pStyle w:val="BodyText"/>
        <w:spacing w:line="343" w:lineRule="auto" w:before="31"/>
        <w:ind w:right="1131" w:firstLine="480"/>
        <w:jc w:val="both"/>
      </w:pPr>
      <w:r>
        <w:rPr>
          <w:spacing w:val="-1"/>
        </w:rPr>
        <w:t>对于根据客户特定需求的定制型产品</w:t>
      </w:r>
      <w:r>
        <w:rPr>
          <w:rFonts w:ascii="Times New Roman" w:hAnsi="Times New Roman" w:cs="Times New Roman" w:eastAsia="Times New Roman" w:hint="default"/>
          <w:spacing w:val="-1"/>
        </w:rPr>
        <w:t>/</w:t>
      </w:r>
      <w:r>
        <w:rPr>
          <w:spacing w:val="-1"/>
        </w:rPr>
        <w:t>系统，在具体营销过程中，首先进行用户需求调研</w:t>
      </w:r>
      <w:r>
        <w:rPr/>
        <w:t> 和售前支持，协助用户完成项目设计工作，在公司产品研发的知识库中，提取成熟的产品框 架和相应模块，进行二次开发，以项目管理的方式进行订单制造、交付。</w:t>
      </w:r>
    </w:p>
    <w:p>
      <w:pPr>
        <w:pStyle w:val="BodyText"/>
        <w:spacing w:line="345" w:lineRule="auto" w:before="41"/>
        <w:ind w:right="996" w:firstLine="480"/>
        <w:jc w:val="left"/>
      </w:pPr>
      <w:r>
        <w:rPr>
          <w:spacing w:val="-3"/>
        </w:rPr>
        <w:t>在生产阶段，主要采取以销定产的经营模式，根据客户订单及需求计划安排、组织生产。</w:t>
      </w:r>
      <w:r>
        <w:rPr/>
        <w:t> 在质量保障方面，公司已经构建起以 </w:t>
      </w:r>
      <w:r>
        <w:rPr>
          <w:rFonts w:ascii="Times New Roman" w:hAnsi="Times New Roman" w:cs="Times New Roman" w:eastAsia="Times New Roman" w:hint="default"/>
        </w:rPr>
        <w:t>IRIS</w:t>
      </w:r>
      <w:r>
        <w:rPr/>
        <w:t>、</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 </w:t>
      </w:r>
      <w:r>
        <w:rPr/>
        <w:t>为基础，</w:t>
      </w:r>
      <w:r>
        <w:rPr>
          <w:rFonts w:ascii="Times New Roman" w:hAnsi="Times New Roman" w:cs="Times New Roman" w:eastAsia="Times New Roman" w:hint="default"/>
        </w:rPr>
        <w:t>CRCC</w:t>
      </w:r>
      <w:r>
        <w:rPr/>
        <w:t>、</w:t>
      </w:r>
      <w:r>
        <w:rPr>
          <w:rFonts w:ascii="Times New Roman" w:hAnsi="Times New Roman" w:cs="Times New Roman" w:eastAsia="Times New Roman" w:hint="default"/>
        </w:rPr>
        <w:t>SIL4</w:t>
      </w:r>
      <w:r>
        <w:rPr>
          <w:rFonts w:ascii="Times New Roman" w:hAnsi="Times New Roman" w:cs="Times New Roman" w:eastAsia="Times New Roman" w:hint="default"/>
          <w:spacing w:val="-8"/>
        </w:rPr>
        <w:t> </w:t>
      </w:r>
      <w:r>
        <w:rPr/>
        <w:t>产品认</w:t>
      </w:r>
      <w:r>
        <w:rPr>
          <w:w w:val="99"/>
        </w:rPr>
        <w:t> </w:t>
      </w:r>
      <w:r>
        <w:rPr/>
        <w:t>证为标准，精密的检测仪器、严格的检验制度为支撑的质量控制体系，确保产品质量持续稳</w:t>
      </w:r>
      <w:r>
        <w:rPr>
          <w:w w:val="99"/>
        </w:rPr>
        <w:t> </w:t>
      </w:r>
      <w:r>
        <w:rPr/>
        <w:t>定。</w:t>
      </w:r>
    </w:p>
    <w:p>
      <w:pPr>
        <w:pStyle w:val="BodyText"/>
        <w:spacing w:line="352" w:lineRule="auto" w:before="41"/>
        <w:ind w:left="633" w:right="996" w:firstLine="2"/>
        <w:jc w:val="left"/>
        <w:rPr>
          <w:rFonts w:ascii="Times New Roman" w:hAnsi="Times New Roman" w:cs="Times New Roman" w:eastAsia="Times New Roman" w:hint="default"/>
        </w:rPr>
      </w:pPr>
      <w:r>
        <w:rPr>
          <w:rFonts w:ascii="宋体" w:hAnsi="宋体" w:cs="宋体" w:eastAsia="宋体" w:hint="default"/>
          <w:b/>
          <w:bCs/>
        </w:rPr>
        <w:t>（二）行业发展情况</w:t>
      </w:r>
      <w:r>
        <w:rPr>
          <w:rFonts w:ascii="宋体" w:hAnsi="宋体" w:cs="宋体" w:eastAsia="宋体" w:hint="default"/>
          <w:b/>
          <w:bCs/>
          <w:w w:val="99"/>
        </w:rPr>
        <w:t> </w:t>
      </w:r>
      <w:r>
        <w:rPr>
          <w:spacing w:val="-5"/>
        </w:rPr>
        <w:t>国家发改委、交通运输部、国家铁路局、原中国铁路总公司（以下简称</w:t>
      </w:r>
      <w:r>
        <w:rPr>
          <w:rFonts w:ascii="Times New Roman" w:hAnsi="Times New Roman" w:cs="Times New Roman" w:eastAsia="Times New Roman" w:hint="default"/>
          <w:spacing w:val="-5"/>
        </w:rPr>
        <w:t>“</w:t>
      </w:r>
      <w:r>
        <w:rPr>
          <w:spacing w:val="-5"/>
        </w:rPr>
        <w:t>国铁集团</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2017</w:t>
      </w:r>
    </w:p>
    <w:p>
      <w:pPr>
        <w:pStyle w:val="BodyText"/>
        <w:spacing w:line="240" w:lineRule="auto" w:before="1"/>
        <w:ind w:right="996"/>
        <w:jc w:val="left"/>
      </w:pPr>
      <w:r>
        <w:rPr/>
        <w:t>年底联合发布</w:t>
      </w:r>
      <w:r>
        <w:rPr>
          <w:spacing w:val="-12"/>
        </w:rPr>
        <w:t>的</w:t>
      </w:r>
      <w:r>
        <w:rPr/>
        <w:t>《铁路</w:t>
      </w:r>
      <w:r>
        <w:rPr>
          <w:rFonts w:ascii="Times New Roman" w:hAnsi="Times New Roman" w:cs="Times New Roman" w:eastAsia="Times New Roman" w:hint="default"/>
          <w:spacing w:val="-1"/>
          <w:w w:val="100"/>
        </w:rPr>
        <w:t>“</w:t>
      </w:r>
      <w:r>
        <w:rPr/>
        <w:t>十三五</w:t>
      </w:r>
      <w:r>
        <w:rPr>
          <w:rFonts w:ascii="Times New Roman" w:hAnsi="Times New Roman" w:cs="Times New Roman" w:eastAsia="Times New Roman" w:hint="default"/>
          <w:spacing w:val="-1"/>
          <w:w w:val="100"/>
        </w:rPr>
        <w:t>”</w:t>
      </w:r>
      <w:r>
        <w:rPr/>
        <w:t>发展规划</w:t>
      </w:r>
      <w:r>
        <w:rPr>
          <w:spacing w:val="-132"/>
        </w:rPr>
        <w:t>》</w:t>
      </w:r>
      <w:r>
        <w:rPr>
          <w:spacing w:val="2"/>
        </w:rPr>
        <w:t>（</w:t>
      </w:r>
      <w:r>
        <w:rPr/>
        <w:t>以下简</w:t>
      </w:r>
      <w:r>
        <w:rPr>
          <w:spacing w:val="-12"/>
        </w:rPr>
        <w:t>称</w:t>
      </w:r>
      <w:r>
        <w:rPr/>
        <w:t>《规划</w:t>
      </w:r>
      <w:r>
        <w:rPr>
          <w:spacing w:val="-120"/>
        </w:rPr>
        <w:t>》</w:t>
      </w:r>
      <w:r>
        <w:rPr>
          <w:spacing w:val="-12"/>
        </w:rPr>
        <w:t>）</w:t>
      </w:r>
      <w:r>
        <w:rPr>
          <w:spacing w:val="2"/>
        </w:rPr>
        <w:t>提</w:t>
      </w:r>
      <w:r>
        <w:rPr/>
        <w:t>出</w:t>
      </w:r>
      <w:r>
        <w:rPr>
          <w:spacing w:val="-12"/>
        </w:rPr>
        <w:t>，</w:t>
      </w:r>
      <w:r>
        <w:rPr/>
        <w:t>到</w:t>
      </w:r>
      <w:r>
        <w:rPr>
          <w:spacing w:val="-60"/>
        </w:rPr>
        <w:t> </w:t>
      </w:r>
      <w:r>
        <w:rPr>
          <w:rFonts w:ascii="Times New Roman" w:hAnsi="Times New Roman" w:cs="Times New Roman" w:eastAsia="Times New Roman" w:hint="default"/>
        </w:rPr>
        <w:t>2020 </w:t>
      </w:r>
      <w:r>
        <w:rPr/>
        <w:t>年底全国铁路</w:t>
      </w:r>
    </w:p>
    <w:p>
      <w:pPr>
        <w:pStyle w:val="BodyText"/>
        <w:spacing w:line="240" w:lineRule="auto" w:before="128"/>
        <w:ind w:right="996"/>
        <w:jc w:val="left"/>
      </w:pPr>
      <w:r>
        <w:rPr/>
        <w:t>营业里程达到</w:t>
      </w:r>
      <w:r>
        <w:rPr>
          <w:spacing w:val="-60"/>
        </w:rPr>
        <w:t> </w:t>
      </w:r>
      <w:r>
        <w:rPr>
          <w:rFonts w:ascii="Times New Roman" w:hAnsi="Times New Roman" w:cs="Times New Roman" w:eastAsia="Times New Roman" w:hint="default"/>
        </w:rPr>
        <w:t>15 </w:t>
      </w:r>
      <w:r>
        <w:rPr/>
        <w:t>万公里，其中高速铁路</w:t>
      </w:r>
      <w:r>
        <w:rPr>
          <w:spacing w:val="-60"/>
        </w:rPr>
        <w:t> </w:t>
      </w:r>
      <w:r>
        <w:rPr>
          <w:rFonts w:ascii="Times New Roman" w:hAnsi="Times New Roman" w:cs="Times New Roman" w:eastAsia="Times New Roman" w:hint="default"/>
        </w:rPr>
        <w:t>3 </w:t>
      </w:r>
      <w:r>
        <w:rPr/>
        <w:t>万公里。根据国铁集团</w:t>
      </w:r>
      <w:r>
        <w:rPr>
          <w:spacing w:val="-60"/>
        </w:rPr>
        <w:t> </w:t>
      </w:r>
      <w:r>
        <w:rPr>
          <w:rFonts w:ascii="Times New Roman" w:hAnsi="Times New Roman" w:cs="Times New Roman" w:eastAsia="Times New Roman" w:hint="default"/>
        </w:rPr>
        <w:t>2020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 </w:t>
      </w:r>
      <w:r>
        <w:rPr/>
        <w:t>日召开的年</w:t>
      </w:r>
    </w:p>
    <w:p>
      <w:pPr>
        <w:pStyle w:val="BodyText"/>
        <w:spacing w:line="240" w:lineRule="auto" w:before="128"/>
        <w:ind w:right="996"/>
        <w:jc w:val="left"/>
      </w:pPr>
      <w:r>
        <w:rPr/>
        <w:t>度工作会议相关信息，</w:t>
      </w:r>
      <w:r>
        <w:rPr>
          <w:rFonts w:ascii="Times New Roman" w:hAnsi="Times New Roman" w:cs="Times New Roman" w:eastAsia="Times New Roman" w:hint="default"/>
        </w:rPr>
        <w:t>2019 </w:t>
      </w:r>
      <w:r>
        <w:rPr/>
        <w:t>年度投产新线</w:t>
      </w:r>
      <w:r>
        <w:rPr>
          <w:spacing w:val="-60"/>
        </w:rPr>
        <w:t> </w:t>
      </w:r>
      <w:r>
        <w:rPr>
          <w:rFonts w:ascii="Times New Roman" w:hAnsi="Times New Roman" w:cs="Times New Roman" w:eastAsia="Times New Roman" w:hint="default"/>
        </w:rPr>
        <w:t>8,489 </w:t>
      </w:r>
      <w:r>
        <w:rPr/>
        <w:t>公里，其中高铁</w:t>
      </w:r>
      <w:r>
        <w:rPr>
          <w:spacing w:val="-60"/>
        </w:rPr>
        <w:t> </w:t>
      </w:r>
      <w:r>
        <w:rPr>
          <w:rFonts w:ascii="Times New Roman" w:hAnsi="Times New Roman" w:cs="Times New Roman" w:eastAsia="Times New Roman" w:hint="default"/>
        </w:rPr>
        <w:t>5,474 </w:t>
      </w:r>
      <w:r>
        <w:rPr/>
        <w:t>公里；至</w:t>
      </w:r>
      <w:r>
        <w:rPr>
          <w:spacing w:val="-60"/>
        </w:rPr>
        <w:t> </w:t>
      </w:r>
      <w:r>
        <w:rPr>
          <w:rFonts w:ascii="Times New Roman" w:hAnsi="Times New Roman" w:cs="Times New Roman" w:eastAsia="Times New Roman" w:hint="default"/>
        </w:rPr>
        <w:t>2019 </w:t>
      </w:r>
      <w:r>
        <w:rPr/>
        <w:t>年底，</w:t>
      </w:r>
    </w:p>
    <w:p>
      <w:pPr>
        <w:pStyle w:val="BodyText"/>
        <w:spacing w:line="240" w:lineRule="auto" w:before="126"/>
        <w:ind w:right="996"/>
        <w:jc w:val="left"/>
      </w:pPr>
      <w:r>
        <w:rPr/>
        <w:t>全国铁路营业里程达</w:t>
      </w:r>
      <w:r>
        <w:rPr>
          <w:spacing w:val="-59"/>
        </w:rPr>
        <w:t> </w:t>
      </w:r>
      <w:r>
        <w:rPr>
          <w:rFonts w:ascii="Times New Roman" w:hAnsi="Times New Roman" w:cs="Times New Roman" w:eastAsia="Times New Roman" w:hint="default"/>
        </w:rPr>
        <w:t>13.9</w:t>
      </w:r>
      <w:r>
        <w:rPr>
          <w:rFonts w:ascii="Times New Roman" w:hAnsi="Times New Roman" w:cs="Times New Roman" w:eastAsia="Times New Roman" w:hint="default"/>
          <w:spacing w:val="1"/>
        </w:rPr>
        <w:t> </w:t>
      </w:r>
      <w:r>
        <w:rPr>
          <w:spacing w:val="-3"/>
        </w:rPr>
        <w:t>万公里以上，其中高速铁路达到</w:t>
      </w:r>
      <w:r>
        <w:rPr>
          <w:spacing w:val="-59"/>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spacing w:val="-5"/>
        </w:rPr>
        <w:t>万公里；会议同时明确</w:t>
      </w:r>
      <w:r>
        <w:rPr>
          <w:spacing w:val="-5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p>
    <w:p>
      <w:pPr>
        <w:pStyle w:val="BodyText"/>
        <w:spacing w:line="240" w:lineRule="auto" w:before="128"/>
        <w:ind w:right="0"/>
        <w:jc w:val="left"/>
      </w:pPr>
      <w:r>
        <w:rPr/>
        <w:t>铁路安全保持持续稳定，全面完成国家下达的铁路投资任务，确保投产新线</w:t>
      </w:r>
      <w:r>
        <w:rPr>
          <w:spacing w:val="-71"/>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2"/>
        </w:rPr>
        <w:t> </w:t>
      </w:r>
      <w:r>
        <w:rPr/>
        <w:t>公里以上，</w:t>
      </w:r>
    </w:p>
    <w:p>
      <w:pPr>
        <w:pStyle w:val="BodyText"/>
        <w:spacing w:line="240" w:lineRule="auto" w:before="129"/>
        <w:ind w:right="996"/>
        <w:jc w:val="left"/>
      </w:pPr>
      <w:r>
        <w:rPr/>
        <w:t>其中高铁</w:t>
      </w:r>
      <w:r>
        <w:rPr>
          <w:spacing w:val="-60"/>
        </w:rPr>
        <w:t> </w:t>
      </w:r>
      <w:r>
        <w:rPr>
          <w:rFonts w:ascii="Times New Roman" w:hAnsi="Times New Roman" w:cs="Times New Roman" w:eastAsia="Times New Roman" w:hint="default"/>
        </w:rPr>
        <w:t>2,000 </w:t>
      </w:r>
      <w:r>
        <w:rPr/>
        <w:t>公里。</w:t>
      </w:r>
    </w:p>
    <w:p>
      <w:pPr>
        <w:pStyle w:val="BodyText"/>
        <w:spacing w:line="240" w:lineRule="auto" w:before="126"/>
        <w:ind w:left="633" w:right="996"/>
        <w:jc w:val="left"/>
      </w:pPr>
      <w:r>
        <w:rPr>
          <w:spacing w:val="-3"/>
        </w:rPr>
        <w:t>根据我国《中长期铁路网规划》的目标，远期铁路网规模将达到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spacing w:val="-3"/>
        </w:rPr>
        <w:t>万公里左右，其中高</w:t>
      </w:r>
    </w:p>
    <w:p>
      <w:pPr>
        <w:pStyle w:val="BodyText"/>
        <w:spacing w:line="240" w:lineRule="auto" w:before="128"/>
        <w:ind w:right="996"/>
        <w:jc w:val="left"/>
      </w:pPr>
      <w:r>
        <w:rPr/>
        <w:t>速铁路</w:t>
      </w:r>
      <w:r>
        <w:rPr>
          <w:spacing w:val="-60"/>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万公里左右。因此，铁路里程在已积累一定规模的基础上仍有增长空间。</w:t>
      </w:r>
    </w:p>
    <w:p>
      <w:pPr>
        <w:pStyle w:val="BodyText"/>
        <w:spacing w:line="331" w:lineRule="auto" w:before="128"/>
        <w:ind w:right="999" w:firstLine="480"/>
        <w:jc w:val="left"/>
        <w:rPr>
          <w:rFonts w:ascii="Times New Roman" w:hAnsi="Times New Roman" w:cs="Times New Roman" w:eastAsia="Times New Roman" w:hint="default"/>
        </w:rPr>
      </w:pPr>
      <w:r>
        <w:rPr/>
        <w:t>根据中国城市轨道交通协会统计，截至</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日，中国内地累积有</w:t>
      </w:r>
      <w:r>
        <w:rPr>
          <w:spacing w:val="-60"/>
        </w:rPr>
        <w:t> </w:t>
      </w:r>
      <w:r>
        <w:rPr>
          <w:rFonts w:ascii="Times New Roman" w:hAnsi="Times New Roman" w:cs="Times New Roman" w:eastAsia="Times New Roman" w:hint="default"/>
        </w:rPr>
        <w:t>40 </w:t>
      </w:r>
      <w:r>
        <w:rPr/>
        <w:t>个城市 开通城轨交通运营线路 </w:t>
      </w:r>
      <w:r>
        <w:rPr>
          <w:rFonts w:ascii="Times New Roman" w:hAnsi="Times New Roman" w:cs="Times New Roman" w:eastAsia="Times New Roman" w:hint="default"/>
        </w:rPr>
        <w:t>6,730.27 </w:t>
      </w:r>
      <w:r>
        <w:rPr>
          <w:spacing w:val="-5"/>
        </w:rPr>
        <w:t>公里。</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8"/>
        </w:rPr>
        <w:t> </w:t>
      </w:r>
      <w:r>
        <w:rPr>
          <w:spacing w:val="-6"/>
        </w:rPr>
        <w:t>年度，中国内地共新增温州、济南、常州、徐州、</w:t>
      </w:r>
      <w:r>
        <w:rPr/>
        <w:t> 呼和浩特五个城轨交通运营城市，另有</w:t>
      </w:r>
      <w:r>
        <w:rPr>
          <w:spacing w:val="-59"/>
        </w:rPr>
        <w:t> </w:t>
      </w:r>
      <w:r>
        <w:rPr>
          <w:rFonts w:ascii="Times New Roman" w:hAnsi="Times New Roman" w:cs="Times New Roman" w:eastAsia="Times New Roman" w:hint="default"/>
        </w:rPr>
        <w:t>27 </w:t>
      </w:r>
      <w:r>
        <w:rPr/>
        <w:t>个城市有新增线路（段）投运；新增运营线路</w:t>
      </w:r>
      <w:r>
        <w:rPr>
          <w:spacing w:val="-59"/>
        </w:rPr>
        <w:t> </w:t>
      </w:r>
      <w:r>
        <w:rPr>
          <w:rFonts w:ascii="Times New Roman" w:hAnsi="Times New Roman" w:cs="Times New Roman" w:eastAsia="Times New Roman" w:hint="default"/>
        </w:rPr>
        <w:t>26</w:t>
      </w:r>
    </w:p>
    <w:p>
      <w:pPr>
        <w:pStyle w:val="BodyText"/>
        <w:spacing w:line="240" w:lineRule="auto" w:before="27"/>
        <w:ind w:right="996"/>
        <w:jc w:val="left"/>
      </w:pPr>
      <w:r>
        <w:rPr/>
        <w:t>条，新开延伸段或后通段</w:t>
      </w:r>
      <w:r>
        <w:rPr>
          <w:spacing w:val="-59"/>
        </w:rPr>
        <w:t> </w:t>
      </w:r>
      <w:r>
        <w:rPr>
          <w:rFonts w:ascii="Times New Roman" w:hAnsi="Times New Roman" w:cs="Times New Roman" w:eastAsia="Times New Roman" w:hint="default"/>
        </w:rPr>
        <w:t>24 </w:t>
      </w:r>
      <w:r>
        <w:rPr/>
        <w:t>段，新增运营线路长度共计</w:t>
      </w:r>
      <w:r>
        <w:rPr>
          <w:spacing w:val="-60"/>
        </w:rPr>
        <w:t> </w:t>
      </w:r>
      <w:r>
        <w:rPr>
          <w:rFonts w:ascii="Times New Roman" w:hAnsi="Times New Roman" w:cs="Times New Roman" w:eastAsia="Times New Roman" w:hint="default"/>
        </w:rPr>
        <w:t>968.77 </w:t>
      </w:r>
      <w:r>
        <w:rPr/>
        <w:t>公里，再创历史新高。</w:t>
      </w:r>
    </w:p>
    <w:p>
      <w:pPr>
        <w:pStyle w:val="BodyText"/>
        <w:spacing w:line="240" w:lineRule="auto" w:before="126"/>
        <w:ind w:left="633" w:right="996"/>
        <w:jc w:val="left"/>
        <w:rPr>
          <w:rFonts w:ascii="Times New Roman" w:hAnsi="Times New Roman" w:cs="Times New Roman" w:eastAsia="Times New Roman" w:hint="default"/>
        </w:rPr>
      </w:pPr>
      <w:r>
        <w:rPr/>
        <w:t>据国家发改委网上信息，截止</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日，国家发改委在</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年度共批复了</w:t>
      </w:r>
      <w:r>
        <w:rPr>
          <w:spacing w:val="-63"/>
        </w:rPr>
        <w:t> </w:t>
      </w:r>
      <w:r>
        <w:rPr>
          <w:rFonts w:ascii="Times New Roman" w:hAnsi="Times New Roman" w:cs="Times New Roman" w:eastAsia="Times New Roman" w:hint="default"/>
        </w:rPr>
        <w:t>12</w:t>
      </w:r>
    </w:p>
    <w:p>
      <w:pPr>
        <w:pStyle w:val="BodyText"/>
        <w:spacing w:line="240" w:lineRule="auto" w:before="129"/>
        <w:ind w:right="996"/>
        <w:jc w:val="left"/>
      </w:pPr>
      <w:r>
        <w:rPr/>
        <w:t>个轨道交通重大建设规划项目，总投资额约</w:t>
      </w:r>
      <w:r>
        <w:rPr>
          <w:spacing w:val="-65"/>
        </w:rPr>
        <w:t> </w:t>
      </w:r>
      <w:r>
        <w:rPr>
          <w:rFonts w:ascii="Times New Roman" w:hAnsi="Times New Roman" w:cs="Times New Roman" w:eastAsia="Times New Roman" w:hint="default"/>
        </w:rPr>
        <w:t>10,202.98</w:t>
      </w:r>
      <w:r>
        <w:rPr>
          <w:rFonts w:ascii="Times New Roman" w:hAnsi="Times New Roman" w:cs="Times New Roman" w:eastAsia="Times New Roman" w:hint="default"/>
          <w:spacing w:val="-6"/>
        </w:rPr>
        <w:t> </w:t>
      </w:r>
      <w:r>
        <w:rPr>
          <w:spacing w:val="-4"/>
        </w:rPr>
        <w:t>亿元，里程合计</w:t>
      </w:r>
      <w:r>
        <w:rPr>
          <w:spacing w:val="-66"/>
        </w:rPr>
        <w:t> </w:t>
      </w:r>
      <w:r>
        <w:rPr>
          <w:rFonts w:ascii="Times New Roman" w:hAnsi="Times New Roman" w:cs="Times New Roman" w:eastAsia="Times New Roman" w:hint="default"/>
        </w:rPr>
        <w:t>4,574.57</w:t>
      </w:r>
      <w:r>
        <w:rPr>
          <w:rFonts w:ascii="Times New Roman" w:hAnsi="Times New Roman" w:cs="Times New Roman" w:eastAsia="Times New Roman" w:hint="default"/>
          <w:spacing w:val="-6"/>
        </w:rPr>
        <w:t> </w:t>
      </w:r>
      <w:r>
        <w:rPr>
          <w:spacing w:val="-5"/>
        </w:rPr>
        <w:t>公里。其中城</w:t>
      </w:r>
    </w:p>
    <w:p>
      <w:pPr>
        <w:pStyle w:val="BodyText"/>
        <w:spacing w:line="240" w:lineRule="auto" w:before="128"/>
        <w:ind w:right="0"/>
        <w:jc w:val="left"/>
      </w:pPr>
      <w:r>
        <w:rPr/>
        <w:t>市轨道交通建设项目总计</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个，共涉及</w:t>
      </w:r>
      <w:r>
        <w:rPr>
          <w:spacing w:val="-6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条城轨线路，总里程</w:t>
      </w:r>
      <w:r>
        <w:rPr>
          <w:spacing w:val="-63"/>
        </w:rPr>
        <w:t> </w:t>
      </w:r>
      <w:r>
        <w:rPr>
          <w:rFonts w:ascii="Times New Roman" w:hAnsi="Times New Roman" w:cs="Times New Roman" w:eastAsia="Times New Roman" w:hint="default"/>
        </w:rPr>
        <w:t>684.82</w:t>
      </w:r>
      <w:r>
        <w:rPr>
          <w:rFonts w:ascii="Times New Roman" w:hAnsi="Times New Roman" w:cs="Times New Roman" w:eastAsia="Times New Roman" w:hint="default"/>
          <w:spacing w:val="-3"/>
        </w:rPr>
        <w:t> </w:t>
      </w:r>
      <w:r>
        <w:rPr/>
        <w:t>公里，车站数</w:t>
      </w:r>
      <w:r>
        <w:rPr>
          <w:spacing w:val="-63"/>
        </w:rPr>
        <w:t> </w:t>
      </w:r>
      <w:r>
        <w:rPr>
          <w:rFonts w:ascii="Times New Roman" w:hAnsi="Times New Roman" w:cs="Times New Roman" w:eastAsia="Times New Roman" w:hint="default"/>
        </w:rPr>
        <w:t>365</w:t>
      </w:r>
      <w:r>
        <w:rPr>
          <w:rFonts w:ascii="Times New Roman" w:hAnsi="Times New Roman" w:cs="Times New Roman" w:eastAsia="Times New Roman" w:hint="default"/>
          <w:spacing w:val="-3"/>
        </w:rPr>
        <w:t> </w:t>
      </w:r>
      <w:r>
        <w:rPr/>
        <w:t>座，</w:t>
      </w:r>
    </w:p>
    <w:p>
      <w:pPr>
        <w:pStyle w:val="BodyText"/>
        <w:spacing w:line="240" w:lineRule="auto" w:before="126"/>
        <w:ind w:right="996"/>
        <w:jc w:val="left"/>
      </w:pPr>
      <w:r>
        <w:rPr/>
        <w:t>投资总额</w:t>
      </w:r>
      <w:r>
        <w:rPr>
          <w:spacing w:val="-60"/>
        </w:rPr>
        <w:t> </w:t>
      </w:r>
      <w:r>
        <w:rPr>
          <w:rFonts w:ascii="Times New Roman" w:hAnsi="Times New Roman" w:cs="Times New Roman" w:eastAsia="Times New Roman" w:hint="default"/>
        </w:rPr>
        <w:t>4,926.07 </w:t>
      </w:r>
      <w:r>
        <w:rPr/>
        <w:t>亿元；铁路建设项目总计</w:t>
      </w:r>
      <w:r>
        <w:rPr>
          <w:spacing w:val="-60"/>
        </w:rPr>
        <w:t> </w:t>
      </w:r>
      <w:r>
        <w:rPr>
          <w:rFonts w:ascii="Times New Roman" w:hAnsi="Times New Roman" w:cs="Times New Roman" w:eastAsia="Times New Roman" w:hint="default"/>
        </w:rPr>
        <w:t>7 </w:t>
      </w:r>
      <w:r>
        <w:rPr/>
        <w:t>个，共涉及</w:t>
      </w:r>
      <w:r>
        <w:rPr>
          <w:spacing w:val="-60"/>
        </w:rPr>
        <w:t> </w:t>
      </w:r>
      <w:r>
        <w:rPr>
          <w:rFonts w:ascii="Times New Roman" w:hAnsi="Times New Roman" w:cs="Times New Roman" w:eastAsia="Times New Roman" w:hint="default"/>
        </w:rPr>
        <w:t>9 </w:t>
      </w:r>
      <w:r>
        <w:rPr/>
        <w:t>条城轨线路，总里程</w:t>
      </w:r>
      <w:r>
        <w:rPr>
          <w:spacing w:val="-60"/>
        </w:rPr>
        <w:t> </w:t>
      </w:r>
      <w:r>
        <w:rPr>
          <w:rFonts w:ascii="Times New Roman" w:hAnsi="Times New Roman" w:cs="Times New Roman" w:eastAsia="Times New Roman" w:hint="default"/>
        </w:rPr>
        <w:t>2,303.15 </w:t>
      </w:r>
      <w:r>
        <w:rPr/>
        <w:t>公</w:t>
      </w:r>
    </w:p>
    <w:p>
      <w:pPr>
        <w:pStyle w:val="BodyText"/>
        <w:spacing w:line="240" w:lineRule="auto" w:before="128"/>
        <w:ind w:right="996"/>
        <w:jc w:val="left"/>
        <w:rPr>
          <w:rFonts w:ascii="Times New Roman" w:hAnsi="Times New Roman" w:cs="Times New Roman" w:eastAsia="Times New Roman" w:hint="default"/>
        </w:rPr>
      </w:pPr>
      <w:r>
        <w:rPr/>
        <w:t>里，车站数</w:t>
      </w:r>
      <w:r>
        <w:rPr>
          <w:spacing w:val="-61"/>
        </w:rPr>
        <w:t> </w:t>
      </w:r>
      <w:r>
        <w:rPr>
          <w:rFonts w:ascii="Times New Roman" w:hAnsi="Times New Roman" w:cs="Times New Roman" w:eastAsia="Times New Roman" w:hint="default"/>
        </w:rPr>
        <w:t>69</w:t>
      </w:r>
      <w:r>
        <w:rPr>
          <w:rFonts w:ascii="Times New Roman" w:hAnsi="Times New Roman" w:cs="Times New Roman" w:eastAsia="Times New Roman" w:hint="default"/>
          <w:spacing w:val="-1"/>
        </w:rPr>
        <w:t> </w:t>
      </w:r>
      <w:r>
        <w:rPr/>
        <w:t>座，投资总额</w:t>
      </w:r>
      <w:r>
        <w:rPr>
          <w:spacing w:val="-61"/>
        </w:rPr>
        <w:t> </w:t>
      </w:r>
      <w:r>
        <w:rPr>
          <w:rFonts w:ascii="Times New Roman" w:hAnsi="Times New Roman" w:cs="Times New Roman" w:eastAsia="Times New Roman" w:hint="default"/>
        </w:rPr>
        <w:t>3,976.91</w:t>
      </w:r>
      <w:r>
        <w:rPr>
          <w:rFonts w:ascii="Times New Roman" w:hAnsi="Times New Roman" w:cs="Times New Roman" w:eastAsia="Times New Roman" w:hint="default"/>
          <w:spacing w:val="-1"/>
        </w:rPr>
        <w:t> </w:t>
      </w:r>
      <w:r>
        <w:rPr/>
        <w:t>亿元；另外国家发改委今年还发布了</w:t>
      </w:r>
      <w:r>
        <w:rPr>
          <w:spacing w:val="-60"/>
        </w:rPr>
        <w:t> </w:t>
      </w:r>
      <w:r>
        <w:rPr>
          <w:rFonts w:ascii="Times New Roman" w:hAnsi="Times New Roman" w:cs="Times New Roman" w:eastAsia="Times New Roman" w:hint="default"/>
        </w:rPr>
        <w:t>2019-2020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127</w:t>
      </w:r>
    </w:p>
    <w:p>
      <w:pPr>
        <w:pStyle w:val="BodyText"/>
        <w:spacing w:line="240" w:lineRule="auto" w:before="128"/>
        <w:ind w:right="996"/>
        <w:jc w:val="left"/>
      </w:pPr>
      <w:r>
        <w:rPr/>
        <w:t>个铁路专用线重点项目，共涉及线路总长度</w:t>
      </w:r>
      <w:r>
        <w:rPr>
          <w:spacing w:val="-59"/>
        </w:rPr>
        <w:t> </w:t>
      </w:r>
      <w:r>
        <w:rPr>
          <w:rFonts w:ascii="Times New Roman" w:hAnsi="Times New Roman" w:cs="Times New Roman" w:eastAsia="Times New Roman" w:hint="default"/>
        </w:rPr>
        <w:t>1,586 </w:t>
      </w:r>
      <w:r>
        <w:rPr/>
        <w:t>公里。</w:t>
      </w:r>
    </w:p>
    <w:p>
      <w:pPr>
        <w:pStyle w:val="BodyText"/>
        <w:spacing w:line="240" w:lineRule="auto" w:before="126"/>
        <w:ind w:left="633" w:right="996"/>
        <w:jc w:val="left"/>
      </w:pPr>
      <w:r>
        <w:rPr/>
        <w:t>根据</w:t>
      </w:r>
      <w:r>
        <w:rPr>
          <w:spacing w:val="-61"/>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月发布</w:t>
      </w:r>
      <w:r>
        <w:rPr>
          <w:spacing w:val="-36"/>
        </w:rPr>
        <w:t>的</w:t>
      </w:r>
      <w:r>
        <w:rPr/>
        <w:t>《国务院关于加强固定资产投资项目</w:t>
      </w:r>
      <w:r>
        <w:rPr>
          <w:spacing w:val="1"/>
        </w:rPr>
        <w:t>资</w:t>
      </w:r>
      <w:r>
        <w:rPr/>
        <w:t>本金管理的通知</w:t>
      </w:r>
      <w:r>
        <w:rPr>
          <w:spacing w:val="-120"/>
        </w:rPr>
        <w:t>》</w:t>
      </w:r>
      <w:r>
        <w:rPr>
          <w:spacing w:val="-36"/>
        </w:rPr>
        <w:t>，</w:t>
      </w:r>
      <w:r>
        <w:rPr/>
        <w:t>指出</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71"/>
        <w:jc w:val="both"/>
      </w:pPr>
      <w:r>
        <w:rPr/>
        <w:t>进一步完善固定资产投资项目资本金制度，适当调整基础设施项目最低资本金比例，其中， 公路、铁路、城建、城市轨道交通等社会民生领域的补短板基础设施项目，在投资回报机制 明确、收益可靠、风险可控的前提下，可以适当降低项目最低资本金比例，但下调不得超过</w:t>
      </w:r>
    </w:p>
    <w:p>
      <w:pPr>
        <w:pStyle w:val="BodyText"/>
        <w:spacing w:line="333" w:lineRule="auto" w:before="36"/>
        <w:ind w:right="994"/>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个百分点。做到有保有控、区别对待，促进有效投资和加强风险防范紧密结合、协同推进。 该政策将极大的促进轨道交通建设步伐。</w:t>
      </w:r>
    </w:p>
    <w:p>
      <w:pPr>
        <w:pStyle w:val="BodyText"/>
        <w:spacing w:line="352" w:lineRule="auto" w:before="50"/>
        <w:ind w:right="1171" w:firstLine="480"/>
        <w:jc w:val="both"/>
      </w:pPr>
      <w:r>
        <w:rPr/>
        <w:t>由上述数据可知，近三年来，国内轨道交通的发展取得了举世瞩目的成绩；同时，在经 济发展新常态下，轨道交通作为国家重要的基础设施，是国家重要投资方向，将继续发挥拉 动经济发展的关键作用。由此可见，未来较长时间内，轨道交通行业的投资仍将保持稳定增 长，行业系统内巨大的存量及增量市场和安全需求为轨道交通行业带来了较为广阔的发展前 景。</w:t>
      </w:r>
    </w:p>
    <w:p>
      <w:pPr>
        <w:pStyle w:val="Heading2"/>
        <w:spacing w:line="240" w:lineRule="auto" w:before="34"/>
        <w:ind w:left="635" w:right="996"/>
        <w:jc w:val="left"/>
        <w:rPr>
          <w:b w:val="0"/>
          <w:bCs w:val="0"/>
        </w:rPr>
      </w:pPr>
      <w:r>
        <w:rPr/>
        <w:t>（三）公司所处的行业地位</w:t>
      </w:r>
      <w:r>
        <w:rPr>
          <w:b w:val="0"/>
          <w:bCs w:val="0"/>
        </w:rPr>
      </w:r>
    </w:p>
    <w:p>
      <w:pPr>
        <w:pStyle w:val="BodyText"/>
        <w:spacing w:line="343" w:lineRule="auto" w:before="144"/>
        <w:ind w:right="1133" w:firstLine="480"/>
        <w:jc w:val="both"/>
      </w:pPr>
      <w:r>
        <w:rPr>
          <w:rFonts w:ascii="Times New Roman" w:hAnsi="Times New Roman" w:cs="Times New Roman" w:eastAsia="Times New Roman" w:hint="default"/>
          <w:spacing w:val="-3"/>
        </w:rPr>
        <w:t>1</w:t>
      </w:r>
      <w:r>
        <w:rPr>
          <w:spacing w:val="-3"/>
        </w:rPr>
        <w:t>、国家铁路行业：监控产品线、综合运维信息化及运维装备产品线产品，在国家铁路行</w:t>
      </w:r>
      <w:r>
        <w:rPr/>
        <w:t> 业经过多年的积累，同时，坚持</w:t>
      </w:r>
      <w:r>
        <w:rPr>
          <w:rFonts w:ascii="Times New Roman" w:hAnsi="Times New Roman" w:cs="Times New Roman" w:eastAsia="Times New Roman" w:hint="default"/>
        </w:rPr>
        <w:t>“</w:t>
      </w:r>
      <w:r>
        <w:rPr/>
        <w:t>为客户创造价值</w:t>
      </w:r>
      <w:r>
        <w:rPr>
          <w:rFonts w:ascii="Times New Roman" w:hAnsi="Times New Roman" w:cs="Times New Roman" w:eastAsia="Times New Roman" w:hint="default"/>
        </w:rPr>
        <w:t>”</w:t>
      </w:r>
      <w:r>
        <w:rPr/>
        <w:t>的理念，持续加大技术研发和产品的智能 化升级。因此，上述产品线产品在技术上、标准影响度及品牌推广上具有优势地位，主要包 括铁路信号集中监测系统、铁路防灾安全监控系统、地震监测预警系统、电务安全生产指挥 系统及接触网水冲洗车等。</w:t>
      </w:r>
    </w:p>
    <w:p>
      <w:pPr>
        <w:pStyle w:val="BodyText"/>
        <w:spacing w:line="348" w:lineRule="auto" w:before="44"/>
        <w:ind w:right="1130" w:firstLine="480"/>
        <w:jc w:val="both"/>
      </w:pPr>
      <w:r>
        <w:rPr>
          <w:rFonts w:ascii="Times New Roman" w:hAnsi="Times New Roman" w:cs="Times New Roman" w:eastAsia="Times New Roman" w:hint="default"/>
          <w:spacing w:val="-3"/>
        </w:rPr>
        <w:t>2</w:t>
      </w:r>
      <w:r>
        <w:rPr>
          <w:spacing w:val="-3"/>
        </w:rPr>
        <w:t>、城市轨道交通行业：随着综合监控产品在郑州多条地铁线路的成功交付和开通，和具</w:t>
      </w:r>
      <w:r>
        <w:rPr/>
        <w:t> 有自主知识产权的核心软件平台的上线，公司综合监控产品已具备核心技术平台、项目交付 管理、项目维护管理等全部核心能力，报告期内已成功中标省内第二个城市（洛阳）地铁项 目，目前该产品在河南区域内有较强优势，在轨道交通行业有一定的优势。公司产品中的地 铁隧道清洗装备，目前在国内属独家销售，且我公司拥有多项具有自主知识产权的的核心技 术，国内外其他产品暂时是难以取代，因此，也具有极大的市场竞争优势。</w:t>
      </w:r>
    </w:p>
    <w:p>
      <w:pPr>
        <w:pStyle w:val="BodyText"/>
        <w:spacing w:line="350" w:lineRule="auto" w:before="38"/>
        <w:ind w:right="1171" w:firstLine="480"/>
        <w:jc w:val="both"/>
      </w:pPr>
      <w:r>
        <w:rPr/>
        <w:t>同时，借助公司区域优势和国铁方面的技术和经验积累，公司其他各产品线产品在城市 轨道交通行业均有一定优势。</w:t>
      </w:r>
    </w:p>
    <w:p>
      <w:pPr>
        <w:pStyle w:val="Heading2"/>
        <w:spacing w:line="240" w:lineRule="auto" w:before="212"/>
        <w:ind w:right="996"/>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before="0"/>
        <w:ind w:right="996"/>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2256"/>
        <w:gridCol w:w="7302"/>
      </w:tblGrid>
      <w:tr>
        <w:trPr>
          <w:trHeight w:val="204" w:hRule="exact"/>
        </w:trPr>
        <w:tc>
          <w:tcPr>
            <w:tcW w:w="2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2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sz w:val="21"/>
                <w:szCs w:val="21"/>
              </w:rPr>
              <w:t>要资产</w:t>
            </w:r>
          </w:p>
        </w:tc>
        <w:tc>
          <w:tcPr>
            <w:tcW w:w="7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206" w:hRule="exact"/>
        </w:trPr>
        <w:tc>
          <w:tcPr>
            <w:tcW w:w="2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2" w:type="dxa"/>
            <w:vMerge w:val="restart"/>
            <w:tcBorders>
              <w:top w:val="single" w:sz="4" w:space="0" w:color="000000"/>
              <w:left w:val="single" w:sz="9" w:space="0" w:color="D2D2D2"/>
              <w:right w:val="single" w:sz="4" w:space="0" w:color="000000"/>
            </w:tcBorders>
          </w:tcPr>
          <w:p>
            <w:pPr>
              <w:pStyle w:val="TableParagraph"/>
              <w:spacing w:line="256" w:lineRule="auto" w:before="28"/>
              <w:ind w:left="17" w:right="50"/>
              <w:jc w:val="left"/>
              <w:rPr>
                <w:rFonts w:ascii="宋体" w:hAnsi="宋体" w:cs="宋体" w:eastAsia="宋体" w:hint="default"/>
                <w:sz w:val="21"/>
                <w:szCs w:val="21"/>
              </w:rPr>
            </w:pPr>
            <w:r>
              <w:rPr>
                <w:rFonts w:ascii="宋体" w:hAnsi="宋体" w:cs="宋体" w:eastAsia="宋体" w:hint="default"/>
                <w:sz w:val="21"/>
                <w:szCs w:val="21"/>
              </w:rPr>
              <w:t>固定资产期末余额比期初余额增长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71.42%</w:t>
            </w:r>
            <w:r>
              <w:rPr>
                <w:rFonts w:ascii="宋体" w:hAnsi="宋体" w:cs="宋体" w:eastAsia="宋体" w:hint="default"/>
                <w:sz w:val="21"/>
                <w:szCs w:val="21"/>
              </w:rPr>
              <w:t>，主要系报告期内在建工程完工转固</w:t>
            </w:r>
            <w:r>
              <w:rPr>
                <w:rFonts w:ascii="宋体" w:hAnsi="宋体" w:cs="宋体" w:eastAsia="宋体" w:hint="default"/>
                <w:w w:val="100"/>
                <w:sz w:val="21"/>
                <w:szCs w:val="21"/>
              </w:rPr>
              <w:t> </w:t>
            </w:r>
            <w:r>
              <w:rPr>
                <w:rFonts w:ascii="宋体" w:hAnsi="宋体" w:cs="宋体" w:eastAsia="宋体" w:hint="default"/>
                <w:sz w:val="21"/>
                <w:szCs w:val="21"/>
              </w:rPr>
              <w:t>定资产所致。</w:t>
            </w:r>
          </w:p>
        </w:tc>
      </w:tr>
      <w:tr>
        <w:trPr>
          <w:trHeight w:val="394" w:hRule="exact"/>
        </w:trPr>
        <w:tc>
          <w:tcPr>
            <w:tcW w:w="22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302" w:type="dxa"/>
            <w:vMerge/>
            <w:tcBorders>
              <w:left w:val="single" w:sz="9" w:space="0" w:color="D2D2D2"/>
              <w:right w:val="single" w:sz="4" w:space="0" w:color="000000"/>
            </w:tcBorders>
          </w:tcPr>
          <w:p>
            <w:pPr/>
          </w:p>
        </w:tc>
      </w:tr>
      <w:tr>
        <w:trPr>
          <w:trHeight w:val="161" w:hRule="exact"/>
        </w:trPr>
        <w:tc>
          <w:tcPr>
            <w:tcW w:w="2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2"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b/>
          <w:bCs/>
          <w:sz w:val="28"/>
          <w:szCs w:val="28"/>
        </w:rPr>
      </w:pPr>
    </w:p>
    <w:p>
      <w:pPr>
        <w:spacing w:before="36"/>
        <w:ind w:left="0" w:right="1121" w:firstLine="0"/>
        <w:jc w:val="right"/>
        <w:rPr>
          <w:rFonts w:ascii="宋体" w:hAnsi="宋体" w:cs="宋体" w:eastAsia="宋体" w:hint="default"/>
          <w:sz w:val="21"/>
          <w:szCs w:val="21"/>
        </w:rPr>
      </w:pPr>
      <w:r>
        <w:rPr/>
        <w:pict>
          <v:shape style="position:absolute;margin-left:56.400002pt;margin-top:-.096318pt;width:479.3pt;height:341.9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7302"/>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货币资金期末余额比期初余额下降</w:t>
                        </w:r>
                        <w:r>
                          <w:rPr>
                            <w:rFonts w:ascii="宋体" w:hAnsi="宋体" w:cs="宋体" w:eastAsia="宋体" w:hint="default"/>
                            <w:spacing w:val="-19"/>
                            <w:sz w:val="21"/>
                            <w:szCs w:val="21"/>
                          </w:rPr>
                          <w:t> </w:t>
                        </w:r>
                        <w:r>
                          <w:rPr>
                            <w:rFonts w:ascii="Times New Roman" w:hAnsi="Times New Roman" w:cs="Times New Roman" w:eastAsia="Times New Roman" w:hint="default"/>
                            <w:spacing w:val="-5"/>
                            <w:sz w:val="21"/>
                            <w:szCs w:val="21"/>
                          </w:rPr>
                          <w:t>31.82%</w:t>
                        </w:r>
                        <w:r>
                          <w:rPr>
                            <w:rFonts w:ascii="宋体" w:hAnsi="宋体" w:cs="宋体" w:eastAsia="宋体" w:hint="default"/>
                            <w:spacing w:val="-5"/>
                            <w:sz w:val="21"/>
                            <w:szCs w:val="21"/>
                          </w:rPr>
                          <w:t>，主要系报告期内归还银行贷款所致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0"/>
                          <w:jc w:val="left"/>
                          <w:rPr>
                            <w:rFonts w:ascii="宋体" w:hAnsi="宋体" w:cs="宋体" w:eastAsia="宋体" w:hint="default"/>
                            <w:sz w:val="21"/>
                            <w:szCs w:val="21"/>
                          </w:rPr>
                        </w:pPr>
                        <w:r>
                          <w:rPr>
                            <w:rFonts w:ascii="宋体" w:hAnsi="宋体" w:cs="宋体" w:eastAsia="宋体" w:hint="default"/>
                            <w:sz w:val="21"/>
                            <w:szCs w:val="21"/>
                          </w:rPr>
                          <w:t>应收票据期末余额比期初余额增长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56.80%</w:t>
                        </w:r>
                        <w:r>
                          <w:rPr>
                            <w:rFonts w:ascii="宋体" w:hAnsi="宋体" w:cs="宋体" w:eastAsia="宋体" w:hint="default"/>
                            <w:sz w:val="21"/>
                            <w:szCs w:val="21"/>
                          </w:rPr>
                          <w:t>，主要是报告期内收到的承兑增加所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50"/>
                          <w:jc w:val="left"/>
                          <w:rPr>
                            <w:rFonts w:ascii="宋体" w:hAnsi="宋体" w:cs="宋体" w:eastAsia="宋体" w:hint="default"/>
                            <w:sz w:val="21"/>
                            <w:szCs w:val="21"/>
                          </w:rPr>
                        </w:pPr>
                        <w:r>
                          <w:rPr>
                            <w:rFonts w:ascii="宋体" w:hAnsi="宋体" w:cs="宋体" w:eastAsia="宋体" w:hint="default"/>
                            <w:sz w:val="21"/>
                            <w:szCs w:val="21"/>
                          </w:rPr>
                          <w:t>其他应收款期末余额比期初余额下降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34.79%</w:t>
                        </w:r>
                        <w:r>
                          <w:rPr>
                            <w:rFonts w:ascii="宋体" w:hAnsi="宋体" w:cs="宋体" w:eastAsia="宋体" w:hint="default"/>
                            <w:sz w:val="21"/>
                            <w:szCs w:val="21"/>
                          </w:rPr>
                          <w:t>，主要是报告期内其他应收技术服</w:t>
                        </w:r>
                        <w:r>
                          <w:rPr>
                            <w:rFonts w:ascii="宋体" w:hAnsi="宋体" w:cs="宋体" w:eastAsia="宋体" w:hint="default"/>
                            <w:w w:val="100"/>
                            <w:sz w:val="21"/>
                            <w:szCs w:val="21"/>
                          </w:rPr>
                          <w:t> </w:t>
                        </w:r>
                        <w:r>
                          <w:rPr>
                            <w:rFonts w:ascii="宋体" w:hAnsi="宋体" w:cs="宋体" w:eastAsia="宋体" w:hint="default"/>
                            <w:sz w:val="21"/>
                            <w:szCs w:val="21"/>
                          </w:rPr>
                          <w:t>务费、保证金减少所致。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0"/>
                          <w:jc w:val="left"/>
                          <w:rPr>
                            <w:rFonts w:ascii="宋体" w:hAnsi="宋体" w:cs="宋体" w:eastAsia="宋体" w:hint="default"/>
                            <w:sz w:val="21"/>
                            <w:szCs w:val="21"/>
                          </w:rPr>
                        </w:pPr>
                        <w:r>
                          <w:rPr>
                            <w:rFonts w:ascii="宋体" w:hAnsi="宋体" w:cs="宋体" w:eastAsia="宋体" w:hint="default"/>
                            <w:sz w:val="21"/>
                            <w:szCs w:val="21"/>
                          </w:rPr>
                          <w:t>其他流动资产期末余额比期初余额增长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83.70%</w:t>
                        </w:r>
                        <w:r>
                          <w:rPr>
                            <w:rFonts w:ascii="宋体" w:hAnsi="宋体" w:cs="宋体" w:eastAsia="宋体" w:hint="default"/>
                            <w:sz w:val="21"/>
                            <w:szCs w:val="21"/>
                          </w:rPr>
                          <w:t>，主要原因系报告期内基建工程</w:t>
                        </w:r>
                        <w:r>
                          <w:rPr>
                            <w:rFonts w:ascii="宋体" w:hAnsi="宋体" w:cs="宋体" w:eastAsia="宋体" w:hint="default"/>
                            <w:w w:val="100"/>
                            <w:sz w:val="21"/>
                            <w:szCs w:val="21"/>
                          </w:rPr>
                          <w:t> </w:t>
                        </w:r>
                        <w:r>
                          <w:rPr>
                            <w:rFonts w:ascii="宋体" w:hAnsi="宋体" w:cs="宋体" w:eastAsia="宋体" w:hint="default"/>
                            <w:sz w:val="21"/>
                            <w:szCs w:val="21"/>
                          </w:rPr>
                          <w:t>较多，待认证进项税增加所致。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51"/>
                          <w:jc w:val="left"/>
                          <w:rPr>
                            <w:rFonts w:ascii="宋体" w:hAnsi="宋体" w:cs="宋体" w:eastAsia="宋体" w:hint="default"/>
                            <w:sz w:val="21"/>
                            <w:szCs w:val="21"/>
                          </w:rPr>
                        </w:pPr>
                        <w:r>
                          <w:rPr>
                            <w:rFonts w:ascii="宋体" w:hAnsi="宋体" w:cs="宋体" w:eastAsia="宋体" w:hint="default"/>
                            <w:sz w:val="21"/>
                            <w:szCs w:val="21"/>
                          </w:rPr>
                          <w:t>其他权益工具投资期末余额比期初余额增长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31.68%</w:t>
                        </w:r>
                        <w:r>
                          <w:rPr>
                            <w:rFonts w:ascii="宋体" w:hAnsi="宋体" w:cs="宋体" w:eastAsia="宋体" w:hint="default"/>
                            <w:sz w:val="21"/>
                            <w:szCs w:val="21"/>
                          </w:rPr>
                          <w:t>，主要系报告期执行新金融</w:t>
                        </w:r>
                        <w:r>
                          <w:rPr>
                            <w:rFonts w:ascii="宋体" w:hAnsi="宋体" w:cs="宋体" w:eastAsia="宋体" w:hint="default"/>
                            <w:w w:val="100"/>
                            <w:sz w:val="21"/>
                            <w:szCs w:val="21"/>
                          </w:rPr>
                          <w:t> </w:t>
                        </w:r>
                        <w:r>
                          <w:rPr>
                            <w:rFonts w:ascii="宋体" w:hAnsi="宋体" w:cs="宋体" w:eastAsia="宋体" w:hint="default"/>
                            <w:sz w:val="21"/>
                            <w:szCs w:val="21"/>
                          </w:rPr>
                          <w:t>工具准则以公允价值计量后公允价值增加所致。</w:t>
                        </w:r>
                      </w:p>
                    </w:tc>
                  </w:tr>
                  <w:tr>
                    <w:trPr>
                      <w:trHeight w:val="71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3"/>
                          <w:jc w:val="left"/>
                          <w:rPr>
                            <w:rFonts w:ascii="宋体" w:hAnsi="宋体" w:cs="宋体" w:eastAsia="宋体" w:hint="default"/>
                            <w:sz w:val="21"/>
                            <w:szCs w:val="21"/>
                          </w:rPr>
                        </w:pPr>
                        <w:r>
                          <w:rPr>
                            <w:rFonts w:ascii="宋体" w:hAnsi="宋体" w:cs="宋体" w:eastAsia="宋体" w:hint="default"/>
                            <w:sz w:val="21"/>
                            <w:szCs w:val="21"/>
                          </w:rPr>
                          <w:t>其他非流动金融资产期末余额比期初余额下降</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99.13%</w:t>
                        </w:r>
                        <w:r>
                          <w:rPr>
                            <w:rFonts w:ascii="宋体" w:hAnsi="宋体" w:cs="宋体" w:eastAsia="宋体" w:hint="default"/>
                            <w:sz w:val="21"/>
                            <w:szCs w:val="21"/>
                          </w:rPr>
                          <w:t>，主要系报告期执行新金</w:t>
                        </w:r>
                        <w:r>
                          <w:rPr>
                            <w:rFonts w:ascii="宋体" w:hAnsi="宋体" w:cs="宋体" w:eastAsia="宋体" w:hint="default"/>
                            <w:w w:val="100"/>
                            <w:sz w:val="21"/>
                            <w:szCs w:val="21"/>
                          </w:rPr>
                          <w:t> </w:t>
                        </w:r>
                        <w:r>
                          <w:rPr>
                            <w:rFonts w:ascii="宋体" w:hAnsi="宋体" w:cs="宋体" w:eastAsia="宋体" w:hint="default"/>
                            <w:sz w:val="21"/>
                            <w:szCs w:val="21"/>
                          </w:rPr>
                          <w:t>融工具准则以公允价值计量后公允价值下降所致。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9"/>
                          <w:jc w:val="left"/>
                          <w:rPr>
                            <w:rFonts w:ascii="宋体" w:hAnsi="宋体" w:cs="宋体" w:eastAsia="宋体" w:hint="default"/>
                            <w:sz w:val="21"/>
                            <w:szCs w:val="21"/>
                          </w:rPr>
                        </w:pPr>
                        <w:r>
                          <w:rPr>
                            <w:rFonts w:ascii="宋体" w:hAnsi="宋体" w:cs="宋体" w:eastAsia="宋体" w:hint="default"/>
                            <w:sz w:val="21"/>
                            <w:szCs w:val="21"/>
                          </w:rPr>
                          <w:t>商誉期末余额为</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0</w:t>
                        </w:r>
                        <w:r>
                          <w:rPr>
                            <w:rFonts w:ascii="宋体" w:hAnsi="宋体" w:cs="宋体" w:eastAsia="宋体" w:hint="default"/>
                            <w:spacing w:val="-5"/>
                            <w:sz w:val="21"/>
                            <w:szCs w:val="21"/>
                          </w:rPr>
                          <w:t>，主要系报告期内对收购成都西南交大驱动</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股权产生的商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誉全额计提减值准备所致。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0"/>
                          <w:jc w:val="left"/>
                          <w:rPr>
                            <w:rFonts w:ascii="宋体" w:hAnsi="宋体" w:cs="宋体" w:eastAsia="宋体" w:hint="default"/>
                            <w:sz w:val="21"/>
                            <w:szCs w:val="21"/>
                          </w:rPr>
                        </w:pPr>
                        <w:r>
                          <w:rPr>
                            <w:rFonts w:ascii="宋体" w:hAnsi="宋体" w:cs="宋体" w:eastAsia="宋体" w:hint="default"/>
                            <w:sz w:val="21"/>
                            <w:szCs w:val="21"/>
                          </w:rPr>
                          <w:t>递延所得税资产期末余额比期初余额增长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68.24%</w:t>
                        </w:r>
                        <w:r>
                          <w:rPr>
                            <w:rFonts w:ascii="宋体" w:hAnsi="宋体" w:cs="宋体" w:eastAsia="宋体" w:hint="default"/>
                            <w:sz w:val="21"/>
                            <w:szCs w:val="21"/>
                          </w:rPr>
                          <w:t>，主要系报告期内应纳税时间</w:t>
                        </w:r>
                        <w:r>
                          <w:rPr>
                            <w:rFonts w:ascii="宋体" w:hAnsi="宋体" w:cs="宋体" w:eastAsia="宋体" w:hint="default"/>
                            <w:w w:val="100"/>
                            <w:sz w:val="21"/>
                            <w:szCs w:val="21"/>
                          </w:rPr>
                          <w:t> </w:t>
                        </w:r>
                        <w:r>
                          <w:rPr>
                            <w:rFonts w:ascii="宋体" w:hAnsi="宋体" w:cs="宋体" w:eastAsia="宋体" w:hint="default"/>
                            <w:sz w:val="21"/>
                            <w:szCs w:val="21"/>
                          </w:rPr>
                          <w:t>性差异增加所致。</w:t>
                        </w: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50"/>
                          <w:jc w:val="left"/>
                          <w:rPr>
                            <w:rFonts w:ascii="宋体" w:hAnsi="宋体" w:cs="宋体" w:eastAsia="宋体" w:hint="default"/>
                            <w:sz w:val="21"/>
                            <w:szCs w:val="21"/>
                          </w:rPr>
                        </w:pPr>
                        <w:r>
                          <w:rPr>
                            <w:rFonts w:ascii="宋体" w:hAnsi="宋体" w:cs="宋体" w:eastAsia="宋体" w:hint="default"/>
                            <w:sz w:val="21"/>
                            <w:szCs w:val="21"/>
                          </w:rPr>
                          <w:t>其他非流动资产期末余额比期初余额增长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73.39%</w:t>
                        </w:r>
                        <w:r>
                          <w:rPr>
                            <w:rFonts w:ascii="宋体" w:hAnsi="宋体" w:cs="宋体" w:eastAsia="宋体" w:hint="default"/>
                            <w:sz w:val="21"/>
                            <w:szCs w:val="21"/>
                          </w:rPr>
                          <w:t>，主要系报告期内预付工程款</w:t>
                        </w:r>
                        <w:r>
                          <w:rPr>
                            <w:rFonts w:ascii="宋体" w:hAnsi="宋体" w:cs="宋体" w:eastAsia="宋体" w:hint="default"/>
                            <w:w w:val="100"/>
                            <w:sz w:val="21"/>
                            <w:szCs w:val="21"/>
                          </w:rPr>
                          <w:t> </w:t>
                        </w:r>
                        <w:r>
                          <w:rPr>
                            <w:rFonts w:ascii="宋体" w:hAnsi="宋体" w:cs="宋体" w:eastAsia="宋体" w:hint="default"/>
                            <w:sz w:val="21"/>
                            <w:szCs w:val="21"/>
                          </w:rPr>
                          <w:t>增加所致。</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3" w:right="50"/>
                          <w:jc w:val="left"/>
                          <w:rPr>
                            <w:rFonts w:ascii="宋体" w:hAnsi="宋体" w:cs="宋体" w:eastAsia="宋体" w:hint="default"/>
                            <w:sz w:val="21"/>
                            <w:szCs w:val="21"/>
                          </w:rPr>
                        </w:pPr>
                        <w:r>
                          <w:rPr>
                            <w:rFonts w:ascii="宋体" w:hAnsi="宋体" w:cs="宋体" w:eastAsia="宋体" w:hint="default"/>
                            <w:sz w:val="21"/>
                            <w:szCs w:val="21"/>
                          </w:rPr>
                          <w:t>递延所得税负债期末余额比期初余额增长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33.91%</w:t>
                        </w:r>
                        <w:r>
                          <w:rPr>
                            <w:rFonts w:ascii="宋体" w:hAnsi="宋体" w:cs="宋体" w:eastAsia="宋体" w:hint="default"/>
                            <w:sz w:val="21"/>
                            <w:szCs w:val="21"/>
                          </w:rPr>
                          <w:t>，主要系报告期内应纳税时间</w:t>
                        </w:r>
                        <w:r>
                          <w:rPr>
                            <w:rFonts w:ascii="宋体" w:hAnsi="宋体" w:cs="宋体" w:eastAsia="宋体" w:hint="default"/>
                            <w:w w:val="100"/>
                            <w:sz w:val="21"/>
                            <w:szCs w:val="21"/>
                          </w:rPr>
                          <w:t> </w:t>
                        </w:r>
                        <w:r>
                          <w:rPr>
                            <w:rFonts w:ascii="宋体" w:hAnsi="宋体" w:cs="宋体" w:eastAsia="宋体" w:hint="default"/>
                            <w:sz w:val="21"/>
                            <w:szCs w:val="21"/>
                          </w:rPr>
                          <w:t>性差异增加所致。</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2"/>
        <w:spacing w:line="240" w:lineRule="auto"/>
        <w:ind w:right="996"/>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17"/>
          <w:szCs w:val="17"/>
        </w:rPr>
      </w:pPr>
    </w:p>
    <w:p>
      <w:pPr>
        <w:spacing w:line="458" w:lineRule="auto" w:before="0"/>
        <w:ind w:left="152" w:right="811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三、核心竞争力分析" w:id="22"/>
      <w:bookmarkEnd w:id="22"/>
      <w:r>
        <w:rPr>
          <w:rFonts w:ascii="宋体" w:hAnsi="宋体" w:cs="宋体" w:eastAsia="宋体" w:hint="default"/>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BodyText"/>
        <w:spacing w:line="240" w:lineRule="auto" w:before="26"/>
        <w:ind w:left="633" w:right="996"/>
        <w:jc w:val="left"/>
      </w:pPr>
      <w:r>
        <w:rPr>
          <w:rFonts w:ascii="Times New Roman" w:hAnsi="Times New Roman" w:cs="Times New Roman" w:eastAsia="Times New Roman" w:hint="default"/>
        </w:rPr>
        <w:t>1</w:t>
      </w:r>
      <w:r>
        <w:rPr/>
        <w:t>、专利情况</w:t>
      </w:r>
    </w:p>
    <w:p>
      <w:pPr>
        <w:pStyle w:val="BodyText"/>
        <w:spacing w:line="240" w:lineRule="auto" w:before="126"/>
        <w:ind w:left="633" w:right="996"/>
        <w:jc w:val="left"/>
      </w:pPr>
      <w:r>
        <w:rPr/>
        <w:t>报告期内，公司共有</w:t>
      </w:r>
      <w:r>
        <w:rPr>
          <w:spacing w:val="-60"/>
        </w:rPr>
        <w:t> </w:t>
      </w:r>
      <w:r>
        <w:rPr>
          <w:rFonts w:ascii="Times New Roman" w:hAnsi="Times New Roman" w:cs="Times New Roman" w:eastAsia="Times New Roman" w:hint="default"/>
        </w:rPr>
        <w:t>27 </w:t>
      </w:r>
      <w:r>
        <w:rPr/>
        <w:t>项专利获得授权，其中发明专利</w:t>
      </w:r>
      <w:r>
        <w:rPr>
          <w:spacing w:val="-60"/>
        </w:rPr>
        <w:t> </w:t>
      </w:r>
      <w:r>
        <w:rPr>
          <w:rFonts w:ascii="Times New Roman" w:hAnsi="Times New Roman" w:cs="Times New Roman" w:eastAsia="Times New Roman" w:hint="default"/>
        </w:rPr>
        <w:t>4 </w:t>
      </w:r>
      <w:r>
        <w:rPr/>
        <w:t>项；</w:t>
      </w:r>
      <w:r>
        <w:rPr>
          <w:rFonts w:ascii="Times New Roman" w:hAnsi="Times New Roman" w:cs="Times New Roman" w:eastAsia="Times New Roman" w:hint="default"/>
        </w:rPr>
        <w:t>22 </w:t>
      </w:r>
      <w:r>
        <w:rPr/>
        <w:t>项专利获得受理，其</w:t>
      </w:r>
    </w:p>
    <w:p>
      <w:pPr>
        <w:pStyle w:val="BodyText"/>
        <w:spacing w:line="240" w:lineRule="auto" w:before="128"/>
        <w:ind w:right="996"/>
        <w:jc w:val="left"/>
      </w:pPr>
      <w:r>
        <w:rPr/>
        <w:t>中发明专利</w:t>
      </w:r>
      <w:r>
        <w:rPr>
          <w:spacing w:val="-60"/>
        </w:rPr>
        <w:t> </w:t>
      </w:r>
      <w:r>
        <w:rPr>
          <w:rFonts w:ascii="Times New Roman" w:hAnsi="Times New Roman" w:cs="Times New Roman" w:eastAsia="Times New Roman" w:hint="default"/>
        </w:rPr>
        <w:t>10 </w:t>
      </w:r>
      <w:r>
        <w:rPr/>
        <w:t>项。</w:t>
      </w:r>
    </w:p>
    <w:p>
      <w:pPr>
        <w:spacing w:line="240" w:lineRule="auto" w:before="11"/>
        <w:rPr>
          <w:rFonts w:ascii="宋体" w:hAnsi="宋体" w:cs="宋体" w:eastAsia="宋体" w:hint="default"/>
          <w:sz w:val="7"/>
          <w:szCs w:val="7"/>
        </w:rPr>
      </w:pPr>
    </w:p>
    <w:p>
      <w:pPr>
        <w:pStyle w:val="BodyText"/>
        <w:spacing w:line="240" w:lineRule="auto" w:before="26"/>
        <w:ind w:left="0" w:right="500"/>
        <w:jc w:val="center"/>
      </w:pPr>
      <w:r>
        <w:rPr>
          <w:rFonts w:ascii="Times New Roman" w:hAnsi="Times New Roman" w:cs="Times New Roman" w:eastAsia="Times New Roman" w:hint="default"/>
        </w:rPr>
        <w:t>2019 </w:t>
      </w:r>
      <w:r>
        <w:rPr/>
        <w:t>年专利授权情况一览表</w:t>
      </w:r>
    </w:p>
    <w:p>
      <w:pPr>
        <w:spacing w:line="240" w:lineRule="auto" w:before="0"/>
        <w:rPr>
          <w:rFonts w:ascii="宋体" w:hAnsi="宋体" w:cs="宋体" w:eastAsia="宋体" w:hint="default"/>
          <w:sz w:val="3"/>
          <w:szCs w:val="3"/>
        </w:rPr>
      </w:pPr>
    </w:p>
    <w:tbl>
      <w:tblPr>
        <w:tblW w:w="0" w:type="auto"/>
        <w:jc w:val="left"/>
        <w:tblInd w:w="243" w:type="dxa"/>
        <w:tblLayout w:type="fixed"/>
        <w:tblCellMar>
          <w:top w:w="0" w:type="dxa"/>
          <w:left w:w="0" w:type="dxa"/>
          <w:bottom w:w="0" w:type="dxa"/>
          <w:right w:w="0" w:type="dxa"/>
        </w:tblCellMar>
        <w:tblLook w:val="01E0"/>
      </w:tblPr>
      <w:tblGrid>
        <w:gridCol w:w="468"/>
        <w:gridCol w:w="3586"/>
        <w:gridCol w:w="912"/>
        <w:gridCol w:w="912"/>
        <w:gridCol w:w="1411"/>
        <w:gridCol w:w="1117"/>
        <w:gridCol w:w="1037"/>
      </w:tblGrid>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2"/>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8"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8" w:right="0"/>
              <w:jc w:val="left"/>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r>
      <w:tr>
        <w:trPr>
          <w:trHeight w:val="349"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一种多层电板路</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201820702875X</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2018.05.11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2019.01.08</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一种二取二主板的</w:t>
            </w:r>
            <w:r>
              <w:rPr>
                <w:rFonts w:ascii="Times New Roman" w:hAnsi="Times New Roman" w:cs="Times New Roman" w:eastAsia="Times New Roman" w:hint="default"/>
                <w:sz w:val="18"/>
                <w:szCs w:val="18"/>
              </w:rPr>
              <w:t>PCB</w:t>
            </w:r>
            <w:r>
              <w:rPr>
                <w:rFonts w:ascii="宋体" w:hAnsi="宋体" w:cs="宋体" w:eastAsia="宋体" w:hint="default"/>
                <w:sz w:val="18"/>
                <w:szCs w:val="18"/>
              </w:rPr>
              <w:t>结构</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2018207022043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2018.05.11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2019.01.08</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STP</w:t>
            </w:r>
            <w:r>
              <w:rPr>
                <w:rFonts w:ascii="宋体" w:hAnsi="宋体" w:cs="宋体" w:eastAsia="宋体" w:hint="default"/>
                <w:sz w:val="18"/>
                <w:szCs w:val="18"/>
              </w:rPr>
              <w:t>便携式地面测试台</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2018207022058</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2018.05.11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2019.01.08</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车站终端柜</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2017213575203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2017.10.20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2019.05.03</w:t>
            </w:r>
          </w:p>
        </w:tc>
      </w:tr>
      <w:tr>
        <w:trPr>
          <w:trHeight w:val="51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5</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44"/>
              <w:jc w:val="left"/>
              <w:rPr>
                <w:rFonts w:ascii="宋体" w:hAnsi="宋体" w:cs="宋体" w:eastAsia="宋体" w:hint="default"/>
                <w:sz w:val="18"/>
                <w:szCs w:val="18"/>
              </w:rPr>
            </w:pPr>
            <w:r>
              <w:rPr>
                <w:rFonts w:ascii="宋体" w:hAnsi="宋体" w:cs="宋体" w:eastAsia="宋体" w:hint="default"/>
                <w:sz w:val="18"/>
                <w:szCs w:val="18"/>
              </w:rPr>
              <w:t>一种应用于铁路微机监测采集板的自动检测 工装系统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Times New Roman" w:hAnsi="Times New Roman" w:cs="Times New Roman" w:eastAsia="Times New Roman" w:hint="default"/>
                <w:sz w:val="18"/>
                <w:szCs w:val="18"/>
              </w:rPr>
            </w:pPr>
            <w:r>
              <w:rPr>
                <w:rFonts w:ascii="Times New Roman"/>
                <w:sz w:val="18"/>
              </w:rPr>
              <w:t>2018218082921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Times New Roman" w:hAnsi="Times New Roman" w:cs="Times New Roman" w:eastAsia="Times New Roman" w:hint="default"/>
                <w:sz w:val="18"/>
                <w:szCs w:val="18"/>
              </w:rPr>
            </w:pPr>
            <w:r>
              <w:rPr>
                <w:rFonts w:ascii="Times New Roman"/>
                <w:sz w:val="18"/>
              </w:rPr>
              <w:t>2018.11.5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Times New Roman" w:hAnsi="Times New Roman" w:cs="Times New Roman" w:eastAsia="Times New Roman" w:hint="default"/>
                <w:sz w:val="18"/>
                <w:szCs w:val="18"/>
              </w:rPr>
            </w:pPr>
            <w:r>
              <w:rPr>
                <w:rFonts w:ascii="Times New Roman"/>
                <w:sz w:val="18"/>
              </w:rPr>
              <w:t>2019.6.18</w:t>
            </w:r>
          </w:p>
        </w:tc>
      </w:tr>
      <w:tr>
        <w:trPr>
          <w:trHeight w:val="51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6</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9"/>
              <w:ind w:left="4" w:right="5"/>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PowerPC</w:t>
            </w:r>
            <w:r>
              <w:rPr>
                <w:rFonts w:ascii="宋体" w:hAnsi="宋体" w:cs="宋体" w:eastAsia="宋体" w:hint="default"/>
                <w:sz w:val="18"/>
                <w:szCs w:val="18"/>
              </w:rPr>
              <w:t>嵌入式系统的动力环境监控主机 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18"/>
                <w:szCs w:val="18"/>
              </w:rPr>
            </w:pPr>
            <w:r>
              <w:rPr>
                <w:rFonts w:ascii="Times New Roman"/>
                <w:sz w:val="18"/>
              </w:rPr>
              <w:t>2018218082495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2018.11.5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2019.6.18</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UPS</w:t>
            </w:r>
            <w:r>
              <w:rPr>
                <w:rFonts w:ascii="宋体" w:hAnsi="宋体" w:cs="宋体" w:eastAsia="宋体" w:hint="default"/>
                <w:sz w:val="18"/>
                <w:szCs w:val="18"/>
              </w:rPr>
              <w:t>电源集中监测系统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2018218082480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2018.11.5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2019.07.16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43" w:type="dxa"/>
        <w:tblLayout w:type="fixed"/>
        <w:tblCellMar>
          <w:top w:w="0" w:type="dxa"/>
          <w:left w:w="0" w:type="dxa"/>
          <w:bottom w:w="0" w:type="dxa"/>
          <w:right w:w="0" w:type="dxa"/>
        </w:tblCellMar>
        <w:tblLook w:val="01E0"/>
      </w:tblPr>
      <w:tblGrid>
        <w:gridCol w:w="468"/>
        <w:gridCol w:w="3586"/>
        <w:gridCol w:w="912"/>
        <w:gridCol w:w="912"/>
        <w:gridCol w:w="1411"/>
        <w:gridCol w:w="1117"/>
        <w:gridCol w:w="1037"/>
      </w:tblGrid>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的铁路信号设备移动监测装置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2018217807577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2019.08.06</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钢包铜引接线电流传感器卡具</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2018217807609</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2019.08.06</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电源混电检测装置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2018217807562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2019.08.06</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一种铁路信号测量装置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2018217802319</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2019.08.06</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一种空气开关互锁装置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2018222526145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2018.12..29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2019.08.09</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一种用于铁路设备的电流监测电流</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2018218084363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2018.11.05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2019.08.27</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一种上进线箱体防水装置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2018222568400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2018.12.29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2019.08.30</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一种蓄电池内阻在线测试装置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201822072168X</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2018.12.11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2019.11.12</w:t>
            </w:r>
          </w:p>
        </w:tc>
      </w:tr>
      <w:tr>
        <w:trPr>
          <w:trHeight w:val="514"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16</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9"/>
              <w:ind w:left="4" w:right="173"/>
              <w:jc w:val="left"/>
              <w:rPr>
                <w:rFonts w:ascii="宋体" w:hAnsi="宋体" w:cs="宋体" w:eastAsia="宋体" w:hint="default"/>
                <w:sz w:val="18"/>
                <w:szCs w:val="18"/>
              </w:rPr>
            </w:pPr>
            <w:r>
              <w:rPr>
                <w:rFonts w:ascii="宋体" w:hAnsi="宋体" w:cs="宋体" w:eastAsia="宋体" w:hint="default"/>
                <w:sz w:val="18"/>
                <w:szCs w:val="18"/>
              </w:rPr>
              <w:t>基于北斗和</w:t>
            </w:r>
            <w:r>
              <w:rPr>
                <w:rFonts w:ascii="Times New Roman" w:hAnsi="Times New Roman" w:cs="Times New Roman" w:eastAsia="Times New Roman" w:hint="default"/>
                <w:sz w:val="18"/>
                <w:szCs w:val="18"/>
              </w:rPr>
              <w:t>GPS</w:t>
            </w:r>
            <w:r>
              <w:rPr>
                <w:rFonts w:ascii="宋体" w:hAnsi="宋体" w:cs="宋体" w:eastAsia="宋体" w:hint="default"/>
                <w:sz w:val="18"/>
                <w:szCs w:val="18"/>
              </w:rPr>
              <w:t>卫星定位的铁路施工作业安 全防护系统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18"/>
                <w:szCs w:val="18"/>
              </w:rPr>
            </w:pPr>
            <w:r>
              <w:rPr>
                <w:rFonts w:ascii="Times New Roman"/>
                <w:sz w:val="18"/>
              </w:rPr>
              <w:t>2018220728867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2018.12.11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2019.11.12</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一种应用于信号集中监测系统的信号</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2018217802323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2019.12.20</w:t>
            </w:r>
          </w:p>
        </w:tc>
      </w:tr>
      <w:tr>
        <w:trPr>
          <w:trHeight w:val="514"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18</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9"/>
              <w:ind w:left="4" w:right="103"/>
              <w:jc w:val="left"/>
              <w:rPr>
                <w:rFonts w:ascii="宋体" w:hAnsi="宋体" w:cs="宋体" w:eastAsia="宋体" w:hint="default"/>
                <w:sz w:val="18"/>
                <w:szCs w:val="18"/>
              </w:rPr>
            </w:pPr>
            <w:r>
              <w:rPr>
                <w:rFonts w:ascii="宋体" w:hAnsi="宋体" w:cs="宋体" w:eastAsia="宋体" w:hint="default"/>
                <w:sz w:val="18"/>
                <w:szCs w:val="18"/>
              </w:rPr>
              <w:t>一种铁路接触网张力补偿装置</w:t>
            </w:r>
            <w:r>
              <w:rPr>
                <w:rFonts w:ascii="Times New Roman" w:hAnsi="Times New Roman" w:cs="Times New Roman" w:eastAsia="Times New Roman" w:hint="default"/>
                <w:sz w:val="18"/>
                <w:szCs w:val="18"/>
              </w:rPr>
              <w:t>a/b</w:t>
            </w:r>
            <w:r>
              <w:rPr>
                <w:rFonts w:ascii="宋体" w:hAnsi="宋体" w:cs="宋体" w:eastAsia="宋体" w:hint="default"/>
                <w:sz w:val="18"/>
                <w:szCs w:val="18"/>
              </w:rPr>
              <w:t>值监测装置 和系统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18"/>
                <w:szCs w:val="18"/>
              </w:rPr>
            </w:pPr>
            <w:r>
              <w:rPr>
                <w:rFonts w:ascii="Times New Roman"/>
                <w:sz w:val="18"/>
              </w:rPr>
              <w:t>2019205926654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2019.4.28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2019.12.20</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一种铁路接触线抬升量监测系统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201920592664X</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2019.4.28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2019.12.20</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ZPW2000</w:t>
            </w:r>
            <w:r>
              <w:rPr>
                <w:rFonts w:ascii="宋体" w:hAnsi="宋体" w:cs="宋体" w:eastAsia="宋体" w:hint="default"/>
                <w:sz w:val="18"/>
                <w:szCs w:val="18"/>
              </w:rPr>
              <w:t>室外监测采集分机装置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2018222502259</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2018.12.29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2019.12.20</w:t>
            </w:r>
          </w:p>
        </w:tc>
      </w:tr>
      <w:tr>
        <w:trPr>
          <w:trHeight w:val="514"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center"/>
              <w:rPr>
                <w:rFonts w:ascii="Times New Roman" w:hAnsi="Times New Roman" w:cs="Times New Roman" w:eastAsia="Times New Roman" w:hint="default"/>
                <w:sz w:val="18"/>
                <w:szCs w:val="18"/>
              </w:rPr>
            </w:pPr>
            <w:r>
              <w:rPr>
                <w:rFonts w:ascii="Times New Roman"/>
                <w:sz w:val="18"/>
              </w:rPr>
              <w:t>21</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44"/>
              <w:jc w:val="left"/>
              <w:rPr>
                <w:rFonts w:ascii="宋体" w:hAnsi="宋体" w:cs="宋体" w:eastAsia="宋体" w:hint="default"/>
                <w:sz w:val="18"/>
                <w:szCs w:val="18"/>
              </w:rPr>
            </w:pPr>
            <w:r>
              <w:rPr>
                <w:rFonts w:ascii="宋体" w:hAnsi="宋体" w:cs="宋体" w:eastAsia="宋体" w:hint="default"/>
                <w:sz w:val="18"/>
                <w:szCs w:val="18"/>
              </w:rPr>
              <w:t>区间轨道电路室外数据采集分机配置校准的 便携式装置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left"/>
              <w:rPr>
                <w:rFonts w:ascii="Times New Roman" w:hAnsi="Times New Roman" w:cs="Times New Roman" w:eastAsia="Times New Roman" w:hint="default"/>
                <w:sz w:val="18"/>
                <w:szCs w:val="18"/>
              </w:rPr>
            </w:pPr>
            <w:r>
              <w:rPr>
                <w:rFonts w:ascii="Times New Roman"/>
                <w:sz w:val="18"/>
              </w:rPr>
              <w:t>2018222538937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2018.12.29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Times New Roman" w:hAnsi="Times New Roman" w:cs="Times New Roman" w:eastAsia="Times New Roman" w:hint="default"/>
                <w:sz w:val="18"/>
                <w:szCs w:val="18"/>
              </w:rPr>
            </w:pPr>
            <w:r>
              <w:rPr>
                <w:rFonts w:ascii="Times New Roman"/>
                <w:sz w:val="18"/>
              </w:rPr>
              <w:t>2019.12.20</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一种电磁锁防脱落装置</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2018222568627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2018.12.29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2019.12.20</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23</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一种地铁闸门卡票处理方法</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2016110207801</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2016.11.21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2019.3.15</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24</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一种地铁进出站闸机</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2016110210397</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2016.11.21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2019.3.15</w:t>
            </w:r>
          </w:p>
        </w:tc>
      </w:tr>
      <w:tr>
        <w:trPr>
          <w:trHeight w:val="346"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一种城市轨道交通出站吞卡解决方法</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2016110214222</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2016.11.21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2019.7.16</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26</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动车车厢的温度检测及调节系统</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2017114572495</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2017.12.28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2019.7.19</w:t>
            </w:r>
          </w:p>
        </w:tc>
      </w:tr>
      <w:tr>
        <w:trPr>
          <w:trHeight w:val="348" w:hRule="exact"/>
        </w:trPr>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w:t>
            </w:r>
          </w:p>
        </w:tc>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钢包铜引接线电流传感器卡具</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自主研发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2018306118063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2018.10.31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2019.05.03</w:t>
            </w:r>
          </w:p>
        </w:tc>
      </w:tr>
    </w:tbl>
    <w:p>
      <w:pPr>
        <w:spacing w:line="240" w:lineRule="auto" w:before="8"/>
        <w:rPr>
          <w:rFonts w:ascii="宋体" w:hAnsi="宋体" w:cs="宋体" w:eastAsia="宋体" w:hint="default"/>
          <w:sz w:val="16"/>
          <w:szCs w:val="16"/>
        </w:rPr>
      </w:pPr>
    </w:p>
    <w:p>
      <w:pPr>
        <w:pStyle w:val="BodyText"/>
        <w:spacing w:line="240" w:lineRule="auto" w:before="26"/>
        <w:ind w:left="0" w:right="500"/>
        <w:jc w:val="center"/>
      </w:pPr>
      <w:r>
        <w:rPr>
          <w:rFonts w:ascii="Times New Roman" w:hAnsi="Times New Roman" w:cs="Times New Roman" w:eastAsia="Times New Roman" w:hint="default"/>
        </w:rPr>
        <w:t>2019 </w:t>
      </w:r>
      <w:r>
        <w:rPr/>
        <w:t>年专利受理情况一览表</w:t>
      </w:r>
    </w:p>
    <w:p>
      <w:pPr>
        <w:spacing w:line="240" w:lineRule="auto" w:before="2"/>
        <w:rPr>
          <w:rFonts w:ascii="宋体" w:hAnsi="宋体" w:cs="宋体" w:eastAsia="宋体" w:hint="default"/>
          <w:sz w:val="3"/>
          <w:szCs w:val="3"/>
        </w:rPr>
      </w:pPr>
    </w:p>
    <w:tbl>
      <w:tblPr>
        <w:tblW w:w="0" w:type="auto"/>
        <w:jc w:val="left"/>
        <w:tblInd w:w="393" w:type="dxa"/>
        <w:tblLayout w:type="fixed"/>
        <w:tblCellMar>
          <w:top w:w="0" w:type="dxa"/>
          <w:left w:w="0" w:type="dxa"/>
          <w:bottom w:w="0" w:type="dxa"/>
          <w:right w:w="0" w:type="dxa"/>
        </w:tblCellMar>
        <w:tblLook w:val="01E0"/>
      </w:tblPr>
      <w:tblGrid>
        <w:gridCol w:w="780"/>
        <w:gridCol w:w="4607"/>
        <w:gridCol w:w="1135"/>
        <w:gridCol w:w="1558"/>
        <w:gridCol w:w="1066"/>
      </w:tblGrid>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一种基于三维成像的线路障碍物识别方法</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2019104385665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2019.5.24</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轨道电路列车运行仿真装置</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2019105313734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一种驼峰信号设备在线监测系统及转辙机在线监测方法</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201910531372X</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一种驼峰信号设备在线监测系统及减速器在线监测方法</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2019105310543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一种驼峰测长设备在线监测系统及方法</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2019105314120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一种驼峰雷达设备在线监测系统及方法</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2019105314116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一种接触网吊弦缺陷检测模型训练方法和缺陷检测方法</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2019105310721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9"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8</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一种基于协议匹配的二进制数据日志分析方法和系统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2019105602024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Times New Roman" w:hAnsi="Times New Roman" w:cs="Times New Roman" w:eastAsia="Times New Roman" w:hint="default"/>
                <w:sz w:val="18"/>
                <w:szCs w:val="18"/>
              </w:rPr>
            </w:pPr>
            <w:r>
              <w:rPr>
                <w:rFonts w:ascii="Times New Roman"/>
                <w:sz w:val="18"/>
              </w:rPr>
              <w:t>2019.6.26</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SM3</w:t>
            </w:r>
            <w:r>
              <w:rPr>
                <w:rFonts w:ascii="宋体" w:hAnsi="宋体" w:cs="宋体" w:eastAsia="宋体" w:hint="default"/>
                <w:sz w:val="18"/>
                <w:szCs w:val="18"/>
              </w:rPr>
              <w:t>和</w:t>
            </w:r>
            <w:r>
              <w:rPr>
                <w:rFonts w:ascii="Times New Roman" w:hAnsi="Times New Roman" w:cs="Times New Roman" w:eastAsia="Times New Roman" w:hint="default"/>
                <w:sz w:val="18"/>
                <w:szCs w:val="18"/>
              </w:rPr>
              <w:t>SM4</w:t>
            </w:r>
            <w:r>
              <w:rPr>
                <w:rFonts w:ascii="宋体" w:hAnsi="宋体" w:cs="宋体" w:eastAsia="宋体" w:hint="default"/>
                <w:sz w:val="18"/>
                <w:szCs w:val="18"/>
              </w:rPr>
              <w:t>通信加密的地铁综合监控系统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2019109819694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2019.10.16</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SM9</w:t>
            </w:r>
            <w:r>
              <w:rPr>
                <w:rFonts w:ascii="宋体" w:hAnsi="宋体" w:cs="宋体" w:eastAsia="宋体" w:hint="default"/>
                <w:sz w:val="18"/>
                <w:szCs w:val="18"/>
              </w:rPr>
              <w:t>密码身份认证的地铁综合监控系统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2019209818723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2019.10.16</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一种铁路接触线抬升量监测系统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201920592664X</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2019.4.28</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一种铁路接触网张力补偿装置</w:t>
            </w:r>
            <w:r>
              <w:rPr>
                <w:rFonts w:ascii="Times New Roman" w:hAnsi="Times New Roman" w:cs="Times New Roman" w:eastAsia="Times New Roman" w:hint="default"/>
                <w:sz w:val="18"/>
                <w:szCs w:val="18"/>
              </w:rPr>
              <w:t>a/b</w:t>
            </w:r>
            <w:r>
              <w:rPr>
                <w:rFonts w:ascii="宋体" w:hAnsi="宋体" w:cs="宋体" w:eastAsia="宋体" w:hint="default"/>
                <w:sz w:val="18"/>
                <w:szCs w:val="18"/>
              </w:rPr>
              <w:t>值监测装置和系统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2019205926654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2019.4.28</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接触网张力补偿装置状态在线监测装置</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2019302010425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2019.4.28</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轨道电路列车运行仿真装置</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2019209237773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一种驼峰信号设备在线监测系统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2019209237769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2019.6.19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93" w:type="dxa"/>
        <w:tblLayout w:type="fixed"/>
        <w:tblCellMar>
          <w:top w:w="0" w:type="dxa"/>
          <w:left w:w="0" w:type="dxa"/>
          <w:bottom w:w="0" w:type="dxa"/>
          <w:right w:w="0" w:type="dxa"/>
        </w:tblCellMar>
        <w:tblLook w:val="01E0"/>
      </w:tblPr>
      <w:tblGrid>
        <w:gridCol w:w="780"/>
        <w:gridCol w:w="4607"/>
        <w:gridCol w:w="1135"/>
        <w:gridCol w:w="1558"/>
        <w:gridCol w:w="1066"/>
      </w:tblGrid>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一种驼峰测长设备在线监测系统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2019209238085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一种驼峰雷达设备在线监测系统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2019209237970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光伏供电无线中继电台装置及无线中继电台通信系统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201921419995X</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2019.8.29</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19</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STP</w:t>
            </w:r>
            <w:r>
              <w:rPr>
                <w:rFonts w:ascii="宋体" w:hAnsi="宋体" w:cs="宋体" w:eastAsia="宋体" w:hint="default"/>
                <w:sz w:val="18"/>
                <w:szCs w:val="18"/>
              </w:rPr>
              <w:t>多频段数传电台装置</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2019224726418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2019.12.32</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STP</w:t>
            </w:r>
            <w:r>
              <w:rPr>
                <w:rFonts w:ascii="宋体" w:hAnsi="宋体" w:cs="宋体" w:eastAsia="宋体" w:hint="default"/>
                <w:sz w:val="18"/>
                <w:szCs w:val="18"/>
              </w:rPr>
              <w:t>专用数传作业单打印机</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2019224629155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2019.12.31</w:t>
            </w:r>
          </w:p>
        </w:tc>
      </w:tr>
      <w:tr>
        <w:trPr>
          <w:trHeight w:val="34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电脑的图形用户界面（智能运维管理系统）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2019307054415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2019.12.17</w:t>
            </w:r>
          </w:p>
        </w:tc>
      </w:tr>
      <w:tr>
        <w:trPr>
          <w:trHeight w:val="348"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w:t>
            </w:r>
          </w:p>
        </w:tc>
        <w:tc>
          <w:tcPr>
            <w:tcW w:w="4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电脑的图形用户界面（智能运维监控系统）</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2019307059743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2019.12.17</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rFonts w:ascii="Times New Roman" w:hAnsi="Times New Roman" w:cs="Times New Roman" w:eastAsia="Times New Roman" w:hint="default"/>
        </w:rPr>
        <w:t>2</w:t>
      </w:r>
      <w:r>
        <w:rPr/>
        <w:t>、软件著作权情况</w:t>
      </w:r>
    </w:p>
    <w:p>
      <w:pPr>
        <w:pStyle w:val="BodyText"/>
        <w:spacing w:line="240" w:lineRule="auto" w:before="128"/>
        <w:ind w:left="633" w:right="996"/>
        <w:jc w:val="left"/>
      </w:pPr>
      <w:r>
        <w:rPr/>
        <w:t>报告期内，公司共有</w:t>
      </w:r>
      <w:r>
        <w:rPr>
          <w:spacing w:val="-60"/>
        </w:rPr>
        <w:t> </w:t>
      </w:r>
      <w:r>
        <w:rPr>
          <w:rFonts w:ascii="Times New Roman" w:hAnsi="Times New Roman" w:cs="Times New Roman" w:eastAsia="Times New Roman" w:hint="default"/>
        </w:rPr>
        <w:t>6 </w:t>
      </w:r>
      <w:r>
        <w:rPr/>
        <w:t>个软件获得软件著作权登记，</w:t>
      </w:r>
      <w:r>
        <w:rPr>
          <w:rFonts w:ascii="Times New Roman" w:hAnsi="Times New Roman" w:cs="Times New Roman" w:eastAsia="Times New Roman" w:hint="default"/>
        </w:rPr>
        <w:t>21 </w:t>
      </w:r>
      <w:r>
        <w:rPr/>
        <w:t>个软件获得软件产品登记证书。</w:t>
      </w:r>
    </w:p>
    <w:p>
      <w:pPr>
        <w:pStyle w:val="BodyText"/>
        <w:spacing w:line="240" w:lineRule="auto" w:before="128"/>
        <w:ind w:left="0" w:right="500"/>
        <w:jc w:val="center"/>
      </w:pPr>
      <w:r>
        <w:rPr>
          <w:rFonts w:ascii="Times New Roman" w:hAnsi="Times New Roman" w:cs="Times New Roman" w:eastAsia="Times New Roman" w:hint="default"/>
        </w:rPr>
        <w:t>2019 </w:t>
      </w:r>
      <w:r>
        <w:rPr/>
        <w:t>年软件著作权登记一览表</w:t>
      </w:r>
    </w:p>
    <w:p>
      <w:pPr>
        <w:spacing w:line="240" w:lineRule="auto" w:before="0"/>
        <w:rPr>
          <w:rFonts w:ascii="宋体" w:hAnsi="宋体" w:cs="宋体" w:eastAsia="宋体" w:hint="default"/>
          <w:sz w:val="3"/>
          <w:szCs w:val="3"/>
        </w:rPr>
      </w:pPr>
    </w:p>
    <w:tbl>
      <w:tblPr>
        <w:tblW w:w="0" w:type="auto"/>
        <w:jc w:val="left"/>
        <w:tblInd w:w="501" w:type="dxa"/>
        <w:tblLayout w:type="fixed"/>
        <w:tblCellMar>
          <w:top w:w="0" w:type="dxa"/>
          <w:left w:w="0" w:type="dxa"/>
          <w:bottom w:w="0" w:type="dxa"/>
          <w:right w:w="0" w:type="dxa"/>
        </w:tblCellMar>
        <w:tblLook w:val="01E0"/>
      </w:tblPr>
      <w:tblGrid>
        <w:gridCol w:w="638"/>
        <w:gridCol w:w="4066"/>
        <w:gridCol w:w="900"/>
        <w:gridCol w:w="1861"/>
        <w:gridCol w:w="1464"/>
      </w:tblGrid>
      <w:tr>
        <w:trPr>
          <w:trHeight w:val="349"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软件全称</w:t>
            </w:r>
            <w:r>
              <w:rPr>
                <w:rFonts w:ascii="宋体" w:hAnsi="宋体" w:cs="宋体" w:eastAsia="宋体" w:hint="default"/>
                <w:sz w:val="18"/>
                <w:szCs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r>
      <w:tr>
        <w:trPr>
          <w:trHeight w:val="346"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辉煌动力环境监控系统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V1.0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2019SR0447710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2019.5.9</w:t>
            </w:r>
          </w:p>
        </w:tc>
      </w:tr>
      <w:tr>
        <w:trPr>
          <w:trHeight w:val="34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辉煌城轨环境与设备监控系统软件</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V1.0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2019SR0521674</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2019.5.27</w:t>
            </w:r>
          </w:p>
        </w:tc>
      </w:tr>
      <w:tr>
        <w:trPr>
          <w:trHeight w:val="34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辉煌电务综合监督系统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V1.0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2019SR0545569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2019.5.30</w:t>
            </w:r>
          </w:p>
        </w:tc>
      </w:tr>
      <w:tr>
        <w:trPr>
          <w:trHeight w:val="346"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输入切换模块校准平台软件</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V1.0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2019SR0704070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2019.07.09</w:t>
            </w:r>
          </w:p>
        </w:tc>
      </w:tr>
      <w:tr>
        <w:trPr>
          <w:trHeight w:val="34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外锁闭智能注油设备监控系统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V1.0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2019SR0980689</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2019.09.23</w:t>
            </w:r>
          </w:p>
        </w:tc>
      </w:tr>
      <w:tr>
        <w:trPr>
          <w:trHeight w:val="34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4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外锁闭智能注油系统注油分机软件</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V1.0</w:t>
            </w:r>
          </w:p>
        </w:tc>
        <w:tc>
          <w:tcPr>
            <w:tcW w:w="1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2019SR0992801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2019.09.25</w:t>
            </w:r>
          </w:p>
        </w:tc>
      </w:tr>
    </w:tbl>
    <w:p>
      <w:pPr>
        <w:spacing w:line="240" w:lineRule="auto" w:before="8"/>
        <w:rPr>
          <w:rFonts w:ascii="宋体" w:hAnsi="宋体" w:cs="宋体" w:eastAsia="宋体" w:hint="default"/>
          <w:sz w:val="16"/>
          <w:szCs w:val="16"/>
        </w:rPr>
      </w:pPr>
    </w:p>
    <w:p>
      <w:pPr>
        <w:pStyle w:val="BodyText"/>
        <w:spacing w:line="240" w:lineRule="auto" w:before="26"/>
        <w:ind w:left="3381" w:right="996"/>
        <w:jc w:val="left"/>
      </w:pPr>
      <w:r>
        <w:rPr>
          <w:rFonts w:ascii="Times New Roman" w:hAnsi="Times New Roman" w:cs="Times New Roman" w:eastAsia="Times New Roman" w:hint="default"/>
        </w:rPr>
        <w:t>2019 </w:t>
      </w:r>
      <w:r>
        <w:rPr/>
        <w:t>年度软件产品登记证书一览表</w:t>
      </w:r>
    </w:p>
    <w:p>
      <w:pPr>
        <w:spacing w:line="240" w:lineRule="auto" w:before="0"/>
        <w:rPr>
          <w:rFonts w:ascii="宋体" w:hAnsi="宋体" w:cs="宋体" w:eastAsia="宋体" w:hint="default"/>
          <w:sz w:val="3"/>
          <w:szCs w:val="3"/>
        </w:rPr>
      </w:pPr>
    </w:p>
    <w:tbl>
      <w:tblPr>
        <w:tblW w:w="0" w:type="auto"/>
        <w:jc w:val="left"/>
        <w:tblInd w:w="484" w:type="dxa"/>
        <w:tblLayout w:type="fixed"/>
        <w:tblCellMar>
          <w:top w:w="0" w:type="dxa"/>
          <w:left w:w="0" w:type="dxa"/>
          <w:bottom w:w="0" w:type="dxa"/>
          <w:right w:w="0" w:type="dxa"/>
        </w:tblCellMar>
        <w:tblLook w:val="01E0"/>
      </w:tblPr>
      <w:tblGrid>
        <w:gridCol w:w="655"/>
        <w:gridCol w:w="4033"/>
        <w:gridCol w:w="1056"/>
        <w:gridCol w:w="1921"/>
        <w:gridCol w:w="1296"/>
      </w:tblGrid>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软件产品名称</w:t>
            </w:r>
            <w:r>
              <w:rPr>
                <w:rFonts w:ascii="宋体" w:hAnsi="宋体" w:cs="宋体" w:eastAsia="宋体" w:hint="default"/>
                <w:sz w:val="18"/>
                <w:szCs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版本号</w:t>
            </w:r>
            <w:r>
              <w:rPr>
                <w:rFonts w:ascii="宋体" w:hAnsi="宋体" w:cs="宋体" w:eastAsia="宋体" w:hint="default"/>
                <w:sz w:val="18"/>
                <w:szCs w:val="18"/>
              </w:rPr>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辉煌动力环境监控系统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辉煌电务综合监督系统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2019.6.19</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w:t>
            </w:r>
            <w:r>
              <w:rPr>
                <w:rFonts w:ascii="Times New Roman" w:hAnsi="Times New Roman" w:cs="Times New Roman" w:eastAsia="Times New Roman" w:hint="default"/>
                <w:sz w:val="18"/>
                <w:szCs w:val="18"/>
              </w:rPr>
              <w:t>WJC</w:t>
            </w:r>
            <w:r>
              <w:rPr>
                <w:rFonts w:ascii="宋体" w:hAnsi="宋体" w:cs="宋体" w:eastAsia="宋体" w:hint="default"/>
                <w:sz w:val="18"/>
                <w:szCs w:val="18"/>
              </w:rPr>
              <w:t>型无线车次号校核系统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RC-2019-0320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辉煌铁路运输调度指挥管理信息系统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辉煌信通铁路灾害预警系统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RC-2019-0279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辉煌信通铁路视频安监系统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RC-2019-0281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辉煌信通城轨信号运行维护监测系统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辉煌信通调车指挥监控系统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RC-2019-0282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辉煌信通电务监测系统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RC-2019-0283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辉煌信通城轨综合监控系统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RC-2019-0284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2019.8.14</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辉煌铁路道岔综合监测系统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辉煌道岔缺口监测系统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辉煌道岔融雪控制系统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辉煌防灾安全监控系统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V3.0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辉煌高速铁路自然灾害及异物侵限监测系统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V4.0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辉煌信号集中监测系统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V2.0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RC-2019-0460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辉煌客专基地电务信息系统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18</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辉煌电务管理信息系统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2019.10.18</w:t>
            </w:r>
          </w:p>
        </w:tc>
      </w:tr>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辉煌电务设备动态监测分析系统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豫</w:t>
            </w:r>
            <w:r>
              <w:rPr>
                <w:rFonts w:ascii="Times New Roman" w:hAnsi="Times New Roman" w:cs="Times New Roman" w:eastAsia="Times New Roman" w:hint="default"/>
                <w:sz w:val="18"/>
                <w:szCs w:val="18"/>
              </w:rPr>
              <w:t>RC-2019-0454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2019.10.18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84" w:type="dxa"/>
        <w:tblLayout w:type="fixed"/>
        <w:tblCellMar>
          <w:top w:w="0" w:type="dxa"/>
          <w:left w:w="0" w:type="dxa"/>
          <w:bottom w:w="0" w:type="dxa"/>
          <w:right w:w="0" w:type="dxa"/>
        </w:tblCellMar>
        <w:tblLook w:val="01E0"/>
      </w:tblPr>
      <w:tblGrid>
        <w:gridCol w:w="655"/>
        <w:gridCol w:w="4033"/>
        <w:gridCol w:w="1056"/>
        <w:gridCol w:w="1921"/>
        <w:gridCol w:w="1296"/>
      </w:tblGrid>
      <w:tr>
        <w:trPr>
          <w:trHeight w:val="348"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路阳道岔融雪控制系统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JKPC190062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76"/>
              <w:jc w:val="right"/>
              <w:rPr>
                <w:rFonts w:ascii="Times New Roman" w:hAnsi="Times New Roman" w:cs="Times New Roman" w:eastAsia="Times New Roman" w:hint="default"/>
                <w:sz w:val="18"/>
                <w:szCs w:val="18"/>
              </w:rPr>
            </w:pPr>
            <w:r>
              <w:rPr>
                <w:rFonts w:ascii="Times New Roman"/>
                <w:spacing w:val="-1"/>
                <w:sz w:val="18"/>
              </w:rPr>
              <w:t>2019.1.25</w:t>
            </w:r>
          </w:p>
        </w:tc>
      </w:tr>
      <w:tr>
        <w:trPr>
          <w:trHeight w:val="346"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外锁闭智能注油设备监控系统</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V1.0</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JYTX199121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76"/>
              <w:jc w:val="right"/>
              <w:rPr>
                <w:rFonts w:ascii="Times New Roman" w:hAnsi="Times New Roman" w:cs="Times New Roman" w:eastAsia="Times New Roman" w:hint="default"/>
                <w:sz w:val="18"/>
                <w:szCs w:val="18"/>
              </w:rPr>
            </w:pPr>
            <w:r>
              <w:rPr>
                <w:rFonts w:ascii="Times New Roman"/>
                <w:spacing w:val="-1"/>
                <w:sz w:val="18"/>
              </w:rPr>
              <w:t>2019.9.29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045" w:right="996"/>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both"/>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32"/>
          <w:szCs w:val="32"/>
        </w:rPr>
      </w:pPr>
    </w:p>
    <w:p>
      <w:pPr>
        <w:pStyle w:val="BodyText"/>
        <w:spacing w:line="331" w:lineRule="auto"/>
        <w:ind w:right="1117" w:firstLine="48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年，公司所处的铁路和城市轨道交通行业的投资基本保持稳定，其中投产新线大幅 增长。</w:t>
      </w:r>
    </w:p>
    <w:p>
      <w:pPr>
        <w:pStyle w:val="BodyText"/>
        <w:spacing w:line="240" w:lineRule="auto" w:before="55"/>
        <w:ind w:left="633" w:right="996"/>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年度全国铁路固定资产投资完成</w:t>
      </w:r>
      <w:r>
        <w:rPr>
          <w:spacing w:val="-64"/>
        </w:rPr>
        <w:t> </w:t>
      </w:r>
      <w:r>
        <w:rPr>
          <w:rFonts w:ascii="Times New Roman" w:hAnsi="Times New Roman" w:cs="Times New Roman" w:eastAsia="Times New Roman" w:hint="default"/>
        </w:rPr>
        <w:t>8,029</w:t>
      </w:r>
      <w:r>
        <w:rPr>
          <w:rFonts w:ascii="Times New Roman" w:hAnsi="Times New Roman" w:cs="Times New Roman" w:eastAsia="Times New Roman" w:hint="default"/>
          <w:spacing w:val="-4"/>
        </w:rPr>
        <w:t> </w:t>
      </w:r>
      <w:r>
        <w:rPr/>
        <w:t>亿元，投产新线</w:t>
      </w:r>
      <w:r>
        <w:rPr>
          <w:spacing w:val="-64"/>
        </w:rPr>
        <w:t> </w:t>
      </w:r>
      <w:r>
        <w:rPr>
          <w:rFonts w:ascii="Times New Roman" w:hAnsi="Times New Roman" w:cs="Times New Roman" w:eastAsia="Times New Roman" w:hint="default"/>
        </w:rPr>
        <w:t>8,489</w:t>
      </w:r>
      <w:r>
        <w:rPr>
          <w:rFonts w:ascii="Times New Roman" w:hAnsi="Times New Roman" w:cs="Times New Roman" w:eastAsia="Times New Roman" w:hint="default"/>
          <w:spacing w:val="-4"/>
        </w:rPr>
        <w:t> </w:t>
      </w:r>
      <w:r>
        <w:rPr/>
        <w:t>公里，其中高铁</w:t>
      </w:r>
      <w:r>
        <w:rPr>
          <w:spacing w:val="-64"/>
        </w:rPr>
        <w:t> </w:t>
      </w:r>
      <w:r>
        <w:rPr>
          <w:rFonts w:ascii="Times New Roman" w:hAnsi="Times New Roman" w:cs="Times New Roman" w:eastAsia="Times New Roman" w:hint="default"/>
        </w:rPr>
        <w:t>5,474</w:t>
      </w:r>
    </w:p>
    <w:p>
      <w:pPr>
        <w:pStyle w:val="BodyText"/>
        <w:spacing w:line="240" w:lineRule="auto" w:before="128"/>
        <w:ind w:right="0"/>
        <w:jc w:val="both"/>
      </w:pPr>
      <w:r>
        <w:rPr/>
        <w:t>公里；至</w:t>
      </w:r>
      <w:r>
        <w:rPr>
          <w:spacing w:val="-60"/>
        </w:rPr>
        <w:t> </w:t>
      </w:r>
      <w:r>
        <w:rPr>
          <w:rFonts w:ascii="Times New Roman" w:hAnsi="Times New Roman" w:cs="Times New Roman" w:eastAsia="Times New Roman" w:hint="default"/>
        </w:rPr>
        <w:t>2019 </w:t>
      </w:r>
      <w:r>
        <w:rPr/>
        <w:t>年底，全国铁路营业里程达</w:t>
      </w:r>
      <w:r>
        <w:rPr>
          <w:spacing w:val="-60"/>
        </w:rPr>
        <w:t> </w:t>
      </w:r>
      <w:r>
        <w:rPr>
          <w:rFonts w:ascii="Times New Roman" w:hAnsi="Times New Roman" w:cs="Times New Roman" w:eastAsia="Times New Roman" w:hint="default"/>
        </w:rPr>
        <w:t>13.9 </w:t>
      </w:r>
      <w:r>
        <w:rPr/>
        <w:t>万公里以上，其中高速铁路达到</w:t>
      </w:r>
      <w:r>
        <w:rPr>
          <w:spacing w:val="-59"/>
        </w:rPr>
        <w:t> </w:t>
      </w:r>
      <w:r>
        <w:rPr>
          <w:rFonts w:ascii="Times New Roman" w:hAnsi="Times New Roman" w:cs="Times New Roman" w:eastAsia="Times New Roman" w:hint="default"/>
        </w:rPr>
        <w:t>3.5 </w:t>
      </w:r>
      <w:r>
        <w:rPr/>
        <w:t>万公里。</w:t>
      </w:r>
    </w:p>
    <w:p>
      <w:pPr>
        <w:pStyle w:val="BodyText"/>
        <w:spacing w:line="333" w:lineRule="auto" w:before="126"/>
        <w:ind w:right="999" w:firstLine="480"/>
        <w:jc w:val="left"/>
        <w:rPr>
          <w:rFonts w:ascii="Times New Roman" w:hAnsi="Times New Roman" w:cs="Times New Roman" w:eastAsia="Times New Roman" w:hint="default"/>
        </w:rPr>
      </w:pPr>
      <w:r>
        <w:rPr/>
        <w:t>根据中国城市轨道交通协会统计，截至</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日，中国内地累积有</w:t>
      </w:r>
      <w:r>
        <w:rPr>
          <w:spacing w:val="-60"/>
        </w:rPr>
        <w:t> </w:t>
      </w:r>
      <w:r>
        <w:rPr>
          <w:rFonts w:ascii="Times New Roman" w:hAnsi="Times New Roman" w:cs="Times New Roman" w:eastAsia="Times New Roman" w:hint="default"/>
        </w:rPr>
        <w:t>40 </w:t>
      </w:r>
      <w:r>
        <w:rPr/>
        <w:t>个城市 开通城轨交通运营线路 </w:t>
      </w:r>
      <w:r>
        <w:rPr>
          <w:rFonts w:ascii="Times New Roman" w:hAnsi="Times New Roman" w:cs="Times New Roman" w:eastAsia="Times New Roman" w:hint="default"/>
        </w:rPr>
        <w:t>6,730.27 </w:t>
      </w:r>
      <w:r>
        <w:rPr>
          <w:spacing w:val="-5"/>
        </w:rPr>
        <w:t>公里。</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38"/>
        </w:rPr>
        <w:t> </w:t>
      </w:r>
      <w:r>
        <w:rPr>
          <w:spacing w:val="-6"/>
        </w:rPr>
        <w:t>年度，中国内地共新增温州、济南、常州、徐州、</w:t>
      </w:r>
      <w:r>
        <w:rPr/>
        <w:t> 呼和浩特五个城轨交通运营城市，另有</w:t>
      </w:r>
      <w:r>
        <w:rPr>
          <w:spacing w:val="-59"/>
        </w:rPr>
        <w:t> </w:t>
      </w:r>
      <w:r>
        <w:rPr>
          <w:rFonts w:ascii="Times New Roman" w:hAnsi="Times New Roman" w:cs="Times New Roman" w:eastAsia="Times New Roman" w:hint="default"/>
        </w:rPr>
        <w:t>27 </w:t>
      </w:r>
      <w:r>
        <w:rPr/>
        <w:t>个城市有新增线路（段）投运；新增运营线路</w:t>
      </w:r>
      <w:r>
        <w:rPr>
          <w:spacing w:val="-59"/>
        </w:rPr>
        <w:t> </w:t>
      </w:r>
      <w:r>
        <w:rPr>
          <w:rFonts w:ascii="Times New Roman" w:hAnsi="Times New Roman" w:cs="Times New Roman" w:eastAsia="Times New Roman" w:hint="default"/>
        </w:rPr>
        <w:t>26</w:t>
      </w:r>
    </w:p>
    <w:p>
      <w:pPr>
        <w:pStyle w:val="BodyText"/>
        <w:spacing w:line="333" w:lineRule="auto" w:before="22"/>
        <w:ind w:left="633" w:right="1180" w:hanging="481"/>
        <w:jc w:val="left"/>
      </w:pPr>
      <w:r>
        <w:rPr/>
        <w:t>条，新开延伸段或后通段</w:t>
      </w:r>
      <w:r>
        <w:rPr>
          <w:spacing w:val="-59"/>
        </w:rPr>
        <w:t> </w:t>
      </w:r>
      <w:r>
        <w:rPr>
          <w:rFonts w:ascii="Times New Roman" w:hAnsi="Times New Roman" w:cs="Times New Roman" w:eastAsia="Times New Roman" w:hint="default"/>
        </w:rPr>
        <w:t>24 </w:t>
      </w:r>
      <w:r>
        <w:rPr/>
        <w:t>段，新增运营线路长度共计</w:t>
      </w:r>
      <w:r>
        <w:rPr>
          <w:spacing w:val="-60"/>
        </w:rPr>
        <w:t> </w:t>
      </w:r>
      <w:r>
        <w:rPr>
          <w:rFonts w:ascii="Times New Roman" w:hAnsi="Times New Roman" w:cs="Times New Roman" w:eastAsia="Times New Roman" w:hint="default"/>
        </w:rPr>
        <w:t>968.77 </w:t>
      </w:r>
      <w:r>
        <w:rPr/>
        <w:t>公里，再创历史新高。 报告期内，公司围绕</w:t>
      </w:r>
      <w:r>
        <w:rPr>
          <w:rFonts w:ascii="Times New Roman" w:hAnsi="Times New Roman" w:cs="Times New Roman" w:eastAsia="Times New Roman" w:hint="default"/>
        </w:rPr>
        <w:t>“</w:t>
      </w:r>
      <w:r>
        <w:rPr/>
        <w:t>轨道交通运营维护一体化解决方案及高端装备</w:t>
      </w:r>
      <w:r>
        <w:rPr>
          <w:rFonts w:ascii="Times New Roman" w:hAnsi="Times New Roman" w:cs="Times New Roman" w:eastAsia="Times New Roman" w:hint="default"/>
        </w:rPr>
        <w:t>”</w:t>
      </w:r>
      <w:r>
        <w:rPr/>
        <w:t>的主营业务，通过</w:t>
      </w:r>
    </w:p>
    <w:p>
      <w:pPr>
        <w:pStyle w:val="BodyText"/>
        <w:spacing w:line="345" w:lineRule="auto" w:before="25"/>
        <w:ind w:right="1132"/>
        <w:jc w:val="both"/>
      </w:pPr>
      <w:r>
        <w:rPr/>
        <w:t>加大研发投入，提升创新能力，逐步扩大市场领域；优化管理体系，健全各业务板块目标管 控，打造高端制造系统平台，提升轨道交通智能运维解决方案及综合服务能力；持续加大各 </w:t>
      </w:r>
      <w:r>
        <w:rPr>
          <w:spacing w:val="-2"/>
        </w:rPr>
        <w:t>业务板块项目回款力度，降低整体资金杠杆率，稳步推进</w:t>
      </w:r>
      <w:r>
        <w:rPr>
          <w:rFonts w:ascii="Times New Roman" w:hAnsi="Times New Roman" w:cs="Times New Roman" w:eastAsia="Times New Roman" w:hint="default"/>
          <w:spacing w:val="-2"/>
        </w:rPr>
        <w:t>“</w:t>
      </w:r>
      <w:r>
        <w:rPr>
          <w:spacing w:val="-2"/>
        </w:rPr>
        <w:t>产业</w:t>
      </w:r>
      <w:r>
        <w:rPr>
          <w:rFonts w:ascii="Times New Roman" w:hAnsi="Times New Roman" w:cs="Times New Roman" w:eastAsia="Times New Roman" w:hint="default"/>
          <w:spacing w:val="-2"/>
        </w:rPr>
        <w:t>+</w:t>
      </w:r>
      <w:r>
        <w:rPr>
          <w:spacing w:val="-2"/>
        </w:rPr>
        <w:t>资本</w:t>
      </w:r>
      <w:r>
        <w:rPr>
          <w:rFonts w:ascii="Times New Roman" w:hAnsi="Times New Roman" w:cs="Times New Roman" w:eastAsia="Times New Roman" w:hint="default"/>
          <w:spacing w:val="-2"/>
        </w:rPr>
        <w:t>”</w:t>
      </w:r>
      <w:r>
        <w:rPr>
          <w:spacing w:val="-2"/>
        </w:rPr>
        <w:t>双轮驱动战略，提高公</w:t>
      </w:r>
      <w:r>
        <w:rPr>
          <w:spacing w:val="-106"/>
        </w:rPr>
        <w:t> </w:t>
      </w:r>
      <w:r>
        <w:rPr>
          <w:spacing w:val="-106"/>
        </w:rPr>
      </w:r>
      <w:r>
        <w:rPr/>
        <w:t>司整体抗风险能力，保持公司持续健康发展。</w:t>
      </w:r>
    </w:p>
    <w:p>
      <w:pPr>
        <w:pStyle w:val="BodyText"/>
        <w:spacing w:line="333" w:lineRule="auto" w:before="38"/>
        <w:ind w:right="1095" w:firstLine="48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年度是国家宏观经济极富挑战之年，整个国家的经济在下行压力持续加大，金融、 证券等多领域的改革举措相继出台；报告期内，公司围绕公司战略，主要开展了以下工作：</w:t>
      </w:r>
    </w:p>
    <w:p>
      <w:pPr>
        <w:pStyle w:val="BodyText"/>
        <w:spacing w:line="331" w:lineRule="auto" w:before="53"/>
        <w:ind w:left="633" w:right="1153"/>
        <w:jc w:val="left"/>
      </w:pPr>
      <w:r>
        <w:rPr>
          <w:rFonts w:ascii="Times New Roman" w:hAnsi="Times New Roman" w:cs="Times New Roman" w:eastAsia="Times New Roman" w:hint="default"/>
        </w:rPr>
        <w:t>1</w:t>
      </w:r>
      <w:r>
        <w:rPr/>
        <w:t>、紧抓轨道交通行业发展机遇，持续加大市场推广与宣传，提高市场占有率。 积极与各业主、设计咨询单位举办技术交流会议，推介公司产品，成功实现在省内第二</w:t>
      </w:r>
    </w:p>
    <w:p>
      <w:pPr>
        <w:pStyle w:val="BodyText"/>
        <w:spacing w:line="333" w:lineRule="auto" w:before="55"/>
        <w:ind w:right="1129"/>
        <w:jc w:val="both"/>
      </w:pPr>
      <w:r>
        <w:rPr/>
        <w:t>城轨市场的突破；积极开拓省外城轨市场，完成了青岛</w:t>
      </w:r>
      <w:r>
        <w:rPr>
          <w:spacing w:val="-68"/>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号线</w:t>
      </w:r>
      <w:r>
        <w:rPr>
          <w:spacing w:val="-69"/>
        </w:rPr>
        <w:t> </w:t>
      </w:r>
      <w:r>
        <w:rPr>
          <w:rFonts w:ascii="Times New Roman" w:hAnsi="Times New Roman" w:cs="Times New Roman" w:eastAsia="Times New Roman" w:hint="default"/>
        </w:rPr>
        <w:t>BAS</w:t>
      </w:r>
      <w:r>
        <w:rPr>
          <w:rFonts w:ascii="Times New Roman" w:hAnsi="Times New Roman" w:cs="Times New Roman" w:eastAsia="Times New Roman" w:hint="default"/>
          <w:spacing w:val="-8"/>
        </w:rPr>
        <w:t> </w:t>
      </w:r>
      <w:r>
        <w:rPr>
          <w:spacing w:val="-3"/>
        </w:rPr>
        <w:t>产品合同首单；积极参与</w:t>
      </w:r>
      <w:r>
        <w:rPr/>
        <w:t> 省外城市的综合监控项目投标，为实现省外首单突破奠定了基础。</w:t>
      </w:r>
    </w:p>
    <w:p>
      <w:pPr>
        <w:pStyle w:val="BodyText"/>
        <w:spacing w:line="343" w:lineRule="auto" w:before="51"/>
        <w:ind w:left="633" w:right="1180"/>
        <w:jc w:val="left"/>
      </w:pPr>
      <w:r>
        <w:rPr/>
        <w:t>充分利用外围资源，强化与国内外领先企业、系统总包商的合作，推动合作共赢。 </w:t>
      </w:r>
      <w:r>
        <w:rPr>
          <w:rFonts w:ascii="Times New Roman" w:hAnsi="Times New Roman" w:cs="Times New Roman" w:eastAsia="Times New Roman" w:hint="default"/>
        </w:rPr>
        <w:t>2</w:t>
      </w:r>
      <w:r>
        <w:rPr/>
        <w:t>、加大核心产品的智能化升级研发投入，扩大领先优势，增强产品核心竞争力 围绕</w:t>
      </w:r>
      <w:r>
        <w:rPr>
          <w:rFonts w:ascii="Times New Roman" w:hAnsi="Times New Roman" w:cs="Times New Roman" w:eastAsia="Times New Roman" w:hint="default"/>
        </w:rPr>
        <w:t>“</w:t>
      </w:r>
      <w:r>
        <w:rPr/>
        <w:t>电务设备维护大监测生态平台</w:t>
      </w:r>
      <w:r>
        <w:rPr>
          <w:rFonts w:ascii="Times New Roman" w:hAnsi="Times New Roman" w:cs="Times New Roman" w:eastAsia="Times New Roman" w:hint="default"/>
        </w:rPr>
        <w:t>”</w:t>
      </w:r>
      <w:r>
        <w:rPr/>
        <w:t>开展研发工作。在既有成熟的信号集中监测、动力</w:t>
      </w:r>
    </w:p>
    <w:p>
      <w:pPr>
        <w:pStyle w:val="BodyText"/>
        <w:spacing w:line="343" w:lineRule="auto" w:before="12"/>
        <w:ind w:right="1128"/>
        <w:jc w:val="both"/>
      </w:pPr>
      <w:r>
        <w:rPr/>
        <w:t>环境监控产品维护的基础上，通过提升监测精度、扩展监测范围、强化监测分析、构架监测 </w:t>
      </w:r>
      <w:r>
        <w:rPr>
          <w:spacing w:val="-7"/>
        </w:rPr>
        <w:t>生态的思路，持续、稳步推进监测系列产品的维护、开发、预研工作；报告期内，已完成</w:t>
      </w:r>
      <w:r>
        <w:rPr>
          <w:spacing w:val="-52"/>
        </w:rPr>
        <w:t> </w:t>
      </w:r>
      <w:r>
        <w:rPr>
          <w:rFonts w:ascii="Times New Roman" w:hAnsi="Times New Roman" w:cs="Times New Roman" w:eastAsia="Times New Roman" w:hint="default"/>
        </w:rPr>
        <w:t>2018 </w:t>
      </w:r>
      <w:r>
        <w:rPr/>
        <w:t>版信号集中监测系统的试点现场验证和电务综合监督系统首条合同线路的开发实施交付；在</w:t>
      </w:r>
    </w:p>
    <w:p>
      <w:pPr>
        <w:spacing w:after="0" w:line="343"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98"/>
        <w:ind w:right="1121"/>
        <w:jc w:val="left"/>
      </w:pPr>
      <w:r>
        <w:rPr>
          <w:rFonts w:ascii="Times New Roman" w:hAnsi="Times New Roman" w:cs="Times New Roman" w:eastAsia="Times New Roman" w:hint="default"/>
          <w:spacing w:val="-1"/>
        </w:rPr>
        <w:t>ZPW2000</w:t>
      </w:r>
      <w:r>
        <w:rPr>
          <w:rFonts w:ascii="Times New Roman" w:hAnsi="Times New Roman" w:cs="Times New Roman" w:eastAsia="Times New Roman" w:hint="default"/>
          <w:spacing w:val="25"/>
        </w:rPr>
        <w:t> </w:t>
      </w:r>
      <w:r>
        <w:rPr>
          <w:spacing w:val="-2"/>
        </w:rPr>
        <w:t>室外监测设备的推广过程中，完成了室内诊断功能的多轮迭代升级，确保核心产品</w:t>
      </w:r>
      <w:r>
        <w:rPr>
          <w:spacing w:val="-117"/>
        </w:rPr>
        <w:t> </w:t>
      </w:r>
      <w:r>
        <w:rPr>
          <w:spacing w:val="-117"/>
        </w:rPr>
      </w:r>
      <w:r>
        <w:rPr/>
        <w:t>的市场份额稳步提升。</w:t>
      </w:r>
    </w:p>
    <w:p>
      <w:pPr>
        <w:pStyle w:val="BodyText"/>
        <w:spacing w:line="352" w:lineRule="auto" w:before="50"/>
        <w:ind w:right="1171" w:firstLine="480"/>
        <w:jc w:val="both"/>
      </w:pPr>
      <w:r>
        <w:rPr/>
        <w:t>持续强化以客户为中心，提高客户满意度，提升市场影响力和竞争力为目标，对防灾安 全监控系统、无线调车机车监控系统、信号电源产品、地铁隧道冲洗车产品均进行了多版本 的适应性开发，持续增强产品的核心竞争力。</w:t>
      </w:r>
    </w:p>
    <w:p>
      <w:pPr>
        <w:pStyle w:val="BodyText"/>
        <w:spacing w:line="333" w:lineRule="auto" w:before="31"/>
        <w:ind w:left="633" w:right="1153"/>
        <w:jc w:val="left"/>
      </w:pPr>
      <w:r>
        <w:rPr>
          <w:rFonts w:ascii="Times New Roman" w:hAnsi="Times New Roman" w:cs="Times New Roman" w:eastAsia="Times New Roman" w:hint="default"/>
        </w:rPr>
        <w:t>3</w:t>
      </w:r>
      <w:r>
        <w:rPr/>
        <w:t>、整合优势资源，深耕城轨市场，稳步扩大城轨业务收入占比。 报告期内，继续加大城轨系列产品的研发投入，成功实现城轨综合监控核心软件平台的</w:t>
      </w:r>
    </w:p>
    <w:p>
      <w:pPr>
        <w:pStyle w:val="BodyText"/>
        <w:spacing w:line="345" w:lineRule="auto" w:before="53"/>
        <w:ind w:right="996"/>
        <w:jc w:val="left"/>
      </w:pPr>
      <w:r>
        <w:rPr>
          <w:spacing w:val="-4"/>
        </w:rPr>
        <w:t>工程上线应用；推进城市轨道交通数字化运维平台（智能运维）和线网调度指挥系统（</w:t>
      </w:r>
      <w:r>
        <w:rPr>
          <w:rFonts w:ascii="Times New Roman" w:hAnsi="Times New Roman" w:cs="Times New Roman" w:eastAsia="Times New Roman" w:hint="default"/>
          <w:spacing w:val="-4"/>
        </w:rPr>
        <w:t>COCC</w:t>
      </w:r>
      <w:r>
        <w:rPr>
          <w:rFonts w:ascii="Times New Roman" w:hAnsi="Times New Roman" w:cs="Times New Roman" w:eastAsia="Times New Roman" w:hint="default"/>
          <w:spacing w:val="-26"/>
        </w:rPr>
        <w:t> </w:t>
      </w:r>
      <w:r>
        <w:rPr>
          <w:spacing w:val="-3"/>
        </w:rPr>
        <w:t>系统）试点建设进展；整合运营调度指挥、智能安防、智能测控等应用系统，结合国密技术、</w:t>
      </w:r>
      <w:r>
        <w:rPr>
          <w:spacing w:val="-82"/>
        </w:rPr>
        <w:t> </w:t>
      </w:r>
      <w:r>
        <w:rPr>
          <w:spacing w:val="-82"/>
        </w:rPr>
      </w:r>
      <w:r>
        <w:rPr/>
        <w:t>智慧决策、大数据处理技术，启动城轨智能安防平台和无人驾驶模式下智能综合监控系统的 研发工作，稳步推进在城轨自控领域由跟随到引领的升级转变。</w:t>
      </w:r>
    </w:p>
    <w:p>
      <w:pPr>
        <w:pStyle w:val="BodyText"/>
        <w:spacing w:line="333" w:lineRule="auto" w:before="38"/>
        <w:ind w:left="633" w:right="1153"/>
        <w:jc w:val="left"/>
      </w:pPr>
      <w:r>
        <w:rPr>
          <w:rFonts w:ascii="Times New Roman" w:hAnsi="Times New Roman" w:cs="Times New Roman" w:eastAsia="Times New Roman" w:hint="default"/>
        </w:rPr>
        <w:t>4</w:t>
      </w:r>
      <w:r>
        <w:rPr/>
        <w:t>、加大各业务板块的项目回款力度，持续降低整体运营杠杆率。 在政府相关清理拖欠民营上市公司账款的政策支持下，各业务板块迅速配合证监会、交</w:t>
      </w:r>
    </w:p>
    <w:p>
      <w:pPr>
        <w:pStyle w:val="BodyText"/>
        <w:spacing w:line="350" w:lineRule="auto" w:before="53"/>
        <w:ind w:right="1171"/>
        <w:jc w:val="both"/>
      </w:pPr>
      <w:r>
        <w:rPr/>
        <w:t>易所和工信部等相关部门，及时梳理与大型国有企业（包括政府平台公司）因业务往来形成 的逾期欠款，报告期内，项目回款实现了历史上最高额度的良好效果。稳步降低了整体运营 的资金杠杆率，保证了整体抗风险能力。</w:t>
      </w:r>
    </w:p>
    <w:p>
      <w:pPr>
        <w:pStyle w:val="BodyText"/>
        <w:spacing w:line="331" w:lineRule="auto" w:before="36"/>
        <w:ind w:left="633" w:right="1153"/>
        <w:jc w:val="left"/>
      </w:pPr>
      <w:r>
        <w:rPr>
          <w:rFonts w:ascii="Times New Roman" w:hAnsi="Times New Roman" w:cs="Times New Roman" w:eastAsia="Times New Roman" w:hint="default"/>
        </w:rPr>
        <w:t>5</w:t>
      </w:r>
      <w:r>
        <w:rPr/>
        <w:t>、加强人力资源管理，构建、优化多层次管理机制。 报告期内，公司完善了考核机制、强化协同创新机制，优化绩效薪酬体系和选人用人机</w:t>
      </w:r>
    </w:p>
    <w:p>
      <w:pPr>
        <w:pStyle w:val="BodyText"/>
        <w:spacing w:line="352" w:lineRule="auto" w:before="55"/>
        <w:ind w:right="1154"/>
        <w:jc w:val="left"/>
      </w:pPr>
      <w:r>
        <w:rPr/>
        <w:t>制，加强对核心骨干人员的激励和管理，调动了广大员工积极性和创造性，使得公司稳健发 展基础更加牢固。</w:t>
      </w:r>
    </w:p>
    <w:p>
      <w:pPr>
        <w:pStyle w:val="BodyText"/>
        <w:spacing w:line="333" w:lineRule="auto" w:before="31"/>
        <w:ind w:left="633" w:right="992"/>
        <w:jc w:val="left"/>
      </w:pPr>
      <w:r>
        <w:rPr>
          <w:rFonts w:ascii="Times New Roman" w:hAnsi="Times New Roman" w:cs="Times New Roman" w:eastAsia="Times New Roman" w:hint="default"/>
          <w:spacing w:val="-6"/>
        </w:rPr>
        <w:t>6</w:t>
      </w:r>
      <w:r>
        <w:rPr>
          <w:spacing w:val="-6"/>
        </w:rPr>
        <w:t>、加快推进募投基建项目建设，精心筹划，为公司在新园区的发展提供更好的基础保证。</w:t>
      </w:r>
      <w:r>
        <w:rPr>
          <w:spacing w:val="-84"/>
        </w:rPr>
        <w:t> </w:t>
      </w:r>
      <w:r>
        <w:rPr>
          <w:spacing w:val="-84"/>
        </w:rPr>
      </w:r>
      <w:r>
        <w:rPr>
          <w:spacing w:val="-10"/>
        </w:rPr>
        <w:t>报告期内，新园区生产楼已完成结构施工，进入内装阶段；研发楼的结构施工已完成</w:t>
      </w:r>
      <w:r>
        <w:rPr>
          <w:spacing w:val="-25"/>
        </w:rPr>
        <w:t> </w:t>
      </w:r>
      <w:r>
        <w:rPr>
          <w:rFonts w:ascii="Times New Roman" w:hAnsi="Times New Roman" w:cs="Times New Roman" w:eastAsia="Times New Roman" w:hint="default"/>
          <w:spacing w:val="-1"/>
        </w:rPr>
        <w:t>50%</w:t>
      </w:r>
      <w:r>
        <w:rPr>
          <w:spacing w:val="-1"/>
        </w:rPr>
        <w:t>，</w:t>
      </w:r>
    </w:p>
    <w:p>
      <w:pPr>
        <w:pStyle w:val="BodyText"/>
        <w:spacing w:line="350" w:lineRule="auto" w:before="25"/>
        <w:ind w:left="633" w:right="996" w:hanging="481"/>
        <w:jc w:val="left"/>
      </w:pPr>
      <w:r>
        <w:rPr/>
        <w:t>内装设计已基本完成；新园区室内外测试环境及各实验室的设计工作已完成。 </w:t>
      </w:r>
      <w:r>
        <w:rPr>
          <w:spacing w:val="-3"/>
        </w:rPr>
        <w:t>公司严格按照中国证监会和深交所的相关规定，并根据新园区基建工程的最新项目计划，</w:t>
      </w:r>
    </w:p>
    <w:p>
      <w:pPr>
        <w:pStyle w:val="BodyText"/>
        <w:spacing w:line="240" w:lineRule="auto" w:before="37"/>
        <w:ind w:right="996"/>
        <w:jc w:val="left"/>
      </w:pPr>
      <w:r>
        <w:rPr/>
        <w:t>对 </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spacing w:val="-3"/>
        </w:rPr>
        <w:t>年非公开发行募集资金投资项目实施进度调整情况进行内部决策、审批，将募集资金</w:t>
      </w:r>
    </w:p>
    <w:p>
      <w:pPr>
        <w:pStyle w:val="BodyText"/>
        <w:spacing w:line="331" w:lineRule="auto" w:before="128"/>
        <w:ind w:right="996"/>
        <w:jc w:val="left"/>
      </w:pPr>
      <w:r>
        <w:rPr/>
        <w:t>投资项目达到预定可使用状态日期由</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日调整至</w:t>
      </w:r>
      <w:r>
        <w:rPr>
          <w:spacing w:val="-63"/>
        </w:rPr>
        <w:t> </w:t>
      </w:r>
      <w:r>
        <w:rPr>
          <w:rFonts w:ascii="Times New Roman" w:hAnsi="Times New Roman" w:cs="Times New Roman" w:eastAsia="Times New Roman" w:hint="default"/>
        </w:rPr>
        <w:t>2021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 </w:t>
      </w:r>
      <w:r>
        <w:rPr/>
        <w:t>项目的其 他内容均保持不变。</w:t>
      </w:r>
    </w:p>
    <w:p>
      <w:pPr>
        <w:pStyle w:val="BodyText"/>
        <w:spacing w:line="333" w:lineRule="auto" w:before="55"/>
        <w:ind w:left="633" w:right="996"/>
        <w:jc w:val="left"/>
      </w:pPr>
      <w:r>
        <w:rPr>
          <w:rFonts w:ascii="Times New Roman" w:hAnsi="Times New Roman" w:cs="Times New Roman" w:eastAsia="Times New Roman" w:hint="default"/>
        </w:rPr>
        <w:t>7</w:t>
      </w:r>
      <w:r>
        <w:rPr/>
        <w:t>、提高风险识别意识，强化安全管理责任，建立健全安全管理机制 </w:t>
      </w:r>
      <w:r>
        <w:rPr>
          <w:spacing w:val="-7"/>
        </w:rPr>
        <w:t>编制、发布并严格实施了《安全环境管理办法》、《关于完善公司生产安全管理的通知》</w:t>
      </w:r>
    </w:p>
    <w:p>
      <w:pPr>
        <w:pStyle w:val="BodyText"/>
        <w:spacing w:line="240" w:lineRule="auto" w:before="50"/>
        <w:ind w:right="996"/>
        <w:jc w:val="left"/>
      </w:pPr>
      <w:r>
        <w:rPr/>
        <w:t>及《工程及售后现场安全管理办法》及相关附件等一系列安全管理制度。加强公司员工安全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54"/>
        <w:jc w:val="left"/>
      </w:pPr>
      <w:r>
        <w:rPr/>
        <w:t>生产和施工相关教育和培训，全面检查安全生产现状，排查生产安全隐患，落实整改措施， 制定应急预案，并进行应急救援预案演练。</w:t>
      </w:r>
    </w:p>
    <w:p>
      <w:pPr>
        <w:pStyle w:val="BodyText"/>
        <w:spacing w:line="333" w:lineRule="auto" w:before="31"/>
        <w:ind w:right="1197" w:firstLine="480"/>
        <w:jc w:val="both"/>
      </w:pPr>
      <w:r>
        <w:rPr/>
        <w:t>只有全体员工始终坚持</w:t>
      </w:r>
      <w:r>
        <w:rPr>
          <w:rFonts w:ascii="Times New Roman" w:hAnsi="Times New Roman" w:cs="Times New Roman" w:eastAsia="Times New Roman" w:hint="default"/>
        </w:rPr>
        <w:t>“</w:t>
      </w:r>
      <w:r>
        <w:rPr/>
        <w:t>安全第一</w:t>
      </w:r>
      <w:r>
        <w:rPr>
          <w:rFonts w:ascii="Times New Roman" w:hAnsi="Times New Roman" w:cs="Times New Roman" w:eastAsia="Times New Roman" w:hint="default"/>
        </w:rPr>
        <w:t>”</w:t>
      </w:r>
      <w:r>
        <w:rPr/>
        <w:t>的安全风险意识，以行之有效的措施抓好安全生产的 落实，才能为公司蓬勃发展保驾护航。</w:t>
      </w:r>
    </w:p>
    <w:p>
      <w:pPr>
        <w:spacing w:line="240" w:lineRule="auto" w:before="6"/>
        <w:rPr>
          <w:rFonts w:ascii="宋体" w:hAnsi="宋体" w:cs="宋体" w:eastAsia="宋体" w:hint="default"/>
          <w:sz w:val="17"/>
          <w:szCs w:val="17"/>
        </w:rPr>
      </w:pPr>
    </w:p>
    <w:p>
      <w:pPr>
        <w:pStyle w:val="Heading2"/>
        <w:spacing w:line="240" w:lineRule="auto" w:before="0"/>
        <w:ind w:right="996"/>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333" w:lineRule="auto"/>
        <w:ind w:right="1150" w:firstLine="480"/>
        <w:jc w:val="both"/>
      </w:pPr>
      <w:r>
        <w:rPr/>
        <w:t>（</w:t>
      </w:r>
      <w:r>
        <w:rPr>
          <w:rFonts w:ascii="Times New Roman" w:hAnsi="Times New Roman" w:cs="Times New Roman" w:eastAsia="Times New Roman" w:hint="default"/>
        </w:rPr>
        <w:t>1</w:t>
      </w:r>
      <w:r>
        <w:rPr/>
        <w:t>）报告期内，公司实现营业收入</w:t>
      </w:r>
      <w:r>
        <w:rPr>
          <w:spacing w:val="-61"/>
        </w:rPr>
        <w:t> </w:t>
      </w:r>
      <w:r>
        <w:rPr>
          <w:rFonts w:ascii="Times New Roman" w:hAnsi="Times New Roman" w:cs="Times New Roman" w:eastAsia="Times New Roman" w:hint="default"/>
        </w:rPr>
        <w:t>50,440.89</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比上年同期减少</w:t>
      </w:r>
      <w:r>
        <w:rPr>
          <w:spacing w:val="-61"/>
        </w:rPr>
        <w:t> </w:t>
      </w:r>
      <w:r>
        <w:rPr>
          <w:rFonts w:ascii="Times New Roman" w:hAnsi="Times New Roman" w:cs="Times New Roman" w:eastAsia="Times New Roman" w:hint="default"/>
        </w:rPr>
        <w:t>4.60%</w:t>
      </w:r>
      <w:r>
        <w:rPr/>
        <w:t>，实现归属于 上市公司股东的净利润为</w:t>
      </w:r>
      <w:r>
        <w:rPr>
          <w:spacing w:val="-60"/>
        </w:rPr>
        <w:t> </w:t>
      </w:r>
      <w:r>
        <w:rPr>
          <w:rFonts w:ascii="Times New Roman" w:hAnsi="Times New Roman" w:cs="Times New Roman" w:eastAsia="Times New Roman" w:hint="default"/>
        </w:rPr>
        <w:t>6,703.40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比上年同期增加</w:t>
      </w:r>
      <w:r>
        <w:rPr>
          <w:spacing w:val="-61"/>
        </w:rPr>
        <w:t> </w:t>
      </w:r>
      <w:r>
        <w:rPr>
          <w:rFonts w:ascii="Times New Roman" w:hAnsi="Times New Roman" w:cs="Times New Roman" w:eastAsia="Times New Roman" w:hint="default"/>
        </w:rPr>
        <w:t>141.71%</w:t>
      </w:r>
      <w:r>
        <w:rPr/>
        <w:t>，主要原因系①报告期内计 提商誉减值比上年同期减少</w:t>
      </w:r>
      <w:r>
        <w:rPr>
          <w:spacing w:val="-59"/>
        </w:rPr>
        <w:t> </w:t>
      </w:r>
      <w:r>
        <w:rPr>
          <w:rFonts w:ascii="Times New Roman" w:hAnsi="Times New Roman" w:cs="Times New Roman" w:eastAsia="Times New Roman" w:hint="default"/>
        </w:rPr>
        <w:t>5,159.10 </w:t>
      </w:r>
      <w:r>
        <w:rPr/>
        <w:t>万元；计提信用减值比上年同期减少</w:t>
      </w:r>
      <w:r>
        <w:rPr>
          <w:spacing w:val="-59"/>
        </w:rPr>
        <w:t> </w:t>
      </w:r>
      <w:r>
        <w:rPr>
          <w:rFonts w:ascii="Times New Roman" w:hAnsi="Times New Roman" w:cs="Times New Roman" w:eastAsia="Times New Roman" w:hint="default"/>
        </w:rPr>
        <w:t>3,482.44 </w:t>
      </w:r>
      <w:r>
        <w:rPr/>
        <w:t>万元；②</w:t>
      </w:r>
    </w:p>
    <w:p>
      <w:pPr>
        <w:pStyle w:val="BodyText"/>
        <w:spacing w:line="240" w:lineRule="auto" w:before="22"/>
        <w:ind w:right="996"/>
        <w:jc w:val="left"/>
      </w:pPr>
      <w:r>
        <w:rPr/>
        <w:t>报告期内财务费用比上年同期减少</w:t>
      </w:r>
      <w:r>
        <w:rPr>
          <w:spacing w:val="-59"/>
        </w:rPr>
        <w:t> </w:t>
      </w:r>
      <w:r>
        <w:rPr>
          <w:rFonts w:ascii="Times New Roman" w:hAnsi="Times New Roman" w:cs="Times New Roman" w:eastAsia="Times New Roman" w:hint="default"/>
        </w:rPr>
        <w:t>1,069.40 </w:t>
      </w:r>
      <w:r>
        <w:rPr/>
        <w:t>万元。</w:t>
      </w:r>
    </w:p>
    <w:p>
      <w:pPr>
        <w:pStyle w:val="BodyText"/>
        <w:spacing w:line="331" w:lineRule="auto" w:before="128"/>
        <w:ind w:right="1132" w:firstLine="480"/>
        <w:jc w:val="both"/>
      </w:pPr>
      <w:r>
        <w:rPr/>
        <w:t>（</w:t>
      </w:r>
      <w:r>
        <w:rPr>
          <w:rFonts w:ascii="Times New Roman" w:hAnsi="Times New Roman" w:cs="Times New Roman" w:eastAsia="Times New Roman" w:hint="default"/>
        </w:rPr>
        <w:t>2</w:t>
      </w:r>
      <w:r>
        <w:rPr/>
        <w:t>）报告期内，公司研发投入</w:t>
      </w:r>
      <w:r>
        <w:rPr>
          <w:spacing w:val="-61"/>
        </w:rPr>
        <w:t> </w:t>
      </w:r>
      <w:r>
        <w:rPr>
          <w:rFonts w:ascii="Times New Roman" w:hAnsi="Times New Roman" w:cs="Times New Roman" w:eastAsia="Times New Roman" w:hint="default"/>
        </w:rPr>
        <w:t>7,770.93</w:t>
      </w:r>
      <w:r>
        <w:rPr>
          <w:rFonts w:ascii="Times New Roman" w:hAnsi="Times New Roman" w:cs="Times New Roman" w:eastAsia="Times New Roman" w:hint="default"/>
          <w:spacing w:val="-1"/>
        </w:rPr>
        <w:t> </w:t>
      </w:r>
      <w:r>
        <w:rPr/>
        <w:t>万元，占公司营业收入的比例为</w:t>
      </w:r>
      <w:r>
        <w:rPr>
          <w:spacing w:val="-60"/>
        </w:rPr>
        <w:t> </w:t>
      </w:r>
      <w:r>
        <w:rPr>
          <w:rFonts w:ascii="Times New Roman" w:hAnsi="Times New Roman" w:cs="Times New Roman" w:eastAsia="Times New Roman" w:hint="default"/>
        </w:rPr>
        <w:t>15.41%</w:t>
      </w:r>
      <w:r>
        <w:rPr/>
        <w:t>，比上 年同期增加</w:t>
      </w:r>
      <w:r>
        <w:rPr>
          <w:spacing w:val="-98"/>
        </w:rPr>
        <w:t> </w:t>
      </w:r>
      <w:r>
        <w:rPr>
          <w:rFonts w:ascii="Times New Roman" w:hAnsi="Times New Roman" w:cs="Times New Roman" w:eastAsia="Times New Roman" w:hint="default"/>
        </w:rPr>
        <w:t>20.80%</w:t>
      </w:r>
      <w:r>
        <w:rPr/>
        <w:t>，主要原因系公司在报告期内，扩大研发项目范围和规模，增加研发投入 所致。</w:t>
      </w:r>
    </w:p>
    <w:p>
      <w:pPr>
        <w:pStyle w:val="BodyText"/>
        <w:spacing w:line="333" w:lineRule="auto" w:before="55"/>
        <w:ind w:right="1150" w:firstLine="480"/>
        <w:jc w:val="both"/>
      </w:pPr>
      <w:r>
        <w:rPr/>
        <w:t>（</w:t>
      </w:r>
      <w:r>
        <w:rPr>
          <w:rFonts w:ascii="Times New Roman" w:hAnsi="Times New Roman" w:cs="Times New Roman" w:eastAsia="Times New Roman" w:hint="default"/>
        </w:rPr>
        <w:t>3</w:t>
      </w:r>
      <w:r>
        <w:rPr/>
        <w:t>）报告期内，公司经营活动产生的现金流量净额比上年同期增加</w:t>
      </w:r>
      <w:r>
        <w:rPr>
          <w:spacing w:val="-61"/>
        </w:rPr>
        <w:t> </w:t>
      </w:r>
      <w:r>
        <w:rPr>
          <w:rFonts w:ascii="Times New Roman" w:hAnsi="Times New Roman" w:cs="Times New Roman" w:eastAsia="Times New Roman" w:hint="default"/>
        </w:rPr>
        <w:t>1,298.07%</w:t>
      </w:r>
      <w:r>
        <w:rPr/>
        <w:t>，主要原 因系报告期内销售商品、提供劳务收到的现金增加所致。</w:t>
      </w:r>
    </w:p>
    <w:p>
      <w:pPr>
        <w:pStyle w:val="BodyText"/>
        <w:spacing w:line="333" w:lineRule="auto" w:before="51"/>
        <w:ind w:right="1133" w:firstLine="480"/>
        <w:jc w:val="both"/>
      </w:pPr>
      <w:r>
        <w:rPr>
          <w:spacing w:val="-3"/>
        </w:rPr>
        <w:t>（</w:t>
      </w:r>
      <w:r>
        <w:rPr>
          <w:rFonts w:ascii="Times New Roman" w:hAnsi="Times New Roman" w:cs="Times New Roman" w:eastAsia="Times New Roman" w:hint="default"/>
          <w:spacing w:val="-3"/>
        </w:rPr>
        <w:t>4</w:t>
      </w:r>
      <w:r>
        <w:rPr>
          <w:spacing w:val="-3"/>
        </w:rPr>
        <w:t>）公司根据产品订单进行生产，不存在产品积压情况。报告期内，公司存货占总资产</w:t>
      </w:r>
      <w:r>
        <w:rPr/>
        <w:t> 的比例为</w:t>
      </w:r>
      <w:r>
        <w:rPr>
          <w:spacing w:val="-61"/>
        </w:rPr>
        <w:t> </w:t>
      </w:r>
      <w:r>
        <w:rPr>
          <w:rFonts w:ascii="Times New Roman" w:hAnsi="Times New Roman" w:cs="Times New Roman" w:eastAsia="Times New Roman" w:hint="default"/>
        </w:rPr>
        <w:t>12.61%</w:t>
      </w:r>
      <w:r>
        <w:rPr/>
        <w:t>，主要是为合同备货的产品，未到完工验收期，暂未确认收入。</w:t>
      </w:r>
    </w:p>
    <w:p>
      <w:pPr>
        <w:pStyle w:val="BodyText"/>
        <w:spacing w:line="240" w:lineRule="auto" w:before="25"/>
        <w:ind w:left="633" w:right="996"/>
        <w:jc w:val="left"/>
      </w:pPr>
      <w:r>
        <w:rPr/>
        <w:t>（</w:t>
      </w:r>
      <w:r>
        <w:rPr>
          <w:rFonts w:ascii="Times New Roman" w:hAnsi="Times New Roman" w:cs="Times New Roman" w:eastAsia="Times New Roman" w:hint="default"/>
        </w:rPr>
        <w:t>5</w:t>
      </w:r>
      <w:r>
        <w:rPr/>
        <w:t>）报告期内，公司主要设备的盈利能力状况未发生变化。</w:t>
      </w:r>
    </w:p>
    <w:p>
      <w:pPr>
        <w:pStyle w:val="BodyText"/>
        <w:spacing w:line="240" w:lineRule="auto" w:before="126"/>
        <w:ind w:left="633" w:right="996"/>
        <w:jc w:val="left"/>
      </w:pPr>
      <w:r>
        <w:rPr/>
        <w:t>（</w:t>
      </w:r>
      <w:r>
        <w:rPr>
          <w:rFonts w:ascii="Times New Roman" w:hAnsi="Times New Roman" w:cs="Times New Roman" w:eastAsia="Times New Roman" w:hint="default"/>
        </w:rPr>
        <w:t>6</w:t>
      </w:r>
      <w:r>
        <w:rPr/>
        <w:t>）截至报告期末，公司的商誉余额为零。公司于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年非同一控制下合并北京国铁</w:t>
      </w:r>
    </w:p>
    <w:p>
      <w:pPr>
        <w:pStyle w:val="BodyText"/>
        <w:spacing w:line="240" w:lineRule="auto" w:before="128"/>
        <w:ind w:right="996"/>
        <w:jc w:val="left"/>
        <w:rPr>
          <w:rFonts w:ascii="Times New Roman" w:hAnsi="Times New Roman" w:cs="Times New Roman" w:eastAsia="Times New Roman" w:hint="default"/>
        </w:rPr>
      </w:pPr>
      <w:r>
        <w:rPr/>
        <w:t>路阳技术有限公司形成商誉</w:t>
      </w:r>
      <w:r>
        <w:rPr>
          <w:spacing w:val="-59"/>
        </w:rPr>
        <w:t> </w:t>
      </w:r>
      <w:r>
        <w:rPr>
          <w:rFonts w:ascii="Times New Roman" w:hAnsi="Times New Roman" w:cs="Times New Roman" w:eastAsia="Times New Roman" w:hint="default"/>
        </w:rPr>
        <w:t>10,786.30 </w:t>
      </w:r>
      <w:r>
        <w:rPr>
          <w:spacing w:val="-5"/>
        </w:rPr>
        <w:t>万元，截至</w:t>
      </w:r>
      <w:r>
        <w:rPr>
          <w:spacing w:val="-60"/>
        </w:rPr>
        <w:t> </w:t>
      </w:r>
      <w:r>
        <w:rPr>
          <w:rFonts w:ascii="Times New Roman" w:hAnsi="Times New Roman" w:cs="Times New Roman" w:eastAsia="Times New Roman" w:hint="default"/>
        </w:rPr>
        <w:t>2018 </w:t>
      </w:r>
      <w:r>
        <w:rPr/>
        <w:t>年末公司对该商誉计提减值</w:t>
      </w:r>
      <w:r>
        <w:rPr>
          <w:spacing w:val="-60"/>
        </w:rPr>
        <w:t> </w:t>
      </w:r>
      <w:r>
        <w:rPr>
          <w:rFonts w:ascii="Times New Roman" w:hAnsi="Times New Roman" w:cs="Times New Roman" w:eastAsia="Times New Roman" w:hint="default"/>
        </w:rPr>
        <w:t>10,786.30</w:t>
      </w:r>
    </w:p>
    <w:p>
      <w:pPr>
        <w:pStyle w:val="BodyText"/>
        <w:spacing w:line="240" w:lineRule="auto" w:before="128"/>
        <w:ind w:right="996"/>
        <w:jc w:val="left"/>
      </w:pPr>
      <w:r>
        <w:rPr/>
        <w:t>万元；公司于</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2 </w:t>
      </w:r>
      <w:r>
        <w:rPr/>
        <w:t>月非同一控制下合并成都西南交大驱动技术有限责任公司形成商誉</w:t>
      </w:r>
    </w:p>
    <w:p>
      <w:pPr>
        <w:pStyle w:val="BodyText"/>
        <w:spacing w:line="240" w:lineRule="auto" w:before="126"/>
        <w:ind w:right="996"/>
        <w:jc w:val="left"/>
      </w:pPr>
      <w:r>
        <w:rPr>
          <w:rFonts w:ascii="Times New Roman" w:hAnsi="Times New Roman" w:cs="Times New Roman" w:eastAsia="Times New Roman" w:hint="default"/>
        </w:rPr>
        <w:t>3,414.13 </w:t>
      </w:r>
      <w:r>
        <w:rPr/>
        <w:t>万元</w:t>
      </w:r>
      <w:r>
        <w:rPr>
          <w:rFonts w:ascii="Times New Roman" w:hAnsi="Times New Roman" w:cs="Times New Roman" w:eastAsia="Times New Roman" w:hint="default"/>
        </w:rPr>
        <w:t>,</w:t>
      </w:r>
      <w:r>
        <w:rPr/>
        <w:t>截止</w:t>
      </w:r>
      <w:r>
        <w:rPr>
          <w:spacing w:val="-60"/>
        </w:rPr>
        <w:t> </w:t>
      </w:r>
      <w:r>
        <w:rPr>
          <w:rFonts w:ascii="Times New Roman" w:hAnsi="Times New Roman" w:cs="Times New Roman" w:eastAsia="Times New Roman" w:hint="default"/>
        </w:rPr>
        <w:t>2019 </w:t>
      </w:r>
      <w:r>
        <w:rPr/>
        <w:t>年末公司对该商誉计提减值</w:t>
      </w:r>
      <w:r>
        <w:rPr>
          <w:spacing w:val="-59"/>
        </w:rPr>
        <w:t> </w:t>
      </w:r>
      <w:r>
        <w:rPr>
          <w:rFonts w:ascii="Times New Roman" w:hAnsi="Times New Roman" w:cs="Times New Roman" w:eastAsia="Times New Roman" w:hint="default"/>
        </w:rPr>
        <w:t>3,414.13 </w:t>
      </w:r>
      <w:r>
        <w:rPr/>
        <w:t>万元。</w:t>
      </w:r>
    </w:p>
    <w:p>
      <w:pPr>
        <w:spacing w:line="240" w:lineRule="auto" w:before="7"/>
        <w:rPr>
          <w:rFonts w:ascii="宋体" w:hAnsi="宋体" w:cs="宋体" w:eastAsia="宋体" w:hint="default"/>
          <w:sz w:val="20"/>
          <w:szCs w:val="20"/>
        </w:rPr>
      </w:pPr>
    </w:p>
    <w:p>
      <w:pPr>
        <w:spacing w:before="0"/>
        <w:ind w:left="152" w:right="996" w:firstLine="0"/>
        <w:jc w:val="left"/>
        <w:rPr>
          <w:rFonts w:ascii="宋体" w:hAnsi="宋体" w:cs="宋体" w:eastAsia="宋体" w:hint="default"/>
          <w:sz w:val="21"/>
          <w:szCs w:val="21"/>
        </w:rPr>
      </w:pPr>
      <w:bookmarkStart w:name="2、收入与成本" w:id="28"/>
      <w:bookmarkEnd w:id="2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Heading2"/>
        <w:spacing w:line="240" w:lineRule="auto" w:before="0"/>
        <w:ind w:right="996"/>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before="14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6"/>
        <w:gridCol w:w="1594"/>
        <w:gridCol w:w="1583"/>
        <w:gridCol w:w="1607"/>
        <w:gridCol w:w="1570"/>
        <w:gridCol w:w="1606"/>
      </w:tblGrid>
      <w:tr>
        <w:trPr>
          <w:trHeight w:val="204"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left="418" w:right="0"/>
              <w:jc w:val="left"/>
              <w:rPr>
                <w:rFonts w:ascii="Times New Roman" w:hAnsi="Times New Roman" w:cs="Times New Roman" w:eastAsia="Times New Roman" w:hint="default"/>
                <w:sz w:val="18"/>
                <w:szCs w:val="18"/>
              </w:rPr>
            </w:pPr>
            <w:r>
              <w:rPr>
                <w:rFonts w:ascii="Times New Roman"/>
                <w:sz w:val="18"/>
              </w:rPr>
              <w:t>504,408,910.17</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60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left="428" w:right="0"/>
              <w:jc w:val="left"/>
              <w:rPr>
                <w:rFonts w:ascii="Times New Roman" w:hAnsi="Times New Roman" w:cs="Times New Roman" w:eastAsia="Times New Roman" w:hint="default"/>
                <w:sz w:val="18"/>
                <w:szCs w:val="18"/>
              </w:rPr>
            </w:pPr>
            <w:r>
              <w:rPr>
                <w:rFonts w:ascii="Times New Roman"/>
                <w:sz w:val="18"/>
              </w:rPr>
              <w:t>528,708,205.03</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100%</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256,076,237.25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337,735,259.03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厂矿企业及地方铁 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23,795,387.15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39,112,484.15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152,420,977.46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84,328,814.89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72,116,308.31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67,531,646.96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设备监测类产品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124,513,589.05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225,769,665.54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-18.02%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安防类产品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185,036,700.00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99,466,737.73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生产指挥及运输调 度信息化类产品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5,042,639.39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5,373,292.44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信号控制类产品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2,866,479.61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6,862,520.57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电源类设备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48,456,115.69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60,428,821.49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信号设备及器材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66,377,078.12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63,275,520.30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72,116,308.31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67,531,646.96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57,218,267.34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100,293,707.27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256,650,847.08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154,172,472.14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118,423,487.44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206,710,378.66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72,116,308.31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67,531,646.96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w:t>
            </w:r>
          </w:p>
        </w:tc>
      </w:tr>
    </w:tbl>
    <w:p>
      <w:pPr>
        <w:spacing w:line="240" w:lineRule="auto" w:before="9"/>
        <w:rPr>
          <w:rFonts w:ascii="宋体" w:hAnsi="宋体" w:cs="宋体" w:eastAsia="宋体" w:hint="default"/>
          <w:sz w:val="4"/>
          <w:szCs w:val="4"/>
        </w:rPr>
      </w:pPr>
    </w:p>
    <w:p>
      <w:pPr>
        <w:pStyle w:val="BodyText"/>
        <w:spacing w:line="331" w:lineRule="auto" w:before="26"/>
        <w:ind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spacing w:before="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20"/>
        <w:gridCol w:w="1009"/>
        <w:gridCol w:w="1013"/>
        <w:gridCol w:w="1011"/>
        <w:gridCol w:w="1003"/>
        <w:gridCol w:w="1006"/>
        <w:gridCol w:w="1001"/>
        <w:gridCol w:w="1003"/>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2"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4"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0"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85,068,095.6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119,209,989.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92,003,203.8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208,127,621.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75,814,258.1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107,971,810.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82,971,131.4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261,951,004.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r>
      <w:tr>
        <w:trPr>
          <w:trHeight w:val="394"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0" w:type="dxa"/>
            <w:vMerge/>
            <w:tcBorders>
              <w:left w:val="single" w:sz="10" w:space="0" w:color="D2D2D2"/>
              <w:right w:val="single" w:sz="4" w:space="0" w:color="000000"/>
            </w:tcBorders>
          </w:tcPr>
          <w:p>
            <w:pPr/>
          </w:p>
        </w:tc>
        <w:tc>
          <w:tcPr>
            <w:tcW w:w="1009"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0" w:type="dxa"/>
            <w:vMerge/>
            <w:tcBorders>
              <w:left w:val="single" w:sz="10" w:space="0" w:color="D2D2D2"/>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5,262,503.48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29,916,527.9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22,880,528.2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8,974,459.29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3,073,019.67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16,810,119.8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19,812,475.5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-11,962,617.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r>
    </w:tbl>
    <w:p>
      <w:pPr>
        <w:spacing w:line="240" w:lineRule="auto" w:before="9"/>
        <w:rPr>
          <w:rFonts w:ascii="宋体" w:hAnsi="宋体" w:cs="宋体" w:eastAsia="宋体" w:hint="default"/>
          <w:sz w:val="4"/>
          <w:szCs w:val="4"/>
        </w:rPr>
      </w:pPr>
    </w:p>
    <w:p>
      <w:pPr>
        <w:pStyle w:val="BodyText"/>
        <w:spacing w:line="352" w:lineRule="auto" w:before="26"/>
        <w:ind w:left="633" w:right="1153"/>
        <w:jc w:val="left"/>
      </w:pPr>
      <w:r>
        <w:rPr/>
        <w:t>说明经营季节性（或周期性）发生的原因及波动风险 公司国铁业务受国家铁路总体投资和建设进度的影响，有一定程度的季节性波动，根据</w:t>
      </w:r>
    </w:p>
    <w:p>
      <w:pPr>
        <w:pStyle w:val="BodyText"/>
        <w:spacing w:line="350" w:lineRule="auto" w:before="34"/>
        <w:ind w:right="1154"/>
        <w:jc w:val="left"/>
      </w:pPr>
      <w:r>
        <w:rPr/>
        <w:t>年度总投资计划，一般在一二季度招投标项目较多，同时受春运影响，在一季度工程验收项 目相对较少；在四季度，工程验收交付开通项目较多，因此确认收入相对较多。</w:t>
      </w:r>
    </w:p>
    <w:p>
      <w:pPr>
        <w:spacing w:after="0" w:line="35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spacing w:line="403" w:lineRule="auto" w:before="26"/>
        <w:ind w:left="633" w:right="1115" w:hanging="481"/>
        <w:jc w:val="left"/>
        <w:rPr>
          <w:rFonts w:ascii="宋体" w:hAnsi="宋体" w:cs="宋体" w:eastAsia="宋体" w:hint="default"/>
          <w:sz w:val="24"/>
          <w:szCs w:val="24"/>
        </w:rPr>
      </w:pPr>
      <w:bookmarkStart w:name="（2）占公司营业收入或营业利润10%以上的行业、产品或地区情况" w:id="30"/>
      <w:bookmarkEnd w:id="3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）占公司营业收入或营业利润</w:t>
      </w:r>
      <w:r>
        <w:rPr>
          <w:rFonts w:ascii="宋体" w:hAnsi="宋体" w:cs="宋体" w:eastAsia="宋体" w:hint="default"/>
          <w:b/>
          <w:bCs/>
          <w:spacing w:val="-58"/>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以上的行业、产品或地区情况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公司需遵守《深圳证券交易所行业信息披露指引第</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上市公司从事软件与信息技</w:t>
      </w:r>
    </w:p>
    <w:p>
      <w:pPr>
        <w:pStyle w:val="BodyText"/>
        <w:spacing w:line="262" w:lineRule="exact"/>
        <w:ind w:right="996"/>
        <w:jc w:val="left"/>
      </w:pPr>
      <w:r>
        <w:rPr/>
        <w:t>术服务业务》的披露要求</w:t>
      </w:r>
    </w:p>
    <w:p>
      <w:pPr>
        <w:spacing w:before="10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256,076,237.25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141,616,869.22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152,420,977.46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106,010,530.42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设备监测类产品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124,513,589.05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63,361,803.93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安防类产品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185,036,700.00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119,979,640.81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信号设备及器材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66,377,078.12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41,613,393.54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57,218,267.34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31,219,618.09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256,650,847.08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167,086,096.68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118,423,487.44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63,586,236.53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9"/>
        <w:rPr>
          <w:rFonts w:ascii="宋体" w:hAnsi="宋体" w:cs="宋体" w:eastAsia="宋体" w:hint="default"/>
          <w:sz w:val="4"/>
          <w:szCs w:val="4"/>
        </w:rPr>
      </w:pPr>
    </w:p>
    <w:p>
      <w:pPr>
        <w:pStyle w:val="BodyText"/>
        <w:spacing w:line="331" w:lineRule="auto" w:before="26"/>
        <w:ind w:right="1154" w:firstLine="480"/>
        <w:jc w:val="left"/>
      </w:pPr>
      <w:r>
        <w:rPr/>
        <w:t>公司主营业务数据统计口径在报告期发生调整的情况下，公司最近</w:t>
      </w:r>
      <w:r>
        <w:rPr>
          <w:spacing w:val="-60"/>
        </w:rPr>
        <w:t> </w:t>
      </w:r>
      <w:r>
        <w:rPr>
          <w:rFonts w:ascii="Times New Roman" w:hAnsi="Times New Roman" w:cs="Times New Roman" w:eastAsia="Times New Roman" w:hint="default"/>
        </w:rPr>
        <w:t>1 </w:t>
      </w:r>
      <w:r>
        <w:rPr/>
        <w:t>年按报告期末口径 调整后的主营业务数据</w:t>
      </w:r>
    </w:p>
    <w:p>
      <w:pPr>
        <w:pStyle w:val="BodyText"/>
        <w:spacing w:line="240" w:lineRule="auto" w:before="55"/>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3"/>
          <w:szCs w:val="23"/>
        </w:rPr>
      </w:pPr>
    </w:p>
    <w:p>
      <w:pPr>
        <w:pStyle w:val="Heading2"/>
        <w:spacing w:line="240" w:lineRule="auto" w:before="0"/>
        <w:ind w:right="996"/>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before="148"/>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256,076,237.25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337,735,259.03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-24.18%</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245,525,616.87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337,164,862.98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-27.18%</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105,250,240.31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76,122,754.39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38.26%</w:t>
            </w: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厂矿企业及地方铁 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23,795,387.15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39,112,484.15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-39.16%</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21,030,725.78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41,242,806.62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-49.01%</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4,179,453.91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1,487,074.41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181.05%</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152,420,977.46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84,328,814.89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80.75%</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173,080,645.62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88,435,277.13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95.71%</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4,377,587.72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28,853,066.73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-84.83%</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69" w:firstLine="480"/>
        <w:jc w:val="both"/>
      </w:pPr>
      <w:r>
        <w:rPr/>
        <w:t>国家铁路、厂矿企业及地方铁路行业销售量及生产量下降，库存量增长，主要原因系报 告期内未完工项目增加所致。城市轨道交通行业销售量及生产量增长，库存量下降，主要原 因系报告期内郑州地铁</w:t>
      </w:r>
      <w:r>
        <w:rPr>
          <w:spacing w:val="-60"/>
        </w:rPr>
        <w:t> </w:t>
      </w:r>
      <w:r>
        <w:rPr>
          <w:rFonts w:ascii="Times New Roman" w:hAnsi="Times New Roman" w:cs="Times New Roman" w:eastAsia="Times New Roman" w:hint="default"/>
        </w:rPr>
        <w:t>2 </w:t>
      </w:r>
      <w:r>
        <w:rPr/>
        <w:t>号线、</w:t>
      </w:r>
      <w:r>
        <w:rPr>
          <w:rFonts w:ascii="Times New Roman" w:hAnsi="Times New Roman" w:cs="Times New Roman" w:eastAsia="Times New Roman" w:hint="default"/>
        </w:rPr>
        <w:t>5 </w:t>
      </w:r>
      <w:r>
        <w:rPr/>
        <w:t>号线、</w:t>
      </w:r>
      <w:r>
        <w:rPr>
          <w:rFonts w:ascii="Times New Roman" w:hAnsi="Times New Roman" w:cs="Times New Roman" w:eastAsia="Times New Roman" w:hint="default"/>
        </w:rPr>
        <w:t>14 </w:t>
      </w:r>
      <w:r>
        <w:rPr/>
        <w:t>号线完工确认收入。</w:t>
      </w:r>
    </w:p>
    <w:p>
      <w:pPr>
        <w:spacing w:line="403" w:lineRule="auto" w:before="179"/>
        <w:ind w:left="633" w:right="1115" w:hanging="481"/>
        <w:jc w:val="left"/>
        <w:rPr>
          <w:rFonts w:ascii="宋体" w:hAnsi="宋体" w:cs="宋体" w:eastAsia="宋体" w:hint="default"/>
          <w:sz w:val="24"/>
          <w:szCs w:val="24"/>
        </w:rPr>
      </w:pPr>
      <w:bookmarkStart w:name="（4）公司已签订的重大销售合同截至本报告期的履行情况" w:id="32"/>
      <w:bookmarkEnd w:id="3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）公司已签订的重大销售合同截至本报告期的履行情况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公司需遵守《深圳证券交易所行业信息披露指引第</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上市公司从事软件与信息技</w:t>
      </w:r>
    </w:p>
    <w:p>
      <w:pPr>
        <w:pStyle w:val="BodyText"/>
        <w:spacing w:line="262" w:lineRule="exact"/>
        <w:ind w:right="996"/>
        <w:jc w:val="left"/>
      </w:pPr>
      <w:r>
        <w:rPr/>
        <w:t>术服务业务》的披露要求</w:t>
      </w:r>
    </w:p>
    <w:p>
      <w:pPr>
        <w:pStyle w:val="BodyText"/>
        <w:spacing w:line="240" w:lineRule="auto" w:before="144"/>
        <w:ind w:left="633" w:right="996"/>
        <w:jc w:val="left"/>
        <w:rPr>
          <w:rFonts w:ascii="Times New Roman" w:hAnsi="Times New Roman" w:cs="Times New Roman" w:eastAsia="Times New Roman" w:hint="default"/>
        </w:rPr>
      </w:pPr>
      <w:r>
        <w:rPr/>
        <w:t>单一销售合同金额占公司最近一个会计年度经审计营业收入</w:t>
      </w:r>
      <w:r>
        <w:rPr>
          <w:spacing w:val="-61"/>
        </w:rPr>
        <w:t> </w:t>
      </w:r>
      <w:r>
        <w:rPr>
          <w:rFonts w:ascii="Times New Roman" w:hAnsi="Times New Roman" w:cs="Times New Roman" w:eastAsia="Times New Roman" w:hint="default"/>
        </w:rPr>
        <w:t>30%</w:t>
      </w:r>
      <w:r>
        <w:rPr/>
        <w:t>以上且金额超过</w:t>
      </w:r>
      <w:r>
        <w:rPr>
          <w:spacing w:val="-61"/>
        </w:rPr>
        <w:t> </w:t>
      </w:r>
      <w:r>
        <w:rPr>
          <w:rFonts w:ascii="Times New Roman" w:hAnsi="Times New Roman" w:cs="Times New Roman" w:eastAsia="Times New Roman" w:hint="default"/>
        </w:rPr>
        <w:t>5000</w:t>
      </w:r>
    </w:p>
    <w:p>
      <w:pPr>
        <w:pStyle w:val="BodyText"/>
        <w:spacing w:line="240" w:lineRule="auto" w:before="128"/>
        <w:ind w:right="996"/>
        <w:jc w:val="left"/>
      </w:pPr>
      <w:r>
        <w:rPr/>
        <w:t>万元的正在履行的合同情况</w:t>
      </w:r>
    </w:p>
    <w:p>
      <w:pPr>
        <w:spacing w:before="10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991"/>
        <w:gridCol w:w="994"/>
        <w:gridCol w:w="854"/>
        <w:gridCol w:w="1059"/>
        <w:gridCol w:w="1068"/>
        <w:gridCol w:w="1063"/>
        <w:gridCol w:w="1064"/>
        <w:gridCol w:w="1058"/>
      </w:tblGrid>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项目执行 进度</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both"/>
              <w:rPr>
                <w:rFonts w:ascii="宋体" w:hAnsi="宋体" w:cs="宋体" w:eastAsia="宋体" w:hint="default"/>
                <w:sz w:val="18"/>
                <w:szCs w:val="18"/>
              </w:rPr>
            </w:pPr>
            <w:r>
              <w:rPr>
                <w:rFonts w:ascii="宋体" w:hAnsi="宋体" w:cs="宋体" w:eastAsia="宋体" w:hint="default"/>
                <w:sz w:val="18"/>
                <w:szCs w:val="18"/>
              </w:rPr>
              <w:t>项目进展是 否达到计划 进度或预期</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未达到计划 进度或预期 的原因</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郑州市轨道交通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号线工程综合 监控系统集成项 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156,660,228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开通运营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66,609,855.6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104,083,536.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88,910,584.1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郑州市轨道交通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号线工程综合 监控系统集成项 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142,160,000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安装调试 阶段</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20,772,518.0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洛阳市轨道交通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号线工程综合 监控系统采购项 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92,516,306.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备货阶段</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7"/>
          <w:szCs w:val="17"/>
        </w:rPr>
      </w:pPr>
    </w:p>
    <w:p>
      <w:pPr>
        <w:pStyle w:val="Heading2"/>
        <w:spacing w:line="240" w:lineRule="auto"/>
        <w:ind w:right="996"/>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5" w:footer="980" w:top="1060" w:bottom="1160" w:left="980" w:right="0"/>
        </w:sectPr>
      </w:pPr>
    </w:p>
    <w:p>
      <w:pPr>
        <w:pStyle w:val="BodyText"/>
        <w:spacing w:line="240" w:lineRule="auto" w:before="26"/>
        <w:ind w:left="633" w:right="-20"/>
        <w:jc w:val="left"/>
      </w:pPr>
      <w:r>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4" w:space="6126"/>
            <w:col w:w="24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国家铁路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141,616,869.22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163,047,085.45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厂矿企业及地方 铁路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14,264,551.66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25,437,212.13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城市轨道交通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106,010,530.42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68,821,429.03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12.43%</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设备监测类产品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63,361,803.93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110,391,980.89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安防类产品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119,979,640.81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64,797,022.30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18.77%</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生产指挥及运输 调度信息化类产 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3,451,906.47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2,827,273.97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信号控制类产品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1,675,092.66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3,933,851.43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电源类设备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31,810,113.89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34,359,620.75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信号设备及器材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41,613,393.54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40,995,977.27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说明</w:t>
      </w:r>
    </w:p>
    <w:p>
      <w:pPr>
        <w:pStyle w:val="BodyText"/>
        <w:spacing w:line="331" w:lineRule="auto" w:before="146"/>
        <w:ind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pStyle w:val="BodyText"/>
        <w:spacing w:line="240" w:lineRule="auto" w:before="55"/>
        <w:ind w:left="633" w:right="996"/>
        <w:jc w:val="left"/>
      </w:pPr>
      <w:r>
        <w:rPr/>
        <w:t>主营业务成本构成</w:t>
      </w:r>
    </w:p>
    <w:p>
      <w:pPr>
        <w:spacing w:before="10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236,774,827.90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233,445,254.97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14,211,626.41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13,587,939.46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34,387,569.92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31,408,187.93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制造费用中的设备 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10,941,862.40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5,875,113.17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w:t>
            </w:r>
          </w:p>
        </w:tc>
      </w:tr>
    </w:tbl>
    <w:p>
      <w:pPr>
        <w:spacing w:line="240" w:lineRule="auto" w:before="11"/>
        <w:rPr>
          <w:rFonts w:ascii="宋体" w:hAnsi="宋体" w:cs="宋体" w:eastAsia="宋体" w:hint="default"/>
          <w:sz w:val="17"/>
          <w:szCs w:val="17"/>
        </w:rPr>
      </w:pPr>
    </w:p>
    <w:p>
      <w:pPr>
        <w:pStyle w:val="Heading2"/>
        <w:spacing w:line="240" w:lineRule="auto"/>
        <w:ind w:right="996"/>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17"/>
          <w:szCs w:val="17"/>
        </w:rPr>
      </w:pPr>
    </w:p>
    <w:p>
      <w:pPr>
        <w:pStyle w:val="BodyText"/>
        <w:spacing w:line="240" w:lineRule="auto"/>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240" w:lineRule="auto" w:before="128"/>
        <w:ind w:left="633" w:right="996"/>
        <w:jc w:val="left"/>
        <w:rPr>
          <w:rFonts w:ascii="Times New Roman" w:hAnsi="Times New Roman" w:cs="Times New Roman" w:eastAsia="Times New Roman" w:hint="default"/>
        </w:rPr>
      </w:pPr>
      <w:r>
        <w:rPr/>
        <w:t>洛阳辉煌城轨科技有限公司于</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9"/>
        </w:rPr>
        <w:t>日注册成立，新纳入合并范围，截止到</w:t>
      </w:r>
      <w:r>
        <w:rPr>
          <w:spacing w:val="-58"/>
        </w:rPr>
        <w:t> </w:t>
      </w:r>
      <w:r>
        <w:rPr>
          <w:rFonts w:ascii="Times New Roman" w:hAnsi="Times New Roman" w:cs="Times New Roman" w:eastAsia="Times New Roman" w:hint="default"/>
        </w:rPr>
        <w:t>2019</w:t>
      </w:r>
    </w:p>
    <w:p>
      <w:pPr>
        <w:pStyle w:val="BodyText"/>
        <w:spacing w:line="240" w:lineRule="auto" w:before="128"/>
        <w:ind w:right="996"/>
        <w:jc w:val="left"/>
      </w:pPr>
      <w:r>
        <w:rPr/>
        <w:t>年</w:t>
      </w:r>
      <w:r>
        <w:rPr>
          <w:spacing w:val="-60"/>
        </w:rPr>
        <w:t> </w:t>
      </w:r>
      <w:r>
        <w:rPr>
          <w:rFonts w:ascii="Times New Roman" w:hAnsi="Times New Roman" w:cs="Times New Roman" w:eastAsia="Times New Roman" w:hint="default"/>
        </w:rPr>
        <w:t>12 </w:t>
      </w:r>
      <w:r>
        <w:rPr/>
        <w:t>月</w:t>
      </w:r>
      <w:r>
        <w:rPr>
          <w:spacing w:val="-61"/>
        </w:rPr>
        <w:t> </w:t>
      </w:r>
      <w:r>
        <w:rPr>
          <w:rFonts w:ascii="Times New Roman" w:hAnsi="Times New Roman" w:cs="Times New Roman" w:eastAsia="Times New Roman" w:hint="default"/>
        </w:rPr>
        <w:t>31 </w:t>
      </w:r>
      <w:r>
        <w:rPr/>
        <w:t>日尚未开展经营。</w:t>
      </w:r>
    </w:p>
    <w:p>
      <w:pPr>
        <w:spacing w:line="240" w:lineRule="auto" w:before="12"/>
        <w:rPr>
          <w:rFonts w:ascii="宋体" w:hAnsi="宋体" w:cs="宋体" w:eastAsia="宋体" w:hint="default"/>
          <w:sz w:val="22"/>
          <w:szCs w:val="22"/>
        </w:rPr>
      </w:pPr>
    </w:p>
    <w:p>
      <w:pPr>
        <w:pStyle w:val="Heading2"/>
        <w:spacing w:line="240" w:lineRule="auto" w:before="0"/>
        <w:ind w:right="996"/>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3"/>
          <w:szCs w:val="23"/>
        </w:rPr>
      </w:pPr>
    </w:p>
    <w:p>
      <w:pPr>
        <w:spacing w:line="403" w:lineRule="auto" w:before="0"/>
        <w:ind w:left="633" w:right="6779" w:hanging="481"/>
        <w:jc w:val="left"/>
        <w:rPr>
          <w:rFonts w:ascii="宋体" w:hAnsi="宋体" w:cs="宋体" w:eastAsia="宋体" w:hint="default"/>
          <w:sz w:val="24"/>
          <w:szCs w:val="24"/>
        </w:rPr>
      </w:pPr>
      <w:r>
        <w:rPr/>
        <w:pict>
          <v:shape style="position:absolute;margin-left:56.459999pt;margin-top:46.655651pt;width:479.2pt;height:20.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172,124,850.52</w:t>
                        </w:r>
                      </w:p>
                    </w:tc>
                  </w:tr>
                </w:tbl>
                <w:p>
                  <w:pPr/>
                </w:p>
              </w:txbxContent>
            </v:textbox>
            <w10:wrap type="none"/>
          </v:shape>
        </w:pict>
      </w:r>
      <w:bookmarkStart w:name="（8）主要销售客户和主要供应商情况" w:id="36"/>
      <w:bookmarkEnd w:id="3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）主要销售客户和主要供应商情况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p>
      <w:pPr>
        <w:spacing w:after="0" w:line="403"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34.13%</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公司前</w:t>
      </w:r>
      <w:r>
        <w:rPr>
          <w:spacing w:val="-61"/>
        </w:rPr>
        <w:t> </w:t>
      </w:r>
      <w:r>
        <w:rPr>
          <w:rFonts w:ascii="Times New Roman" w:hAnsi="Times New Roman" w:cs="Times New Roman" w:eastAsia="Times New Roman" w:hint="default"/>
        </w:rPr>
        <w:t>5 </w:t>
      </w:r>
      <w:r>
        <w:rPr/>
        <w:t>大客户资料</w:t>
      </w:r>
    </w:p>
    <w:p>
      <w:pPr>
        <w:spacing w:line="240" w:lineRule="auto" w:before="2"/>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101,905,480.52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23,658,551.59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19,207,586.21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15,965,257.78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11,387,974.42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172,124,850.52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34.13%</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主要客户其他情况说明</w:t>
      </w:r>
    </w:p>
    <w:p>
      <w:pPr>
        <w:pStyle w:val="BodyText"/>
        <w:spacing w:line="333" w:lineRule="auto" w:before="146"/>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公司前五名客户与公司不存在关联关系，公司董事、监事、高级管理人员、核心技术人</w:t>
      </w:r>
    </w:p>
    <w:p>
      <w:pPr>
        <w:pStyle w:val="BodyText"/>
        <w:spacing w:line="333" w:lineRule="auto" w:before="50"/>
        <w:ind w:left="633" w:right="1015" w:hanging="481"/>
        <w:jc w:val="left"/>
      </w:pPr>
      <w:r>
        <w:rPr/>
        <w:pict>
          <v:shape style="position:absolute;margin-left:56.459999pt;margin-top:44.235622pt;width:479.2pt;height:76.3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27,166,400.31</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员、持股</w:t>
      </w:r>
      <w:r>
        <w:rPr>
          <w:spacing w:val="-61"/>
        </w:rPr>
        <w:t> </w:t>
      </w:r>
      <w:r>
        <w:rPr>
          <w:rFonts w:ascii="Times New Roman" w:hAnsi="Times New Roman" w:cs="Times New Roman" w:eastAsia="Times New Roman" w:hint="default"/>
        </w:rPr>
        <w:t>5%</w:t>
      </w:r>
      <w:r>
        <w:rPr/>
        <w:t>以上股东、实际控制人和其他关联方未在主要客户中直接或者间接拥有权益等。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26"/>
        <w:ind w:left="633" w:right="996"/>
        <w:jc w:val="left"/>
      </w:pPr>
      <w:r>
        <w:rPr/>
        <w:t>公司前</w:t>
      </w:r>
      <w:r>
        <w:rPr>
          <w:spacing w:val="-61"/>
        </w:rPr>
        <w:t> </w:t>
      </w:r>
      <w:r>
        <w:rPr>
          <w:rFonts w:ascii="Times New Roman" w:hAnsi="Times New Roman" w:cs="Times New Roman" w:eastAsia="Times New Roman" w:hint="default"/>
        </w:rPr>
        <w:t>5 </w:t>
      </w:r>
      <w:r>
        <w:rPr/>
        <w:t>名供应商资料</w:t>
      </w:r>
    </w:p>
    <w:p>
      <w:pPr>
        <w:spacing w:line="240" w:lineRule="auto" w:before="2"/>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8,758,455.18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4,772,806.90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4,716,551.72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4,585,109.48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4,333,477.03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27,166,400.31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主要供应商其他情况说明</w:t>
      </w:r>
    </w:p>
    <w:p>
      <w:pPr>
        <w:pStyle w:val="BodyText"/>
        <w:spacing w:line="333" w:lineRule="auto" w:before="144"/>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公司前五名供应商与公司不存在关联关系，公司董事、监事、高级管理人员、核心技术</w:t>
      </w:r>
    </w:p>
    <w:p>
      <w:pPr>
        <w:pStyle w:val="BodyText"/>
        <w:spacing w:line="331" w:lineRule="auto" w:before="53"/>
        <w:ind w:right="1121"/>
        <w:jc w:val="left"/>
      </w:pPr>
      <w:r>
        <w:rPr>
          <w:spacing w:val="-11"/>
        </w:rPr>
        <w:t>人员、持股</w:t>
      </w:r>
      <w:r>
        <w:rPr>
          <w:spacing w:val="-40"/>
        </w:rPr>
        <w:t> </w:t>
      </w:r>
      <w:r>
        <w:rPr>
          <w:rFonts w:ascii="Times New Roman" w:hAnsi="Times New Roman" w:cs="Times New Roman" w:eastAsia="Times New Roman" w:hint="default"/>
          <w:spacing w:val="-2"/>
        </w:rPr>
        <w:t>5%</w:t>
      </w:r>
      <w:r>
        <w:rPr>
          <w:spacing w:val="-2"/>
        </w:rPr>
        <w:t>以上股东、实际控制人和其他关联方未在主要供应商中直接或者间接拥有权益</w:t>
      </w:r>
      <w:r>
        <w:rPr>
          <w:spacing w:val="-117"/>
        </w:rPr>
        <w:t> </w:t>
      </w:r>
      <w:r>
        <w:rPr>
          <w:spacing w:val="-117"/>
        </w:rPr>
      </w:r>
      <w:r>
        <w:rPr/>
        <w:t>等。</w:t>
      </w:r>
    </w:p>
    <w:p>
      <w:pPr>
        <w:spacing w:after="0" w:line="331"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ind w:right="996"/>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41,505,685.50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38,353,173.86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38,323,003.80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34,979,788.74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2,920,130.22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13,614,129.37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-78.55%</w:t>
            </w:r>
          </w:p>
        </w:tc>
        <w:tc>
          <w:tcPr>
            <w:tcW w:w="2919"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财务费用本期发生额较上期下降 </w:t>
            </w:r>
            <w:r>
              <w:rPr>
                <w:rFonts w:ascii="Times New Roman" w:hAnsi="Times New Roman" w:cs="Times New Roman" w:eastAsia="Times New Roman" w:hint="default"/>
                <w:spacing w:val="-2"/>
                <w:sz w:val="18"/>
                <w:szCs w:val="18"/>
              </w:rPr>
              <w:t>78.55%</w:t>
            </w:r>
            <w:r>
              <w:rPr>
                <w:rFonts w:ascii="宋体" w:hAnsi="宋体" w:cs="宋体" w:eastAsia="宋体" w:hint="default"/>
                <w:spacing w:val="-2"/>
                <w:sz w:val="18"/>
                <w:szCs w:val="18"/>
              </w:rPr>
              <w:t>，主要系公司借款减少，利息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支出减少所致。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77,709,270.45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64,326,311.44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17"/>
          <w:szCs w:val="17"/>
        </w:rPr>
      </w:pPr>
    </w:p>
    <w:p>
      <w:pPr>
        <w:pStyle w:val="BodyText"/>
        <w:spacing w:line="333" w:lineRule="auto"/>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公司坚持以技术研发和产品创新为核心竞争力，高度重视对产品研发的投入和自身研发</w:t>
      </w:r>
    </w:p>
    <w:p>
      <w:pPr>
        <w:pStyle w:val="BodyText"/>
        <w:spacing w:line="345" w:lineRule="auto" w:before="53"/>
        <w:ind w:right="1170"/>
        <w:jc w:val="both"/>
      </w:pPr>
      <w:r>
        <w:rPr/>
        <w:t>实力综合能力的提升，努力推动轨道交通运维装备和系统从信息化向以智能化、互联网、集 成化为特征的数字化升级。一方面从传统设备升级到智能设备，从实现基本功能向替代人脑 决策方向发展；另一方面推进系统升级，从单品智能化向多系统集成化发展，从单品信息化 向多系统数据共享，智能决策发展。最终给用户提供满足</w:t>
      </w:r>
      <w:r>
        <w:rPr>
          <w:rFonts w:ascii="Times New Roman" w:hAnsi="Times New Roman" w:cs="Times New Roman" w:eastAsia="Times New Roman" w:hint="default"/>
        </w:rPr>
        <w:t>“</w:t>
      </w:r>
      <w:r>
        <w:rPr/>
        <w:t>智慧运维、智慧运营、智慧管理</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的全套解决方案和平台系统，满足未来市场需求。</w:t>
      </w:r>
    </w:p>
    <w:p>
      <w:pPr>
        <w:pStyle w:val="BodyText"/>
        <w:spacing w:line="352" w:lineRule="auto" w:before="41"/>
        <w:ind w:right="1154" w:firstLine="480"/>
        <w:jc w:val="left"/>
      </w:pPr>
      <w:r>
        <w:rPr/>
        <w:t>同时，不断加强与高校、科研院所合作力度，跟踪当前技术发展方向，使公司在技术创 新、新技术应用等方面不断保持领先优势，持续提升公司整体研发技术水平。</w:t>
      </w:r>
    </w:p>
    <w:p>
      <w:pPr>
        <w:pStyle w:val="BodyText"/>
        <w:spacing w:line="240" w:lineRule="auto" w:before="31"/>
        <w:ind w:left="633" w:right="996"/>
        <w:jc w:val="left"/>
      </w:pPr>
      <w:r>
        <w:rPr/>
        <w:t>公司研发投入情况</w:t>
      </w:r>
    </w:p>
    <w:p>
      <w:pPr>
        <w:spacing w:line="240" w:lineRule="auto" w:before="8"/>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77,709,270.45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64,326,311.44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20.80%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研发投入总额占营业收入的比重较上年发生显著变化的原因</w:t>
      </w:r>
    </w:p>
    <w:p>
      <w:pPr>
        <w:pStyle w:val="BodyText"/>
        <w:spacing w:line="240" w:lineRule="auto" w:before="144"/>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3" w:lineRule="auto" w:before="128"/>
        <w:ind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spacing w:after="0" w:line="333"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研发投入资本化率大幅变动的原因及其合理性说明</w:t>
      </w:r>
    </w:p>
    <w:p>
      <w:pPr>
        <w:pStyle w:val="BodyText"/>
        <w:spacing w:line="240" w:lineRule="auto" w:before="144"/>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3"/>
          <w:szCs w:val="23"/>
        </w:rPr>
      </w:pPr>
    </w:p>
    <w:p>
      <w:pPr>
        <w:pStyle w:val="Heading2"/>
        <w:spacing w:line="240" w:lineRule="auto" w:before="0"/>
        <w:ind w:right="996"/>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783,800,762.71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648,907,263.47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553,096,899.74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632,405,713.16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230,703,862.97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16,501,550.31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1,298.07%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13,902,948.07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13,614,718.46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114,334,806.43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214,962,623.61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-100,431,858.36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-201,347,905.15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50.12%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20,212,721.09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274,668,446.73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-92.64%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310,097,332.51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497,708,634.04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-289,884,611.42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-223,040,187.31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-29.97%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-159,612,606.81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-407,886,542.15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60.87%</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相关数据同比发生重大变动的主要影响因素说明</w:t>
      </w:r>
    </w:p>
    <w:p>
      <w:pPr>
        <w:pStyle w:val="BodyText"/>
        <w:spacing w:line="240" w:lineRule="auto" w:before="146"/>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tabs>
          <w:tab w:pos="1271" w:val="left" w:leader="none"/>
        </w:tabs>
        <w:spacing w:line="331" w:lineRule="auto" w:before="128"/>
        <w:ind w:right="1132" w:firstLine="480"/>
        <w:jc w:val="left"/>
      </w:pPr>
      <w:r>
        <w:rPr>
          <w:rFonts w:ascii="Times New Roman" w:hAnsi="Times New Roman" w:cs="Times New Roman" w:eastAsia="Times New Roman" w:hint="default"/>
        </w:rPr>
        <w:t>1</w:t>
      </w:r>
      <w:r>
        <w:rPr/>
        <w:t>、</w:t>
        <w:tab/>
        <w:t>经营活动产生的现金流量净额比上年同期增长</w:t>
      </w:r>
      <w:r>
        <w:rPr>
          <w:spacing w:val="-80"/>
        </w:rPr>
        <w:t> </w:t>
      </w:r>
      <w:r>
        <w:rPr>
          <w:rFonts w:ascii="Times New Roman" w:hAnsi="Times New Roman" w:cs="Times New Roman" w:eastAsia="Times New Roman" w:hint="default"/>
        </w:rPr>
        <w:t>1,298.07%</w:t>
      </w:r>
      <w:r>
        <w:rPr/>
        <w:t>，主要原因系报告期内销 售回款增加、材料采购付款减少所致。</w:t>
      </w:r>
    </w:p>
    <w:p>
      <w:pPr>
        <w:pStyle w:val="BodyText"/>
        <w:tabs>
          <w:tab w:pos="1293" w:val="left" w:leader="none"/>
        </w:tabs>
        <w:spacing w:line="333" w:lineRule="auto" w:before="55"/>
        <w:ind w:right="1152" w:firstLine="480"/>
        <w:jc w:val="left"/>
      </w:pPr>
      <w:r>
        <w:rPr>
          <w:rFonts w:ascii="Times New Roman" w:hAnsi="Times New Roman" w:cs="Times New Roman" w:eastAsia="Times New Roman" w:hint="default"/>
        </w:rPr>
        <w:t>2</w:t>
      </w:r>
      <w:r>
        <w:rPr/>
        <w:t>、</w:t>
        <w:tab/>
        <w:t>投资活动现金流出小计比上年同期下降</w:t>
      </w:r>
      <w:r>
        <w:rPr>
          <w:spacing w:val="-60"/>
        </w:rPr>
        <w:t> </w:t>
      </w:r>
      <w:r>
        <w:rPr>
          <w:rFonts w:ascii="Times New Roman" w:hAnsi="Times New Roman" w:cs="Times New Roman" w:eastAsia="Times New Roman" w:hint="default"/>
        </w:rPr>
        <w:t>46.81%</w:t>
      </w:r>
      <w:r>
        <w:rPr/>
        <w:t>，主要系报告期内购买理财产品减 少所致。</w:t>
      </w:r>
    </w:p>
    <w:p>
      <w:pPr>
        <w:pStyle w:val="BodyText"/>
        <w:tabs>
          <w:tab w:pos="1293" w:val="left" w:leader="none"/>
        </w:tabs>
        <w:spacing w:line="333" w:lineRule="auto" w:before="50"/>
        <w:ind w:right="1151" w:firstLine="480"/>
        <w:jc w:val="left"/>
      </w:pPr>
      <w:r>
        <w:rPr>
          <w:rFonts w:ascii="Times New Roman" w:hAnsi="Times New Roman" w:cs="Times New Roman" w:eastAsia="Times New Roman" w:hint="default"/>
        </w:rPr>
        <w:t>3</w:t>
      </w:r>
      <w:r>
        <w:rPr/>
        <w:t>、</w:t>
        <w:tab/>
        <w:t>投资活动产生的现金流量净额比上年同期增长</w:t>
      </w:r>
      <w:r>
        <w:rPr>
          <w:spacing w:val="-60"/>
        </w:rPr>
        <w:t> </w:t>
      </w:r>
      <w:r>
        <w:rPr>
          <w:rFonts w:ascii="Times New Roman" w:hAnsi="Times New Roman" w:cs="Times New Roman" w:eastAsia="Times New Roman" w:hint="default"/>
        </w:rPr>
        <w:t>50.12%</w:t>
      </w:r>
      <w:r>
        <w:rPr/>
        <w:t>，主要系报告期内购买理财 产品减少所致。</w:t>
      </w:r>
    </w:p>
    <w:p>
      <w:pPr>
        <w:pStyle w:val="BodyText"/>
        <w:tabs>
          <w:tab w:pos="1293" w:val="left" w:leader="none"/>
        </w:tabs>
        <w:spacing w:line="331" w:lineRule="auto" w:before="53"/>
        <w:ind w:right="1152" w:firstLine="480"/>
        <w:jc w:val="left"/>
      </w:pPr>
      <w:r>
        <w:rPr>
          <w:rFonts w:ascii="Times New Roman" w:hAnsi="Times New Roman" w:cs="Times New Roman" w:eastAsia="Times New Roman" w:hint="default"/>
        </w:rPr>
        <w:t>4</w:t>
      </w:r>
      <w:r>
        <w:rPr/>
        <w:t>、</w:t>
        <w:tab/>
        <w:t>筹资活动现金流入小计比上年同期下降</w:t>
      </w:r>
      <w:r>
        <w:rPr>
          <w:spacing w:val="-60"/>
        </w:rPr>
        <w:t> </w:t>
      </w:r>
      <w:r>
        <w:rPr>
          <w:rFonts w:ascii="Times New Roman" w:hAnsi="Times New Roman" w:cs="Times New Roman" w:eastAsia="Times New Roman" w:hint="default"/>
        </w:rPr>
        <w:t>92.64%</w:t>
      </w:r>
      <w:r>
        <w:rPr/>
        <w:t>，主要系报告期内取得借款收到的 现金减少所致。</w:t>
      </w:r>
    </w:p>
    <w:p>
      <w:pPr>
        <w:pStyle w:val="BodyText"/>
        <w:tabs>
          <w:tab w:pos="1293" w:val="left" w:leader="none"/>
        </w:tabs>
        <w:spacing w:line="240" w:lineRule="auto" w:before="55"/>
        <w:ind w:left="633" w:right="996"/>
        <w:jc w:val="left"/>
      </w:pPr>
      <w:r>
        <w:rPr>
          <w:rFonts w:ascii="Times New Roman" w:hAnsi="Times New Roman" w:cs="Times New Roman" w:eastAsia="Times New Roman" w:hint="default"/>
        </w:rPr>
        <w:t>5</w:t>
      </w:r>
      <w:r>
        <w:rPr/>
        <w:t>、</w:t>
        <w:tab/>
        <w:t>筹资活动现金流出小计比上年同期下降</w:t>
      </w:r>
      <w:r>
        <w:rPr>
          <w:spacing w:val="-60"/>
        </w:rPr>
        <w:t> </w:t>
      </w:r>
      <w:r>
        <w:rPr>
          <w:rFonts w:ascii="Times New Roman" w:hAnsi="Times New Roman" w:cs="Times New Roman" w:eastAsia="Times New Roman" w:hint="default"/>
        </w:rPr>
        <w:t>37.70%</w:t>
      </w:r>
      <w:r>
        <w:rPr/>
        <w:t>，主要系报告期内偿还债务及利息</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1633" w:hanging="481"/>
        <w:jc w:val="left"/>
      </w:pPr>
      <w:r>
        <w:rPr/>
        <w:t>支付的现金减少所致。 报告期内公司经营活动产生的现金净流量与本年度净利润存在重大差异的原因说明</w:t>
      </w:r>
    </w:p>
    <w:p>
      <w:pPr>
        <w:pStyle w:val="BodyText"/>
        <w:spacing w:line="333" w:lineRule="auto" w:before="31"/>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报告期内，公司经营活动产生的现金净流量与本年度净利润存在差异，主要是由于确认</w:t>
      </w:r>
    </w:p>
    <w:p>
      <w:pPr>
        <w:pStyle w:val="BodyText"/>
        <w:spacing w:line="350" w:lineRule="auto" w:before="53"/>
        <w:ind w:right="1171"/>
        <w:jc w:val="both"/>
      </w:pPr>
      <w:r>
        <w:rPr/>
        <w:t>收入成本的时间节点和收付款的时间节点不同，在政府相关清欠民营企业逾期欠款政策的支 持下，公司各业务板块及时梳理欠款项目并加大回款力度，致报告期内收到客户以前年度所 欠货款增加所致。</w:t>
      </w:r>
    </w:p>
    <w:p>
      <w:pPr>
        <w:pStyle w:val="Heading2"/>
        <w:spacing w:line="240" w:lineRule="auto" w:before="211"/>
        <w:ind w:right="0"/>
        <w:jc w:val="both"/>
        <w:rPr>
          <w:b w:val="0"/>
          <w:bCs w:val="0"/>
        </w:rPr>
      </w:pPr>
      <w:bookmarkStart w:name="三、非主营业务分析" w:id="40"/>
      <w:bookmarkEnd w:id="40"/>
      <w:r>
        <w:rPr>
          <w:b w:val="0"/>
          <w:bCs w:val="0"/>
        </w:rPr>
      </w:r>
      <w:r>
        <w:rPr/>
        <w:t>三、非主营业务分析</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61"/>
        <w:ind w:left="6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6"/>
          <w:szCs w:val="2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70" w:space="5970"/>
            <w:col w:w="24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39,070,365.23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52.11%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报告期内收到增值税退税返 还及政府补助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25,396,436.96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33.87%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报告期内应收款项减少致信 用减值准备转回</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ind w:left="0" w:right="7970"/>
        <w:jc w:val="center"/>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2"/>
          <w:szCs w:val="22"/>
        </w:rPr>
      </w:pPr>
    </w:p>
    <w:p>
      <w:pPr>
        <w:pStyle w:val="Heading2"/>
        <w:spacing w:line="240" w:lineRule="auto" w:before="0"/>
        <w:ind w:left="0" w:right="7848"/>
        <w:jc w:val="center"/>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5"/>
        <w:rPr>
          <w:rFonts w:ascii="宋体" w:hAnsi="宋体" w:cs="宋体" w:eastAsia="宋体" w:hint="default"/>
          <w:b/>
          <w:bCs/>
          <w:sz w:val="17"/>
          <w:szCs w:val="17"/>
        </w:rPr>
      </w:pPr>
    </w:p>
    <w:p>
      <w:pPr>
        <w:pStyle w:val="BodyText"/>
        <w:spacing w:line="333" w:lineRule="auto"/>
        <w:ind w:right="1119" w:firstLine="480"/>
        <w:jc w:val="left"/>
      </w:pPr>
      <w:r>
        <w:rPr/>
        <w:t>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年起首次执行新金融工具准则、新收入准则或新租赁准则且调整执行当年年初</w:t>
      </w:r>
      <w:r>
        <w:rPr/>
        <w:t> 财务报表相关项目</w:t>
      </w:r>
    </w:p>
    <w:p>
      <w:pPr>
        <w:pStyle w:val="BodyText"/>
        <w:spacing w:line="240" w:lineRule="auto" w:before="53"/>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before="8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571"/>
        <w:gridCol w:w="1274"/>
        <w:gridCol w:w="1419"/>
        <w:gridCol w:w="1418"/>
        <w:gridCol w:w="992"/>
        <w:gridCol w:w="1346"/>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2846" w:type="dxa"/>
            <w:gridSpan w:val="2"/>
            <w:vMerge/>
            <w:tcBorders>
              <w:left w:val="single" w:sz="4" w:space="0" w:color="000000"/>
              <w:bottom w:val="single" w:sz="4" w:space="0" w:color="000000"/>
              <w:right w:val="single" w:sz="4" w:space="0" w:color="000000"/>
            </w:tcBorders>
            <w:shd w:val="clear" w:color="auto" w:fill="D2D2D2"/>
          </w:tcPr>
          <w:p>
            <w:pPr/>
          </w:p>
        </w:tc>
        <w:tc>
          <w:tcPr>
            <w:tcW w:w="2837"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46" w:type="dxa"/>
            <w:vMerge/>
            <w:tcBorders>
              <w:left w:val="single" w:sz="4" w:space="0" w:color="000000"/>
              <w:right w:val="single" w:sz="4" w:space="0" w:color="000000"/>
            </w:tcBorders>
            <w:shd w:val="clear" w:color="auto" w:fill="D2D2D2"/>
          </w:tcPr>
          <w:p>
            <w:pPr/>
          </w:p>
        </w:tc>
      </w:tr>
      <w:tr>
        <w:trPr>
          <w:trHeight w:val="202"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right w:val="single" w:sz="4" w:space="0" w:color="000000"/>
            </w:tcBorders>
            <w:shd w:val="clear" w:color="auto" w:fill="D2D2D2"/>
          </w:tcPr>
          <w:p>
            <w:pPr/>
          </w:p>
        </w:tc>
        <w:tc>
          <w:tcPr>
            <w:tcW w:w="1346" w:type="dxa"/>
            <w:vMerge/>
            <w:tcBorders>
              <w:left w:val="single" w:sz="4" w:space="0" w:color="000000"/>
              <w:right w:val="single" w:sz="4" w:space="0" w:color="000000"/>
            </w:tcBorders>
            <w:shd w:val="clear" w:color="auto" w:fill="D2D2D2"/>
          </w:tcPr>
          <w:p>
            <w:pPr/>
          </w:p>
        </w:tc>
      </w:tr>
      <w:tr>
        <w:trPr>
          <w:trHeight w:val="206"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333,460,212.01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489,058,726.56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387,210,575.72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528,156,486.84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235,519,676.06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218,431,989.91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71" w:type="dxa"/>
            <w:tcBorders>
              <w:top w:val="single" w:sz="4" w:space="0" w:color="000000"/>
              <w:left w:val="single" w:sz="9"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Arial" w:hAnsi="Arial" w:cs="Arial" w:eastAsia="Arial" w:hint="default"/>
                <w:sz w:val="20"/>
                <w:szCs w:val="20"/>
              </w:rPr>
            </w:pPr>
            <w:r>
              <w:rPr>
                <w:rFonts w:ascii="Arial"/>
                <w:w w:val="80"/>
                <w:sz w:val="20"/>
              </w:rPr>
              <w:t>78,617,675.72</w:t>
            </w:r>
            <w:r>
              <w:rPr>
                <w:rFonts w:ascii="Arial"/>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88,101,676.30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170,999,160.77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99,753,841.47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205,424,781.26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196,734,387.43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59"/>
        <w:gridCol w:w="1561"/>
        <w:gridCol w:w="1274"/>
        <w:gridCol w:w="1419"/>
        <w:gridCol w:w="1418"/>
        <w:gridCol w:w="992"/>
        <w:gridCol w:w="1346"/>
      </w:tblGrid>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20,212,721.09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178,056,443.14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-3.76%</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240" w:lineRule="auto"/>
        <w:ind w:right="996"/>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5" w:footer="980" w:top="1060" w:bottom="1160" w:left="980" w:right="0"/>
        </w:sectPr>
      </w:pPr>
    </w:p>
    <w:p>
      <w:pPr>
        <w:pStyle w:val="BodyText"/>
        <w:spacing w:line="240" w:lineRule="auto" w:before="26"/>
        <w:ind w:left="6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70" w:space="5970"/>
            <w:col w:w="2490"/>
          </w:cols>
        </w:sectPr>
      </w:pP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1080"/>
        <w:gridCol w:w="1100"/>
        <w:gridCol w:w="1085"/>
        <w:gridCol w:w="1092"/>
        <w:gridCol w:w="1090"/>
        <w:gridCol w:w="1092"/>
        <w:gridCol w:w="1092"/>
        <w:gridCol w:w="575"/>
        <w:gridCol w:w="1282"/>
      </w:tblGrid>
      <w:tr>
        <w:trPr>
          <w:trHeight w:val="161" w:hRule="exact"/>
        </w:trPr>
        <w:tc>
          <w:tcPr>
            <w:tcW w:w="1080" w:type="dxa"/>
            <w:vMerge w:val="restart"/>
            <w:tcBorders>
              <w:top w:val="single" w:sz="4" w:space="0" w:color="000000"/>
              <w:left w:val="single" w:sz="4" w:space="0" w:color="000000"/>
              <w:right w:val="single" w:sz="4" w:space="0" w:color="000000"/>
            </w:tcBorders>
            <w:shd w:val="clear" w:color="auto" w:fill="D2D2D2"/>
          </w:tcPr>
          <w:p>
            <w:pPr/>
          </w:p>
        </w:tc>
        <w:tc>
          <w:tcPr>
            <w:tcW w:w="1100" w:type="dxa"/>
            <w:vMerge w:val="restart"/>
            <w:tcBorders>
              <w:top w:val="single" w:sz="4" w:space="0" w:color="000000"/>
              <w:left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0"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80" w:type="dxa"/>
            <w:vMerge/>
            <w:tcBorders>
              <w:left w:val="single" w:sz="4" w:space="0" w:color="000000"/>
              <w:bottom w:val="nil" w:sz="6" w:space="0" w:color="auto"/>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5" w:right="8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2"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9" w:right="87"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50" w:right="8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5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8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0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57"/>
              <w:jc w:val="right"/>
              <w:rPr>
                <w:rFonts w:ascii="宋体" w:hAnsi="宋体" w:cs="宋体" w:eastAsia="宋体" w:hint="default"/>
                <w:sz w:val="18"/>
                <w:szCs w:val="18"/>
              </w:rPr>
            </w:pPr>
            <w:r>
              <w:rPr>
                <w:rFonts w:ascii="宋体" w:hAnsi="宋体" w:cs="宋体" w:eastAsia="宋体" w:hint="default"/>
                <w:sz w:val="18"/>
                <w:szCs w:val="18"/>
              </w:rPr>
              <w:t>项目</w:t>
            </w:r>
          </w:p>
        </w:tc>
        <w:tc>
          <w:tcPr>
            <w:tcW w:w="11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5"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575" w:type="dxa"/>
            <w:vMerge/>
            <w:tcBorders>
              <w:left w:val="single" w:sz="4" w:space="0" w:color="000000"/>
              <w:right w:val="single" w:sz="4" w:space="0" w:color="000000"/>
            </w:tcBorders>
            <w:shd w:val="clear" w:color="auto" w:fill="D2D2D2"/>
          </w:tcPr>
          <w:p>
            <w:pPr/>
          </w:p>
        </w:tc>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080" w:type="dxa"/>
            <w:vMerge w:val="restart"/>
            <w:tcBorders>
              <w:top w:val="nil" w:sz="6" w:space="0" w:color="auto"/>
              <w:left w:val="single" w:sz="4" w:space="0" w:color="000000"/>
              <w:right w:val="single" w:sz="4" w:space="0" w:color="000000"/>
            </w:tcBorders>
            <w:shd w:val="clear" w:color="auto" w:fill="D2D2D2"/>
          </w:tcPr>
          <w:p>
            <w:pPr/>
          </w:p>
        </w:tc>
        <w:tc>
          <w:tcPr>
            <w:tcW w:w="1100" w:type="dxa"/>
            <w:vMerge w:val="restart"/>
            <w:tcBorders>
              <w:top w:val="nil" w:sz="6" w:space="0" w:color="auto"/>
              <w:left w:val="single" w:sz="4" w:space="0" w:color="000000"/>
              <w:right w:val="single" w:sz="4" w:space="0" w:color="000000"/>
            </w:tcBorders>
            <w:shd w:val="clear" w:color="auto" w:fill="D2D2D2"/>
          </w:tcPr>
          <w:p>
            <w:pPr/>
          </w:p>
        </w:tc>
        <w:tc>
          <w:tcPr>
            <w:tcW w:w="1085"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575" w:type="dxa"/>
            <w:vMerge/>
            <w:tcBorders>
              <w:left w:val="single" w:sz="4" w:space="0" w:color="000000"/>
              <w:bottom w:val="nil" w:sz="6" w:space="0" w:color="auto"/>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80"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09"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9" w:lineRule="auto" w:before="49"/>
              <w:ind w:left="12"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生金融资产）</w:t>
            </w:r>
          </w:p>
        </w:tc>
        <w:tc>
          <w:tcPr>
            <w:tcW w:w="1100"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153,000,000.0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13,735.21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146,013,735.21</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1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15,365,900.00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-109,765,900.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20,234,100.00</w:t>
            </w:r>
          </w:p>
        </w:tc>
      </w:tr>
      <w:tr>
        <w:trPr>
          <w:trHeight w:val="71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1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168,365,900.0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13,735.21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-109,765,900.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166,247,835.21</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12" w:right="156"/>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20,000,000.00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-19,826,900.0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173,100.00</w:t>
            </w:r>
          </w:p>
        </w:tc>
      </w:tr>
      <w:tr>
        <w:trPr>
          <w:trHeight w:val="716"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188,365,900.0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-19,813,164.7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-109,765,900.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339,260,000.0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166,420,935.21</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9"/>
        <w:rPr>
          <w:rFonts w:ascii="宋体" w:hAnsi="宋体" w:cs="宋体" w:eastAsia="宋体" w:hint="default"/>
          <w:sz w:val="4"/>
          <w:szCs w:val="4"/>
        </w:rPr>
      </w:pPr>
    </w:p>
    <w:p>
      <w:pPr>
        <w:pStyle w:val="BodyText"/>
        <w:spacing w:line="352" w:lineRule="auto" w:before="26"/>
        <w:ind w:left="633" w:right="4993"/>
        <w:jc w:val="left"/>
      </w:pPr>
      <w:r>
        <w:rPr/>
        <w:t>其他变动的内容 报告期内公司主要资产计量属性是否发生重大变化</w:t>
      </w:r>
    </w:p>
    <w:p>
      <w:pPr>
        <w:pStyle w:val="BodyText"/>
        <w:spacing w:line="331" w:lineRule="auto" w:before="34"/>
        <w:ind w:left="633" w:right="1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报告期内公司主要资产计量属性发生重大变化的原因说明及对其经营成果和财务状况影</w:t>
      </w:r>
    </w:p>
    <w:p>
      <w:pPr>
        <w:pStyle w:val="BodyText"/>
        <w:spacing w:line="240" w:lineRule="auto" w:before="55"/>
        <w:ind w:right="996"/>
        <w:jc w:val="left"/>
      </w:pPr>
      <w:r>
        <w:rPr/>
        <w:t>响</w:t>
      </w:r>
    </w:p>
    <w:p>
      <w:pPr>
        <w:pStyle w:val="BodyText"/>
        <w:spacing w:line="240" w:lineRule="auto" w:before="146"/>
        <w:ind w:left="633" w:right="996"/>
        <w:jc w:val="left"/>
      </w:pPr>
      <w:r>
        <w:rPr/>
        <w:t>与</w:t>
      </w:r>
      <w:r>
        <w:rPr>
          <w:spacing w:val="-58"/>
        </w:rPr>
        <w:t> </w:t>
      </w:r>
      <w:r>
        <w:rPr>
          <w:rFonts w:ascii="Times New Roman" w:hAnsi="Times New Roman" w:cs="Times New Roman" w:eastAsia="Times New Roman" w:hint="default"/>
        </w:rPr>
        <w:t>2019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日之前的金融工具确认和计量与新金融工具准则要求不一致的，本公司</w:t>
      </w:r>
    </w:p>
    <w:p>
      <w:pPr>
        <w:spacing w:line="240" w:lineRule="auto" w:before="9"/>
        <w:rPr>
          <w:rFonts w:ascii="宋体" w:hAnsi="宋体" w:cs="宋体" w:eastAsia="宋体" w:hint="default"/>
          <w:sz w:val="7"/>
          <w:szCs w:val="7"/>
        </w:rPr>
      </w:pPr>
    </w:p>
    <w:p>
      <w:pPr>
        <w:pStyle w:val="BodyText"/>
        <w:spacing w:line="352" w:lineRule="auto" w:before="26"/>
        <w:ind w:right="1171"/>
        <w:jc w:val="both"/>
      </w:pPr>
      <w:r>
        <w:rPr/>
        <w:t>按照新金融工具准则的要求进行衔接调整。涉及前期比较财务报表数据与新金融工具准则要 求不一致的，本公司未调整可比期间信息。金融工具原账面价值和新金融工具准则施行日的 新账面价值之间的差额，计入</w:t>
      </w:r>
      <w:r>
        <w:rPr>
          <w:spacing w:val="-59"/>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日留存收益或其他综合收益。</w:t>
      </w:r>
    </w:p>
    <w:p>
      <w:pPr>
        <w:pStyle w:val="BodyText"/>
        <w:spacing w:line="240" w:lineRule="auto" w:before="1"/>
        <w:ind w:left="633" w:right="996"/>
        <w:jc w:val="left"/>
      </w:pPr>
      <w:r>
        <w:rPr/>
        <w:t>执行新金融工具准则对本期期初资产负债表相关项目的影响列示如下：</w:t>
      </w:r>
    </w:p>
    <w:p>
      <w:pPr>
        <w:spacing w:line="240" w:lineRule="auto" w:before="8"/>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702"/>
        <w:gridCol w:w="1133"/>
        <w:gridCol w:w="1561"/>
        <w:gridCol w:w="1558"/>
      </w:tblGrid>
      <w:tr>
        <w:trPr>
          <w:trHeight w:val="341"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4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636" w:hRule="exact"/>
        </w:trPr>
        <w:tc>
          <w:tcPr>
            <w:tcW w:w="2127"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分类和计量影响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0" w:right="110" w:hanging="360"/>
              <w:jc w:val="left"/>
              <w:rPr>
                <w:rFonts w:ascii="宋体" w:hAnsi="宋体" w:cs="宋体" w:eastAsia="宋体" w:hint="default"/>
                <w:sz w:val="18"/>
                <w:szCs w:val="18"/>
              </w:rPr>
            </w:pPr>
            <w:r>
              <w:rPr>
                <w:rFonts w:ascii="宋体" w:hAnsi="宋体" w:cs="宋体" w:eastAsia="宋体" w:hint="default"/>
                <w:sz w:val="18"/>
                <w:szCs w:val="18"/>
              </w:rPr>
              <w:t>金融资产减 值</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7"/>
        <w:gridCol w:w="1561"/>
        <w:gridCol w:w="1702"/>
        <w:gridCol w:w="1133"/>
        <w:gridCol w:w="1561"/>
        <w:gridCol w:w="1558"/>
      </w:tblGrid>
      <w:tr>
        <w:trPr>
          <w:trHeight w:val="34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153,000,000.00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161,069,921.21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8,069,921.21</w:t>
            </w:r>
          </w:p>
        </w:tc>
      </w:tr>
      <w:tr>
        <w:trPr>
          <w:trHeight w:val="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35,365,900.00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-35,365,900.00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-35,365,900.00</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15,365,900.00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15,365,900.00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15,365,900.00</w:t>
            </w:r>
          </w:p>
        </w:tc>
      </w:tr>
      <w:tr>
        <w:trPr>
          <w:trHeight w:val="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317,047,183.23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114,634,100.00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114,634,100.00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431,681,283.23</w:t>
            </w:r>
          </w:p>
        </w:tc>
      </w:tr>
      <w:tr>
        <w:trPr>
          <w:trHeight w:val="3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-114,634,100.00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-114,634,100.00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-114,634,100.00</w:t>
            </w:r>
          </w:p>
        </w:tc>
      </w:tr>
    </w:tbl>
    <w:p>
      <w:pPr>
        <w:spacing w:line="240" w:lineRule="auto" w:before="11"/>
        <w:rPr>
          <w:rFonts w:ascii="宋体" w:hAnsi="宋体" w:cs="宋体" w:eastAsia="宋体" w:hint="default"/>
          <w:sz w:val="17"/>
          <w:szCs w:val="17"/>
        </w:rPr>
      </w:pPr>
    </w:p>
    <w:p>
      <w:pPr>
        <w:spacing w:line="403" w:lineRule="auto" w:before="26"/>
        <w:ind w:left="633" w:right="1153" w:hanging="481"/>
        <w:jc w:val="left"/>
        <w:rPr>
          <w:rFonts w:ascii="宋体" w:hAnsi="宋体" w:cs="宋体" w:eastAsia="宋体" w:hint="default"/>
          <w:sz w:val="24"/>
          <w:szCs w:val="24"/>
        </w:rPr>
      </w:pPr>
      <w:bookmarkStart w:name="3、截至报告期末的资产权利受限情况" w:id="44"/>
      <w:bookmarkEnd w:id="44"/>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、截至报告期末的资产权利受限情况</w:t>
      </w:r>
      <w:r>
        <w:rPr>
          <w:rFonts w:ascii="宋体" w:hAnsi="宋体" w:cs="宋体" w:eastAsia="宋体" w:hint="default"/>
          <w:b/>
          <w:bCs/>
          <w:w w:val="99"/>
          <w:sz w:val="24"/>
          <w:szCs w:val="24"/>
        </w:rPr>
        <w:t> </w:t>
      </w:r>
      <w:r>
        <w:rPr>
          <w:rFonts w:ascii="宋体" w:hAnsi="宋体" w:cs="宋体" w:eastAsia="宋体" w:hint="default"/>
          <w:sz w:val="24"/>
          <w:szCs w:val="24"/>
        </w:rPr>
        <w:t>截止到报告期末，公司不存在主要资产被查封、扣押、冻结或者被抵押、质押，必须具</w:t>
      </w:r>
    </w:p>
    <w:p>
      <w:pPr>
        <w:pStyle w:val="BodyText"/>
        <w:spacing w:line="296" w:lineRule="exact"/>
        <w:ind w:right="996"/>
        <w:jc w:val="left"/>
      </w:pPr>
      <w:r>
        <w:rPr/>
        <w:t>备一定条件才能变现、无法变现、无法用于抵偿债务的情况，以及该等资产占有、使用、受</w:t>
      </w:r>
    </w:p>
    <w:p>
      <w:pPr>
        <w:spacing w:line="487" w:lineRule="auto" w:before="146"/>
        <w:ind w:left="152" w:right="6674" w:firstLine="0"/>
        <w:jc w:val="left"/>
        <w:rPr>
          <w:rFonts w:ascii="宋体" w:hAnsi="宋体" w:cs="宋体" w:eastAsia="宋体" w:hint="default"/>
          <w:sz w:val="24"/>
          <w:szCs w:val="24"/>
        </w:rPr>
      </w:pPr>
      <w:r>
        <w:rPr>
          <w:rFonts w:ascii="宋体" w:hAnsi="宋体" w:cs="宋体" w:eastAsia="宋体" w:hint="default"/>
          <w:sz w:val="24"/>
          <w:szCs w:val="24"/>
        </w:rPr>
        <w:t>益和处分权利受到限制的情况和安排。 </w:t>
      </w:r>
      <w:bookmarkStart w:name="五、投资状况分析" w:id="45"/>
      <w:bookmarkEnd w:id="45"/>
      <w:r>
        <w:rPr>
          <w:rFonts w:ascii="宋体" w:hAnsi="宋体" w:cs="宋体" w:eastAsia="宋体" w:hint="default"/>
          <w:sz w:val="24"/>
          <w:szCs w:val="24"/>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pStyle w:val="Heading2"/>
        <w:spacing w:line="240" w:lineRule="auto" w:before="48"/>
        <w:ind w:right="996"/>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3"/>
          <w:szCs w:val="23"/>
        </w:rPr>
      </w:pPr>
    </w:p>
    <w:p>
      <w:pPr>
        <w:pStyle w:val="Heading2"/>
        <w:spacing w:line="240" w:lineRule="auto" w:before="0"/>
        <w:ind w:right="996"/>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17"/>
          <w:szCs w:val="17"/>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
        <w:rPr>
          <w:rFonts w:ascii="宋体" w:hAnsi="宋体" w:cs="宋体" w:eastAsia="宋体" w:hint="default"/>
          <w:sz w:val="23"/>
          <w:szCs w:val="23"/>
        </w:rPr>
      </w:pPr>
    </w:p>
    <w:p>
      <w:pPr>
        <w:pStyle w:val="Heading2"/>
        <w:spacing w:line="240" w:lineRule="auto" w:before="0"/>
        <w:ind w:right="996"/>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745" w:footer="980" w:top="1060" w:bottom="1160" w:left="980" w:right="0"/>
        </w:sectPr>
      </w:pPr>
    </w:p>
    <w:p>
      <w:pPr>
        <w:pStyle w:val="BodyText"/>
        <w:spacing w:line="240" w:lineRule="auto" w:before="26"/>
        <w:ind w:left="6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70" w:space="5970"/>
            <w:col w:w="24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工程主 体</w:t>
            </w:r>
            <w:r>
              <w:rPr>
                <w:rFonts w:ascii="Times New Roman" w:hAnsi="Times New Roman" w:cs="Times New Roman" w:eastAsia="Times New Roman" w:hint="default"/>
                <w:sz w:val="18"/>
                <w:szCs w:val="18"/>
              </w:rPr>
              <w:t>--</w:t>
            </w:r>
            <w:r>
              <w:rPr>
                <w:rFonts w:ascii="宋体" w:hAnsi="宋体" w:cs="宋体" w:eastAsia="宋体" w:hint="default"/>
                <w:sz w:val="18"/>
                <w:szCs w:val="18"/>
              </w:rPr>
              <w:t>新厂 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铁路通 信信号</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64,579,0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153,632,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751.59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60"/>
              <w:jc w:val="left"/>
              <w:rPr>
                <w:rFonts w:ascii="宋体" w:hAnsi="宋体" w:cs="宋体" w:eastAsia="宋体" w:hint="default"/>
                <w:sz w:val="18"/>
                <w:szCs w:val="18"/>
              </w:rPr>
            </w:pPr>
            <w:r>
              <w:rPr>
                <w:rFonts w:ascii="宋体" w:hAnsi="宋体" w:cs="宋体" w:eastAsia="宋体" w:hint="default"/>
                <w:sz w:val="18"/>
                <w:szCs w:val="18"/>
              </w:rPr>
              <w:t>自筹</w:t>
            </w:r>
            <w:r>
              <w:rPr>
                <w:rFonts w:ascii="Times New Roman" w:hAnsi="Times New Roman" w:cs="Times New Roman" w:eastAsia="Times New Roman" w:hint="default"/>
                <w:sz w:val="18"/>
                <w:szCs w:val="18"/>
              </w:rPr>
              <w:t>+</w:t>
            </w:r>
            <w:r>
              <w:rPr>
                <w:rFonts w:ascii="宋体" w:hAnsi="宋体" w:cs="宋体" w:eastAsia="宋体" w:hint="default"/>
                <w:sz w:val="18"/>
                <w:szCs w:val="18"/>
              </w:rPr>
              <w:t>募 集资金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30.73%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64,579,0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10.08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153,632,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751.59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2"/>
        <w:spacing w:line="240" w:lineRule="auto"/>
        <w:ind w:right="996"/>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17"/>
          <w:szCs w:val="17"/>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8"/>
        <w:gridCol w:w="895"/>
        <w:gridCol w:w="1090"/>
        <w:gridCol w:w="1178"/>
        <w:gridCol w:w="1193"/>
        <w:gridCol w:w="958"/>
        <w:gridCol w:w="955"/>
        <w:gridCol w:w="956"/>
        <w:gridCol w:w="958"/>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9"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5" w:hRule="exact"/>
        </w:trPr>
        <w:tc>
          <w:tcPr>
            <w:tcW w:w="1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-19,826,900.0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-109,765,900.0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20,407,200.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3"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-19,826,900.0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-109,765,900.0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20,407,200.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2"/>
        <w:spacing w:line="240" w:lineRule="auto"/>
        <w:ind w:right="996"/>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宋体" w:hAnsi="宋体" w:cs="宋体" w:eastAsia="宋体" w:hint="default"/>
          <w:b/>
          <w:bCs/>
          <w:sz w:val="21"/>
          <w:szCs w:val="21"/>
        </w:rPr>
      </w:pPr>
    </w:p>
    <w:p>
      <w:pPr>
        <w:pStyle w:val="Heading2"/>
        <w:spacing w:line="240" w:lineRule="auto" w:before="0"/>
        <w:ind w:right="996"/>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138" w:firstLine="0"/>
        <w:jc w:val="right"/>
        <w:rPr>
          <w:rFonts w:ascii="宋体" w:hAnsi="宋体" w:cs="宋体" w:eastAsia="宋体" w:hint="default"/>
          <w:sz w:val="18"/>
          <w:szCs w:val="18"/>
        </w:rPr>
      </w:pPr>
      <w:r>
        <w:rPr/>
        <w:pict>
          <v:shape style="position:absolute;margin-left:56.400002pt;margin-top:-161.348251pt;width:479.05pt;height:303.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69,292.3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12,722.78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28,650.44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31,701.25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17,470.88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存储于募 集资金专 户及理财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14,859.53</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69,292.3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12,722.78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28,650.44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31,701.25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45.75%</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17,470.88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14,859.53</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w:t>
                        </w:r>
                        <w:r>
                          <w:rPr>
                            <w:rFonts w:ascii="宋体" w:hAnsi="宋体" w:cs="宋体" w:eastAsia="宋体" w:hint="default"/>
                            <w:spacing w:val="-29"/>
                            <w:sz w:val="18"/>
                            <w:szCs w:val="18"/>
                          </w:rPr>
                          <w:t>会</w:t>
                        </w:r>
                        <w:r>
                          <w:rPr>
                            <w:rFonts w:ascii="宋体" w:hAnsi="宋体" w:cs="宋体" w:eastAsia="宋体" w:hint="default"/>
                            <w:spacing w:val="2"/>
                            <w:sz w:val="18"/>
                            <w:szCs w:val="18"/>
                          </w:rPr>
                          <w:t>《</w:t>
                        </w:r>
                        <w:r>
                          <w:rPr>
                            <w:rFonts w:ascii="宋体" w:hAnsi="宋体" w:cs="宋体" w:eastAsia="宋体" w:hint="default"/>
                            <w:sz w:val="18"/>
                            <w:szCs w:val="18"/>
                          </w:rPr>
                          <w:t>关于核准河南辉煌科技股份有限公司非公开发行股票的批复</w:t>
                        </w:r>
                        <w:r>
                          <w:rPr>
                            <w:rFonts w:ascii="宋体" w:hAnsi="宋体" w:cs="宋体" w:eastAsia="宋体" w:hint="default"/>
                            <w:spacing w:val="-118"/>
                            <w:sz w:val="18"/>
                            <w:szCs w:val="18"/>
                          </w:rPr>
                          <w:t>》</w:t>
                        </w:r>
                        <w:r>
                          <w:rPr>
                            <w:rFonts w:ascii="宋体" w:hAnsi="宋体" w:cs="宋体" w:eastAsia="宋体" w:hint="default"/>
                            <w:sz w:val="18"/>
                            <w:szCs w:val="18"/>
                          </w:rPr>
                          <w:t>（证监发行许</w:t>
                        </w:r>
                        <w:r>
                          <w:rPr>
                            <w:rFonts w:ascii="宋体" w:hAnsi="宋体" w:cs="宋体" w:eastAsia="宋体" w:hint="default"/>
                            <w:spacing w:val="2"/>
                            <w:sz w:val="18"/>
                            <w:szCs w:val="18"/>
                          </w:rPr>
                          <w:t>可</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核准，并经深圳证券交易所同意，辉煌科技由主承销商中原证券股份有限公司于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日以非公开发行股票的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方式向特定投资者发行普通股（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4,382.76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元，每股发行价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日止，公司共募集资金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713,513,328.00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20,590,289.12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692,923,038.88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日，公司上述发行募集的资金已全部到位，业经大华会计师事务所（特殊普通合伙）以</w:t>
                        </w:r>
                        <w:r>
                          <w:rPr>
                            <w:rFonts w:ascii="Times New Roman" w:hAnsi="Times New Roman" w:cs="Times New Roman" w:eastAsia="Times New Roman" w:hint="default"/>
                            <w:sz w:val="18"/>
                            <w:szCs w:val="18"/>
                          </w:rPr>
                          <w:t>“</w:t>
                        </w:r>
                        <w:r>
                          <w:rPr>
                            <w:rFonts w:ascii="宋体" w:hAnsi="宋体" w:cs="宋体" w:eastAsia="宋体" w:hint="default"/>
                            <w:sz w:val="18"/>
                            <w:szCs w:val="18"/>
                          </w:rPr>
                          <w:t>大华验字</w:t>
                        </w:r>
                        <w:r>
                          <w:rPr>
                            <w:rFonts w:ascii="Times New Roman" w:hAnsi="Times New Roman" w:cs="Times New Roman" w:eastAsia="Times New Roman" w:hint="default"/>
                            <w:sz w:val="18"/>
                            <w:szCs w:val="18"/>
                          </w:rPr>
                          <w:t>[2013]000325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日，公司募集资金本年度投入使用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127,227,774.14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元，累计投入使用</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286,504,408.55 </w:t>
                        </w:r>
                        <w:r>
                          <w:rPr>
                            <w:rFonts w:ascii="宋体" w:hAnsi="宋体" w:cs="宋体" w:eastAsia="宋体" w:hint="default"/>
                            <w:sz w:val="18"/>
                            <w:szCs w:val="18"/>
                          </w:rPr>
                          <w:t>元；以前年度变更部分募集资金用途并永久补充流动资金 </w:t>
                        </w:r>
                        <w:r>
                          <w:rPr>
                            <w:rFonts w:ascii="Times New Roman" w:hAnsi="Times New Roman" w:cs="Times New Roman" w:eastAsia="Times New Roman" w:hint="default"/>
                            <w:sz w:val="18"/>
                            <w:szCs w:val="18"/>
                          </w:rPr>
                          <w:t>317,012,502.23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元（含承诺募投项目本金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宋体" w:hAnsi="宋体" w:cs="宋体" w:eastAsia="宋体" w:hint="default"/>
                            <w:spacing w:val="-15"/>
                            <w:sz w:val="18"/>
                            <w:szCs w:val="18"/>
                          </w:rPr>
                          <w:t>，</w:t>
                        </w:r>
                        <w:r>
                          <w:rPr>
                            <w:rFonts w:ascii="宋体" w:hAnsi="宋体" w:cs="宋体" w:eastAsia="宋体" w:hint="default"/>
                            <w:sz w:val="18"/>
                            <w:szCs w:val="18"/>
                          </w:rPr>
                          <w:t>利息收入</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募集资金</w:t>
                        </w:r>
                        <w:r>
                          <w:rPr>
                            <w:rFonts w:ascii="宋体" w:hAnsi="宋体" w:cs="宋体" w:eastAsia="宋体" w:hint="default"/>
                            <w:spacing w:val="-3"/>
                            <w:sz w:val="18"/>
                            <w:szCs w:val="18"/>
                          </w:rPr>
                          <w:t>余</w:t>
                        </w:r>
                        <w:r>
                          <w:rPr>
                            <w:rFonts w:ascii="宋体" w:hAnsi="宋体" w:cs="宋体" w:eastAsia="宋体" w:hint="default"/>
                            <w:spacing w:val="-15"/>
                            <w:sz w:val="18"/>
                            <w:szCs w:val="18"/>
                          </w:rPr>
                          <w:t>额</w:t>
                        </w:r>
                        <w:r>
                          <w:rPr>
                            <w:rFonts w:ascii="宋体" w:hAnsi="宋体" w:cs="宋体" w:eastAsia="宋体" w:hint="default"/>
                            <w:sz w:val="18"/>
                            <w:szCs w:val="18"/>
                          </w:rPr>
                          <w:t>（包含募集资金利息收入</w:t>
                        </w:r>
                        <w:r>
                          <w:rPr>
                            <w:rFonts w:ascii="宋体" w:hAnsi="宋体" w:cs="宋体" w:eastAsia="宋体" w:hint="default"/>
                            <w:spacing w:val="-17"/>
                            <w:sz w:val="18"/>
                            <w:szCs w:val="18"/>
                          </w:rPr>
                          <w:t>）</w:t>
                        </w:r>
                        <w:r>
                          <w:rPr>
                            <w:rFonts w:ascii="宋体" w:hAnsi="宋体" w:cs="宋体" w:eastAsia="宋体" w:hint="default"/>
                            <w:sz w:val="18"/>
                            <w:szCs w:val="18"/>
                          </w:rPr>
                          <w:t>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未到期理财产品资金余额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right="996"/>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7"/>
          <w:szCs w:val="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922"/>
        <w:gridCol w:w="639"/>
        <w:gridCol w:w="780"/>
        <w:gridCol w:w="780"/>
      </w:tblGrid>
      <w:tr>
        <w:trPr>
          <w:trHeight w:val="133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9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59999pt;margin-top:-244.01828pt;width:479.2pt;height:576.9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8"/>
                    <w:gridCol w:w="758"/>
                    <w:gridCol w:w="802"/>
                    <w:gridCol w:w="780"/>
                    <w:gridCol w:w="780"/>
                    <w:gridCol w:w="780"/>
                    <w:gridCol w:w="922"/>
                    <w:gridCol w:w="639"/>
                    <w:gridCol w:w="780"/>
                    <w:gridCol w:w="780"/>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、铁路灾害监测及预 警系统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21,889.5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2,902.18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60.46%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、铁路综合视频监控 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13,895.5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5,933.99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7,057.42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、智能综合监控系统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16,445.3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1,989.24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1,989.24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、轨道交通运营安全 服务系统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17,062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1,897.37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16,701.6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69,292.3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12,722.78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28,650.44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96" w:right="0"/>
                          <w:jc w:val="left"/>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69,292.3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28,650.44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212" w:hRule="exact"/>
                    </w:trPr>
                    <w:tc>
                      <w:tcPr>
                        <w:tcW w:w="33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22" w:right="211"/>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 因（分具体项目）</w:t>
                        </w:r>
                      </w:p>
                    </w:tc>
                    <w:tc>
                      <w:tcPr>
                        <w:tcW w:w="6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募集资金投资项目的建设地址均在新厂区（地址：郑州市高新技术产业开发区科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学大道北、黄栌路东地块），由于新厂区的基建工程前期相关建设手续办理缓慢</w:t>
                        </w:r>
                        <w:r>
                          <w:rPr>
                            <w:rFonts w:ascii="宋体" w:hAnsi="宋体" w:cs="宋体" w:eastAsia="宋体" w:hint="default"/>
                            <w:sz w:val="18"/>
                            <w:szCs w:val="18"/>
                          </w:rPr>
                          <w:t> </w:t>
                        </w:r>
                        <w:r>
                          <w:rPr>
                            <w:rFonts w:ascii="宋体" w:hAnsi="宋体" w:cs="宋体" w:eastAsia="宋体" w:hint="default"/>
                            <w:spacing w:val="-1"/>
                            <w:sz w:val="18"/>
                            <w:szCs w:val="18"/>
                          </w:rPr>
                          <w:t>且基建工程开工以来，郑州地区每年因环保问题需要按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封土令</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和相关管控要求</w:t>
                        </w:r>
                        <w:r>
                          <w:rPr>
                            <w:rFonts w:ascii="宋体" w:hAnsi="宋体" w:cs="宋体" w:eastAsia="宋体" w:hint="default"/>
                            <w:spacing w:val="-85"/>
                            <w:sz w:val="18"/>
                            <w:szCs w:val="18"/>
                          </w:rPr>
                          <w:t> </w:t>
                        </w:r>
                        <w:r>
                          <w:rPr>
                            <w:rFonts w:ascii="宋体" w:hAnsi="宋体" w:cs="宋体" w:eastAsia="宋体" w:hint="default"/>
                            <w:spacing w:val="-2"/>
                            <w:sz w:val="18"/>
                            <w:szCs w:val="18"/>
                          </w:rPr>
                          <w:t>分阶段随时停工，公司针对上述情况不断调整并优化工程方案，积极加快推进基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建工程进度，公司新厂区的工程建设进度仍滞后于募投项目计划。为尽快完成轨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道交通运营安全服务系统和铁路综合视频监控系统两个募投项目的实施，结合新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厂区基建工程的最新项目计划，经公司审慎研究，决定将上述两个募投项目达到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预定可使用状态的日期延期调整到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7"/>
                            <w:sz w:val="18"/>
                            <w:szCs w:val="18"/>
                          </w:rPr>
                          <w:t>日。具体情况详见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日深圳证券交易所网《关于调整募集资金投资项目实施进度的公告》</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044</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2585" w:hRule="exact"/>
                    </w:trPr>
                    <w:tc>
                      <w:tcPr>
                        <w:tcW w:w="33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6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0"/>
                          <w:jc w:val="left"/>
                          <w:rPr>
                            <w:rFonts w:ascii="宋体" w:hAnsi="宋体" w:cs="宋体" w:eastAsia="宋体" w:hint="default"/>
                            <w:sz w:val="18"/>
                            <w:szCs w:val="18"/>
                          </w:rPr>
                        </w:pPr>
                        <w:r>
                          <w:rPr>
                            <w:rFonts w:ascii="宋体" w:hAnsi="宋体" w:cs="宋体" w:eastAsia="宋体" w:hint="default"/>
                            <w:sz w:val="18"/>
                            <w:szCs w:val="18"/>
                          </w:rPr>
                          <w:t>铁路灾害监测及预警系统和智能综合监控系统两个募投项目所面临的市场空间 </w:t>
                        </w:r>
                        <w:r>
                          <w:rPr>
                            <w:rFonts w:ascii="宋体" w:hAnsi="宋体" w:cs="宋体" w:eastAsia="宋体" w:hint="default"/>
                            <w:spacing w:val="-2"/>
                            <w:sz w:val="18"/>
                            <w:szCs w:val="18"/>
                          </w:rPr>
                          <w:t>及竞争格局与募集资金到位时相比已发生了较为重大的变化，继续进行大规模软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硬件和研发投入将面临较大风险，无法保障相应投资收益，故已无必要对上述两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个募投项目再进行大规模的募集资金投入。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年度，上述事项业经公司第六 届董事会第十五次会议和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年度第一次临时股东大会审议通过，公司保留了 </w:t>
                        </w:r>
                        <w:r>
                          <w:rPr>
                            <w:rFonts w:ascii="宋体" w:hAnsi="宋体" w:cs="宋体" w:eastAsia="宋体" w:hint="default"/>
                            <w:spacing w:val="-2"/>
                            <w:sz w:val="18"/>
                            <w:szCs w:val="18"/>
                          </w:rPr>
                          <w:t>其基础建设投资部分，取消了上述两个项目其余募集资金的投资并进行永久补充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流动资金，具体情况详见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日巨潮资讯网《关于变更部分募集资 </w:t>
                        </w:r>
                        <w:r>
                          <w:rPr>
                            <w:rFonts w:ascii="宋体" w:hAnsi="宋体" w:cs="宋体" w:eastAsia="宋体" w:hint="default"/>
                            <w:spacing w:val="-11"/>
                            <w:sz w:val="18"/>
                            <w:szCs w:val="18"/>
                          </w:rPr>
                          <w:t>金用途并永久补充流动资金的公告》（</w:t>
                        </w:r>
                        <w:r>
                          <w:rPr>
                            <w:rFonts w:ascii="Times New Roman" w:hAnsi="Times New Roman" w:cs="Times New Roman" w:eastAsia="Times New Roman" w:hint="default"/>
                            <w:spacing w:val="-11"/>
                            <w:sz w:val="18"/>
                            <w:szCs w:val="18"/>
                          </w:rPr>
                          <w:t>2018-056</w:t>
                        </w:r>
                        <w:r>
                          <w:rPr>
                            <w:rFonts w:ascii="宋体" w:hAnsi="宋体" w:cs="宋体" w:eastAsia="宋体" w:hint="default"/>
                            <w:spacing w:val="-11"/>
                            <w:sz w:val="18"/>
                            <w:szCs w:val="18"/>
                          </w:rPr>
                          <w:t>）。</w:t>
                        </w:r>
                        <w:r>
                          <w:rPr>
                            <w:rFonts w:ascii="宋体" w:hAnsi="宋体" w:cs="宋体" w:eastAsia="宋体" w:hint="default"/>
                            <w:sz w:val="18"/>
                            <w:szCs w:val="18"/>
                          </w:rPr>
                        </w:r>
                      </w:p>
                    </w:tc>
                  </w:tr>
                  <w:tr>
                    <w:trPr>
                      <w:trHeight w:val="295" w:hRule="exact"/>
                    </w:trPr>
                    <w:tc>
                      <w:tcPr>
                        <w:tcW w:w="33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6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3" w:hRule="exact"/>
                    </w:trPr>
                    <w:tc>
                      <w:tcPr>
                        <w:tcW w:w="33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6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6" w:hRule="exact"/>
                    </w:trPr>
                    <w:tc>
                      <w:tcPr>
                        <w:tcW w:w="33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6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5" w:hRule="exact"/>
                    </w:trPr>
                    <w:tc>
                      <w:tcPr>
                        <w:tcW w:w="33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6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1"/>
        <w:gridCol w:w="6308"/>
      </w:tblGrid>
      <w:tr>
        <w:trPr>
          <w:trHeight w:val="258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根据公司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年非公开发行募集资金投资项目进度，有部分募集资金在一段时</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间内处于闲置状态。本着股东利益最大化，节约公司财务成本的考虑，经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日公司第六届董事会第三次会议审议批准，</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年公司使用闲置募集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万元暂时补充流动资金，使用期限为批准之日起不超过十二个月。</w:t>
            </w:r>
          </w:p>
          <w:p>
            <w:pPr>
              <w:pStyle w:val="TableParagraph"/>
              <w:spacing w:line="307"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日，公司已分别将暂时补 充流动资金的募集资金人民币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万元提前全部归还 </w:t>
            </w:r>
            <w:r>
              <w:rPr>
                <w:rFonts w:ascii="宋体" w:hAnsi="宋体" w:cs="宋体" w:eastAsia="宋体" w:hint="default"/>
                <w:spacing w:val="-2"/>
                <w:sz w:val="18"/>
                <w:szCs w:val="18"/>
              </w:rPr>
              <w:t>至募集资金专项账户，使用期限未超过十二个月。截止本报告期末，公司无正在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使用闲置募集资金暂时补充流动资金情况。</w:t>
            </w:r>
          </w:p>
        </w:tc>
      </w:tr>
      <w:tr>
        <w:trPr>
          <w:trHeight w:val="636"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68"/>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 因</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存储于募集资金专户及进行现金理财。公司分别于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日召开了第六届董事会第十七次会议和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年年度股东大会，审议通过了</w:t>
            </w:r>
          </w:p>
          <w:p>
            <w:pPr>
              <w:pStyle w:val="TableParagraph"/>
              <w:spacing w:line="316" w:lineRule="auto" w:before="63"/>
              <w:ind w:left="24" w:right="61"/>
              <w:jc w:val="both"/>
              <w:rPr>
                <w:rFonts w:ascii="宋体" w:hAnsi="宋体" w:cs="宋体" w:eastAsia="宋体" w:hint="default"/>
                <w:sz w:val="18"/>
                <w:szCs w:val="18"/>
              </w:rPr>
            </w:pPr>
            <w:r>
              <w:rPr>
                <w:rFonts w:ascii="宋体" w:hAnsi="宋体" w:cs="宋体" w:eastAsia="宋体" w:hint="default"/>
                <w:spacing w:val="-3"/>
                <w:sz w:val="18"/>
                <w:szCs w:val="18"/>
              </w:rPr>
              <w:t>《关于使用部分闲置募集资金进行现金管理的议案》，同意公司使用最高不超过</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万元的闲置募集资金进行现金管理，用于购买安全性高、流动性</w:t>
            </w:r>
          </w:p>
          <w:p>
            <w:pPr>
              <w:pStyle w:val="TableParagraph"/>
              <w:spacing w:line="309" w:lineRule="auto"/>
              <w:ind w:left="24" w:right="17"/>
              <w:jc w:val="both"/>
              <w:rPr>
                <w:rFonts w:ascii="宋体" w:hAnsi="宋体" w:cs="宋体" w:eastAsia="宋体" w:hint="default"/>
                <w:sz w:val="18"/>
                <w:szCs w:val="18"/>
              </w:rPr>
            </w:pPr>
            <w:r>
              <w:rPr>
                <w:rFonts w:ascii="宋体" w:hAnsi="宋体" w:cs="宋体" w:eastAsia="宋体" w:hint="default"/>
                <w:spacing w:val="-5"/>
                <w:sz w:val="18"/>
                <w:szCs w:val="18"/>
              </w:rPr>
              <w:t>好的理财产品，授权期限自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年度股东大会审议通过之日起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个月内可以滚 </w:t>
            </w:r>
            <w:r>
              <w:rPr>
                <w:rFonts w:ascii="宋体" w:hAnsi="宋体" w:cs="宋体" w:eastAsia="宋体" w:hint="default"/>
                <w:spacing w:val="-2"/>
                <w:sz w:val="18"/>
                <w:szCs w:val="18"/>
              </w:rPr>
              <w:t>动使用。截止本报告期末，公司使用闲置募集资金进行现金管理尚未到期理财产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品资金余额为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 他情况</w:t>
            </w:r>
          </w:p>
        </w:tc>
        <w:tc>
          <w:tcPr>
            <w:tcW w:w="6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募集资金变更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spacing w:line="487" w:lineRule="auto" w:before="0"/>
        <w:ind w:left="152" w:right="5714" w:firstLine="480"/>
        <w:jc w:val="left"/>
        <w:rPr>
          <w:rFonts w:ascii="宋体" w:hAnsi="宋体" w:cs="宋体" w:eastAsia="宋体" w:hint="default"/>
          <w:sz w:val="24"/>
          <w:szCs w:val="24"/>
        </w:rPr>
      </w:pPr>
      <w:r>
        <w:rPr>
          <w:rFonts w:ascii="宋体" w:hAnsi="宋体" w:cs="宋体" w:eastAsia="宋体" w:hint="default"/>
          <w:sz w:val="24"/>
          <w:szCs w:val="24"/>
        </w:rPr>
        <w:t>公司报告期不存在募集资金变更项目情况。 </w:t>
      </w:r>
      <w:bookmarkStart w:name="六、重大资产和股权出售" w:id="54"/>
      <w:bookmarkEnd w:id="54"/>
      <w:r>
        <w:rPr>
          <w:rFonts w:ascii="宋体" w:hAnsi="宋体" w:cs="宋体" w:eastAsia="宋体" w:hint="default"/>
          <w:sz w:val="24"/>
          <w:szCs w:val="24"/>
        </w:rPr>
      </w:r>
      <w:r>
        <w:rPr>
          <w:rFonts w:ascii="宋体" w:hAnsi="宋体" w:cs="宋体" w:eastAsia="宋体" w:hint="default"/>
          <w:b/>
          <w:bCs/>
          <w:sz w:val="24"/>
          <w:szCs w:val="24"/>
        </w:rPr>
        <w:t>六、重大资产和股权出售</w:t>
      </w:r>
      <w:r>
        <w:rPr>
          <w:rFonts w:ascii="宋体" w:hAnsi="宋体" w:cs="宋体" w:eastAsia="宋体" w:hint="default"/>
          <w:sz w:val="24"/>
          <w:szCs w:val="24"/>
        </w:rPr>
      </w:r>
    </w:p>
    <w:p>
      <w:pPr>
        <w:spacing w:line="403" w:lineRule="auto" w:before="50"/>
        <w:ind w:left="633" w:right="7153" w:hanging="481"/>
        <w:jc w:val="left"/>
        <w:rPr>
          <w:rFonts w:ascii="宋体" w:hAnsi="宋体" w:cs="宋体" w:eastAsia="宋体" w:hint="default"/>
          <w:sz w:val="24"/>
          <w:szCs w:val="24"/>
        </w:rPr>
      </w:pPr>
      <w:bookmarkStart w:name="1、出售重大资产情况" w:id="55"/>
      <w:bookmarkEnd w:id="55"/>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、出售重大资产情况</w:t>
      </w:r>
      <w:r>
        <w:rPr>
          <w:rFonts w:ascii="宋体" w:hAnsi="宋体" w:cs="宋体" w:eastAsia="宋体" w:hint="default"/>
          <w:b/>
          <w:bCs/>
          <w:w w:val="99"/>
          <w:sz w:val="24"/>
          <w:szCs w:val="24"/>
        </w:rPr>
        <w:t> </w:t>
      </w:r>
      <w:r>
        <w:rPr>
          <w:rFonts w:ascii="宋体" w:hAnsi="宋体" w:cs="宋体" w:eastAsia="宋体" w:hint="default"/>
          <w:sz w:val="24"/>
          <w:szCs w:val="24"/>
        </w:rPr>
        <w:t>公司报告期未出售重大资产。</w:t>
      </w:r>
    </w:p>
    <w:p>
      <w:pPr>
        <w:pStyle w:val="Heading2"/>
        <w:spacing w:line="240" w:lineRule="auto" w:before="154"/>
        <w:ind w:right="996"/>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17"/>
          <w:szCs w:val="17"/>
        </w:rPr>
      </w:pPr>
    </w:p>
    <w:p>
      <w:pPr>
        <w:spacing w:line="460" w:lineRule="auto" w:before="0"/>
        <w:ind w:left="152" w:right="786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七、主要控股参股公司分析" w:id="57"/>
      <w:bookmarkEnd w:id="57"/>
      <w:r>
        <w:rPr>
          <w:rFonts w:ascii="宋体" w:hAnsi="宋体" w:cs="宋体" w:eastAsia="宋体" w:hint="default"/>
          <w:sz w:val="24"/>
          <w:szCs w:val="24"/>
        </w:rPr>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spacing w:line="240" w:lineRule="auto" w:before="6"/>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745" w:footer="980" w:top="1060" w:bottom="1160" w:left="980" w:right="0"/>
        </w:sectPr>
      </w:pPr>
    </w:p>
    <w:p>
      <w:pPr>
        <w:pStyle w:val="BodyText"/>
        <w:spacing w:line="240" w:lineRule="auto" w:before="26"/>
        <w:ind w:left="633" w:right="-19"/>
        <w:jc w:val="left"/>
      </w:pPr>
      <w:r>
        <w:rPr/>
        <w:t>主要子公司及对公司净利润影响达</w:t>
      </w:r>
      <w:r>
        <w:rPr>
          <w:spacing w:val="-61"/>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894" w:space="1546"/>
            <w:col w:w="249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7"/>
        <w:gridCol w:w="426"/>
        <w:gridCol w:w="2302"/>
        <w:gridCol w:w="1044"/>
        <w:gridCol w:w="1047"/>
        <w:gridCol w:w="1046"/>
        <w:gridCol w:w="1044"/>
        <w:gridCol w:w="1045"/>
        <w:gridCol w:w="1046"/>
      </w:tblGrid>
      <w:tr>
        <w:trPr>
          <w:trHeight w:val="714"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7" w:right="98"/>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 w:right="2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9.537003pt;margin-top:162.259979pt;width:94pt;height:54.6pt;mso-position-horizontal-relative:page;mso-position-vertical-relative:page;z-index:-947080"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金属材料、</w:t>
                  </w:r>
                </w:p>
              </w:txbxContent>
            </v:textbox>
            <w10:wrap type="none"/>
          </v:shape>
        </w:pict>
      </w:r>
      <w:r>
        <w:rPr/>
        <w:pict>
          <v:shape style="position:absolute;margin-left:152.537003pt;margin-top:217.465988pt;width:121pt;height:85.85pt;mso-position-horizontal-relative:page;mso-position-vertical-relative:page;z-index:-947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电气设备的研发、</w:t>
                  </w: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spacing w:before="0"/>
                    <w:ind w:left="540" w:right="0" w:firstLine="0"/>
                    <w:jc w:val="left"/>
                    <w:rPr>
                      <w:rFonts w:ascii="宋体" w:hAnsi="宋体" w:cs="宋体" w:eastAsia="宋体" w:hint="default"/>
                      <w:sz w:val="18"/>
                      <w:szCs w:val="18"/>
                    </w:rPr>
                  </w:pPr>
                  <w:r>
                    <w:rPr>
                      <w:rFonts w:ascii="宋体" w:hAnsi="宋体" w:cs="宋体" w:eastAsia="宋体" w:hint="default"/>
                      <w:sz w:val="18"/>
                      <w:szCs w:val="18"/>
                    </w:rPr>
                    <w:t>技术推广；</w:t>
                  </w:r>
                </w:p>
              </w:txbxContent>
            </v:textbox>
            <w10:wrap type="none"/>
          </v:shape>
        </w:pict>
      </w:r>
      <w:r>
        <w:rPr/>
        <w:pict>
          <v:shape style="position:absolute;margin-left:143.537003pt;margin-top:338.449982pt;width:130pt;height:85.8pt;mso-position-horizontal-relative:page;mso-position-vertical-relative:page;z-index:-947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石油钻采专用设备；</w:t>
                  </w:r>
                </w:p>
              </w:txbxContent>
            </v:textbox>
            <w10:wrap type="none"/>
          </v:shape>
        </w:pict>
      </w:r>
      <w:r>
        <w:rPr/>
        <w:pict>
          <v:group style="position:absolute;margin-left:221.690002pt;margin-top:162.259979pt;width:51.85pt;height:141.050pt;mso-position-horizontal-relative:page;mso-position-vertical-relative:page;z-index:-947008" coordorigin="4434,3245" coordsize="1037,2821">
            <v:group style="position:absolute;left:4434;top:3245;width:1037;height:1092" coordorigin="4434,3245" coordsize="1037,1092">
              <v:shape style="position:absolute;left:4434;top:3245;width:1037;height:1092" coordorigin="4434,3245" coordsize="1037,1092" path="m4434,4337l5471,4337,5471,3245,4434,3245,4434,4337xe" filled="true" fillcolor="#ffffff" stroked="false">
                <v:path arrowok="t"/>
                <v:fill type="solid"/>
              </v:shape>
            </v:group>
            <v:group style="position:absolute;left:4434;top:4349;width:1037;height:1717" coordorigin="4434,4349" coordsize="1037,1717">
              <v:shape style="position:absolute;left:4434;top:4349;width:1037;height:1717" coordorigin="4434,4349" coordsize="1037,1717" path="m4434,6066l5471,6066,5471,4349,4434,4349,4434,6066xe" filled="true" fillcolor="#ffffff" stroked="false">
                <v:path arrowok="t"/>
                <v:fill type="solid"/>
              </v:shape>
            </v:group>
            <w10:wrap type="none"/>
          </v:group>
        </w:pict>
      </w:r>
      <w:r>
        <w:rPr/>
        <w:pict>
          <v:group style="position:absolute;margin-left:221.690002pt;margin-top:338.449982pt;width:51.85pt;height:85.8pt;mso-position-horizontal-relative:page;mso-position-vertical-relative:page;z-index:-946984" coordorigin="4434,6769" coordsize="1037,1716">
            <v:shape style="position:absolute;left:4434;top:6769;width:1037;height:1716" coordorigin="4434,6769" coordsize="1037,1716" path="m4434,8485l5471,8485,5471,6769,4434,6769,4434,848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
        <w:gridCol w:w="427"/>
        <w:gridCol w:w="2302"/>
        <w:gridCol w:w="1044"/>
        <w:gridCol w:w="1047"/>
        <w:gridCol w:w="1046"/>
        <w:gridCol w:w="1044"/>
        <w:gridCol w:w="1045"/>
        <w:gridCol w:w="1046"/>
      </w:tblGrid>
      <w:tr>
        <w:trPr>
          <w:trHeight w:val="289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1"/>
              <w:jc w:val="both"/>
              <w:rPr>
                <w:rFonts w:ascii="宋体" w:hAnsi="宋体" w:cs="宋体" w:eastAsia="宋体" w:hint="default"/>
                <w:sz w:val="18"/>
                <w:szCs w:val="18"/>
              </w:rPr>
            </w:pPr>
            <w:r>
              <w:rPr>
                <w:rFonts w:ascii="宋体" w:hAnsi="宋体" w:cs="宋体" w:eastAsia="宋体" w:hint="default"/>
                <w:sz w:val="18"/>
                <w:szCs w:val="18"/>
              </w:rPr>
              <w:t>北京 国铁 路阳 技术 有限 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子公 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铁路专用设备及器材、配件 生产制造（限分支机构经 </w:t>
            </w:r>
            <w:r>
              <w:rPr>
                <w:rFonts w:ascii="宋体" w:hAnsi="宋体" w:cs="宋体" w:eastAsia="宋体" w:hint="default"/>
                <w:spacing w:val="-8"/>
                <w:sz w:val="18"/>
                <w:szCs w:val="18"/>
              </w:rPr>
              <w:t>营）；技术开发、技术转让、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技术服务、技术咨询；产品 设计；销售铁路专用设备及 器材、机械设备、计算机软 硬件及辅助设备、 五金交电；货物进出口、技 术进出口、代理进出口。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305,581,250.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193,462,680.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91,720,805.5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-21,228,363.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5"/>
              <w:jc w:val="right"/>
              <w:rPr>
                <w:rFonts w:ascii="Times New Roman" w:hAnsi="Times New Roman" w:cs="Times New Roman" w:eastAsia="Times New Roman" w:hint="default"/>
                <w:sz w:val="18"/>
                <w:szCs w:val="18"/>
              </w:rPr>
            </w:pPr>
            <w:r>
              <w:rPr>
                <w:rFonts w:ascii="Times New Roman"/>
                <w:spacing w:val="-1"/>
                <w:sz w:val="18"/>
              </w:rPr>
              <w:t>-21,773,506.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55</w:t>
            </w:r>
          </w:p>
        </w:tc>
      </w:tr>
      <w:tr>
        <w:trPr>
          <w:trHeight w:val="414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71"/>
              <w:jc w:val="both"/>
              <w:rPr>
                <w:rFonts w:ascii="宋体" w:hAnsi="宋体" w:cs="宋体" w:eastAsia="宋体" w:hint="default"/>
                <w:sz w:val="18"/>
                <w:szCs w:val="18"/>
              </w:rPr>
            </w:pPr>
            <w:r>
              <w:rPr>
                <w:rFonts w:ascii="宋体" w:hAnsi="宋体" w:cs="宋体" w:eastAsia="宋体" w:hint="default"/>
                <w:sz w:val="18"/>
                <w:szCs w:val="18"/>
              </w:rPr>
              <w:t>成都 西南 交大 驱动 技术 有限 责任 公司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3" w:right="31"/>
              <w:jc w:val="left"/>
              <w:rPr>
                <w:rFonts w:ascii="宋体" w:hAnsi="宋体" w:cs="宋体" w:eastAsia="宋体" w:hint="default"/>
                <w:sz w:val="18"/>
                <w:szCs w:val="18"/>
              </w:rPr>
            </w:pPr>
            <w:r>
              <w:rPr>
                <w:rFonts w:ascii="宋体" w:hAnsi="宋体" w:cs="宋体" w:eastAsia="宋体" w:hint="default"/>
                <w:sz w:val="18"/>
                <w:szCs w:val="18"/>
              </w:rPr>
              <w:t>子公 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机电液一体化技术、计算机 软件、电子控制技术、铁路 专用设备、 销售并提供技术咨询、技术 开发、技术转让、 生产（另设分支机构或另择 经营场地经营）机械设备及 器材、电气设备及器材、铁 路专用设备及配件、建筑工 程机械、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依法须经批准的项目，经相 关部门批准后方可开展经营 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71,466,817.6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61,064,505.3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22,791,762.1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-2,573,350.0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6"/>
              <w:jc w:val="right"/>
              <w:rPr>
                <w:rFonts w:ascii="Times New Roman" w:hAnsi="Times New Roman" w:cs="Times New Roman" w:eastAsia="Times New Roman" w:hint="default"/>
                <w:sz w:val="18"/>
                <w:szCs w:val="18"/>
              </w:rPr>
            </w:pPr>
            <w:r>
              <w:rPr>
                <w:rFonts w:ascii="Times New Roman"/>
                <w:spacing w:val="-1"/>
                <w:sz w:val="18"/>
              </w:rPr>
              <w:t>-2,641,280.8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508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z w:val="18"/>
                <w:szCs w:val="18"/>
              </w:rPr>
              <w:t>飞天 联合</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z w:val="18"/>
                <w:szCs w:val="18"/>
              </w:rPr>
              <w:t>（北 </w:t>
            </w:r>
            <w:r>
              <w:rPr>
                <w:rFonts w:ascii="宋体" w:hAnsi="宋体" w:cs="宋体" w:eastAsia="宋体" w:hint="default"/>
                <w:spacing w:val="-10"/>
                <w:sz w:val="18"/>
                <w:szCs w:val="18"/>
              </w:rPr>
              <w:t>京）系</w:t>
            </w:r>
            <w:r>
              <w:rPr>
                <w:rFonts w:ascii="宋体" w:hAnsi="宋体" w:cs="宋体" w:eastAsia="宋体" w:hint="default"/>
                <w:sz w:val="18"/>
                <w:szCs w:val="18"/>
              </w:rPr>
              <w:t> 统技 术有 限公 司</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技术开发、技术咨询、技术 转让、技术服务；销售计算 机、软件及辅助设备、通讯 设备、电子产品、器件和元 件、仪器仪表；计算机系统 服务；经济贸易咨询；货物 进出口、技术进出口、代理 进出口；从事互联网文化活 </w:t>
            </w:r>
            <w:r>
              <w:rPr>
                <w:rFonts w:ascii="宋体" w:hAnsi="宋体" w:cs="宋体" w:eastAsia="宋体" w:hint="default"/>
                <w:spacing w:val="-8"/>
                <w:sz w:val="18"/>
                <w:szCs w:val="18"/>
              </w:rPr>
              <w:t>动。（企业依法自主选择经营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项目，开展经营活动；从事 互联网文化活动以及依法须 经批准的项目，经相关部门 批准后依批准的内容开展经 营活动；不得从事本市产业 政策禁止和限制类项目的经 </w:t>
            </w:r>
            <w:r>
              <w:rPr>
                <w:rFonts w:ascii="宋体" w:hAnsi="宋体" w:cs="宋体" w:eastAsia="宋体" w:hint="default"/>
                <w:spacing w:val="-19"/>
                <w:sz w:val="18"/>
                <w:szCs w:val="18"/>
              </w:rPr>
              <w:t>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57,880,435.0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139,982,777.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20"/>
                <w:szCs w:val="20"/>
              </w:rPr>
            </w:pPr>
            <w:r>
              <w:rPr>
                <w:rFonts w:ascii="Arial"/>
                <w:w w:val="80"/>
                <w:sz w:val="20"/>
              </w:rPr>
              <w:t>60,725,780.2</w:t>
            </w:r>
            <w:r>
              <w:rPr>
                <w:rFonts w:ascii="Arial"/>
                <w:sz w:val="20"/>
              </w:rPr>
            </w:r>
          </w:p>
          <w:p>
            <w:pPr>
              <w:pStyle w:val="TableParagraph"/>
              <w:spacing w:line="240" w:lineRule="auto" w:before="82"/>
              <w:ind w:right="22"/>
              <w:jc w:val="right"/>
              <w:rPr>
                <w:rFonts w:ascii="Arial" w:hAnsi="Arial" w:cs="Arial" w:eastAsia="Arial" w:hint="default"/>
                <w:sz w:val="20"/>
                <w:szCs w:val="20"/>
              </w:rPr>
            </w:pPr>
            <w:r>
              <w:rPr>
                <w:rFonts w:ascii="Arial"/>
                <w:w w:val="81"/>
                <w:sz w:val="20"/>
              </w:rPr>
              <w:t>9</w:t>
            </w:r>
            <w:r>
              <w:rPr>
                <w:rFonts w:ascii="Arial"/>
                <w:sz w:val="20"/>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24,939,915.6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-84,258,716.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Arial" w:hAnsi="Arial" w:cs="Arial" w:eastAsia="Arial" w:hint="default"/>
                <w:sz w:val="20"/>
                <w:szCs w:val="20"/>
              </w:rPr>
            </w:pPr>
            <w:r>
              <w:rPr>
                <w:rFonts w:ascii="Arial"/>
                <w:w w:val="80"/>
                <w:sz w:val="20"/>
              </w:rPr>
              <w:t>-84,247,914.</w:t>
            </w:r>
            <w:r>
              <w:rPr>
                <w:rFonts w:ascii="Arial"/>
                <w:sz w:val="20"/>
              </w:rPr>
            </w:r>
          </w:p>
          <w:p>
            <w:pPr>
              <w:pStyle w:val="TableParagraph"/>
              <w:spacing w:line="240" w:lineRule="auto" w:before="82"/>
              <w:ind w:right="17"/>
              <w:jc w:val="right"/>
              <w:rPr>
                <w:rFonts w:ascii="Arial" w:hAnsi="Arial" w:cs="Arial" w:eastAsia="Arial" w:hint="default"/>
                <w:sz w:val="20"/>
                <w:szCs w:val="20"/>
              </w:rPr>
            </w:pPr>
            <w:r>
              <w:rPr>
                <w:rFonts w:ascii="Arial"/>
                <w:w w:val="80"/>
                <w:sz w:val="20"/>
              </w:rPr>
              <w:t>91</w:t>
            </w:r>
            <w:r>
              <w:rPr>
                <w:rFonts w:ascii="Arial"/>
                <w:sz w:val="20"/>
              </w:rPr>
            </w:r>
          </w:p>
        </w:tc>
      </w:tr>
    </w:tbl>
    <w:p>
      <w:pPr>
        <w:spacing w:after="0" w:line="240" w:lineRule="auto"/>
        <w:jc w:val="right"/>
        <w:rPr>
          <w:rFonts w:ascii="Arial" w:hAnsi="Arial" w:cs="Arial" w:eastAsia="Arial" w:hint="default"/>
          <w:sz w:val="20"/>
          <w:szCs w:val="20"/>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67"/>
        <w:gridCol w:w="427"/>
        <w:gridCol w:w="2302"/>
        <w:gridCol w:w="1044"/>
        <w:gridCol w:w="1047"/>
        <w:gridCol w:w="1046"/>
        <w:gridCol w:w="1044"/>
        <w:gridCol w:w="1045"/>
        <w:gridCol w:w="1046"/>
      </w:tblGrid>
      <w:tr>
        <w:trPr>
          <w:trHeight w:val="290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深圳 丰图 辉煌 基金 管理 中心</w:t>
            </w:r>
          </w:p>
          <w:p>
            <w:pPr>
              <w:pStyle w:val="TableParagraph"/>
              <w:spacing w:line="316" w:lineRule="auto" w:before="19"/>
              <w:ind w:left="24" w:right="17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受托管理股权投资基金（不 得从事证券投资活动；不得 以公开方式募集资金开展投 资活动，不得从事公开募集 </w:t>
            </w:r>
            <w:r>
              <w:rPr>
                <w:rFonts w:ascii="宋体" w:hAnsi="宋体" w:cs="宋体" w:eastAsia="宋体" w:hint="default"/>
                <w:spacing w:val="-8"/>
                <w:sz w:val="18"/>
                <w:szCs w:val="18"/>
              </w:rPr>
              <w:t>基金管理业务）；投资管理、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股权投资、受托资产管理（不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得从事信托、 </w:t>
            </w:r>
            <w:r>
              <w:rPr>
                <w:rFonts w:ascii="宋体" w:hAnsi="宋体" w:cs="宋体" w:eastAsia="宋体" w:hint="default"/>
                <w:spacing w:val="-9"/>
                <w:sz w:val="18"/>
                <w:szCs w:val="18"/>
              </w:rPr>
              <w:t>证券资产管理等业务）。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1248"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51.85pt;height:62.4pt;mso-position-horizontal-relative:char;mso-position-vertical-relative:line" coordorigin="0,0" coordsize="1037,1248">
                  <v:group style="position:absolute;left:0;top:0;width:1037;height:1248" coordorigin="0,0" coordsize="1037,1248">
                    <v:shape style="position:absolute;left:0;top:0;width:1037;height:1248" coordorigin="0,0" coordsize="1037,1248" path="m0,1248l1037,1248,1037,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33,138.92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-42,259.88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-19,151,480.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-19,151,480.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86</w:t>
            </w:r>
          </w:p>
        </w:tc>
      </w:tr>
    </w:tbl>
    <w:p>
      <w:pPr>
        <w:spacing w:line="240" w:lineRule="auto" w:before="3"/>
        <w:rPr>
          <w:rFonts w:ascii="Times New Roman" w:hAnsi="Times New Roman" w:cs="Times New Roman" w:eastAsia="Times New Roman" w:hint="default"/>
          <w:sz w:val="5"/>
          <w:szCs w:val="5"/>
        </w:rPr>
      </w:pPr>
    </w:p>
    <w:p>
      <w:pPr>
        <w:pStyle w:val="BodyText"/>
        <w:spacing w:line="240" w:lineRule="auto" w:before="26"/>
        <w:ind w:left="633" w:right="996"/>
        <w:jc w:val="left"/>
      </w:pPr>
      <w:r>
        <w:rPr/>
        <w:pict>
          <v:shape style="position:absolute;margin-left:161.537003pt;margin-top:-66.044403pt;width:112pt;height:62.4pt;mso-position-horizontal-relative:page;mso-position-vertical-relative:paragraph;z-index:-946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金融资产管理、</w:t>
                  </w:r>
                </w:p>
              </w:txbxContent>
            </v:textbox>
            <w10:wrap type="none"/>
          </v:shape>
        </w:pict>
      </w:r>
      <w:r>
        <w:rPr/>
        <w:t>报告期内取得和处置子公司的情况</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410"/>
        <w:gridCol w:w="2835"/>
        <w:gridCol w:w="4325"/>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洛阳辉煌城轨科技有限公司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7"/>
              <w:jc w:val="left"/>
              <w:rPr>
                <w:rFonts w:ascii="宋体" w:hAnsi="宋体" w:cs="宋体" w:eastAsia="宋体" w:hint="default"/>
                <w:sz w:val="18"/>
                <w:szCs w:val="18"/>
              </w:rPr>
            </w:pPr>
            <w:r>
              <w:rPr>
                <w:rFonts w:ascii="宋体" w:hAnsi="宋体" w:cs="宋体" w:eastAsia="宋体" w:hint="default"/>
                <w:sz w:val="18"/>
                <w:szCs w:val="18"/>
              </w:rPr>
              <w:t>报告期内尚未开展经营，对整体生产经营和业绩无影 响。</w:t>
            </w:r>
          </w:p>
        </w:tc>
      </w:tr>
    </w:tbl>
    <w:p>
      <w:pPr>
        <w:spacing w:line="240" w:lineRule="auto" w:before="9"/>
        <w:rPr>
          <w:rFonts w:ascii="宋体" w:hAnsi="宋体" w:cs="宋体" w:eastAsia="宋体" w:hint="default"/>
          <w:sz w:val="4"/>
          <w:szCs w:val="4"/>
        </w:rPr>
      </w:pPr>
    </w:p>
    <w:p>
      <w:pPr>
        <w:pStyle w:val="BodyText"/>
        <w:spacing w:line="352" w:lineRule="auto" w:before="26"/>
        <w:ind w:left="633" w:right="1393"/>
        <w:jc w:val="left"/>
      </w:pPr>
      <w:r>
        <w:rPr/>
        <w:t>主要控股参股公司情况说明 全资子公司国铁路阳主营铁路电源系统整体解决方案及信号器材设备的研发生产和销</w:t>
      </w:r>
    </w:p>
    <w:p>
      <w:pPr>
        <w:pStyle w:val="BodyText"/>
        <w:spacing w:line="345" w:lineRule="auto" w:before="34"/>
        <w:ind w:right="1010"/>
        <w:jc w:val="both"/>
      </w:pPr>
      <w:r>
        <w:rPr/>
        <w:t>售，鉴于国铁信号电源市场总量相对于前几年高铁建设高峰期相比，市场总量趋于减少，同 时，新取得国铁信号电源市场资质厂家为谋求更大市场份额，采取低价竞争策略，致使市场 竞争加剧；新研发产品正在地方企业铁路市场逐步推广，积累经验和业绩，正在争取相关资 </w:t>
      </w:r>
      <w:r>
        <w:rPr>
          <w:spacing w:val="-3"/>
        </w:rPr>
        <w:t>质，报告期内暂未形成业绩支撑；公司经过</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3"/>
        </w:rPr>
        <w:t>年下半年整体运营的调整，报告期内，逐步</w:t>
      </w:r>
      <w:r>
        <w:rPr>
          <w:spacing w:val="-103"/>
        </w:rPr>
        <w:t> </w:t>
      </w:r>
      <w:r>
        <w:rPr>
          <w:spacing w:val="-103"/>
        </w:rPr>
      </w:r>
      <w:r>
        <w:rPr>
          <w:spacing w:val="-2"/>
        </w:rPr>
        <w:t>完成了对市场、研发及生产各专业的梳理，营业收入较上年基本持平，净利润亏损有所加大。</w:t>
      </w:r>
    </w:p>
    <w:p>
      <w:pPr>
        <w:pStyle w:val="BodyText"/>
        <w:spacing w:line="350" w:lineRule="auto" w:before="41"/>
        <w:ind w:right="1171" w:firstLine="480"/>
        <w:jc w:val="both"/>
      </w:pPr>
      <w:r>
        <w:rPr/>
        <w:t>控股子公司西南交大驱动技术有限公司主营接触网水冲洗车和地铁隧道清洗车等轨道交 通运营维护大型装备，报告期内由于国铁集团下属各集团企业，针对供电维护装备的物资采 购计划调整与延迟，和公司加大针对城市轨道交通装备研发投入，研发费用增加，致使本年 度净利润亏损</w:t>
      </w:r>
      <w:r>
        <w:rPr>
          <w:spacing w:val="-60"/>
        </w:rPr>
        <w:t> </w:t>
      </w:r>
      <w:r>
        <w:rPr>
          <w:rFonts w:ascii="Times New Roman" w:hAnsi="Times New Roman" w:cs="Times New Roman" w:eastAsia="Times New Roman" w:hint="default"/>
        </w:rPr>
        <w:t>264.13 </w:t>
      </w:r>
      <w:r>
        <w:rPr/>
        <w:t>万元。</w:t>
      </w:r>
    </w:p>
    <w:p>
      <w:pPr>
        <w:pStyle w:val="BodyText"/>
        <w:spacing w:line="345" w:lineRule="auto" w:before="6"/>
        <w:ind w:right="1119" w:firstLine="480"/>
        <w:jc w:val="left"/>
      </w:pPr>
      <w:r>
        <w:rPr/>
        <w:t>参股公司飞天联合是中国领先的机上互联系统整体解决方案提供商，专注于提供民用航 空领域的电子软硬件产品和服务。截止报告期末，公司持有飞天联合股权比例为</w:t>
      </w:r>
      <w:r>
        <w:rPr>
          <w:spacing w:val="-77"/>
        </w:rPr>
        <w:t> </w:t>
      </w:r>
      <w:r>
        <w:rPr>
          <w:rFonts w:ascii="Times New Roman" w:hAnsi="Times New Roman" w:cs="Times New Roman" w:eastAsia="Times New Roman" w:hint="default"/>
          <w:spacing w:val="-4"/>
        </w:rPr>
        <w:t>18.72%</w:t>
      </w:r>
      <w:r>
        <w:rPr>
          <w:spacing w:val="-4"/>
        </w:rPr>
        <w:t>；报</w:t>
      </w:r>
      <w:r>
        <w:rPr>
          <w:spacing w:val="-12"/>
        </w:rPr>
        <w:t> </w:t>
      </w:r>
      <w:r>
        <w:rPr/>
        <w:t>告期内，国内各航空公司受新会计准则、汇兑波动加大、公商务旅客比例下降、高铁竞争等</w:t>
      </w:r>
      <w:r>
        <w:rPr/>
        <w:t> 因素影响，经营压力持续承压，国内空中互联市场发展受到一定影响；沙特航空机载卫星设 备等海外设备订单稳步执行交付；飞天联合与青岛航空合作的中国第一架</w:t>
      </w:r>
      <w:r>
        <w:rPr>
          <w:spacing w:val="-60"/>
        </w:rPr>
        <w:t> </w:t>
      </w:r>
      <w:r>
        <w:rPr>
          <w:rFonts w:ascii="Times New Roman" w:hAnsi="Times New Roman" w:cs="Times New Roman" w:eastAsia="Times New Roman" w:hint="default"/>
        </w:rPr>
        <w:t>Ka</w:t>
      </w:r>
      <w:r>
        <w:rPr>
          <w:rFonts w:ascii="Times New Roman" w:hAnsi="Times New Roman" w:cs="Times New Roman" w:eastAsia="Times New Roman" w:hint="default"/>
          <w:spacing w:val="-2"/>
        </w:rPr>
        <w:t> </w:t>
      </w:r>
      <w:r>
        <w:rPr/>
        <w:t>互联网飞机实 </w:t>
      </w:r>
      <w:r>
        <w:rPr>
          <w:spacing w:val="-5"/>
        </w:rPr>
        <w:t>现装机；正式入驻“大飞机创新谷”，加速民用航空设备国产自主替代。报告期内，为稳步构</w:t>
      </w:r>
      <w:r>
        <w:rPr/>
        <w:t> 建海外订单交付机制，和进一步加大研发投入促使国内空中互联试点，致使年度经营净利润 亏损加大。</w:t>
      </w:r>
    </w:p>
    <w:p>
      <w:pPr>
        <w:pStyle w:val="BodyText"/>
        <w:spacing w:line="240" w:lineRule="auto" w:before="41"/>
        <w:ind w:left="633" w:right="996"/>
        <w:jc w:val="left"/>
      </w:pPr>
      <w:r>
        <w:rPr/>
        <w:t>深圳丰图辉煌基金管理中心（有限合伙）于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27 </w:t>
      </w:r>
      <w:r>
        <w:rPr/>
        <w:t>日成立，经公司第五届董事</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38" w:lineRule="auto" w:before="198"/>
        <w:ind w:right="1116"/>
        <w:jc w:val="left"/>
      </w:pPr>
      <w:r>
        <w:rPr/>
        <w:t>会和</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spacing w:val="-3"/>
        </w:rPr>
        <w:t>年度临时股东大会审议通过。根据管理金融资产的业务模式，本期将对深圳丰图辉</w:t>
      </w:r>
      <w:r>
        <w:rPr>
          <w:spacing w:val="-118"/>
        </w:rPr>
        <w:t> </w:t>
      </w:r>
      <w:r>
        <w:rPr>
          <w:spacing w:val="-118"/>
        </w:rPr>
      </w:r>
      <w:r>
        <w:rPr/>
        <w:t>煌基金管理中心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的投资指定为以公允价值计量且其变动计入当期损益的金融资 产，并根据其流动性放在其他非流动金融资产科目核算。参考利用公司聘请的北京中天华资 产评估有限责任公司出具的中天华资评财报字</w:t>
      </w:r>
      <w:r>
        <w:rPr>
          <w:rFonts w:ascii="Times New Roman" w:hAnsi="Times New Roman" w:cs="Times New Roman" w:eastAsia="Times New Roman" w:hint="default"/>
        </w:rPr>
        <w:t>[2020]</w:t>
      </w:r>
      <w:r>
        <w:rPr/>
        <w:t>第</w:t>
      </w:r>
      <w:r>
        <w:rPr>
          <w:spacing w:val="-58"/>
        </w:rPr>
        <w:t> </w:t>
      </w:r>
      <w:r>
        <w:rPr>
          <w:rFonts w:ascii="Times New Roman" w:hAnsi="Times New Roman" w:cs="Times New Roman" w:eastAsia="Times New Roman" w:hint="default"/>
        </w:rPr>
        <w:t>10193</w:t>
      </w:r>
      <w:r>
        <w:rPr>
          <w:rFonts w:ascii="Times New Roman" w:hAnsi="Times New Roman" w:cs="Times New Roman" w:eastAsia="Times New Roman" w:hint="default"/>
          <w:spacing w:val="2"/>
        </w:rPr>
        <w:t> </w:t>
      </w:r>
      <w:r>
        <w:rPr>
          <w:spacing w:val="-9"/>
        </w:rPr>
        <w:t>号《资产评估报告》，采用成本</w:t>
      </w:r>
    </w:p>
    <w:p>
      <w:pPr>
        <w:spacing w:line="458" w:lineRule="auto" w:before="19"/>
        <w:ind w:left="152" w:right="5774" w:firstLine="0"/>
        <w:jc w:val="left"/>
        <w:rPr>
          <w:rFonts w:ascii="宋体" w:hAnsi="宋体" w:cs="宋体" w:eastAsia="宋体" w:hint="default"/>
          <w:sz w:val="24"/>
          <w:szCs w:val="24"/>
        </w:rPr>
      </w:pPr>
      <w:r>
        <w:rPr>
          <w:rFonts w:ascii="宋体" w:hAnsi="宋体" w:cs="宋体" w:eastAsia="宋体" w:hint="default"/>
          <w:sz w:val="24"/>
          <w:szCs w:val="24"/>
        </w:rPr>
        <w:t>法进行评估，并最终确认评估值为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17.31 </w:t>
      </w:r>
      <w:r>
        <w:rPr>
          <w:rFonts w:ascii="宋体" w:hAnsi="宋体" w:cs="宋体" w:eastAsia="宋体" w:hint="default"/>
          <w:sz w:val="24"/>
          <w:szCs w:val="24"/>
        </w:rPr>
        <w:t>万元。 </w:t>
      </w:r>
      <w:bookmarkStart w:name="八、公司控制的结构化主体情况" w:id="58"/>
      <w:bookmarkEnd w:id="58"/>
      <w:r>
        <w:rPr>
          <w:rFonts w:ascii="宋体" w:hAnsi="宋体" w:cs="宋体" w:eastAsia="宋体" w:hint="default"/>
          <w:sz w:val="24"/>
          <w:szCs w:val="24"/>
        </w:rPr>
      </w:r>
      <w:r>
        <w:rPr>
          <w:rFonts w:ascii="宋体" w:hAnsi="宋体" w:cs="宋体" w:eastAsia="宋体" w:hint="default"/>
          <w:b/>
          <w:bCs/>
          <w:sz w:val="24"/>
          <w:szCs w:val="24"/>
        </w:rPr>
        <w:t>八、公司控制的结构化主体情况</w:t>
      </w:r>
      <w:r>
        <w:rPr>
          <w:rFonts w:ascii="宋体" w:hAnsi="宋体" w:cs="宋体" w:eastAsia="宋体" w:hint="default"/>
          <w:sz w:val="24"/>
          <w:szCs w:val="24"/>
        </w:rPr>
      </w:r>
    </w:p>
    <w:p>
      <w:pPr>
        <w:spacing w:line="460" w:lineRule="auto" w:before="206"/>
        <w:ind w:left="152" w:right="810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九、公司未来发展的展望" w:id="59"/>
      <w:bookmarkEnd w:id="59"/>
      <w:r>
        <w:rPr>
          <w:rFonts w:ascii="宋体" w:hAnsi="宋体" w:cs="宋体" w:eastAsia="宋体" w:hint="default"/>
          <w:sz w:val="24"/>
          <w:szCs w:val="24"/>
        </w:rPr>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pStyle w:val="BodyText"/>
        <w:spacing w:line="240" w:lineRule="auto" w:before="202"/>
        <w:ind w:left="633" w:right="996"/>
        <w:jc w:val="left"/>
      </w:pPr>
      <w:r>
        <w:rPr/>
        <w:t>（一）行业格局及趋势</w:t>
      </w:r>
    </w:p>
    <w:p>
      <w:pPr>
        <w:pStyle w:val="BodyText"/>
        <w:spacing w:line="240" w:lineRule="auto" w:before="146"/>
        <w:ind w:left="633" w:right="996"/>
        <w:jc w:val="left"/>
      </w:pPr>
      <w:r>
        <w:rPr>
          <w:rFonts w:ascii="Times New Roman" w:hAnsi="Times New Roman" w:cs="Times New Roman" w:eastAsia="Times New Roman" w:hint="default"/>
        </w:rPr>
        <w:t>1</w:t>
      </w:r>
      <w:r>
        <w:rPr/>
        <w:t>、国家铁路及城市轨道交通行业</w:t>
      </w:r>
    </w:p>
    <w:p>
      <w:pPr>
        <w:pStyle w:val="BodyText"/>
        <w:spacing w:line="240" w:lineRule="auto" w:before="126"/>
        <w:ind w:left="633" w:right="99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6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月，中共中央、国务院印发的《交通强国建设纲要》提出交通强国建设近期目</w:t>
      </w:r>
    </w:p>
    <w:p>
      <w:pPr>
        <w:pStyle w:val="BodyText"/>
        <w:spacing w:line="240" w:lineRule="auto" w:before="128"/>
        <w:ind w:right="996"/>
        <w:jc w:val="left"/>
      </w:pPr>
      <w:r>
        <w:rPr/>
        <w:t>标为到</w:t>
      </w:r>
      <w:r>
        <w:rPr>
          <w:spacing w:val="-8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0"/>
        </w:rPr>
        <w:t> </w:t>
      </w:r>
      <w:r>
        <w:rPr/>
        <w:t>年，完成决胜全面建成小康社会交通建设任务和</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现代综合交通运输体系</w:t>
      </w:r>
    </w:p>
    <w:p>
      <w:pPr>
        <w:pStyle w:val="BodyText"/>
        <w:spacing w:line="240" w:lineRule="auto" w:before="128"/>
        <w:ind w:right="996"/>
        <w:jc w:val="left"/>
      </w:pPr>
      <w:r>
        <w:rPr/>
        <w:t>发展规划各项任务，为交通强国建设奠定坚实基础。到</w:t>
      </w:r>
      <w:r>
        <w:rPr>
          <w:spacing w:val="-60"/>
        </w:rPr>
        <w:t> </w:t>
      </w:r>
      <w:r>
        <w:rPr>
          <w:rFonts w:ascii="Times New Roman" w:hAnsi="Times New Roman" w:cs="Times New Roman" w:eastAsia="Times New Roman" w:hint="default"/>
        </w:rPr>
        <w:t>2035</w:t>
      </w:r>
      <w:r>
        <w:rPr>
          <w:rFonts w:ascii="Times New Roman" w:hAnsi="Times New Roman" w:cs="Times New Roman" w:eastAsia="Times New Roman" w:hint="default"/>
          <w:spacing w:val="-1"/>
        </w:rPr>
        <w:t> </w:t>
      </w:r>
      <w:r>
        <w:rPr/>
        <w:t>年，基本形成</w:t>
      </w:r>
      <w:r>
        <w:rPr>
          <w:rFonts w:ascii="Times New Roman" w:hAnsi="Times New Roman" w:cs="Times New Roman" w:eastAsia="Times New Roman" w:hint="default"/>
        </w:rPr>
        <w:t>“</w:t>
      </w:r>
      <w:r>
        <w:rPr/>
        <w:t>全国</w:t>
      </w:r>
      <w:r>
        <w:rPr>
          <w:spacing w:val="-61"/>
        </w:rPr>
        <w:t> </w:t>
      </w:r>
      <w:r>
        <w:rPr>
          <w:rFonts w:ascii="Times New Roman" w:hAnsi="Times New Roman" w:cs="Times New Roman" w:eastAsia="Times New Roman" w:hint="default"/>
        </w:rPr>
        <w:t>123</w:t>
      </w:r>
      <w:r>
        <w:rPr>
          <w:rFonts w:ascii="Times New Roman" w:hAnsi="Times New Roman" w:cs="Times New Roman" w:eastAsia="Times New Roman" w:hint="default"/>
          <w:spacing w:val="-1"/>
        </w:rPr>
        <w:t> </w:t>
      </w:r>
      <w:r>
        <w:rPr/>
        <w:t>出行交</w:t>
      </w:r>
    </w:p>
    <w:p>
      <w:pPr>
        <w:pStyle w:val="BodyText"/>
        <w:spacing w:line="345" w:lineRule="auto" w:before="126"/>
        <w:ind w:right="1000"/>
        <w:jc w:val="left"/>
      </w:pPr>
      <w:r>
        <w:rPr>
          <w:spacing w:val="-3"/>
          <w:w w:val="100"/>
        </w:rPr>
        <w:t>通圈</w:t>
      </w:r>
      <w:r>
        <w:rPr>
          <w:rFonts w:ascii="Times New Roman" w:hAnsi="Times New Roman" w:cs="Times New Roman" w:eastAsia="Times New Roman" w:hint="default"/>
          <w:spacing w:val="-3"/>
          <w:w w:val="100"/>
        </w:rPr>
        <w:t>”</w:t>
      </w:r>
      <w:r>
        <w:rPr>
          <w:spacing w:val="-3"/>
          <w:w w:val="100"/>
        </w:rPr>
        <w:t>（都市区</w:t>
      </w:r>
      <w:r>
        <w:rPr>
          <w:spacing w:val="-58"/>
          <w:w w:val="10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小时通勤、城市群</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2"/>
        </w:rPr>
        <w:t>小时通达、全国主要城市</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11"/>
        </w:rPr>
        <w:t>小时覆盖）。到本世纪中叶，</w:t>
      </w:r>
      <w:r>
        <w:rPr/>
        <w:t> 全面建成人民满意、保障有力、世界前列的交通强国。还指出，建设城市群一体化交通网， 推进干线铁路、城际铁路、市域（郊）铁路、城市轨道交通融合发展。轨道交通发展作为交 通网络综合体中重要一环，在国民经济长期稳定发展中作用显著。</w:t>
      </w:r>
    </w:p>
    <w:p>
      <w:pPr>
        <w:pStyle w:val="BodyText"/>
        <w:spacing w:line="240" w:lineRule="auto" w:before="41"/>
        <w:ind w:left="633" w:right="996"/>
        <w:jc w:val="left"/>
      </w:pPr>
      <w:r>
        <w:rPr/>
        <w:t>截止</w:t>
      </w:r>
      <w:r>
        <w:rPr>
          <w:spacing w:val="-61"/>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27 </w:t>
      </w:r>
      <w:r>
        <w:rPr/>
        <w:t>日，国家发改委共批复了</w:t>
      </w:r>
      <w:r>
        <w:rPr>
          <w:spacing w:val="-60"/>
        </w:rPr>
        <w:t> </w:t>
      </w:r>
      <w:r>
        <w:rPr>
          <w:rFonts w:ascii="Times New Roman" w:hAnsi="Times New Roman" w:cs="Times New Roman" w:eastAsia="Times New Roman" w:hint="default"/>
        </w:rPr>
        <w:t>12 </w:t>
      </w:r>
      <w:r>
        <w:rPr/>
        <w:t>个轨道交通重大建设规划项目，总投</w:t>
      </w:r>
    </w:p>
    <w:p>
      <w:pPr>
        <w:pStyle w:val="BodyText"/>
        <w:spacing w:line="240" w:lineRule="auto" w:before="128"/>
        <w:ind w:right="996"/>
        <w:jc w:val="left"/>
      </w:pPr>
      <w:r>
        <w:rPr/>
        <w:t>资额约</w:t>
      </w:r>
      <w:r>
        <w:rPr>
          <w:spacing w:val="-65"/>
        </w:rPr>
        <w:t> </w:t>
      </w:r>
      <w:r>
        <w:rPr>
          <w:rFonts w:ascii="Times New Roman" w:hAnsi="Times New Roman" w:cs="Times New Roman" w:eastAsia="Times New Roman" w:hint="default"/>
        </w:rPr>
        <w:t>10,202.98</w:t>
      </w:r>
      <w:r>
        <w:rPr>
          <w:rFonts w:ascii="Times New Roman" w:hAnsi="Times New Roman" w:cs="Times New Roman" w:eastAsia="Times New Roman" w:hint="default"/>
          <w:spacing w:val="-5"/>
        </w:rPr>
        <w:t> </w:t>
      </w:r>
      <w:r>
        <w:rPr>
          <w:spacing w:val="-4"/>
        </w:rPr>
        <w:t>亿元，里程合计</w:t>
      </w:r>
      <w:r>
        <w:rPr>
          <w:spacing w:val="-65"/>
        </w:rPr>
        <w:t> </w:t>
      </w:r>
      <w:r>
        <w:rPr>
          <w:rFonts w:ascii="Times New Roman" w:hAnsi="Times New Roman" w:cs="Times New Roman" w:eastAsia="Times New Roman" w:hint="default"/>
        </w:rPr>
        <w:t>4,574.57</w:t>
      </w:r>
      <w:r>
        <w:rPr>
          <w:rFonts w:ascii="Times New Roman" w:hAnsi="Times New Roman" w:cs="Times New Roman" w:eastAsia="Times New Roman" w:hint="default"/>
          <w:spacing w:val="-5"/>
        </w:rPr>
        <w:t> </w:t>
      </w:r>
      <w:r>
        <w:rPr/>
        <w:t>公里。其中城市轨道交通建设项目总计</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7"/>
        </w:rPr>
        <w:t>个，共涉</w:t>
      </w:r>
    </w:p>
    <w:p>
      <w:pPr>
        <w:pStyle w:val="BodyText"/>
        <w:spacing w:line="240" w:lineRule="auto" w:before="126"/>
        <w:ind w:right="996"/>
        <w:jc w:val="left"/>
      </w:pPr>
      <w:r>
        <w:rPr/>
        <w:t>及</w:t>
      </w:r>
      <w:r>
        <w:rPr>
          <w:spacing w:val="-60"/>
        </w:rPr>
        <w:t> </w:t>
      </w:r>
      <w:r>
        <w:rPr>
          <w:rFonts w:ascii="Times New Roman" w:hAnsi="Times New Roman" w:cs="Times New Roman" w:eastAsia="Times New Roman" w:hint="default"/>
        </w:rPr>
        <w:t>30 </w:t>
      </w:r>
      <w:r>
        <w:rPr/>
        <w:t>条城轨线路，总里程</w:t>
      </w:r>
      <w:r>
        <w:rPr>
          <w:spacing w:val="-60"/>
        </w:rPr>
        <w:t> </w:t>
      </w:r>
      <w:r>
        <w:rPr>
          <w:rFonts w:ascii="Times New Roman" w:hAnsi="Times New Roman" w:cs="Times New Roman" w:eastAsia="Times New Roman" w:hint="default"/>
        </w:rPr>
        <w:t>684.82 </w:t>
      </w:r>
      <w:r>
        <w:rPr/>
        <w:t>公里，车站数</w:t>
      </w:r>
      <w:r>
        <w:rPr>
          <w:spacing w:val="-60"/>
        </w:rPr>
        <w:t> </w:t>
      </w:r>
      <w:r>
        <w:rPr>
          <w:rFonts w:ascii="Times New Roman" w:hAnsi="Times New Roman" w:cs="Times New Roman" w:eastAsia="Times New Roman" w:hint="default"/>
        </w:rPr>
        <w:t>365 </w:t>
      </w:r>
      <w:r>
        <w:rPr/>
        <w:t>座，投资总额</w:t>
      </w:r>
      <w:r>
        <w:rPr>
          <w:spacing w:val="-60"/>
        </w:rPr>
        <w:t> </w:t>
      </w:r>
      <w:r>
        <w:rPr>
          <w:rFonts w:ascii="Times New Roman" w:hAnsi="Times New Roman" w:cs="Times New Roman" w:eastAsia="Times New Roman" w:hint="default"/>
        </w:rPr>
        <w:t>4,926.07 </w:t>
      </w:r>
      <w:r>
        <w:rPr/>
        <w:t>亿元；铁路建设</w:t>
      </w:r>
    </w:p>
    <w:p>
      <w:pPr>
        <w:pStyle w:val="BodyText"/>
        <w:spacing w:line="240" w:lineRule="auto" w:before="128"/>
        <w:ind w:right="996"/>
        <w:jc w:val="left"/>
        <w:rPr>
          <w:rFonts w:ascii="Times New Roman" w:hAnsi="Times New Roman" w:cs="Times New Roman" w:eastAsia="Times New Roman" w:hint="default"/>
        </w:rPr>
      </w:pPr>
      <w:r>
        <w:rPr/>
        <w:t>项目总计</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3"/>
        </w:rPr>
        <w:t>个，共涉及</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8"/>
        </w:rPr>
        <w:t>条城轨线路，总里程</w:t>
      </w:r>
      <w:r>
        <w:rPr>
          <w:spacing w:val="-59"/>
        </w:rPr>
        <w:t> </w:t>
      </w:r>
      <w:r>
        <w:rPr>
          <w:rFonts w:ascii="Times New Roman" w:hAnsi="Times New Roman" w:cs="Times New Roman" w:eastAsia="Times New Roman" w:hint="default"/>
        </w:rPr>
        <w:t>2,303.15</w:t>
      </w:r>
      <w:r>
        <w:rPr>
          <w:rFonts w:ascii="Times New Roman" w:hAnsi="Times New Roman" w:cs="Times New Roman" w:eastAsia="Times New Roman" w:hint="default"/>
          <w:spacing w:val="1"/>
        </w:rPr>
        <w:t> </w:t>
      </w:r>
      <w:r>
        <w:rPr>
          <w:spacing w:val="-11"/>
        </w:rPr>
        <w:t>公里，车站数</w:t>
      </w:r>
      <w:r>
        <w:rPr>
          <w:spacing w:val="-59"/>
        </w:rPr>
        <w:t> </w:t>
      </w:r>
      <w:r>
        <w:rPr>
          <w:rFonts w:ascii="Times New Roman" w:hAnsi="Times New Roman" w:cs="Times New Roman" w:eastAsia="Times New Roman" w:hint="default"/>
        </w:rPr>
        <w:t>69</w:t>
      </w:r>
      <w:r>
        <w:rPr>
          <w:rFonts w:ascii="Times New Roman" w:hAnsi="Times New Roman" w:cs="Times New Roman" w:eastAsia="Times New Roman" w:hint="default"/>
          <w:spacing w:val="1"/>
        </w:rPr>
        <w:t> </w:t>
      </w:r>
      <w:r>
        <w:rPr>
          <w:spacing w:val="-11"/>
        </w:rPr>
        <w:t>座，投资总额</w:t>
      </w:r>
      <w:r>
        <w:rPr>
          <w:spacing w:val="-59"/>
        </w:rPr>
        <w:t> </w:t>
      </w:r>
      <w:r>
        <w:rPr>
          <w:rFonts w:ascii="Times New Roman" w:hAnsi="Times New Roman" w:cs="Times New Roman" w:eastAsia="Times New Roman" w:hint="default"/>
        </w:rPr>
        <w:t>3,976.91</w:t>
      </w:r>
    </w:p>
    <w:p>
      <w:pPr>
        <w:pStyle w:val="BodyText"/>
        <w:spacing w:line="240" w:lineRule="auto" w:before="128"/>
        <w:ind w:right="996"/>
        <w:jc w:val="left"/>
      </w:pPr>
      <w:r>
        <w:rPr/>
        <w:t>亿元；另外国家发改委今年还发布了</w:t>
      </w:r>
      <w:r>
        <w:rPr>
          <w:spacing w:val="-60"/>
        </w:rPr>
        <w:t> </w:t>
      </w:r>
      <w:r>
        <w:rPr>
          <w:rFonts w:ascii="Times New Roman" w:hAnsi="Times New Roman" w:cs="Times New Roman" w:eastAsia="Times New Roman" w:hint="default"/>
        </w:rPr>
        <w:t>2019-2020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127</w:t>
      </w:r>
      <w:r>
        <w:rPr>
          <w:rFonts w:ascii="Times New Roman" w:hAnsi="Times New Roman" w:cs="Times New Roman" w:eastAsia="Times New Roman" w:hint="default"/>
          <w:spacing w:val="-1"/>
        </w:rPr>
        <w:t> </w:t>
      </w:r>
      <w:r>
        <w:rPr/>
        <w:t>个铁路专用线重点项目，共涉及线路</w:t>
      </w:r>
    </w:p>
    <w:p>
      <w:pPr>
        <w:pStyle w:val="BodyText"/>
        <w:spacing w:line="240" w:lineRule="auto" w:before="126"/>
        <w:ind w:right="996"/>
        <w:jc w:val="left"/>
      </w:pPr>
      <w:r>
        <w:rPr/>
        <w:t>总长度达</w:t>
      </w:r>
      <w:r>
        <w:rPr>
          <w:spacing w:val="-60"/>
        </w:rPr>
        <w:t> </w:t>
      </w:r>
      <w:r>
        <w:rPr>
          <w:rFonts w:ascii="Times New Roman" w:hAnsi="Times New Roman" w:cs="Times New Roman" w:eastAsia="Times New Roman" w:hint="default"/>
        </w:rPr>
        <w:t>1,586 </w:t>
      </w:r>
      <w:r>
        <w:rPr/>
        <w:t>公里。</w:t>
      </w:r>
    </w:p>
    <w:p>
      <w:pPr>
        <w:pStyle w:val="BodyText"/>
        <w:spacing w:line="240" w:lineRule="auto" w:before="128"/>
        <w:ind w:left="633"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0"/>
        </w:rPr>
        <w:t> </w:t>
      </w:r>
      <w:r>
        <w:rPr>
          <w:spacing w:val="-5"/>
        </w:rPr>
        <w:t>月，国家发改委等五部门联合印发《关于加快推进铁路专用线建设的指导意见》</w:t>
      </w:r>
    </w:p>
    <w:p>
      <w:pPr>
        <w:pStyle w:val="BodyText"/>
        <w:spacing w:line="331" w:lineRule="auto" w:before="128"/>
        <w:ind w:right="1011"/>
        <w:jc w:val="left"/>
      </w:pPr>
      <w:r>
        <w:rPr>
          <w:spacing w:val="-4"/>
        </w:rPr>
        <w:t>（发改基础〔</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1445</w:t>
      </w:r>
      <w:r>
        <w:rPr>
          <w:rFonts w:ascii="Times New Roman" w:hAnsi="Times New Roman" w:cs="Times New Roman" w:eastAsia="Times New Roman" w:hint="default"/>
        </w:rPr>
        <w:t> </w:t>
      </w:r>
      <w:r>
        <w:rPr>
          <w:spacing w:val="-6"/>
          <w:w w:val="100"/>
        </w:rPr>
        <w:t>号），指出铁路专用线是解决运输</w:t>
      </w:r>
      <w:r>
        <w:rPr>
          <w:rFonts w:ascii="Times New Roman" w:hAnsi="Times New Roman" w:cs="Times New Roman" w:eastAsia="Times New Roman" w:hint="default"/>
          <w:spacing w:val="-6"/>
          <w:w w:val="100"/>
        </w:rPr>
        <w:t>“</w:t>
      </w:r>
      <w:r>
        <w:rPr>
          <w:spacing w:val="-6"/>
          <w:w w:val="100"/>
        </w:rPr>
        <w:t>最后一公里</w:t>
      </w:r>
      <w:r>
        <w:rPr>
          <w:rFonts w:ascii="Times New Roman" w:hAnsi="Times New Roman" w:cs="Times New Roman" w:eastAsia="Times New Roman" w:hint="default"/>
          <w:spacing w:val="-6"/>
          <w:w w:val="100"/>
        </w:rPr>
        <w:t>”</w:t>
      </w:r>
      <w:r>
        <w:rPr>
          <w:spacing w:val="-6"/>
          <w:w w:val="100"/>
        </w:rPr>
        <w:t>的重要设施，为更好</w:t>
      </w:r>
      <w:r>
        <w:rPr>
          <w:spacing w:val="-112"/>
          <w:w w:val="100"/>
        </w:rPr>
        <w:t> </w:t>
      </w:r>
      <w:r>
        <w:rPr>
          <w:spacing w:val="-112"/>
          <w:w w:val="100"/>
        </w:rPr>
      </w:r>
      <w:r>
        <w:rPr/>
        <w:t>落实《国务院办公厅关于印发推进运输结构调整三年行动计划（</w:t>
      </w:r>
      <w:r>
        <w:rPr>
          <w:rFonts w:ascii="Times New Roman" w:hAnsi="Times New Roman" w:cs="Times New Roman" w:eastAsia="Times New Roman" w:hint="default"/>
        </w:rPr>
        <w:t>2018-2020 </w:t>
      </w:r>
      <w:r>
        <w:rPr>
          <w:spacing w:val="-15"/>
        </w:rPr>
        <w:t>年）的通知》（国</w:t>
      </w:r>
      <w:r>
        <w:rPr/>
        <w:t> </w:t>
      </w:r>
      <w:r>
        <w:rPr>
          <w:spacing w:val="-6"/>
        </w:rPr>
        <w:t>办发〔</w:t>
      </w:r>
      <w:r>
        <w:rPr>
          <w:rFonts w:ascii="Times New Roman" w:hAnsi="Times New Roman" w:cs="Times New Roman" w:eastAsia="Times New Roman" w:hint="default"/>
          <w:spacing w:val="-6"/>
        </w:rPr>
        <w:t>2018</w:t>
      </w:r>
      <w:r>
        <w:rPr>
          <w:spacing w:val="-6"/>
        </w:rPr>
        <w:t>〕</w:t>
      </w:r>
      <w:r>
        <w:rPr>
          <w:rFonts w:ascii="Times New Roman" w:hAnsi="Times New Roman" w:cs="Times New Roman" w:eastAsia="Times New Roman" w:hint="default"/>
          <w:spacing w:val="-6"/>
        </w:rPr>
        <w:t>91</w:t>
      </w:r>
      <w:r>
        <w:rPr>
          <w:rFonts w:ascii="Times New Roman" w:hAnsi="Times New Roman" w:cs="Times New Roman" w:eastAsia="Times New Roman" w:hint="default"/>
          <w:spacing w:val="16"/>
        </w:rPr>
        <w:t> </w:t>
      </w:r>
      <w:r>
        <w:rPr>
          <w:spacing w:val="-3"/>
        </w:rPr>
        <w:t>号）有关要求，进一步增加铁路货运量，迫切需要加快铁路专用线建设进度，</w:t>
      </w:r>
      <w:r>
        <w:rPr>
          <w:spacing w:val="-118"/>
        </w:rPr>
        <w:t> </w:t>
      </w:r>
      <w:r>
        <w:rPr>
          <w:spacing w:val="-118"/>
        </w:rPr>
      </w:r>
      <w:r>
        <w:rPr/>
        <w:t>实现铁路干线运输与重要港口、大型工矿企业、物流园区等的高效联通和无缝衔接。基于发</w:t>
      </w:r>
    </w:p>
    <w:p>
      <w:pPr>
        <w:spacing w:after="0" w:line="33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71"/>
        <w:jc w:val="both"/>
      </w:pPr>
      <w:r>
        <w:rPr/>
        <w:t>展多式联运高效经济，构建绿色高效现代物流体系政策要求，铁路专用线建设正迎来历史新 机遇。</w:t>
      </w:r>
    </w:p>
    <w:p>
      <w:pPr>
        <w:pStyle w:val="BodyText"/>
        <w:spacing w:line="352" w:lineRule="auto" w:before="31"/>
        <w:ind w:right="1171" w:firstLine="480"/>
        <w:jc w:val="both"/>
      </w:pPr>
      <w:r>
        <w:rPr/>
        <w:t>由上述信息可知，在国家宏观经济下行压力持续加大的情况下，在国家铁路、城市轨道 交通、专用线铁路等大型基础建设的投资依然是宏观政策支持的方向，有望在未来三至五年 的周期内，整个轨道交通市场景气度有望持续保持高位。</w:t>
      </w:r>
    </w:p>
    <w:p>
      <w:pPr>
        <w:pStyle w:val="BodyText"/>
        <w:spacing w:line="240" w:lineRule="auto" w:before="31"/>
        <w:ind w:left="633" w:right="99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年度全国铁路固定资产投资完成</w:t>
      </w:r>
      <w:r>
        <w:rPr>
          <w:spacing w:val="-62"/>
        </w:rPr>
        <w:t> </w:t>
      </w:r>
      <w:r>
        <w:rPr>
          <w:rFonts w:ascii="Times New Roman" w:hAnsi="Times New Roman" w:cs="Times New Roman" w:eastAsia="Times New Roman" w:hint="default"/>
        </w:rPr>
        <w:t>8,029</w:t>
      </w:r>
      <w:r>
        <w:rPr>
          <w:rFonts w:ascii="Times New Roman" w:hAnsi="Times New Roman" w:cs="Times New Roman" w:eastAsia="Times New Roman" w:hint="default"/>
          <w:spacing w:val="-2"/>
        </w:rPr>
        <w:t> </w:t>
      </w:r>
      <w:r>
        <w:rPr/>
        <w:t>亿元，其中国家铁路完成</w:t>
      </w:r>
      <w:r>
        <w:rPr>
          <w:spacing w:val="-61"/>
        </w:rPr>
        <w:t> </w:t>
      </w:r>
      <w:r>
        <w:rPr>
          <w:rFonts w:ascii="Times New Roman" w:hAnsi="Times New Roman" w:cs="Times New Roman" w:eastAsia="Times New Roman" w:hint="default"/>
        </w:rPr>
        <w:t>7,511</w:t>
      </w:r>
      <w:r>
        <w:rPr>
          <w:rFonts w:ascii="Times New Roman" w:hAnsi="Times New Roman" w:cs="Times New Roman" w:eastAsia="Times New Roman" w:hint="default"/>
          <w:spacing w:val="-2"/>
        </w:rPr>
        <w:t> </w:t>
      </w:r>
      <w:r>
        <w:rPr/>
        <w:t>亿元；投产</w:t>
      </w:r>
    </w:p>
    <w:p>
      <w:pPr>
        <w:pStyle w:val="BodyText"/>
        <w:spacing w:line="240" w:lineRule="auto" w:before="128"/>
        <w:ind w:right="0"/>
        <w:jc w:val="both"/>
      </w:pPr>
      <w:r>
        <w:rPr/>
        <w:t>新线</w:t>
      </w:r>
      <w:r>
        <w:rPr>
          <w:spacing w:val="-63"/>
        </w:rPr>
        <w:t> </w:t>
      </w:r>
      <w:r>
        <w:rPr>
          <w:rFonts w:ascii="Times New Roman" w:hAnsi="Times New Roman" w:cs="Times New Roman" w:eastAsia="Times New Roman" w:hint="default"/>
        </w:rPr>
        <w:t>8,489</w:t>
      </w:r>
      <w:r>
        <w:rPr>
          <w:rFonts w:ascii="Times New Roman" w:hAnsi="Times New Roman" w:cs="Times New Roman" w:eastAsia="Times New Roman" w:hint="default"/>
          <w:spacing w:val="-4"/>
        </w:rPr>
        <w:t> </w:t>
      </w:r>
      <w:r>
        <w:rPr/>
        <w:t>公里，其中高铁</w:t>
      </w:r>
      <w:r>
        <w:rPr>
          <w:spacing w:val="-63"/>
        </w:rPr>
        <w:t> </w:t>
      </w:r>
      <w:r>
        <w:rPr>
          <w:rFonts w:ascii="Times New Roman" w:hAnsi="Times New Roman" w:cs="Times New Roman" w:eastAsia="Times New Roman" w:hint="default"/>
        </w:rPr>
        <w:t>5,474</w:t>
      </w:r>
      <w:r>
        <w:rPr>
          <w:rFonts w:ascii="Times New Roman" w:hAnsi="Times New Roman" w:cs="Times New Roman" w:eastAsia="Times New Roman" w:hint="default"/>
          <w:spacing w:val="-3"/>
        </w:rPr>
        <w:t> </w:t>
      </w:r>
      <w:r>
        <w:rPr/>
        <w:t>公里；到</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年底，全国铁路营业里程达到</w:t>
      </w:r>
      <w:r>
        <w:rPr>
          <w:spacing w:val="-63"/>
        </w:rPr>
        <w:t> </w:t>
      </w:r>
      <w:r>
        <w:rPr>
          <w:rFonts w:ascii="Times New Roman" w:hAnsi="Times New Roman" w:cs="Times New Roman" w:eastAsia="Times New Roman" w:hint="default"/>
        </w:rPr>
        <w:t>13.9</w:t>
      </w:r>
      <w:r>
        <w:rPr>
          <w:rFonts w:ascii="Times New Roman" w:hAnsi="Times New Roman" w:cs="Times New Roman" w:eastAsia="Times New Roman" w:hint="default"/>
          <w:spacing w:val="-3"/>
        </w:rPr>
        <w:t> </w:t>
      </w:r>
      <w:r>
        <w:rPr/>
        <w:t>万公里以</w:t>
      </w:r>
    </w:p>
    <w:p>
      <w:pPr>
        <w:pStyle w:val="BodyText"/>
        <w:spacing w:line="340" w:lineRule="auto" w:before="128"/>
        <w:ind w:right="1128"/>
        <w:jc w:val="both"/>
      </w:pPr>
      <w:r>
        <w:rPr>
          <w:spacing w:val="-5"/>
        </w:rPr>
        <w:t>上，其中高铁</w:t>
      </w:r>
      <w:r>
        <w:rPr>
          <w:spacing w:val="-63"/>
        </w:rPr>
        <w:t> </w:t>
      </w:r>
      <w:r>
        <w:rPr>
          <w:rFonts w:ascii="Times New Roman" w:hAnsi="Times New Roman" w:cs="Times New Roman" w:eastAsia="Times New Roman" w:hint="default"/>
        </w:rPr>
        <w:t>3.5</w:t>
      </w:r>
      <w:r>
        <w:rPr>
          <w:rFonts w:ascii="Times New Roman" w:hAnsi="Times New Roman" w:cs="Times New Roman" w:eastAsia="Times New Roman" w:hint="default"/>
          <w:spacing w:val="-3"/>
        </w:rPr>
        <w:t> </w:t>
      </w:r>
      <w:r>
        <w:rPr>
          <w:spacing w:val="-3"/>
        </w:rPr>
        <w:t>万公里。根据国铁集团在</w:t>
      </w:r>
      <w:r>
        <w:rPr>
          <w:spacing w:val="-6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月召开的年度工作会议中强调，</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 铁路工作的主要目标是：铁路安全保持持续稳定；全面完成国家下达的铁路投资任务，确保 投产新线</w:t>
      </w:r>
      <w:r>
        <w:rPr>
          <w:spacing w:val="-60"/>
        </w:rPr>
        <w:t> </w:t>
      </w:r>
      <w:r>
        <w:rPr>
          <w:rFonts w:ascii="Times New Roman" w:hAnsi="Times New Roman" w:cs="Times New Roman" w:eastAsia="Times New Roman" w:hint="default"/>
        </w:rPr>
        <w:t>4,000 </w:t>
      </w:r>
      <w:r>
        <w:rPr/>
        <w:t>公里以上，其中高铁</w:t>
      </w:r>
      <w:r>
        <w:rPr>
          <w:spacing w:val="-60"/>
        </w:rPr>
        <w:t> </w:t>
      </w:r>
      <w:r>
        <w:rPr>
          <w:rFonts w:ascii="Times New Roman" w:hAnsi="Times New Roman" w:cs="Times New Roman" w:eastAsia="Times New Roman" w:hint="default"/>
        </w:rPr>
        <w:t>2,000 </w:t>
      </w:r>
      <w:r>
        <w:rPr/>
        <w:t>公里。</w:t>
      </w:r>
    </w:p>
    <w:p>
      <w:pPr>
        <w:pStyle w:val="BodyText"/>
        <w:spacing w:line="350" w:lineRule="auto" w:before="17"/>
        <w:ind w:right="1170" w:firstLine="480"/>
        <w:jc w:val="both"/>
      </w:pPr>
      <w:r>
        <w:rPr/>
        <w:t>随着全国铁路营业里程的不断延展，尤其是上万公里的高铁线路的不断投入运营，其中 最早的高铁线路已经建成超过十年，中国高铁装备的全新建设高峰已经稳定了三年以上，正 在逐步进入保障安全平稳运营，持续高效维护，有序进行逐步更新阶段，庞大的线路网络和 巨大的在线运营设备，在国铁集团明确由速度规模型向质量效益型转变的背景下，必将为中 国铁路智能运营检修维护装备体系将迎来巨大的发展机遇。</w:t>
      </w:r>
    </w:p>
    <w:p>
      <w:pPr>
        <w:pStyle w:val="BodyText"/>
        <w:spacing w:line="240" w:lineRule="auto" w:before="36"/>
        <w:ind w:left="633" w:right="996"/>
        <w:jc w:val="left"/>
      </w:pPr>
      <w:r>
        <w:rPr/>
        <w:t>根</w:t>
      </w:r>
      <w:r>
        <w:rPr>
          <w:spacing w:val="-8"/>
        </w:rPr>
        <w:t>据</w:t>
      </w:r>
      <w:r>
        <w:rPr/>
        <w:t>《郑州市轨道交通线网规划修</w:t>
      </w:r>
      <w:r>
        <w:rPr>
          <w:spacing w:val="-8"/>
        </w:rPr>
        <w:t>编</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w:t>
      </w:r>
      <w:r>
        <w:rPr>
          <w:rFonts w:ascii="Times New Roman" w:hAnsi="Times New Roman" w:cs="Times New Roman" w:eastAsia="Times New Roman" w:hint="default"/>
        </w:rPr>
        <w:t>2050</w:t>
      </w:r>
      <w:r>
        <w:rPr>
          <w:spacing w:val="-120"/>
        </w:rPr>
        <w:t>）</w:t>
      </w:r>
      <w:r>
        <w:rPr>
          <w:spacing w:val="-8"/>
        </w:rPr>
        <w:t>》</w:t>
      </w:r>
      <w:r>
        <w:rPr/>
        <w:t>显示</w:t>
      </w:r>
      <w:r>
        <w:rPr>
          <w:spacing w:val="-8"/>
        </w:rPr>
        <w:t>，</w:t>
      </w:r>
      <w:r>
        <w:rPr/>
        <w:t>至</w:t>
      </w:r>
      <w:r>
        <w:rPr>
          <w:spacing w:val="-60"/>
        </w:rPr>
        <w:t> </w:t>
      </w:r>
      <w:r>
        <w:rPr>
          <w:rFonts w:ascii="Times New Roman" w:hAnsi="Times New Roman" w:cs="Times New Roman" w:eastAsia="Times New Roman" w:hint="default"/>
        </w:rPr>
        <w:t>2050</w:t>
      </w:r>
      <w:r>
        <w:rPr>
          <w:rFonts w:ascii="Times New Roman" w:hAnsi="Times New Roman" w:cs="Times New Roman" w:eastAsia="Times New Roman" w:hint="default"/>
          <w:spacing w:val="-3"/>
        </w:rPr>
        <w:t> </w:t>
      </w:r>
      <w:r>
        <w:rPr/>
        <w:t>年</w:t>
      </w:r>
      <w:r>
        <w:rPr>
          <w:spacing w:val="-8"/>
        </w:rPr>
        <w:t>，</w:t>
      </w:r>
      <w:r>
        <w:rPr/>
        <w:t>郑州市轨道交通</w:t>
      </w:r>
    </w:p>
    <w:p>
      <w:pPr>
        <w:pStyle w:val="BodyText"/>
        <w:spacing w:line="240" w:lineRule="auto" w:before="129"/>
        <w:ind w:right="0"/>
        <w:jc w:val="both"/>
      </w:pPr>
      <w:r>
        <w:rPr/>
        <w:t>网络由</w:t>
      </w:r>
      <w:r>
        <w:rPr>
          <w:spacing w:val="-60"/>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条线路组成</w:t>
      </w:r>
      <w:r>
        <w:rPr>
          <w:spacing w:val="-17"/>
        </w:rPr>
        <w:t>，</w:t>
      </w:r>
      <w:r>
        <w:rPr/>
        <w:t>其中</w:t>
      </w:r>
      <w:r>
        <w:rPr>
          <w:spacing w:val="-60"/>
        </w:rPr>
        <w:t> </w:t>
      </w:r>
      <w:r>
        <w:rPr>
          <w:rFonts w:ascii="Times New Roman" w:hAnsi="Times New Roman" w:cs="Times New Roman" w:eastAsia="Times New Roman" w:hint="default"/>
        </w:rPr>
        <w:t>13 </w:t>
      </w:r>
      <w:r>
        <w:rPr/>
        <w:t>条地铁线</w:t>
      </w:r>
      <w:r>
        <w:rPr>
          <w:spacing w:val="-17"/>
        </w:rPr>
        <w:t>路</w:t>
      </w:r>
      <w:r>
        <w:rPr/>
        <w:t>（</w:t>
      </w:r>
      <w:r>
        <w:rPr>
          <w:rFonts w:ascii="Times New Roman" w:hAnsi="Times New Roman" w:cs="Times New Roman" w:eastAsia="Times New Roman" w:hint="default"/>
          <w:w w:val="99"/>
        </w:rPr>
        <w:t>M1</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M13</w:t>
      </w:r>
      <w:r>
        <w:rPr>
          <w:spacing w:val="-120"/>
        </w:rPr>
        <w:t>）</w:t>
      </w:r>
      <w:r>
        <w:rPr>
          <w:spacing w:val="-17"/>
        </w:rPr>
        <w:t>，</w:t>
      </w:r>
      <w:r>
        <w:rPr/>
        <w:t>市域快线</w:t>
      </w:r>
      <w:r>
        <w:rPr>
          <w:spacing w:val="-63"/>
        </w:rPr>
        <w:t> </w:t>
      </w:r>
      <w:r>
        <w:rPr>
          <w:rFonts w:ascii="Times New Roman" w:hAnsi="Times New Roman" w:cs="Times New Roman" w:eastAsia="Times New Roman" w:hint="default"/>
        </w:rPr>
        <w:t>8 </w:t>
      </w:r>
      <w:r>
        <w:rPr>
          <w:spacing w:val="-17"/>
        </w:rPr>
        <w:t>条</w:t>
      </w:r>
      <w:r>
        <w:rPr/>
        <w:t>（编号</w:t>
      </w:r>
      <w:r>
        <w:rPr>
          <w:spacing w:val="-60"/>
        </w:rPr>
        <w:t> </w:t>
      </w:r>
      <w:r>
        <w:rPr>
          <w:rFonts w:ascii="Times New Roman" w:hAnsi="Times New Roman" w:cs="Times New Roman" w:eastAsia="Times New Roman" w:hint="default"/>
        </w:rPr>
        <w:t>R1</w:t>
      </w:r>
      <w:r>
        <w:rPr>
          <w:rFonts w:ascii="Times New Roman" w:hAnsi="Times New Roman" w:cs="Times New Roman" w:eastAsia="Times New Roman" w:hint="default"/>
          <w:spacing w:val="-1"/>
        </w:rPr>
        <w:t>-</w:t>
      </w:r>
      <w:r>
        <w:rPr>
          <w:rFonts w:ascii="Times New Roman" w:hAnsi="Times New Roman" w:cs="Times New Roman" w:eastAsia="Times New Roman" w:hint="default"/>
        </w:rPr>
        <w:t>R8</w:t>
      </w:r>
      <w:r>
        <w:rPr>
          <w:spacing w:val="-120"/>
        </w:rPr>
        <w:t>）</w:t>
      </w:r>
      <w:r>
        <w:rPr>
          <w:spacing w:val="-17"/>
        </w:rPr>
        <w:t>，</w:t>
      </w:r>
      <w:r>
        <w:rPr>
          <w:spacing w:val="-3"/>
        </w:rPr>
        <w:t>总规</w:t>
      </w:r>
      <w:r>
        <w:rPr/>
      </w:r>
    </w:p>
    <w:p>
      <w:pPr>
        <w:pStyle w:val="BodyText"/>
        <w:spacing w:line="240" w:lineRule="auto" w:before="126"/>
        <w:ind w:right="0"/>
        <w:jc w:val="both"/>
      </w:pPr>
      <w:r>
        <w:rPr/>
        <w:t>模</w:t>
      </w:r>
      <w:r>
        <w:rPr>
          <w:spacing w:val="-60"/>
        </w:rPr>
        <w:t> </w:t>
      </w:r>
      <w:r>
        <w:rPr>
          <w:rFonts w:ascii="Times New Roman" w:hAnsi="Times New Roman" w:cs="Times New Roman" w:eastAsia="Times New Roman" w:hint="default"/>
        </w:rPr>
        <w:t>945.2km</w:t>
      </w:r>
      <w:r>
        <w:rPr/>
        <w:t>，共设车站</w:t>
      </w:r>
      <w:r>
        <w:rPr>
          <w:spacing w:val="-60"/>
        </w:rPr>
        <w:t> </w:t>
      </w:r>
      <w:r>
        <w:rPr>
          <w:rFonts w:ascii="Times New Roman" w:hAnsi="Times New Roman" w:cs="Times New Roman" w:eastAsia="Times New Roman" w:hint="default"/>
        </w:rPr>
        <w:t>503 </w:t>
      </w:r>
      <w:r>
        <w:rPr/>
        <w:t>座。</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日，郑州市城市轨道交通第三期建设规划</w:t>
      </w:r>
    </w:p>
    <w:p>
      <w:pPr>
        <w:pStyle w:val="BodyText"/>
        <w:spacing w:line="240" w:lineRule="auto" w:before="128"/>
        <w:ind w:right="0"/>
        <w:jc w:val="both"/>
      </w:pPr>
      <w:r>
        <w:rPr/>
        <w:t>（</w:t>
      </w:r>
      <w:r>
        <w:rPr>
          <w:rFonts w:ascii="Times New Roman" w:hAnsi="Times New Roman" w:cs="Times New Roman" w:eastAsia="Times New Roman" w:hint="default"/>
        </w:rPr>
        <w:t>2019-2024 </w:t>
      </w:r>
      <w:r>
        <w:rPr/>
        <w:t>年）获国家发改委批复，此项规划涉及 </w:t>
      </w:r>
      <w:r>
        <w:rPr>
          <w:rFonts w:ascii="Times New Roman" w:hAnsi="Times New Roman" w:cs="Times New Roman" w:eastAsia="Times New Roman" w:hint="default"/>
        </w:rPr>
        <w:t>7 </w:t>
      </w:r>
      <w:r>
        <w:rPr/>
        <w:t>个项目，总长 </w:t>
      </w:r>
      <w:r>
        <w:rPr>
          <w:rFonts w:ascii="Times New Roman" w:hAnsi="Times New Roman" w:cs="Times New Roman" w:eastAsia="Times New Roman" w:hint="default"/>
        </w:rPr>
        <w:t>159.6</w:t>
      </w:r>
      <w:r>
        <w:rPr>
          <w:rFonts w:ascii="Times New Roman" w:hAnsi="Times New Roman" w:cs="Times New Roman" w:eastAsia="Times New Roman" w:hint="default"/>
          <w:spacing w:val="-1"/>
        </w:rPr>
        <w:t> </w:t>
      </w:r>
      <w:r>
        <w:rPr/>
        <w:t>公里，新建项目</w:t>
      </w:r>
    </w:p>
    <w:p>
      <w:pPr>
        <w:pStyle w:val="BodyText"/>
        <w:spacing w:line="331" w:lineRule="auto" w:before="128"/>
        <w:ind w:right="1128"/>
        <w:jc w:val="both"/>
      </w:pPr>
      <w:r>
        <w:rPr/>
        <w:t>总投资金额约 </w:t>
      </w:r>
      <w:r>
        <w:rPr>
          <w:rFonts w:ascii="Times New Roman" w:hAnsi="Times New Roman" w:cs="Times New Roman" w:eastAsia="Times New Roman" w:hint="default"/>
        </w:rPr>
        <w:t>1,138.94 </w:t>
      </w:r>
      <w:r>
        <w:rPr/>
        <w:t>亿元，项目建成后，郑州市将形成总长约 </w:t>
      </w:r>
      <w:r>
        <w:rPr>
          <w:rFonts w:ascii="Times New Roman" w:hAnsi="Times New Roman" w:cs="Times New Roman" w:eastAsia="Times New Roman" w:hint="default"/>
        </w:rPr>
        <w:t>326.54</w:t>
      </w:r>
      <w:r>
        <w:rPr>
          <w:rFonts w:ascii="Times New Roman" w:hAnsi="Times New Roman" w:cs="Times New Roman" w:eastAsia="Times New Roman" w:hint="default"/>
          <w:spacing w:val="1"/>
        </w:rPr>
        <w:t> </w:t>
      </w:r>
      <w:r>
        <w:rPr/>
        <w:t>公里的轨道交通网 络。根据洛阳市城市轨道交通第一期建设规划（</w:t>
      </w:r>
      <w:r>
        <w:rPr>
          <w:rFonts w:ascii="Times New Roman" w:hAnsi="Times New Roman" w:cs="Times New Roman" w:eastAsia="Times New Roman" w:hint="default"/>
        </w:rPr>
        <w:t>2016-2020 </w:t>
      </w:r>
      <w:r>
        <w:rPr>
          <w:spacing w:val="-8"/>
        </w:rPr>
        <w:t>年），洛阳市城市轨道交通线网由</w:t>
      </w:r>
      <w:r>
        <w:rPr/>
        <w:t> </w:t>
      </w:r>
      <w:r>
        <w:rPr>
          <w:rFonts w:ascii="Times New Roman" w:hAnsi="Times New Roman" w:cs="Times New Roman" w:eastAsia="Times New Roman" w:hint="default"/>
        </w:rPr>
        <w:t>4 </w:t>
      </w:r>
      <w:r>
        <w:rPr/>
        <w:t>条线路组成，总长 </w:t>
      </w:r>
      <w:r>
        <w:rPr>
          <w:rFonts w:ascii="Times New Roman" w:hAnsi="Times New Roman" w:cs="Times New Roman" w:eastAsia="Times New Roman" w:hint="default"/>
        </w:rPr>
        <w:t>102.6 </w:t>
      </w:r>
      <w:r>
        <w:rPr/>
        <w:t>公里，设车站 </w:t>
      </w:r>
      <w:r>
        <w:rPr>
          <w:rFonts w:ascii="Times New Roman" w:hAnsi="Times New Roman" w:cs="Times New Roman" w:eastAsia="Times New Roman" w:hint="default"/>
        </w:rPr>
        <w:t>63  </w:t>
      </w:r>
      <w:r>
        <w:rPr/>
        <w:t>座，近期建设项目总投资为 </w:t>
      </w:r>
      <w:r>
        <w:rPr>
          <w:rFonts w:ascii="Times New Roman" w:hAnsi="Times New Roman" w:cs="Times New Roman" w:eastAsia="Times New Roman" w:hint="default"/>
        </w:rPr>
        <w:t>310.88</w:t>
      </w:r>
      <w:r>
        <w:rPr>
          <w:rFonts w:ascii="Times New Roman" w:hAnsi="Times New Roman" w:cs="Times New Roman" w:eastAsia="Times New Roman" w:hint="default"/>
          <w:spacing w:val="-21"/>
        </w:rPr>
        <w:t> </w:t>
      </w:r>
      <w:r>
        <w:rPr/>
        <w:t>亿元；其中</w:t>
      </w:r>
    </w:p>
    <w:p>
      <w:pPr>
        <w:pStyle w:val="BodyText"/>
        <w:spacing w:line="345" w:lineRule="auto" w:before="27"/>
        <w:ind w:right="1119"/>
        <w:jc w:val="left"/>
      </w:pPr>
      <w:r>
        <w:rPr/>
        <w:t>在建的地铁</w:t>
      </w:r>
      <w:r>
        <w:rPr>
          <w:spacing w:val="-60"/>
        </w:rPr>
        <w:t> </w:t>
      </w:r>
      <w:r>
        <w:rPr>
          <w:rFonts w:ascii="Times New Roman" w:hAnsi="Times New Roman" w:cs="Times New Roman" w:eastAsia="Times New Roman" w:hint="default"/>
        </w:rPr>
        <w:t>1 </w:t>
      </w:r>
      <w:r>
        <w:rPr/>
        <w:t>号线工期计划</w:t>
      </w:r>
      <w:r>
        <w:rPr>
          <w:spacing w:val="-60"/>
        </w:rPr>
        <w:t> </w:t>
      </w:r>
      <w:r>
        <w:rPr>
          <w:rFonts w:ascii="Times New Roman" w:hAnsi="Times New Roman" w:cs="Times New Roman" w:eastAsia="Times New Roman" w:hint="default"/>
        </w:rPr>
        <w:t>2021 </w:t>
      </w:r>
      <w:r>
        <w:rPr/>
        <w:t>年上半年开通运营，</w:t>
      </w:r>
      <w:r>
        <w:rPr>
          <w:rFonts w:ascii="Times New Roman" w:hAnsi="Times New Roman" w:cs="Times New Roman" w:eastAsia="Times New Roman" w:hint="default"/>
        </w:rPr>
        <w:t>2 </w:t>
      </w:r>
      <w:r>
        <w:rPr/>
        <w:t>号线工期计划</w:t>
      </w:r>
      <w:r>
        <w:rPr>
          <w:spacing w:val="-60"/>
        </w:rPr>
        <w:t> </w:t>
      </w:r>
      <w:r>
        <w:rPr>
          <w:rFonts w:ascii="Times New Roman" w:hAnsi="Times New Roman" w:cs="Times New Roman" w:eastAsia="Times New Roman" w:hint="default"/>
        </w:rPr>
        <w:t>2022 </w:t>
      </w:r>
      <w:r>
        <w:rPr/>
        <w:t>年开通运营。根 </w:t>
      </w:r>
      <w:r>
        <w:rPr>
          <w:spacing w:val="-5"/>
        </w:rPr>
        <w:t>据《国务院关于加强固定资产投资项目资本金管理的通知》，将进一步完善固定资产投资项目</w:t>
      </w:r>
      <w:r>
        <w:rPr>
          <w:spacing w:val="-116"/>
        </w:rPr>
        <w:t> </w:t>
      </w:r>
      <w:r>
        <w:rPr>
          <w:spacing w:val="-116"/>
        </w:rPr>
      </w:r>
      <w:r>
        <w:rPr/>
        <w:t>资本金制度，适当调整基础设施项目最低资本金比例，做到有保有控、区别对待，促进有效</w:t>
      </w:r>
      <w:r>
        <w:rPr/>
        <w:t> 投资和加强风险防范紧密结合、协同推进。该政策将极大的促进轨道交通建设步伐，也将会 给公司在轨道交通领域的持续快速发展提供机遇。</w:t>
      </w:r>
    </w:p>
    <w:p>
      <w:pPr>
        <w:pStyle w:val="BodyText"/>
        <w:spacing w:line="331" w:lineRule="auto" w:before="41"/>
        <w:ind w:right="1132" w:firstLine="480"/>
        <w:jc w:val="both"/>
      </w:pPr>
      <w:r>
        <w:rPr>
          <w:rFonts w:ascii="Times New Roman" w:hAnsi="Times New Roman" w:cs="Times New Roman" w:eastAsia="Times New Roman" w:hint="default"/>
        </w:rPr>
        <w:t>2</w:t>
      </w:r>
      <w:r>
        <w:rPr/>
        <w:t>、民用航空设备国产自主替代加速。</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国家战略性新兴产业发展规划，指出</w:t>
      </w:r>
      <w:r>
        <w:rPr>
          <w:rFonts w:ascii="Times New Roman" w:hAnsi="Times New Roman" w:cs="Times New Roman" w:eastAsia="Times New Roman" w:hint="default"/>
        </w:rPr>
        <w:t>“</w:t>
      </w:r>
      <w:r>
        <w:rPr/>
        <w:t>实 </w:t>
      </w:r>
      <w:r>
        <w:rPr>
          <w:spacing w:val="-2"/>
        </w:rPr>
        <w:t>现航空产业新突破</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完善产业配套体系建设</w:t>
      </w:r>
      <w:r>
        <w:rPr>
          <w:rFonts w:ascii="Times New Roman" w:hAnsi="Times New Roman" w:cs="Times New Roman" w:eastAsia="Times New Roman" w:hint="default"/>
          <w:spacing w:val="-2"/>
        </w:rPr>
        <w:t>”</w:t>
      </w:r>
      <w:r>
        <w:rPr>
          <w:spacing w:val="-2"/>
        </w:rPr>
        <w:t>；民航局有关领导在民航工作会议上强调，要</w:t>
      </w:r>
      <w:r>
        <w:rPr>
          <w:spacing w:val="-80"/>
        </w:rPr>
        <w:t> </w:t>
      </w:r>
      <w:r>
        <w:rPr>
          <w:spacing w:val="-80"/>
        </w:rPr>
      </w:r>
      <w:r>
        <w:rPr/>
        <w:t>加快提高民航关键技术和部件的自主研发生产能力，加快提升国产化水平，在同等条件下要</w:t>
      </w:r>
    </w:p>
    <w:p>
      <w:pPr>
        <w:spacing w:after="0" w:line="331"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998" w:hanging="481"/>
        <w:jc w:val="left"/>
      </w:pPr>
      <w:r>
        <w:rPr/>
        <w:t>优先支持国产自主研发设备。 中国商飞作为国产大飞机龙头企业，引领国内民用航空产业链发展。</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t>日，</w:t>
      </w:r>
    </w:p>
    <w:p>
      <w:pPr>
        <w:pStyle w:val="BodyText"/>
        <w:spacing w:line="345" w:lineRule="auto" w:before="1"/>
        <w:ind w:right="1171"/>
        <w:jc w:val="both"/>
      </w:pPr>
      <w:r>
        <w:rPr/>
        <w:t>中国商飞大飞机创新谷开谷。建设大飞机创新谷是中国商飞贯彻落实习近平总书记关于大飞 机事业重要指示精神，贯彻</w:t>
      </w:r>
      <w:r>
        <w:rPr>
          <w:rFonts w:ascii="Times New Roman" w:hAnsi="Times New Roman" w:cs="Times New Roman" w:eastAsia="Times New Roman" w:hint="default"/>
        </w:rPr>
        <w:t>“</w:t>
      </w:r>
      <w:r>
        <w:rPr/>
        <w:t>创新、协调、绿色、开放、共享</w:t>
      </w:r>
      <w:r>
        <w:rPr>
          <w:rFonts w:ascii="Times New Roman" w:hAnsi="Times New Roman" w:cs="Times New Roman" w:eastAsia="Times New Roman" w:hint="default"/>
        </w:rPr>
        <w:t>”</w:t>
      </w:r>
      <w:r>
        <w:rPr/>
        <w:t>发展理念，着眼大飞机事业长 远发展而作出的重大战略决策。大飞机创新谷是民机产业协同创新、产业带动的平台，是科 技体制和机制创新的特区，是实现关键核心技术自主可控的载体。通过提高飞机制造商关键 核心技术和供应链关键核心环节，实现民机产业安全发展和高质量发展。在上述宏观及行业 政策背景下，公司在空中互联产业的布局，将与中国商飞在智能客舱、</w:t>
      </w:r>
      <w:r>
        <w:rPr>
          <w:rFonts w:ascii="Times New Roman" w:hAnsi="Times New Roman" w:cs="Times New Roman" w:eastAsia="Times New Roman" w:hint="default"/>
        </w:rPr>
        <w:t>5G</w:t>
      </w:r>
      <w:r>
        <w:rPr/>
        <w:t>、新一代</w:t>
      </w:r>
      <w:r>
        <w:rPr>
          <w:spacing w:val="-60"/>
        </w:rPr>
        <w:t> </w:t>
      </w:r>
      <w:r>
        <w:rPr>
          <w:rFonts w:ascii="Times New Roman" w:hAnsi="Times New Roman" w:cs="Times New Roman" w:eastAsia="Times New Roman" w:hint="default"/>
        </w:rPr>
        <w:t>IFEC</w:t>
      </w:r>
      <w:r>
        <w:rPr>
          <w:rFonts w:ascii="Times New Roman" w:hAnsi="Times New Roman" w:cs="Times New Roman" w:eastAsia="Times New Roman" w:hint="default"/>
          <w:spacing w:val="-2"/>
        </w:rPr>
        <w:t> </w:t>
      </w:r>
      <w:r>
        <w:rPr/>
        <w:t>等 领域进行战略合作，打造国产自主可控产业链。</w:t>
      </w:r>
    </w:p>
    <w:p>
      <w:pPr>
        <w:pStyle w:val="BodyText"/>
        <w:spacing w:line="333" w:lineRule="auto" w:before="41"/>
        <w:ind w:left="633" w:right="1153"/>
        <w:jc w:val="left"/>
      </w:pPr>
      <w:r>
        <w:rPr>
          <w:rFonts w:ascii="Times New Roman" w:hAnsi="Times New Roman" w:cs="Times New Roman" w:eastAsia="Times New Roman" w:hint="default"/>
        </w:rPr>
        <w:t>3</w:t>
      </w:r>
      <w:r>
        <w:rPr/>
        <w:t>、国家支持民营经济的政策为公司发展提供机会与支持 中共中央、国务院印发的《关于营造更好发展环境支持民营企业改革发展的意见》中进</w:t>
      </w:r>
    </w:p>
    <w:p>
      <w:pPr>
        <w:pStyle w:val="BodyText"/>
        <w:spacing w:line="348" w:lineRule="auto" w:before="50"/>
        <w:ind w:right="1130"/>
        <w:jc w:val="both"/>
      </w:pPr>
      <w:r>
        <w:rPr/>
        <w:t>一步放开民营企业市场准入，以及国家铁路局发布了《国家铁路局关于废止部分规范性文件 </w:t>
      </w:r>
      <w:r>
        <w:rPr>
          <w:spacing w:val="-5"/>
        </w:rPr>
        <w:t>的通知》，取消了铁路专用设备产品准入等行政化审批事项。各部门相继出台配套政策，落实</w:t>
      </w:r>
      <w:r>
        <w:rPr>
          <w:spacing w:val="-116"/>
        </w:rPr>
        <w:t> </w:t>
      </w:r>
      <w:r>
        <w:rPr>
          <w:spacing w:val="-116"/>
        </w:rPr>
      </w:r>
      <w:r>
        <w:rPr>
          <w:spacing w:val="-5"/>
        </w:rPr>
        <w:t>十九大精神，中央办公厅和国务院办公厅印发《关于加强金融服务民营企业的若干意见》（中</w:t>
      </w:r>
      <w:r>
        <w:rPr>
          <w:spacing w:val="-116"/>
        </w:rPr>
        <w:t> </w:t>
      </w:r>
      <w:r>
        <w:rPr>
          <w:spacing w:val="-116"/>
        </w:rPr>
      </w:r>
      <w:r>
        <w:rPr>
          <w:spacing w:val="-2"/>
        </w:rPr>
        <w:t>办发〔</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8"/>
        </w:rPr>
        <w:t> </w:t>
      </w:r>
      <w:r>
        <w:rPr>
          <w:spacing w:val="-4"/>
        </w:rPr>
        <w:t>号），高规格提出优化和改进民营企业金融服务的一揽子重大举措。宏观经济</w:t>
      </w:r>
      <w:r>
        <w:rPr/>
        <w:t> 政策将给民营企业带来新的发展机遇，也给公司的发展提供的坚实的基础。</w:t>
      </w:r>
    </w:p>
    <w:p>
      <w:pPr>
        <w:pStyle w:val="BodyText"/>
        <w:spacing w:line="350" w:lineRule="auto" w:before="39"/>
        <w:ind w:left="633" w:right="996"/>
        <w:jc w:val="left"/>
      </w:pPr>
      <w:r>
        <w:rPr/>
        <w:t>（二）公司发展战略 </w:t>
      </w:r>
      <w:r>
        <w:rPr>
          <w:spacing w:val="-3"/>
        </w:rPr>
        <w:t>公司将充分利用我国轨道交通快速发展的契机，发挥自主创新优势，继续聚焦轨道交通，</w:t>
      </w:r>
    </w:p>
    <w:p>
      <w:pPr>
        <w:pStyle w:val="BodyText"/>
        <w:spacing w:line="340" w:lineRule="auto" w:before="36"/>
        <w:ind w:right="1171"/>
        <w:jc w:val="both"/>
      </w:pPr>
      <w:r>
        <w:rPr/>
        <w:t>围绕</w:t>
      </w:r>
      <w:r>
        <w:rPr>
          <w:rFonts w:ascii="Times New Roman" w:hAnsi="Times New Roman" w:cs="Times New Roman" w:eastAsia="Times New Roman" w:hint="default"/>
        </w:rPr>
        <w:t>“</w:t>
      </w:r>
      <w:r>
        <w:rPr/>
        <w:t>轨道交通运营维护一体化解决方案及高端装备</w:t>
      </w:r>
      <w:r>
        <w:rPr>
          <w:rFonts w:ascii="Times New Roman" w:hAnsi="Times New Roman" w:cs="Times New Roman" w:eastAsia="Times New Roman" w:hint="default"/>
        </w:rPr>
        <w:t>”</w:t>
      </w:r>
      <w:r>
        <w:rPr/>
        <w:t>的主营业务，不断为用户提供高安全、 高可靠的产品系统，从设备研制和系统集成商转变为以运维为核心的轨道交通综合服务提供 商。</w:t>
      </w:r>
    </w:p>
    <w:p>
      <w:pPr>
        <w:pStyle w:val="BodyText"/>
        <w:spacing w:line="350" w:lineRule="auto" w:before="46"/>
        <w:ind w:right="1171" w:firstLine="480"/>
        <w:jc w:val="both"/>
      </w:pPr>
      <w:r>
        <w:rPr/>
        <w:t>积极参与实体经济建设，加大物联网、大数据、人工智能、节能环保等新技术的引进和 应用研发，推动创新技术在传统行业中的应用，为行业应用创新提供新产品、新模式、新动 力。</w:t>
      </w:r>
    </w:p>
    <w:p>
      <w:pPr>
        <w:pStyle w:val="BodyText"/>
        <w:spacing w:line="333" w:lineRule="auto" w:before="37"/>
        <w:ind w:right="1126" w:firstLine="480"/>
        <w:jc w:val="left"/>
      </w:pPr>
      <w:r>
        <w:rPr>
          <w:spacing w:val="-2"/>
        </w:rPr>
        <w:t>顺应国家高端装备制造和信息产业发展规划，推进</w:t>
      </w:r>
      <w:r>
        <w:rPr>
          <w:rFonts w:ascii="Times New Roman" w:hAnsi="Times New Roman" w:cs="Times New Roman" w:eastAsia="Times New Roman" w:hint="default"/>
          <w:spacing w:val="-2"/>
        </w:rPr>
        <w:t>“</w:t>
      </w:r>
      <w:r>
        <w:rPr>
          <w:spacing w:val="-2"/>
        </w:rPr>
        <w:t>产业</w:t>
      </w:r>
      <w:r>
        <w:rPr>
          <w:rFonts w:ascii="Times New Roman" w:hAnsi="Times New Roman" w:cs="Times New Roman" w:eastAsia="Times New Roman" w:hint="default"/>
          <w:spacing w:val="-2"/>
        </w:rPr>
        <w:t>+</w:t>
      </w:r>
      <w:r>
        <w:rPr>
          <w:spacing w:val="-2"/>
        </w:rPr>
        <w:t>资本</w:t>
      </w:r>
      <w:r>
        <w:rPr>
          <w:rFonts w:ascii="Times New Roman" w:hAnsi="Times New Roman" w:cs="Times New Roman" w:eastAsia="Times New Roman" w:hint="default"/>
          <w:spacing w:val="-2"/>
        </w:rPr>
        <w:t>”</w:t>
      </w:r>
      <w:r>
        <w:rPr>
          <w:spacing w:val="-2"/>
        </w:rPr>
        <w:t>双轮驱动战略，不断扩展</w:t>
      </w:r>
      <w:r>
        <w:rPr/>
        <w:t> 并优化在新领域的布局，形成新的业务增长平台。</w:t>
      </w:r>
    </w:p>
    <w:p>
      <w:pPr>
        <w:pStyle w:val="BodyText"/>
        <w:spacing w:line="240" w:lineRule="auto" w:before="50"/>
        <w:ind w:left="633" w:right="996"/>
        <w:jc w:val="left"/>
      </w:pPr>
      <w:r>
        <w:rPr/>
        <w:t>（三）经营计划</w:t>
      </w:r>
    </w:p>
    <w:p>
      <w:pPr>
        <w:pStyle w:val="BodyText"/>
        <w:spacing w:line="240" w:lineRule="auto" w:before="146"/>
        <w:ind w:left="633" w:right="996"/>
        <w:jc w:val="left"/>
      </w:pPr>
      <w:r>
        <w:rPr>
          <w:rFonts w:ascii="Times New Roman" w:hAnsi="Times New Roman" w:cs="Times New Roman" w:eastAsia="Times New Roman" w:hint="default"/>
        </w:rPr>
        <w:t>1</w:t>
      </w:r>
      <w:r>
        <w:rPr/>
        <w:t>、加大研发投入，构建智能化产品体系</w:t>
      </w:r>
    </w:p>
    <w:p>
      <w:pPr>
        <w:pStyle w:val="BodyText"/>
        <w:spacing w:line="331" w:lineRule="auto" w:before="128"/>
        <w:ind w:right="1087" w:firstLine="48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16"/>
        </w:rPr>
        <w:t> </w:t>
      </w:r>
      <w:r>
        <w:rPr/>
        <w:t>年，公司将继续加大研发力度，坚持以技术研发和产品创新为核心竞争力，围绕轨 道交通运营维护领域，通过对传统设备</w:t>
      </w:r>
      <w:r>
        <w:rPr>
          <w:rFonts w:ascii="Times New Roman" w:hAnsi="Times New Roman" w:cs="Times New Roman" w:eastAsia="Times New Roman" w:hint="default"/>
        </w:rPr>
        <w:t>/</w:t>
      </w:r>
      <w:r>
        <w:rPr/>
        <w:t>系统的智能升级，进一步推进电务设备监测、检测、</w:t>
      </w:r>
    </w:p>
    <w:p>
      <w:pPr>
        <w:spacing w:after="0" w:line="331"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1153" w:hanging="481"/>
        <w:jc w:val="left"/>
      </w:pPr>
      <w:r>
        <w:rPr/>
        <w:t>运维管理一体化解决方案的升级，着力打造大数据服务应用系统和智能监测装备体系。 通过对安防产品的系统化、智能化升级，对信息资源进行充分利用，优化资源，解决海</w:t>
      </w:r>
    </w:p>
    <w:p>
      <w:pPr>
        <w:pStyle w:val="BodyText"/>
        <w:spacing w:line="352" w:lineRule="auto" w:before="31"/>
        <w:ind w:left="633" w:right="1153" w:hanging="481"/>
        <w:jc w:val="left"/>
      </w:pPr>
      <w:r>
        <w:rPr/>
        <w:t>量数据信息导致存储、信息处理问题，打造新一代轨道交通智慧安防平台。 依托在灾害监测、地震预警监测方面的先发优势，加速研发进程，对传统功能进行智能</w:t>
      </w:r>
    </w:p>
    <w:p>
      <w:pPr>
        <w:pStyle w:val="BodyText"/>
        <w:spacing w:line="340" w:lineRule="auto" w:before="34"/>
        <w:ind w:left="633" w:right="1153" w:hanging="481"/>
        <w:jc w:val="left"/>
      </w:pPr>
      <w:r>
        <w:rPr/>
        <w:t>化、数据化升级，推动铁路灾害监测预警体系落地。 </w:t>
      </w:r>
      <w:r>
        <w:rPr>
          <w:rFonts w:ascii="Times New Roman" w:hAnsi="Times New Roman" w:cs="Times New Roman" w:eastAsia="Times New Roman" w:hint="default"/>
        </w:rPr>
        <w:t>2</w:t>
      </w:r>
      <w:r>
        <w:rPr/>
        <w:t>、深化行业布局，坚持技术自主创新，拓展业务增长空间 在城轨领域加大科技创新力度，在按时高质量完成相应城轨订单的基础上，加大城轨领</w:t>
      </w:r>
    </w:p>
    <w:p>
      <w:pPr>
        <w:pStyle w:val="BodyText"/>
        <w:spacing w:line="340" w:lineRule="auto" w:before="46"/>
        <w:ind w:right="1132"/>
        <w:jc w:val="both"/>
      </w:pPr>
      <w:r>
        <w:rPr/>
        <w:t>域相关技术研发投入，逐步形成以自主知识产权的综合监控软件平台为基础，同时满足单线 </w:t>
      </w:r>
      <w:r>
        <w:rPr>
          <w:spacing w:val="-2"/>
        </w:rPr>
        <w:t>和多线运营（</w:t>
      </w:r>
      <w:r>
        <w:rPr>
          <w:rFonts w:ascii="Times New Roman" w:hAnsi="Times New Roman" w:cs="Times New Roman" w:eastAsia="Times New Roman" w:hint="default"/>
          <w:spacing w:val="-2"/>
        </w:rPr>
        <w:t>C0CC</w:t>
      </w:r>
      <w:r>
        <w:rPr>
          <w:spacing w:val="-2"/>
        </w:rPr>
        <w:t>）综合监控系统功能，并集成与无人驾驶运营环境相融合的新一代智能综</w:t>
      </w:r>
      <w:r>
        <w:rPr/>
        <w:t> 合监控平台，持续满足客户需求，不断创造新价值和新服务。</w:t>
      </w:r>
    </w:p>
    <w:p>
      <w:pPr>
        <w:pStyle w:val="BodyText"/>
        <w:spacing w:line="350" w:lineRule="auto" w:before="46"/>
        <w:ind w:right="996" w:firstLine="480"/>
        <w:jc w:val="left"/>
      </w:pPr>
      <w:r>
        <w:rPr/>
        <w:t>在地铁隧道维护装备方面，充分利用公司研发的水冲洗自动调压系统，加快雾化及吹扫 </w:t>
      </w:r>
      <w:r>
        <w:rPr>
          <w:spacing w:val="-2"/>
        </w:rPr>
        <w:t>系统的现场试点工作，升级新一代地铁隧道清洗车设备，不断扩大公司在该领域的领先优势。</w:t>
      </w:r>
    </w:p>
    <w:p>
      <w:pPr>
        <w:pStyle w:val="BodyText"/>
        <w:spacing w:line="333" w:lineRule="auto" w:before="36"/>
        <w:ind w:left="633" w:right="1153"/>
        <w:jc w:val="left"/>
      </w:pPr>
      <w:r>
        <w:rPr>
          <w:rFonts w:ascii="Times New Roman" w:hAnsi="Times New Roman" w:cs="Times New Roman" w:eastAsia="Times New Roman" w:hint="default"/>
        </w:rPr>
        <w:t>3</w:t>
      </w:r>
      <w:r>
        <w:rPr/>
        <w:t>、持续加强人力资源管理，完善激励机制 拟建立战略人力资源管理，加大核心技术人员、业内专家及高端人才的引进力度，把握</w:t>
      </w:r>
    </w:p>
    <w:p>
      <w:pPr>
        <w:pStyle w:val="BodyText"/>
        <w:spacing w:line="352" w:lineRule="auto" w:before="50"/>
        <w:ind w:right="1171"/>
        <w:jc w:val="both"/>
      </w:pPr>
      <w:r>
        <w:rPr/>
        <w:t>多技术融合、多业务场景融合对复合型人才的需求。持续推出长效激励措施，逐步建立多层 次激励机制，对内部的创新业务单元予以倾斜，营造积极进取，奋斗为本的企业文化，使人 力资源能够满足业务创新及战略的需求。</w:t>
      </w:r>
    </w:p>
    <w:p>
      <w:pPr>
        <w:pStyle w:val="BodyText"/>
        <w:spacing w:line="352" w:lineRule="auto" w:before="31"/>
        <w:ind w:right="996" w:firstLine="480"/>
        <w:jc w:val="left"/>
      </w:pPr>
      <w:r>
        <w:rPr>
          <w:spacing w:val="-3"/>
        </w:rPr>
        <w:t>加强高校优秀毕业生招聘和自主培养，多措并举升级公司人才队伍；建立任职资格体系，</w:t>
      </w:r>
      <w:r>
        <w:rPr/>
        <w:t> 加快公司组织架构与人才团队的优化与提升。</w:t>
      </w:r>
    </w:p>
    <w:p>
      <w:pPr>
        <w:pStyle w:val="BodyText"/>
        <w:spacing w:line="331" w:lineRule="auto" w:before="34"/>
        <w:ind w:left="633" w:right="1153"/>
        <w:jc w:val="left"/>
      </w:pPr>
      <w:r>
        <w:rPr>
          <w:rFonts w:ascii="Times New Roman" w:hAnsi="Times New Roman" w:cs="Times New Roman" w:eastAsia="Times New Roman" w:hint="default"/>
        </w:rPr>
        <w:t>4</w:t>
      </w:r>
      <w:r>
        <w:rPr/>
        <w:t>、加快募投基建项目建设，提升产品研发测试及工作环境水平。 加快新园区基建项目建设，严格按照相关标准规范，稳步推进各基础实验室和产品测试</w:t>
      </w:r>
    </w:p>
    <w:p>
      <w:pPr>
        <w:pStyle w:val="BodyText"/>
        <w:spacing w:line="352" w:lineRule="auto" w:before="55"/>
        <w:ind w:left="633" w:right="1153" w:hanging="481"/>
        <w:jc w:val="left"/>
      </w:pPr>
      <w:r>
        <w:rPr/>
        <w:t>环境的建设；高质量完成新园区生产基地的建设和投产准备工作。 在精心筹划，科学论证基础上，完成新园区办公楼的内部装修和园区建设工程，为公司</w:t>
      </w:r>
    </w:p>
    <w:p>
      <w:pPr>
        <w:pStyle w:val="BodyText"/>
        <w:spacing w:line="240" w:lineRule="auto" w:before="31"/>
        <w:ind w:right="996"/>
        <w:jc w:val="left"/>
      </w:pPr>
      <w:r>
        <w:rPr/>
        <w:t>在新园区的运营打造良好的硬件环境，为企业管理升级奠定基础。</w:t>
      </w:r>
    </w:p>
    <w:p>
      <w:pPr>
        <w:pStyle w:val="BodyText"/>
        <w:spacing w:line="240" w:lineRule="auto" w:before="147"/>
        <w:ind w:left="633" w:right="996"/>
        <w:jc w:val="left"/>
      </w:pPr>
      <w:r>
        <w:rPr>
          <w:rFonts w:ascii="Times New Roman" w:hAnsi="Times New Roman" w:cs="Times New Roman" w:eastAsia="Times New Roman" w:hint="default"/>
        </w:rPr>
        <w:t>5</w:t>
      </w:r>
      <w:r>
        <w:rPr/>
        <w:t>、加强质量管理，优化内控流程，提升公司管理运作水平。</w:t>
      </w:r>
    </w:p>
    <w:p>
      <w:pPr>
        <w:pStyle w:val="BodyText"/>
        <w:spacing w:line="345" w:lineRule="auto" w:before="128"/>
        <w:ind w:right="1131" w:firstLine="480"/>
        <w:jc w:val="both"/>
      </w:pPr>
      <w:r>
        <w:rPr/>
        <w:t>整合</w:t>
      </w:r>
      <w:r>
        <w:rPr>
          <w:spacing w:val="-62"/>
        </w:rPr>
        <w:t> </w:t>
      </w:r>
      <w:r>
        <w:rPr>
          <w:rFonts w:ascii="Times New Roman" w:hAnsi="Times New Roman" w:cs="Times New Roman" w:eastAsia="Times New Roman" w:hint="default"/>
          <w:spacing w:val="-4"/>
        </w:rPr>
        <w:t>IRIS</w:t>
      </w:r>
      <w:r>
        <w:rPr>
          <w:spacing w:val="-4"/>
        </w:rPr>
        <w:t>、</w:t>
      </w:r>
      <w:r>
        <w:rPr>
          <w:rFonts w:ascii="Times New Roman" w:hAnsi="Times New Roman" w:cs="Times New Roman" w:eastAsia="Times New Roman" w:hint="default"/>
          <w:spacing w:val="-4"/>
        </w:rPr>
        <w:t>ISO</w:t>
      </w:r>
      <w:r>
        <w:rPr>
          <w:spacing w:val="-4"/>
        </w:rPr>
        <w:t>、</w:t>
      </w:r>
      <w:r>
        <w:rPr>
          <w:rFonts w:ascii="Times New Roman" w:hAnsi="Times New Roman" w:cs="Times New Roman" w:eastAsia="Times New Roman" w:hint="default"/>
          <w:spacing w:val="-4"/>
        </w:rPr>
        <w:t>CMMI</w:t>
      </w:r>
      <w:r>
        <w:rPr>
          <w:spacing w:val="-4"/>
        </w:rPr>
        <w:t>、</w:t>
      </w:r>
      <w:r>
        <w:rPr>
          <w:rFonts w:ascii="Times New Roman" w:hAnsi="Times New Roman" w:cs="Times New Roman" w:eastAsia="Times New Roman" w:hint="default"/>
          <w:spacing w:val="-4"/>
        </w:rPr>
        <w:t>CRCC </w:t>
      </w:r>
      <w:r>
        <w:rPr/>
        <w:t>认证规范等多专业口径的质量管理体系和标准，全面落 实新版质量管理体系在公司实际运营的各个环节，改进工作流程，监督流程的运行情况，通 过流程来协调各个业务环节，实现质量管理目标，为打造行业领先的产品质量与品牌建立基 础。</w:t>
      </w:r>
    </w:p>
    <w:p>
      <w:pPr>
        <w:pStyle w:val="BodyText"/>
        <w:spacing w:line="240" w:lineRule="auto" w:before="38"/>
        <w:ind w:left="633" w:right="996"/>
        <w:jc w:val="left"/>
      </w:pPr>
      <w:r>
        <w:rPr/>
        <w:t>加强管理体系建设，完善风险防范机制，持续提高公司运营效率，助推公司经营业绩提</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升。</w:t>
      </w:r>
    </w:p>
    <w:p>
      <w:pPr>
        <w:pStyle w:val="BodyText"/>
        <w:spacing w:line="240" w:lineRule="auto" w:before="146"/>
        <w:ind w:left="633" w:right="996"/>
        <w:jc w:val="left"/>
      </w:pPr>
      <w:r>
        <w:rPr/>
        <w:t>（四）资金需求计划</w:t>
      </w:r>
    </w:p>
    <w:p>
      <w:pPr>
        <w:pStyle w:val="BodyText"/>
        <w:spacing w:line="240" w:lineRule="auto" w:before="144"/>
        <w:ind w:left="633" w:right="996"/>
        <w:jc w:val="left"/>
      </w:pPr>
      <w:r>
        <w:rPr/>
        <w:t>针对</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spacing w:val="-3"/>
        </w:rPr>
        <w:t>年的资金使用及需求，公司将严格按照中国证监会和深圳证券交易所对募集资</w:t>
      </w:r>
    </w:p>
    <w:p>
      <w:pPr>
        <w:spacing w:line="240" w:lineRule="auto" w:before="11"/>
        <w:rPr>
          <w:rFonts w:ascii="宋体" w:hAnsi="宋体" w:cs="宋体" w:eastAsia="宋体" w:hint="default"/>
          <w:sz w:val="7"/>
          <w:szCs w:val="7"/>
        </w:rPr>
      </w:pPr>
    </w:p>
    <w:p>
      <w:pPr>
        <w:pStyle w:val="BodyText"/>
        <w:spacing w:line="333" w:lineRule="auto" w:before="26"/>
        <w:ind w:left="633" w:right="1153" w:hanging="481"/>
        <w:jc w:val="left"/>
      </w:pPr>
      <w:r>
        <w:rPr/>
        <w:t>金的各项要求，规范公司</w:t>
      </w:r>
      <w:r>
        <w:rPr>
          <w:spacing w:val="-59"/>
        </w:rPr>
        <w:t> </w:t>
      </w:r>
      <w:r>
        <w:rPr>
          <w:rFonts w:ascii="Times New Roman" w:hAnsi="Times New Roman" w:cs="Times New Roman" w:eastAsia="Times New Roman" w:hint="default"/>
        </w:rPr>
        <w:t>2013 </w:t>
      </w:r>
      <w:r>
        <w:rPr/>
        <w:t>年度非公开发行募集资金的使用。 未来，公司将结合发展目标，制定切实可行的资金使用和筹措计划，不排除利用信贷、</w:t>
      </w:r>
    </w:p>
    <w:p>
      <w:pPr>
        <w:pStyle w:val="BodyText"/>
        <w:spacing w:line="240" w:lineRule="auto" w:before="50"/>
        <w:ind w:right="996"/>
        <w:jc w:val="left"/>
      </w:pPr>
      <w:r>
        <w:rPr/>
        <w:t>债券等多种方式筹措资金。</w:t>
      </w:r>
    </w:p>
    <w:p>
      <w:pPr>
        <w:pStyle w:val="BodyText"/>
        <w:spacing w:line="240" w:lineRule="auto" w:before="146"/>
        <w:ind w:left="633" w:right="996"/>
        <w:jc w:val="left"/>
      </w:pPr>
      <w:r>
        <w:rPr/>
        <w:t>（五）可能面对的风险</w:t>
      </w:r>
    </w:p>
    <w:p>
      <w:pPr>
        <w:spacing w:line="463" w:lineRule="auto" w:before="146"/>
        <w:ind w:left="152" w:right="4424" w:firstLine="480"/>
        <w:jc w:val="left"/>
        <w:rPr>
          <w:rFonts w:ascii="宋体" w:hAnsi="宋体" w:cs="宋体" w:eastAsia="宋体" w:hint="default"/>
          <w:sz w:val="24"/>
          <w:szCs w:val="24"/>
        </w:rPr>
      </w:pPr>
      <w:r>
        <w:rPr>
          <w:rFonts w:ascii="宋体" w:hAnsi="宋体" w:cs="宋体" w:eastAsia="宋体" w:hint="default"/>
          <w:sz w:val="24"/>
          <w:szCs w:val="24"/>
        </w:rPr>
        <w:t>详见</w:t>
      </w:r>
      <w:r>
        <w:rPr>
          <w:rFonts w:ascii="Times New Roman" w:hAnsi="Times New Roman" w:cs="Times New Roman" w:eastAsia="Times New Roman" w:hint="default"/>
          <w:sz w:val="24"/>
          <w:szCs w:val="24"/>
        </w:rPr>
        <w:t>“</w:t>
      </w:r>
      <w:r>
        <w:rPr>
          <w:rFonts w:ascii="宋体" w:hAnsi="宋体" w:cs="宋体" w:eastAsia="宋体" w:hint="default"/>
          <w:sz w:val="24"/>
          <w:szCs w:val="24"/>
        </w:rPr>
        <w:t>第一节</w:t>
      </w:r>
      <w:r>
        <w:rPr>
          <w:rFonts w:ascii="宋体" w:hAnsi="宋体" w:cs="宋体" w:eastAsia="宋体" w:hint="default"/>
          <w:spacing w:val="-3"/>
          <w:sz w:val="24"/>
          <w:szCs w:val="24"/>
        </w:rPr>
        <w:t> </w:t>
      </w:r>
      <w:r>
        <w:rPr>
          <w:rFonts w:ascii="宋体" w:hAnsi="宋体" w:cs="宋体" w:eastAsia="宋体" w:hint="default"/>
          <w:sz w:val="24"/>
          <w:szCs w:val="24"/>
        </w:rPr>
        <w:t>重要提示、目录和释义</w:t>
      </w:r>
      <w:r>
        <w:rPr>
          <w:rFonts w:ascii="Times New Roman" w:hAnsi="Times New Roman" w:cs="Times New Roman" w:eastAsia="Times New Roman" w:hint="default"/>
          <w:sz w:val="24"/>
          <w:szCs w:val="24"/>
        </w:rPr>
        <w:t>”</w:t>
      </w:r>
      <w:r>
        <w:rPr>
          <w:rFonts w:ascii="宋体" w:hAnsi="宋体" w:cs="宋体" w:eastAsia="宋体" w:hint="default"/>
          <w:sz w:val="24"/>
          <w:szCs w:val="24"/>
        </w:rPr>
        <w:t>中所列风险因素。 </w:t>
      </w:r>
      <w:bookmarkStart w:name="十、接待调研、沟通、采访等活动" w:id="60"/>
      <w:bookmarkEnd w:id="60"/>
      <w:r>
        <w:rPr>
          <w:rFonts w:ascii="宋体" w:hAnsi="宋体" w:cs="宋体" w:eastAsia="宋体" w:hint="default"/>
          <w:sz w:val="24"/>
          <w:szCs w:val="24"/>
        </w:rPr>
      </w:r>
      <w:r>
        <w:rPr>
          <w:rFonts w:ascii="宋体" w:hAnsi="宋体" w:cs="宋体" w:eastAsia="宋体" w:hint="default"/>
          <w:b/>
          <w:bCs/>
          <w:sz w:val="24"/>
          <w:szCs w:val="24"/>
        </w:rPr>
        <w:t>十、接待调研、沟通、采访等活动</w:t>
      </w:r>
      <w:r>
        <w:rPr>
          <w:rFonts w:ascii="宋体" w:hAnsi="宋体" w:cs="宋体" w:eastAsia="宋体" w:hint="default"/>
          <w:b/>
          <w:bCs/>
          <w:w w:val="99"/>
          <w:sz w:val="24"/>
          <w:szCs w:val="24"/>
        </w:rPr>
        <w:t> </w:t>
      </w:r>
      <w:bookmarkStart w:name="1、报告期内接待调研、沟通、采访等活动登记表" w:id="61"/>
      <w:bookmarkEnd w:id="61"/>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、报告期内接待调研、沟通、采访等活动登记表</w:t>
      </w:r>
      <w:r>
        <w:rPr>
          <w:rFonts w:ascii="宋体" w:hAnsi="宋体" w:cs="宋体" w:eastAsia="宋体" w:hint="default"/>
          <w:sz w:val="24"/>
          <w:szCs w:val="24"/>
        </w:rPr>
      </w:r>
    </w:p>
    <w:p>
      <w:pPr>
        <w:pStyle w:val="BodyText"/>
        <w:spacing w:line="312" w:lineRule="exact"/>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28"/>
        <w:ind w:left="633" w:right="996"/>
        <w:jc w:val="left"/>
      </w:pPr>
      <w:r>
        <w:rPr/>
        <w:t>公司报告期内未发生接待调研、沟通、采访等活动。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before="0"/>
        <w:ind w:right="996"/>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0"/>
        <w:rPr>
          <w:rFonts w:ascii="宋体" w:hAnsi="宋体" w:cs="宋体" w:eastAsia="宋体" w:hint="default"/>
          <w:b/>
          <w:bCs/>
          <w:sz w:val="18"/>
          <w:szCs w:val="18"/>
        </w:rPr>
      </w:pPr>
    </w:p>
    <w:p>
      <w:pPr>
        <w:pStyle w:val="BodyText"/>
        <w:spacing w:line="352" w:lineRule="auto"/>
        <w:ind w:left="633" w:right="1153"/>
        <w:jc w:val="left"/>
      </w:pPr>
      <w:r>
        <w:rPr/>
        <w:t>报告期内普通股利润分配政策，特别是现金分红政策的制定、执行或调整情况 报告期内，公司实行持续、稳定的利润分配政策，分红政策的制定、执行符合公司章程</w:t>
      </w:r>
    </w:p>
    <w:p>
      <w:pPr>
        <w:pStyle w:val="BodyText"/>
        <w:spacing w:line="350" w:lineRule="auto" w:before="34"/>
        <w:ind w:right="996"/>
        <w:jc w:val="left"/>
      </w:pPr>
      <w:r>
        <w:rPr/>
        <w:t>的规定及股东大会决议的要求，分红标准明确，分红比例清晰，决策程序完备。独立董事对 </w:t>
      </w:r>
      <w:r>
        <w:rPr>
          <w:spacing w:val="-2"/>
        </w:rPr>
        <w:t>分红事项充分发表了意见，利润分配政策均提交股东大会审议，中小股东权益得到充分保护，</w:t>
      </w:r>
      <w:r>
        <w:rPr/>
        <w:t> 促进公司更好的发展。</w:t>
      </w:r>
    </w:p>
    <w:p>
      <w:pPr>
        <w:pStyle w:val="BodyText"/>
        <w:spacing w:line="343" w:lineRule="auto" w:before="36"/>
        <w:ind w:right="1131" w:firstLine="480"/>
        <w:jc w:val="both"/>
      </w:pPr>
      <w:r>
        <w:rPr/>
        <w:pict>
          <v:shape style="position:absolute;margin-left:57pt;margin-top:135.455597pt;width:478.7pt;height:117.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77"/>
                    <w:gridCol w:w="1782"/>
                  </w:tblGrid>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7"/>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322" w:hRule="exact"/>
                    </w:trPr>
                    <w:tc>
                      <w:tcPr>
                        <w:tcW w:w="7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782" w:type="dxa"/>
                        <w:tcBorders>
                          <w:top w:val="single" w:sz="4" w:space="0" w:color="000000"/>
                          <w:left w:val="single" w:sz="12" w:space="0" w:color="D2D2D2"/>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3" w:hRule="exact"/>
                    </w:trPr>
                    <w:tc>
                      <w:tcPr>
                        <w:tcW w:w="7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782"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3" w:hRule="exact"/>
                    </w:trPr>
                    <w:tc>
                      <w:tcPr>
                        <w:tcW w:w="7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782" w:type="dxa"/>
                        <w:tcBorders>
                          <w:top w:val="single" w:sz="4" w:space="0" w:color="000000"/>
                          <w:left w:val="single" w:sz="12" w:space="0" w:color="D2D2D2"/>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7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782"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7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782"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7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782" w:type="dxa"/>
                        <w:tcBorders>
                          <w:top w:val="single" w:sz="4" w:space="0" w:color="000000"/>
                          <w:left w:val="single" w:sz="12" w:space="0" w:color="D2D2D2"/>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
              </w:txbxContent>
            </v:textbox>
            <w10:wrap type="none"/>
          </v:shape>
        </w:pict>
      </w:r>
      <w:r>
        <w:rPr>
          <w:spacing w:val="-7"/>
        </w:rPr>
        <w:t>根据中国证监会《关于进一步落实上市公司现金分红有关事项的通知》、《上市公司监管</w:t>
      </w:r>
      <w:r>
        <w:rPr/>
        <w:t> 指引第</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上市公司现金分红》、《关于鼓励上市公司兼并重组、现金分红及回购股份的通</w:t>
      </w:r>
      <w:r>
        <w:rPr>
          <w:spacing w:val="-115"/>
        </w:rPr>
        <w:t> </w:t>
      </w:r>
      <w:r>
        <w:rPr>
          <w:spacing w:val="-115"/>
        </w:rPr>
      </w:r>
      <w:r>
        <w:rPr/>
        <w:t>知》等相关规定以及《公司章程》的约定，综合考虑公司所处行业特征、公司发展战略和经 营计划、股东回报、社会资金成本以及外部融资环境等因素，制订《公司未来三年股东回报</w:t>
      </w:r>
      <w:r>
        <w:rPr/>
        <w:t> </w:t>
      </w:r>
      <w:r>
        <w:rPr>
          <w:spacing w:val="-2"/>
        </w:rPr>
        <w:t>规划（</w:t>
      </w:r>
      <w:r>
        <w:rPr>
          <w:rFonts w:ascii="Times New Roman" w:hAnsi="Times New Roman" w:cs="Times New Roman" w:eastAsia="Times New Roman" w:hint="default"/>
          <w:spacing w:val="-2"/>
        </w:rPr>
        <w:t>2018-2020</w:t>
      </w:r>
      <w:r>
        <w:rPr>
          <w:rFonts w:ascii="Times New Roman" w:hAnsi="Times New Roman" w:cs="Times New Roman" w:eastAsia="Times New Roman" w:hint="default"/>
          <w:spacing w:val="1"/>
        </w:rPr>
        <w:t> </w:t>
      </w:r>
      <w:r>
        <w:rPr>
          <w:spacing w:val="-32"/>
        </w:rPr>
        <w:t>年）》，已经公司</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日召开的第六届董事会 第十二次会议、</w:t>
      </w:r>
      <w:r>
        <w:rPr>
          <w:rFonts w:ascii="Times New Roman" w:hAnsi="Times New Roman" w:cs="Times New Roman" w:eastAsia="Times New Roman" w:hint="default"/>
        </w:rPr>
        <w:t>2017 </w:t>
      </w:r>
      <w:r>
        <w:rPr/>
        <w:t>年年度股东大会审议通过。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26"/>
        <w:ind w:left="633" w:right="996"/>
        <w:jc w:val="left"/>
      </w:pPr>
      <w:r>
        <w:rPr/>
        <w:t>公司近</w:t>
      </w:r>
      <w:r>
        <w:rPr>
          <w:spacing w:val="-61"/>
        </w:rPr>
        <w:t> </w:t>
      </w:r>
      <w:r>
        <w:rPr>
          <w:rFonts w:ascii="Times New Roman" w:hAnsi="Times New Roman" w:cs="Times New Roman" w:eastAsia="Times New Roman" w:hint="default"/>
        </w:rPr>
        <w:t>3 </w:t>
      </w:r>
      <w:r>
        <w:rPr>
          <w:spacing w:val="-22"/>
        </w:rPr>
        <w:t>年</w:t>
      </w:r>
      <w:r>
        <w:rPr/>
        <w:t>（包括本</w:t>
      </w:r>
      <w:r>
        <w:rPr>
          <w:spacing w:val="2"/>
        </w:rPr>
        <w:t>报</w:t>
      </w:r>
      <w:r>
        <w:rPr/>
        <w:t>告期</w:t>
      </w:r>
      <w:r>
        <w:rPr>
          <w:spacing w:val="-22"/>
        </w:rPr>
        <w:t>）</w:t>
      </w:r>
      <w:r>
        <w:rPr/>
        <w:t>的普通股股利</w:t>
      </w:r>
      <w:r>
        <w:rPr>
          <w:spacing w:val="2"/>
        </w:rPr>
        <w:t>分</w:t>
      </w:r>
      <w:r>
        <w:rPr/>
        <w:t>配方</w:t>
      </w:r>
      <w:r>
        <w:rPr>
          <w:spacing w:val="-22"/>
        </w:rPr>
        <w:t>案</w:t>
      </w:r>
      <w:r>
        <w:rPr/>
        <w:t>（预案</w:t>
      </w:r>
      <w:r>
        <w:rPr>
          <w:spacing w:val="-120"/>
        </w:rPr>
        <w:t>）</w:t>
      </w:r>
      <w:r>
        <w:rPr>
          <w:spacing w:val="-22"/>
        </w:rPr>
        <w:t>、</w:t>
      </w:r>
      <w:r>
        <w:rPr/>
        <w:t>资</w:t>
      </w:r>
      <w:r>
        <w:rPr>
          <w:spacing w:val="2"/>
        </w:rPr>
        <w:t>本</w:t>
      </w:r>
      <w:r>
        <w:rPr/>
        <w:t>公积金转增股本方案</w:t>
      </w:r>
    </w:p>
    <w:p>
      <w:pPr>
        <w:pStyle w:val="BodyText"/>
        <w:spacing w:line="240" w:lineRule="auto" w:before="128"/>
        <w:ind w:right="996"/>
        <w:jc w:val="left"/>
      </w:pPr>
      <w:r>
        <w:rPr/>
        <w:t>（预案）情况</w:t>
      </w:r>
    </w:p>
    <w:p>
      <w:pPr>
        <w:pStyle w:val="BodyText"/>
        <w:spacing w:line="331" w:lineRule="auto" w:before="146"/>
        <w:ind w:right="1155" w:firstLine="48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年度利润分配方案为：</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年度不进行利润分配，不以公积金转增股本，未分 配利润结转下一年度。</w:t>
      </w:r>
    </w:p>
    <w:p>
      <w:pPr>
        <w:pStyle w:val="BodyText"/>
        <w:spacing w:line="333" w:lineRule="auto" w:before="56"/>
        <w:ind w:right="1155"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年度利润分配方案为：</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年度不进行利润分配，不以公积金转增股本，未分 配利润结转下一年度。</w:t>
      </w:r>
    </w:p>
    <w:p>
      <w:pPr>
        <w:pStyle w:val="BodyText"/>
        <w:spacing w:line="240" w:lineRule="auto" w:before="50"/>
        <w:ind w:left="63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年度利润分配方案为：以公司</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63"/>
        </w:rPr>
        <w:t> </w:t>
      </w:r>
      <w:r>
        <w:rPr>
          <w:rFonts w:ascii="Times New Roman" w:hAnsi="Times New Roman" w:cs="Times New Roman" w:eastAsia="Times New Roman" w:hint="default"/>
        </w:rPr>
        <w:t>376,656,420</w:t>
      </w:r>
      <w:r>
        <w:rPr>
          <w:rFonts w:ascii="Times New Roman" w:hAnsi="Times New Roman" w:cs="Times New Roman" w:eastAsia="Times New Roman" w:hint="default"/>
          <w:spacing w:val="-3"/>
        </w:rPr>
        <w:t> </w:t>
      </w:r>
      <w:r>
        <w:rPr/>
        <w:t>股为基数，</w:t>
      </w:r>
    </w:p>
    <w:p>
      <w:pPr>
        <w:pStyle w:val="BodyText"/>
        <w:spacing w:line="240" w:lineRule="auto" w:before="128"/>
        <w:ind w:right="996"/>
        <w:jc w:val="left"/>
      </w:pPr>
      <w:r>
        <w:rPr/>
        <w:t>向全体股东每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0.50 </w:t>
      </w:r>
      <w:r>
        <w:rPr>
          <w:spacing w:val="-5"/>
        </w:rPr>
        <w:t>元</w:t>
      </w:r>
      <w:r>
        <w:rPr/>
        <w:t>（含税</w:t>
      </w:r>
      <w:r>
        <w:rPr>
          <w:spacing w:val="-120"/>
        </w:rPr>
        <w:t>）</w:t>
      </w:r>
      <w:r>
        <w:rPr>
          <w:spacing w:val="-5"/>
        </w:rPr>
        <w:t>，</w:t>
      </w:r>
      <w:r>
        <w:rPr/>
        <w:t>不送红股</w:t>
      </w:r>
      <w:r>
        <w:rPr>
          <w:spacing w:val="-5"/>
        </w:rPr>
        <w:t>，</w:t>
      </w:r>
      <w:r>
        <w:rPr/>
        <w:t>不</w:t>
      </w:r>
      <w:r>
        <w:rPr>
          <w:spacing w:val="-3"/>
        </w:rPr>
        <w:t>以</w:t>
      </w:r>
      <w:r>
        <w:rPr/>
        <w:t>公积金转增股本</w:t>
      </w:r>
      <w:r>
        <w:rPr>
          <w:spacing w:val="-5"/>
        </w:rPr>
        <w:t>；</w:t>
      </w:r>
      <w:r>
        <w:rPr/>
        <w:t>在本分</w:t>
      </w:r>
    </w:p>
    <w:p>
      <w:pPr>
        <w:pStyle w:val="BodyText"/>
        <w:spacing w:line="240" w:lineRule="auto" w:before="128"/>
        <w:ind w:right="996"/>
        <w:jc w:val="left"/>
      </w:pPr>
      <w:r>
        <w:rPr>
          <w:spacing w:val="-3"/>
        </w:rPr>
        <w:t>配预案实施前，公司总股本发生变化的，分配总额将按分配比例（即：全体股东每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29"/>
        </w:rPr>
        <w:t> </w:t>
      </w:r>
      <w:r>
        <w:rPr/>
        <w:t>股派发</w:t>
      </w:r>
    </w:p>
    <w:p>
      <w:pPr>
        <w:pStyle w:val="BodyText"/>
        <w:spacing w:line="240" w:lineRule="auto" w:before="126"/>
        <w:ind w:right="996"/>
        <w:jc w:val="left"/>
      </w:pPr>
      <w:r>
        <w:rPr/>
        <w:t>现金红利</w:t>
      </w:r>
      <w:r>
        <w:rPr>
          <w:spacing w:val="-60"/>
        </w:rPr>
        <w:t> </w:t>
      </w:r>
      <w:r>
        <w:rPr>
          <w:rFonts w:ascii="Times New Roman" w:hAnsi="Times New Roman" w:cs="Times New Roman" w:eastAsia="Times New Roman" w:hint="default"/>
        </w:rPr>
        <w:t>0.50 </w:t>
      </w:r>
      <w:r>
        <w:rPr/>
        <w:t>元（含税</w:t>
      </w:r>
      <w:r>
        <w:rPr>
          <w:spacing w:val="-120"/>
        </w:rPr>
        <w:t>）</w:t>
      </w:r>
      <w:r>
        <w:rPr/>
        <w:t>，不送红股，不转增）不变的原则进行相应调整</w:t>
      </w:r>
      <w:r>
        <w:rPr>
          <w:spacing w:val="-120"/>
        </w:rPr>
        <w:t>。</w:t>
      </w:r>
      <w:r>
        <w:rPr/>
        <w:t>。</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98"/>
        <w:ind w:left="633" w:right="-20"/>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5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154" w:space="2286"/>
            <w:col w:w="2490"/>
          </w:cols>
        </w:sectPr>
      </w:pPr>
    </w:p>
    <w:p>
      <w:pPr>
        <w:spacing w:line="240" w:lineRule="auto" w:before="2"/>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915"/>
        <w:gridCol w:w="1193"/>
        <w:gridCol w:w="1198"/>
        <w:gridCol w:w="1195"/>
        <w:gridCol w:w="1196"/>
        <w:gridCol w:w="1198"/>
        <w:gridCol w:w="1196"/>
        <w:gridCol w:w="1517"/>
      </w:tblGrid>
      <w:tr>
        <w:trPr>
          <w:trHeight w:val="161" w:hRule="exact"/>
        </w:trPr>
        <w:tc>
          <w:tcPr>
            <w:tcW w:w="915" w:type="dxa"/>
            <w:vMerge w:val="restart"/>
            <w:tcBorders>
              <w:top w:val="single" w:sz="4" w:space="0" w:color="000000"/>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5"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51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现金分红总额（含 其他方式）占合并 报表中归属于上市 公司普通股股东的 净利润的比率</w:t>
            </w:r>
          </w:p>
        </w:tc>
      </w:tr>
      <w:tr>
        <w:trPr>
          <w:trHeight w:val="156" w:hRule="exact"/>
        </w:trPr>
        <w:tc>
          <w:tcPr>
            <w:tcW w:w="9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1"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9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915"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391" w:hRule="exact"/>
        </w:trPr>
        <w:tc>
          <w:tcPr>
            <w:tcW w:w="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3"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915"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915"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9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r>
      <w:tr>
        <w:trPr>
          <w:trHeight w:val="156" w:hRule="exact"/>
        </w:trPr>
        <w:tc>
          <w:tcPr>
            <w:tcW w:w="91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15"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18,832,821.00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9" w:right="0"/>
              <w:jc w:val="center"/>
              <w:rPr>
                <w:rFonts w:ascii="Times New Roman" w:hAnsi="Times New Roman" w:cs="Times New Roman" w:eastAsia="Times New Roman" w:hint="default"/>
                <w:sz w:val="18"/>
                <w:szCs w:val="18"/>
              </w:rPr>
            </w:pPr>
            <w:r>
              <w:rPr>
                <w:rFonts w:ascii="Times New Roman"/>
                <w:sz w:val="18"/>
              </w:rPr>
              <w:t>66,998,155.49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18,832,821.00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28.11%</w:t>
            </w:r>
          </w:p>
        </w:tc>
      </w:tr>
      <w:tr>
        <w:trPr>
          <w:trHeight w:val="401" w:hRule="exact"/>
        </w:trPr>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27,732,998.08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-151,742,824.1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3" w:type="dxa"/>
            <w:vMerge/>
            <w:tcBorders>
              <w:left w:val="single" w:sz="10" w:space="0" w:color="D2D2D2"/>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517" w:type="dxa"/>
            <w:vMerge/>
            <w:tcBorders>
              <w:left w:val="single" w:sz="4" w:space="0" w:color="000000"/>
              <w:right w:val="single" w:sz="4" w:space="0" w:color="000000"/>
            </w:tcBorders>
          </w:tcPr>
          <w:p>
            <w:pPr/>
          </w:p>
        </w:tc>
      </w:tr>
      <w:tr>
        <w:trPr>
          <w:trHeight w:val="161" w:hRule="exact"/>
        </w:trPr>
        <w:tc>
          <w:tcPr>
            <w:tcW w:w="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10" w:space="0" w:color="D2D2D2"/>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公司报告期内盈利且母公司可供普通股股东分配利润为正但未提出普通股现金红利分配</w:t>
      </w:r>
    </w:p>
    <w:p>
      <w:pPr>
        <w:pStyle w:val="BodyText"/>
        <w:spacing w:line="240" w:lineRule="auto" w:before="146"/>
        <w:ind w:right="996"/>
        <w:jc w:val="left"/>
      </w:pPr>
      <w:r>
        <w:rPr/>
        <w:t>预案</w:t>
      </w:r>
    </w:p>
    <w:p>
      <w:pPr>
        <w:pStyle w:val="BodyText"/>
        <w:spacing w:line="240" w:lineRule="auto" w:before="144"/>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1"/>
        <w:rPr>
          <w:rFonts w:ascii="宋体" w:hAnsi="宋体" w:cs="宋体" w:eastAsia="宋体" w:hint="default"/>
          <w:sz w:val="21"/>
          <w:szCs w:val="21"/>
        </w:rPr>
      </w:pPr>
    </w:p>
    <w:p>
      <w:pPr>
        <w:pStyle w:val="Heading2"/>
        <w:spacing w:line="240" w:lineRule="auto"/>
        <w:ind w:right="996"/>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before="166"/>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before="44"/>
        <w:ind w:left="0" w:right="1138" w:firstLine="0"/>
        <w:jc w:val="right"/>
        <w:rPr>
          <w:rFonts w:ascii="宋体" w:hAnsi="宋体" w:cs="宋体" w:eastAsia="宋体" w:hint="default"/>
          <w:sz w:val="18"/>
          <w:szCs w:val="18"/>
        </w:rPr>
      </w:pPr>
      <w:r>
        <w:rPr/>
        <w:pict>
          <v:shape style="position:absolute;margin-left:56.400002pt;margin-top:-258.298279pt;width:479.3pt;height:309.4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53"/>
                    <w:gridCol w:w="2918"/>
                  </w:tblGrid>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0.5</w:t>
                        </w:r>
                      </w:p>
                    </w:tc>
                  </w:tr>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3"/>
                          <w:jc w:val="right"/>
                          <w:rPr>
                            <w:rFonts w:ascii="Times New Roman" w:hAnsi="Times New Roman" w:cs="Times New Roman" w:eastAsia="Times New Roman" w:hint="default"/>
                            <w:sz w:val="18"/>
                            <w:szCs w:val="18"/>
                          </w:rPr>
                        </w:pPr>
                        <w:r>
                          <w:rPr>
                            <w:rFonts w:ascii="Times New Roman"/>
                            <w:sz w:val="18"/>
                          </w:rPr>
                          <w:t>0</w:t>
                        </w:r>
                      </w:p>
                    </w:tc>
                  </w:tr>
                  <w:tr>
                    <w:trPr>
                      <w:trHeight w:val="311"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pacing w:val="-1"/>
                            <w:sz w:val="18"/>
                          </w:rPr>
                          <w:t>376,656,420.00</w:t>
                        </w:r>
                      </w:p>
                    </w:tc>
                  </w:tr>
                  <w:tr>
                    <w:trPr>
                      <w:trHeight w:val="311"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right="22"/>
                          <w:jc w:val="right"/>
                          <w:rPr>
                            <w:rFonts w:ascii="Times New Roman" w:hAnsi="Times New Roman" w:cs="Times New Roman" w:eastAsia="Times New Roman" w:hint="default"/>
                            <w:sz w:val="18"/>
                            <w:szCs w:val="18"/>
                          </w:rPr>
                        </w:pPr>
                        <w:r>
                          <w:rPr>
                            <w:rFonts w:ascii="Times New Roman"/>
                            <w:spacing w:val="-1"/>
                            <w:sz w:val="18"/>
                          </w:rPr>
                          <w:t>18,832,821.00</w:t>
                        </w:r>
                      </w:p>
                    </w:tc>
                  </w:tr>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18,832,821.00</w:t>
                        </w:r>
                      </w:p>
                    </w:tc>
                  </w:tr>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22"/>
                          <w:jc w:val="right"/>
                          <w:rPr>
                            <w:rFonts w:ascii="Times New Roman" w:hAnsi="Times New Roman" w:cs="Times New Roman" w:eastAsia="Times New Roman" w:hint="default"/>
                            <w:sz w:val="18"/>
                            <w:szCs w:val="18"/>
                          </w:rPr>
                        </w:pPr>
                        <w:r>
                          <w:rPr>
                            <w:rFonts w:ascii="Times New Roman"/>
                            <w:spacing w:val="-1"/>
                            <w:sz w:val="18"/>
                          </w:rPr>
                          <w:t>389,798,399.33</w:t>
                        </w:r>
                      </w:p>
                    </w:tc>
                  </w:tr>
                  <w:tr>
                    <w:trPr>
                      <w:trHeight w:val="310" w:hRule="exact"/>
                    </w:trPr>
                    <w:tc>
                      <w:tcPr>
                        <w:tcW w:w="6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29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z w:val="18"/>
                          </w:rPr>
                          <w:t>100%</w:t>
                        </w:r>
                      </w:p>
                    </w:tc>
                  </w:tr>
                  <w:tr>
                    <w:trPr>
                      <w:trHeight w:val="310"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13"/>
                            <w:sz w:val="18"/>
                            <w:szCs w:val="18"/>
                          </w:rPr>
                          <w:t>经大华会计师事务所（特殊普通合伙）审计，公司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年度合并报表中归属于上市公司普通股股东的净利润为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66,998,155.49</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52,817,394.57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5,281,739.46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元；加上以前年度未分配利润 </w:t>
                        </w:r>
                        <w:r>
                          <w:rPr>
                            <w:rFonts w:ascii="Times New Roman" w:hAnsi="Times New Roman" w:cs="Times New Roman" w:eastAsia="Times New Roman" w:hint="default"/>
                            <w:sz w:val="18"/>
                            <w:szCs w:val="18"/>
                          </w:rPr>
                          <w:t>342,262,744.22 </w:t>
                        </w:r>
                        <w:r>
                          <w:rPr>
                            <w:rFonts w:ascii="宋体" w:hAnsi="宋体" w:cs="宋体" w:eastAsia="宋体" w:hint="default"/>
                            <w:sz w:val="18"/>
                            <w:szCs w:val="18"/>
                          </w:rPr>
                          <w:t>元，减去已分配的现金股利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元，本年度实际可供投资者分配的利润为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389,798,399.33 </w:t>
                        </w:r>
                        <w:r>
                          <w:rPr>
                            <w:rFonts w:ascii="宋体" w:hAnsi="宋体" w:cs="宋体" w:eastAsia="宋体" w:hint="default"/>
                            <w:sz w:val="18"/>
                            <w:szCs w:val="18"/>
                          </w:rPr>
                          <w:t>元，资本公积期</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末余额为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556,292,127.38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元。根据公司未来的发展需要，结合目前的经营现状、资金状况，公司董事会决定</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年度利润</w:t>
                        </w:r>
                      </w:p>
                      <w:p>
                        <w:pPr>
                          <w:pStyle w:val="TableParagraph"/>
                          <w:spacing w:line="309" w:lineRule="auto" w:before="63"/>
                          <w:ind w:left="24" w:right="24"/>
                          <w:jc w:val="left"/>
                          <w:rPr>
                            <w:rFonts w:ascii="宋体" w:hAnsi="宋体" w:cs="宋体" w:eastAsia="宋体" w:hint="default"/>
                            <w:sz w:val="18"/>
                            <w:szCs w:val="18"/>
                          </w:rPr>
                        </w:pPr>
                        <w:r>
                          <w:rPr>
                            <w:rFonts w:ascii="宋体" w:hAnsi="宋体" w:cs="宋体" w:eastAsia="宋体" w:hint="default"/>
                            <w:spacing w:val="-7"/>
                            <w:sz w:val="18"/>
                            <w:szCs w:val="18"/>
                          </w:rPr>
                          <w:t>分配预案为：以公司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376,656,420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 </w:t>
                        </w:r>
                        <w:r>
                          <w:rPr>
                            <w:rFonts w:ascii="宋体" w:hAnsi="宋体" w:cs="宋体" w:eastAsia="宋体" w:hint="default"/>
                            <w:sz w:val="18"/>
                            <w:szCs w:val="18"/>
                          </w:rPr>
                          <w:t>股派发现金红利</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0.50</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元（含税）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不送红股，不以公积金转增股本；在本分配预案实施前，公司总股本发生变化的，分配总额将按分配比例（即：全体股东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0.50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元（含税），不送红股，不转增）不变的原则进行相应调整。</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ind w:right="996"/>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spacing w:line="256" w:lineRule="auto" w:before="0"/>
        <w:ind w:left="152" w:right="996" w:firstLine="0"/>
        <w:jc w:val="left"/>
        <w:rPr>
          <w:rFonts w:ascii="宋体" w:hAnsi="宋体" w:cs="宋体" w:eastAsia="宋体" w:hint="default"/>
          <w:sz w:val="21"/>
          <w:szCs w:val="21"/>
        </w:rPr>
      </w:pPr>
      <w:bookmarkStart w:name="1、公司实际控制人、股东、关联方、收购人以及公司等承诺相关方在报告期内履行完毕及" w:id="67"/>
      <w:bookmarkEnd w:id="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before="163"/>
        <w:ind w:left="152" w:right="9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844"/>
        <w:gridCol w:w="427"/>
        <w:gridCol w:w="425"/>
        <w:gridCol w:w="3603"/>
        <w:gridCol w:w="557"/>
        <w:gridCol w:w="2269"/>
        <w:gridCol w:w="528"/>
      </w:tblGrid>
      <w:tr>
        <w:trPr>
          <w:trHeight w:val="134"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ind w:left="117" w:right="26"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ind w:left="28" w:right="2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603" w:type="dxa"/>
            <w:tcBorders>
              <w:top w:val="single" w:sz="4" w:space="0" w:color="000000"/>
              <w:left w:val="single" w:sz="4" w:space="0" w:color="000000"/>
              <w:bottom w:val="nil" w:sz="6" w:space="0" w:color="auto"/>
              <w:right w:val="single" w:sz="4" w:space="0" w:color="000000"/>
            </w:tcBorders>
            <w:shd w:val="clear" w:color="auto" w:fill="D2D2D2"/>
          </w:tcPr>
          <w:p>
            <w:pPr/>
          </w:p>
        </w:tc>
        <w:tc>
          <w:tcPr>
            <w:tcW w:w="557"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ind w:left="93" w:right="9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2269" w:type="dxa"/>
            <w:tcBorders>
              <w:top w:val="single" w:sz="4" w:space="0" w:color="000000"/>
              <w:left w:val="single" w:sz="4" w:space="0" w:color="000000"/>
              <w:bottom w:val="nil" w:sz="6" w:space="0" w:color="auto"/>
              <w:right w:val="single" w:sz="4" w:space="0" w:color="000000"/>
            </w:tcBorders>
            <w:shd w:val="clear" w:color="auto" w:fill="D2D2D2"/>
          </w:tcPr>
          <w:p>
            <w:pPr/>
          </w:p>
        </w:tc>
        <w:tc>
          <w:tcPr>
            <w:tcW w:w="528"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ind w:left="79" w:right="7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4" w:lineRule="exact"/>
              <w:ind w:left="55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42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60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7" w:type="dxa"/>
            <w:vMerge/>
            <w:tcBorders>
              <w:left w:val="single" w:sz="4" w:space="0" w:color="000000"/>
              <w:bottom w:val="single" w:sz="4" w:space="0" w:color="000000"/>
              <w:right w:val="single" w:sz="4" w:space="0" w:color="000000"/>
            </w:tcBorders>
            <w:shd w:val="clear" w:color="auto" w:fill="D2D2D2"/>
          </w:tcPr>
          <w:p>
            <w:pPr/>
          </w:p>
        </w:tc>
        <w:tc>
          <w:tcPr>
            <w:tcW w:w="22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52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427" w:type="dxa"/>
            <w:tcBorders>
              <w:top w:val="single" w:sz="4" w:space="0" w:color="000000"/>
              <w:left w:val="single" w:sz="9"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03" w:type="dxa"/>
            <w:tcBorders>
              <w:top w:val="single" w:sz="52" w:space="0" w:color="D2D2D2"/>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52" w:space="0" w:color="D2D2D2"/>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4"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427" w:type="dxa"/>
            <w:tcBorders>
              <w:top w:val="single" w:sz="4" w:space="0" w:color="000000"/>
              <w:left w:val="single" w:sz="9"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03"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427" w:type="dxa"/>
            <w:tcBorders>
              <w:top w:val="single" w:sz="4" w:space="0" w:color="000000"/>
              <w:left w:val="single" w:sz="9"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03"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18" w:right="31"/>
              <w:jc w:val="left"/>
              <w:rPr>
                <w:rFonts w:ascii="宋体" w:hAnsi="宋体" w:cs="宋体" w:eastAsia="宋体" w:hint="default"/>
                <w:sz w:val="18"/>
                <w:szCs w:val="18"/>
              </w:rPr>
            </w:pPr>
            <w:r>
              <w:rPr>
                <w:rFonts w:ascii="宋体" w:hAnsi="宋体" w:cs="宋体" w:eastAsia="宋体" w:hint="default"/>
                <w:sz w:val="18"/>
                <w:szCs w:val="18"/>
              </w:rPr>
              <w:t>李海 鹰</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4" w:lineRule="auto"/>
              <w:ind w:left="23" w:right="29"/>
              <w:jc w:val="both"/>
              <w:rPr>
                <w:rFonts w:ascii="宋体" w:hAnsi="宋体" w:cs="宋体" w:eastAsia="宋体" w:hint="default"/>
                <w:sz w:val="18"/>
                <w:szCs w:val="18"/>
              </w:rPr>
            </w:pPr>
            <w:r>
              <w:rPr>
                <w:rFonts w:ascii="宋体" w:hAnsi="宋体" w:cs="宋体" w:eastAsia="宋体" w:hint="default"/>
                <w:sz w:val="18"/>
                <w:szCs w:val="18"/>
              </w:rPr>
              <w:t>关于 同业 竞争</w:t>
            </w:r>
          </w:p>
        </w:tc>
        <w:tc>
          <w:tcPr>
            <w:tcW w:w="3603" w:type="dxa"/>
            <w:vMerge w:val="restart"/>
            <w:tcBorders>
              <w:top w:val="single" w:sz="4" w:space="0" w:color="000000"/>
              <w:left w:val="single" w:sz="4" w:space="0" w:color="000000"/>
              <w:right w:val="single" w:sz="4" w:space="0" w:color="000000"/>
            </w:tcBorders>
          </w:tcPr>
          <w:p>
            <w:pPr>
              <w:pStyle w:val="TableParagraph"/>
              <w:spacing w:line="304" w:lineRule="auto" w:before="29"/>
              <w:ind w:left="24" w:right="19"/>
              <w:jc w:val="both"/>
              <w:rPr>
                <w:rFonts w:ascii="宋体" w:hAnsi="宋体" w:cs="宋体" w:eastAsia="宋体" w:hint="default"/>
                <w:sz w:val="18"/>
                <w:szCs w:val="18"/>
              </w:rPr>
            </w:pPr>
            <w:r>
              <w:rPr>
                <w:rFonts w:ascii="宋体" w:hAnsi="宋体" w:cs="宋体" w:eastAsia="宋体" w:hint="default"/>
                <w:spacing w:val="-3"/>
                <w:sz w:val="18"/>
                <w:szCs w:val="18"/>
              </w:rPr>
              <w:t>在持有辉煌科技股权或担任辉煌科技董事、监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事、高级管理人员或核心技术人员期间及法定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期限内，不经营或投资于任何与辉煌科技主营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业务构成同业竞争的企业。</w:t>
            </w:r>
          </w:p>
        </w:tc>
        <w:tc>
          <w:tcPr>
            <w:tcW w:w="557" w:type="dxa"/>
            <w:vMerge w:val="restart"/>
            <w:tcBorders>
              <w:top w:val="single" w:sz="4" w:space="0" w:color="000000"/>
              <w:left w:val="single" w:sz="4" w:space="0" w:color="000000"/>
              <w:right w:val="single" w:sz="4" w:space="0" w:color="000000"/>
            </w:tcBorders>
          </w:tcPr>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69" w:type="dxa"/>
            <w:vMerge w:val="restart"/>
            <w:tcBorders>
              <w:top w:val="single" w:sz="4" w:space="0" w:color="000000"/>
              <w:left w:val="single" w:sz="4" w:space="0" w:color="000000"/>
              <w:right w:val="single" w:sz="4" w:space="0" w:color="000000"/>
            </w:tcBorders>
          </w:tcPr>
          <w:p>
            <w:pPr>
              <w:pStyle w:val="TableParagraph"/>
              <w:spacing w:line="304" w:lineRule="auto" w:before="29"/>
              <w:ind w:left="23" w:right="74"/>
              <w:jc w:val="both"/>
              <w:rPr>
                <w:rFonts w:ascii="宋体" w:hAnsi="宋体" w:cs="宋体" w:eastAsia="宋体" w:hint="default"/>
                <w:sz w:val="18"/>
                <w:szCs w:val="18"/>
              </w:rPr>
            </w:pPr>
            <w:r>
              <w:rPr>
                <w:rFonts w:ascii="宋体" w:hAnsi="宋体" w:cs="宋体" w:eastAsia="宋体" w:hint="default"/>
                <w:sz w:val="18"/>
                <w:szCs w:val="18"/>
              </w:rPr>
              <w:t>持有辉煌科技股权或担任辉 煌科技董事、监事、高级管 理人员或核心技术人员期间 及法定期限内</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4" w:lineRule="auto"/>
              <w:ind w:left="23" w:right="13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60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4" w:lineRule="auto" w:before="30"/>
              <w:ind w:left="24"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427"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3603"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2269"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r>
      <w:tr>
        <w:trPr>
          <w:trHeight w:val="305"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3603"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427" w:type="dxa"/>
            <w:tcBorders>
              <w:top w:val="single" w:sz="4" w:space="0" w:color="000000"/>
              <w:left w:val="single" w:sz="9"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03"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23" w:right="29"/>
              <w:jc w:val="both"/>
              <w:rPr>
                <w:rFonts w:ascii="宋体" w:hAnsi="宋体" w:cs="宋体" w:eastAsia="宋体" w:hint="default"/>
                <w:sz w:val="18"/>
                <w:szCs w:val="18"/>
              </w:rPr>
            </w:pPr>
            <w:r>
              <w:rPr>
                <w:rFonts w:ascii="宋体" w:hAnsi="宋体" w:cs="宋体" w:eastAsia="宋体" w:hint="default"/>
                <w:sz w:val="18"/>
                <w:szCs w:val="18"/>
              </w:rPr>
              <w:t>募集 资金 使用 承诺</w:t>
            </w:r>
          </w:p>
        </w:tc>
        <w:tc>
          <w:tcPr>
            <w:tcW w:w="360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4" w:right="19"/>
              <w:jc w:val="left"/>
              <w:rPr>
                <w:rFonts w:ascii="宋体" w:hAnsi="宋体" w:cs="宋体" w:eastAsia="宋体" w:hint="default"/>
                <w:sz w:val="18"/>
                <w:szCs w:val="18"/>
              </w:rPr>
            </w:pPr>
            <w:r>
              <w:rPr>
                <w:rFonts w:ascii="宋体" w:hAnsi="宋体" w:cs="宋体" w:eastAsia="宋体" w:hint="default"/>
                <w:sz w:val="18"/>
                <w:szCs w:val="18"/>
              </w:rPr>
              <w:t>在丰图辉煌产业并购基金投资设立后的十二 </w:t>
            </w:r>
            <w:r>
              <w:rPr>
                <w:rFonts w:ascii="宋体" w:hAnsi="宋体" w:cs="宋体" w:eastAsia="宋体" w:hint="default"/>
                <w:spacing w:val="-3"/>
                <w:sz w:val="18"/>
                <w:szCs w:val="18"/>
              </w:rPr>
              <w:t>个月内，不使用闲置募集资金暂时补充流动资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金、不将募集资金投向变更为永久性补充流动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资金、不将募集资金永久性用于补充流动资金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或归还银行贷款。</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6" w:lineRule="auto"/>
              <w:ind w:left="23" w:right="74"/>
              <w:jc w:val="left"/>
              <w:rPr>
                <w:rFonts w:ascii="宋体" w:hAnsi="宋体" w:cs="宋体" w:eastAsia="宋体" w:hint="default"/>
                <w:sz w:val="18"/>
                <w:szCs w:val="18"/>
              </w:rPr>
            </w:pPr>
            <w:r>
              <w:rPr>
                <w:rFonts w:ascii="宋体" w:hAnsi="宋体" w:cs="宋体" w:eastAsia="宋体" w:hint="default"/>
                <w:sz w:val="18"/>
                <w:szCs w:val="18"/>
              </w:rPr>
              <w:t>该产业并购基金设立后十二 个月内</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0"/>
              <w:ind w:left="23" w:right="13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920"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42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26" w:lineRule="auto"/>
              <w:ind w:left="23" w:right="29"/>
              <w:jc w:val="both"/>
              <w:rPr>
                <w:rFonts w:ascii="宋体" w:hAnsi="宋体" w:cs="宋体" w:eastAsia="宋体" w:hint="default"/>
                <w:sz w:val="18"/>
                <w:szCs w:val="18"/>
              </w:rPr>
            </w:pPr>
            <w:r>
              <w:rPr>
                <w:rFonts w:ascii="宋体" w:hAnsi="宋体" w:cs="宋体" w:eastAsia="宋体" w:hint="default"/>
                <w:sz w:val="18"/>
                <w:szCs w:val="18"/>
              </w:rPr>
              <w:t>募集 资金 使用 承诺</w:t>
            </w:r>
          </w:p>
        </w:tc>
        <w:tc>
          <w:tcPr>
            <w:tcW w:w="3603" w:type="dxa"/>
            <w:vMerge w:val="restart"/>
            <w:tcBorders>
              <w:top w:val="single" w:sz="4" w:space="0" w:color="000000"/>
              <w:left w:val="single" w:sz="4" w:space="0" w:color="000000"/>
              <w:right w:val="single" w:sz="4" w:space="0" w:color="000000"/>
            </w:tcBorders>
          </w:tcPr>
          <w:p>
            <w:pPr>
              <w:pStyle w:val="TableParagraph"/>
              <w:spacing w:line="316" w:lineRule="auto" w:before="46"/>
              <w:ind w:left="24" w:right="19"/>
              <w:jc w:val="left"/>
              <w:rPr>
                <w:rFonts w:ascii="宋体" w:hAnsi="宋体" w:cs="宋体" w:eastAsia="宋体" w:hint="default"/>
                <w:sz w:val="18"/>
                <w:szCs w:val="18"/>
              </w:rPr>
            </w:pPr>
            <w:r>
              <w:rPr>
                <w:rFonts w:ascii="宋体" w:hAnsi="宋体" w:cs="宋体" w:eastAsia="宋体" w:hint="default"/>
                <w:sz w:val="18"/>
                <w:szCs w:val="18"/>
              </w:rPr>
              <w:t>本次永久补充流动资金的承诺：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、本次变更 </w:t>
            </w:r>
            <w:r>
              <w:rPr>
                <w:rFonts w:ascii="宋体" w:hAnsi="宋体" w:cs="宋体" w:eastAsia="宋体" w:hint="default"/>
                <w:spacing w:val="-3"/>
                <w:sz w:val="18"/>
                <w:szCs w:val="18"/>
              </w:rPr>
              <w:t>部分募集资金用途并永久补充流动资金，更符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合公司现阶段的经营情况，且有利于降低公司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财务费用，提高资金使用效率，不存在损害公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司和全体股东利益的情形；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、本次变更用途 并永久补充流动资金的募集资金已到账超过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、本次变更募集资金用途不影响其他项 目的实施；</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、公司将按照募集资金用途变更 的要求履行审批程序和信息披露义务；</w:t>
            </w:r>
            <w:r>
              <w:rPr>
                <w:rFonts w:ascii="Times New Roman" w:hAnsi="Times New Roman" w:cs="Times New Roman" w:eastAsia="Times New Roman" w:hint="default"/>
                <w:sz w:val="18"/>
                <w:szCs w:val="18"/>
              </w:rPr>
              <w:t>5</w:t>
            </w:r>
            <w:r>
              <w:rPr>
                <w:rFonts w:ascii="宋体" w:hAnsi="宋体" w:cs="宋体" w:eastAsia="宋体" w:hint="default"/>
                <w:sz w:val="18"/>
                <w:szCs w:val="18"/>
              </w:rPr>
              <w:t>、本 次使用募集资金永久补充流动资金前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内公司不存在从事风险投资的情况，未对控股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子公司以外的对象提供财务资助；</w:t>
            </w:r>
            <w:r>
              <w:rPr>
                <w:rFonts w:ascii="Times New Roman" w:hAnsi="Times New Roman" w:cs="Times New Roman" w:eastAsia="Times New Roman" w:hint="default"/>
                <w:sz w:val="18"/>
                <w:szCs w:val="18"/>
              </w:rPr>
              <w:t>6</w:t>
            </w:r>
            <w:r>
              <w:rPr>
                <w:rFonts w:ascii="宋体" w:hAnsi="宋体" w:cs="宋体" w:eastAsia="宋体" w:hint="default"/>
                <w:sz w:val="18"/>
                <w:szCs w:val="18"/>
              </w:rPr>
              <w:t>、本次使 用募集资金永久补充流动资金后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3"/>
                <w:sz w:val="18"/>
                <w:szCs w:val="18"/>
              </w:rPr>
              <w:t>进行风险投资、不为控股子公司以外的对象提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供财务资助；</w:t>
            </w:r>
            <w:r>
              <w:rPr>
                <w:rFonts w:ascii="Times New Roman" w:hAnsi="Times New Roman" w:cs="Times New Roman" w:eastAsia="Times New Roman" w:hint="default"/>
                <w:sz w:val="18"/>
                <w:szCs w:val="18"/>
              </w:rPr>
              <w:t>7</w:t>
            </w:r>
            <w:r>
              <w:rPr>
                <w:rFonts w:ascii="宋体" w:hAnsi="宋体" w:cs="宋体" w:eastAsia="宋体" w:hint="default"/>
                <w:sz w:val="18"/>
                <w:szCs w:val="18"/>
              </w:rPr>
              <w:t>、本次计划使用募集资金补充 的流动资金仅限于与主营业务相关的生产经 </w:t>
            </w:r>
            <w:r>
              <w:rPr>
                <w:rFonts w:ascii="宋体" w:hAnsi="宋体" w:cs="宋体" w:eastAsia="宋体" w:hint="default"/>
                <w:spacing w:val="-3"/>
                <w:sz w:val="18"/>
                <w:szCs w:val="18"/>
              </w:rPr>
              <w:t>营使用，不会通过直接或间接的安排用于新股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配售、申购，或用于股票及其衍生品种、可转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换公司债券等的交易。</w:t>
            </w:r>
          </w:p>
        </w:tc>
        <w:tc>
          <w:tcPr>
            <w:tcW w:w="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7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sz w:val="18"/>
              </w:rPr>
              <w:t>2019.11.22</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26" w:lineRule="auto"/>
              <w:ind w:left="23" w:right="-46"/>
              <w:jc w:val="left"/>
              <w:rPr>
                <w:rFonts w:ascii="宋体" w:hAnsi="宋体" w:cs="宋体" w:eastAsia="宋体" w:hint="default"/>
                <w:sz w:val="18"/>
                <w:szCs w:val="18"/>
              </w:rPr>
            </w:pPr>
            <w:r>
              <w:rPr>
                <w:rFonts w:ascii="宋体" w:hAnsi="宋体" w:cs="宋体" w:eastAsia="宋体" w:hint="default"/>
                <w:sz w:val="18"/>
                <w:szCs w:val="18"/>
              </w:rPr>
              <w:t>该承 诺已 履行 完毕。</w:t>
            </w:r>
          </w:p>
        </w:tc>
      </w:tr>
      <w:tr>
        <w:trPr>
          <w:trHeight w:val="64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6" w:lineRule="auto" w:before="46"/>
              <w:ind w:left="24"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427"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3603"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2269"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r>
      <w:tr>
        <w:trPr>
          <w:trHeight w:val="3528"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427"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3603"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r>
      <w:tr>
        <w:trPr>
          <w:trHeight w:val="323" w:hRule="exact"/>
        </w:trPr>
        <w:tc>
          <w:tcPr>
            <w:tcW w:w="6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279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2797"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256" w:lineRule="auto" w:before="36"/>
        <w:ind w:left="152" w:right="996" w:firstLine="0"/>
        <w:jc w:val="left"/>
        <w:rPr>
          <w:rFonts w:ascii="宋体" w:hAnsi="宋体" w:cs="宋体" w:eastAsia="宋体" w:hint="default"/>
          <w:sz w:val="21"/>
          <w:szCs w:val="21"/>
        </w:rPr>
      </w:pPr>
      <w:bookmarkStart w:name="2、公司资产或项目存在盈利预测，且报告期仍处在盈利预测期间，公司就资产或项目达到" w:id="68"/>
      <w:bookmarkEnd w:id="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0"/>
          <w:sz w:val="21"/>
          <w:szCs w:val="21"/>
        </w:rPr>
        <w:t> </w:t>
      </w:r>
      <w:r>
        <w:rPr>
          <w:rFonts w:ascii="宋体" w:hAnsi="宋体" w:cs="宋体" w:eastAsia="宋体" w:hint="default"/>
          <w:b/>
          <w:bCs/>
          <w:spacing w:val="-60"/>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line="458" w:lineRule="auto" w:before="0"/>
        <w:ind w:left="152" w:right="4249"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四、控股股东及其关联方对上市公司的非经营性占用资金情况" w:id="69"/>
      <w:bookmarkEnd w:id="69"/>
      <w:r>
        <w:rPr>
          <w:rFonts w:ascii="宋体" w:hAnsi="宋体" w:cs="宋体" w:eastAsia="宋体" w:hint="default"/>
          <w:sz w:val="24"/>
          <w:szCs w:val="24"/>
        </w:rPr>
      </w:r>
      <w:r>
        <w:rPr>
          <w:rFonts w:ascii="宋体" w:hAnsi="宋体" w:cs="宋体" w:eastAsia="宋体" w:hint="default"/>
          <w:b/>
          <w:bCs/>
          <w:sz w:val="24"/>
          <w:szCs w:val="24"/>
        </w:rPr>
        <w:t>四、控股股东及其关联方对上市公司的非经营性占用资金情况</w:t>
      </w:r>
      <w:r>
        <w:rPr>
          <w:rFonts w:ascii="宋体" w:hAnsi="宋体" w:cs="宋体" w:eastAsia="宋体" w:hint="default"/>
          <w:sz w:val="24"/>
          <w:szCs w:val="24"/>
        </w:rPr>
      </w:r>
    </w:p>
    <w:p>
      <w:pPr>
        <w:spacing w:line="482" w:lineRule="auto" w:before="26"/>
        <w:ind w:left="152" w:right="1117" w:firstLine="480"/>
        <w:jc w:val="left"/>
        <w:rPr>
          <w:rFonts w:ascii="宋体" w:hAnsi="宋体" w:cs="宋体" w:eastAsia="宋体" w:hint="default"/>
          <w:sz w:val="24"/>
          <w:szCs w:val="24"/>
        </w:rPr>
      </w:pPr>
      <w:r>
        <w:rPr>
          <w:rFonts w:ascii="宋体" w:hAnsi="宋体" w:cs="宋体" w:eastAsia="宋体" w:hint="default"/>
          <w:sz w:val="24"/>
          <w:szCs w:val="24"/>
        </w:rPr>
        <w:t>公司报告期不存在控股股东及其关联方对上市公司的非经营性占用资金。 </w:t>
      </w:r>
      <w:bookmarkStart w:name="五、董事会、监事会、独立董事（如有）对会计师事务所本报告期“非标准审计报告”的说" w:id="70"/>
      <w:bookmarkEnd w:id="70"/>
      <w:r>
        <w:rPr>
          <w:rFonts w:ascii="宋体" w:hAnsi="宋体" w:cs="宋体" w:eastAsia="宋体" w:hint="default"/>
          <w:sz w:val="24"/>
          <w:szCs w:val="24"/>
        </w:rPr>
      </w:r>
      <w:r>
        <w:rPr>
          <w:rFonts w:ascii="宋体" w:hAnsi="宋体" w:cs="宋体" w:eastAsia="宋体" w:hint="default"/>
          <w:b/>
          <w:bCs/>
          <w:sz w:val="24"/>
          <w:szCs w:val="24"/>
        </w:rPr>
        <w:t>五、董事会、监事会、独立董事（如有）对会计师事务所本报告期</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非标准审计报告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pStyle w:val="BodyText"/>
        <w:spacing w:line="291" w:lineRule="exact"/>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570" w:lineRule="atLeast" w:before="46"/>
        <w:ind w:left="633" w:right="1166" w:hanging="481"/>
        <w:jc w:val="left"/>
        <w:rPr>
          <w:rFonts w:ascii="宋体" w:hAnsi="宋体" w:cs="宋体" w:eastAsia="宋体" w:hint="default"/>
          <w:sz w:val="24"/>
          <w:szCs w:val="24"/>
        </w:rPr>
      </w:pPr>
      <w:bookmarkStart w:name="六、与上年度财务报告相比，会计政策、会计估计和核算方法发生变化的情况说明" w:id="71"/>
      <w:bookmarkEnd w:id="71"/>
      <w:r>
        <w:rPr/>
      </w:r>
      <w:r>
        <w:rPr>
          <w:rFonts w:ascii="宋体" w:hAnsi="宋体" w:cs="宋体" w:eastAsia="宋体" w:hint="default"/>
          <w:b/>
          <w:bCs/>
          <w:sz w:val="24"/>
          <w:szCs w:val="24"/>
        </w:rPr>
        <w:t>六、与上年度财务报告相比，会计政策、会计估计和核算方法发生变化的情况说明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公司会计政策变更情况详见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2019 </w:t>
      </w:r>
      <w:r>
        <w:rPr>
          <w:rFonts w:ascii="宋体" w:hAnsi="宋体" w:cs="宋体" w:eastAsia="宋体" w:hint="default"/>
          <w:sz w:val="24"/>
          <w:szCs w:val="24"/>
        </w:rPr>
        <w:t>年度报告全文的第十二节财务报告中</w:t>
      </w:r>
      <w:r>
        <w:rPr>
          <w:rFonts w:ascii="Times New Roman" w:hAnsi="Times New Roman" w:cs="Times New Roman" w:eastAsia="Times New Roman" w:hint="default"/>
          <w:sz w:val="24"/>
          <w:szCs w:val="24"/>
        </w:rPr>
        <w:t>“</w:t>
      </w:r>
      <w:r>
        <w:rPr>
          <w:rFonts w:ascii="宋体" w:hAnsi="宋体" w:cs="宋体" w:eastAsia="宋体" w:hint="default"/>
          <w:sz w:val="24"/>
          <w:szCs w:val="24"/>
        </w:rPr>
        <w:t>重要会计政策和</w:t>
      </w:r>
    </w:p>
    <w:p>
      <w:pPr>
        <w:spacing w:line="456" w:lineRule="auto" w:before="128"/>
        <w:ind w:left="152" w:right="4490" w:firstLine="0"/>
        <w:jc w:val="left"/>
        <w:rPr>
          <w:rFonts w:ascii="宋体" w:hAnsi="宋体" w:cs="宋体" w:eastAsia="宋体" w:hint="default"/>
          <w:sz w:val="24"/>
          <w:szCs w:val="24"/>
        </w:rPr>
      </w:pPr>
      <w:r>
        <w:rPr>
          <w:rFonts w:ascii="宋体" w:hAnsi="宋体" w:cs="宋体" w:eastAsia="宋体" w:hint="default"/>
          <w:sz w:val="24"/>
          <w:szCs w:val="24"/>
        </w:rPr>
        <w:t>会计估计变更</w:t>
      </w:r>
      <w:r>
        <w:rPr>
          <w:rFonts w:ascii="Times New Roman" w:hAnsi="Times New Roman" w:cs="Times New Roman" w:eastAsia="Times New Roman" w:hint="default"/>
          <w:sz w:val="24"/>
          <w:szCs w:val="24"/>
        </w:rPr>
        <w:t>”</w:t>
      </w:r>
      <w:r>
        <w:rPr>
          <w:rFonts w:ascii="宋体" w:hAnsi="宋体" w:cs="宋体" w:eastAsia="宋体" w:hint="default"/>
          <w:sz w:val="24"/>
          <w:szCs w:val="24"/>
        </w:rPr>
        <w:t>部分相关内容。 </w:t>
      </w:r>
      <w:bookmarkStart w:name="七、报告期内发生重大会计差错更正需追溯重述的情况说明" w:id="72"/>
      <w:bookmarkEnd w:id="72"/>
      <w:r>
        <w:rPr>
          <w:rFonts w:ascii="宋体" w:hAnsi="宋体" w:cs="宋体" w:eastAsia="宋体" w:hint="default"/>
          <w:sz w:val="24"/>
          <w:szCs w:val="24"/>
        </w:rPr>
      </w:r>
      <w:r>
        <w:rPr>
          <w:rFonts w:ascii="宋体" w:hAnsi="宋体" w:cs="宋体" w:eastAsia="宋体" w:hint="default"/>
          <w:b/>
          <w:bCs/>
          <w:sz w:val="24"/>
          <w:szCs w:val="24"/>
        </w:rPr>
        <w:t>七、报告期内发生重大会计差错更正需追溯重述的情况说明</w:t>
      </w:r>
      <w:r>
        <w:rPr>
          <w:rFonts w:ascii="宋体" w:hAnsi="宋体" w:cs="宋体" w:eastAsia="宋体" w:hint="default"/>
          <w:sz w:val="24"/>
          <w:szCs w:val="24"/>
        </w:rPr>
      </w:r>
    </w:p>
    <w:p>
      <w:pPr>
        <w:spacing w:line="484" w:lineRule="auto" w:before="29"/>
        <w:ind w:left="152" w:right="4008" w:firstLine="480"/>
        <w:jc w:val="left"/>
        <w:rPr>
          <w:rFonts w:ascii="宋体" w:hAnsi="宋体" w:cs="宋体" w:eastAsia="宋体" w:hint="default"/>
          <w:sz w:val="24"/>
          <w:szCs w:val="24"/>
        </w:rPr>
      </w:pPr>
      <w:r>
        <w:rPr>
          <w:rFonts w:ascii="宋体" w:hAnsi="宋体" w:cs="宋体" w:eastAsia="宋体" w:hint="default"/>
          <w:sz w:val="24"/>
          <w:szCs w:val="24"/>
        </w:rPr>
        <w:t>公司报告期无重大会计差错更正需追溯重述的情况。 </w:t>
      </w:r>
      <w:bookmarkStart w:name="八、与上年度财务报告相比，合并报表范围发生变化的情况说明" w:id="73"/>
      <w:bookmarkEnd w:id="73"/>
      <w:r>
        <w:rPr>
          <w:rFonts w:ascii="宋体" w:hAnsi="宋体" w:cs="宋体" w:eastAsia="宋体" w:hint="default"/>
          <w:sz w:val="24"/>
          <w:szCs w:val="24"/>
        </w:rPr>
      </w:r>
      <w:r>
        <w:rPr>
          <w:rFonts w:ascii="宋体" w:hAnsi="宋体" w:cs="宋体" w:eastAsia="宋体" w:hint="default"/>
          <w:b/>
          <w:bCs/>
          <w:sz w:val="24"/>
          <w:szCs w:val="24"/>
        </w:rPr>
        <w:t>八、与上年度财务报告相比，合并报表范围发生变化的情况说明</w:t>
      </w:r>
      <w:r>
        <w:rPr>
          <w:rFonts w:ascii="宋体" w:hAnsi="宋体" w:cs="宋体" w:eastAsia="宋体" w:hint="default"/>
          <w:sz w:val="24"/>
          <w:szCs w:val="24"/>
        </w:rPr>
      </w:r>
    </w:p>
    <w:p>
      <w:pPr>
        <w:pStyle w:val="BodyText"/>
        <w:spacing w:line="333" w:lineRule="auto"/>
        <w:ind w:right="1117" w:firstLine="480"/>
        <w:jc w:val="left"/>
      </w:pPr>
      <w:r>
        <w:rPr/>
        <w:t>洛阳辉煌城轨科技有限公司于</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5"/>
        </w:rPr>
        <w:t>日注册成立，新纳入合并范围，截止本报告</w:t>
      </w:r>
      <w:r>
        <w:rPr/>
        <w:t> 期末，尚未开展经营。</w:t>
      </w:r>
    </w:p>
    <w:p>
      <w:pPr>
        <w:spacing w:line="240" w:lineRule="auto" w:before="1"/>
        <w:rPr>
          <w:rFonts w:ascii="宋体" w:hAnsi="宋体" w:cs="宋体" w:eastAsia="宋体" w:hint="default"/>
          <w:sz w:val="17"/>
          <w:szCs w:val="17"/>
        </w:rPr>
      </w:pPr>
    </w:p>
    <w:p>
      <w:pPr>
        <w:pStyle w:val="Heading2"/>
        <w:spacing w:line="240" w:lineRule="auto" w:before="0"/>
        <w:ind w:right="996"/>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before="166"/>
        <w:ind w:left="152" w:right="99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244"/>
        <w:gridCol w:w="4325"/>
      </w:tblGrid>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李斌、胡丽娟</w:t>
            </w:r>
          </w:p>
        </w:tc>
      </w:tr>
      <w:tr>
        <w:trPr>
          <w:trHeight w:val="404"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李斌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年、胡丽娟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当期是否改聘会计师事务所</w:t>
      </w:r>
    </w:p>
    <w:p>
      <w:pPr>
        <w:pStyle w:val="BodyText"/>
        <w:spacing w:line="333" w:lineRule="auto" w:before="144"/>
        <w:ind w:left="633"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聘请内部控制审计会计师事务所、财务顾问或保荐人情况</w:t>
      </w:r>
    </w:p>
    <w:p>
      <w:pPr>
        <w:pStyle w:val="BodyText"/>
        <w:spacing w:line="331" w:lineRule="auto" w:before="53"/>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报告期内，公司聘请大华会计师事务所（特殊普通合伙）担任公司的内部控制审计会计</w:t>
      </w:r>
    </w:p>
    <w:p>
      <w:pPr>
        <w:pStyle w:val="BodyText"/>
        <w:spacing w:line="240" w:lineRule="auto" w:before="55"/>
        <w:ind w:right="996"/>
        <w:jc w:val="left"/>
      </w:pPr>
      <w:r>
        <w:rPr/>
        <w:t>师，期间共支付其财务审计、内部控制审计及验资费用共计</w:t>
      </w:r>
      <w:r>
        <w:rPr>
          <w:spacing w:val="-59"/>
        </w:rPr>
        <w:t> </w:t>
      </w:r>
      <w:r>
        <w:rPr>
          <w:rFonts w:ascii="Times New Roman" w:hAnsi="Times New Roman" w:cs="Times New Roman" w:eastAsia="Times New Roman" w:hint="default"/>
        </w:rPr>
        <w:t>80 </w:t>
      </w:r>
      <w:r>
        <w:rPr/>
        <w:t>万元。</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ind w:right="996"/>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10"/>
        <w:rPr>
          <w:rFonts w:ascii="宋体" w:hAnsi="宋体" w:cs="宋体" w:eastAsia="宋体" w:hint="default"/>
          <w:b/>
          <w:bCs/>
          <w:sz w:val="18"/>
          <w:szCs w:val="18"/>
        </w:rPr>
      </w:pPr>
    </w:p>
    <w:p>
      <w:pPr>
        <w:spacing w:line="458" w:lineRule="auto" w:before="0"/>
        <w:ind w:left="152" w:right="8104"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十一、破产重整相关事项" w:id="76"/>
      <w:bookmarkEnd w:id="76"/>
      <w:r>
        <w:rPr>
          <w:rFonts w:ascii="宋体" w:hAnsi="宋体" w:cs="宋体" w:eastAsia="宋体" w:hint="default"/>
          <w:sz w:val="24"/>
          <w:szCs w:val="24"/>
        </w:rPr>
      </w:r>
      <w:r>
        <w:rPr>
          <w:rFonts w:ascii="宋体" w:hAnsi="宋体" w:cs="宋体" w:eastAsia="宋体" w:hint="default"/>
          <w:b/>
          <w:bCs/>
          <w:sz w:val="24"/>
          <w:szCs w:val="24"/>
        </w:rPr>
        <w:t>十一、破产重整相关事项</w:t>
      </w:r>
      <w:r>
        <w:rPr>
          <w:rFonts w:ascii="宋体" w:hAnsi="宋体" w:cs="宋体" w:eastAsia="宋体" w:hint="default"/>
          <w:sz w:val="24"/>
          <w:szCs w:val="24"/>
        </w:rPr>
      </w:r>
    </w:p>
    <w:p>
      <w:pPr>
        <w:spacing w:line="482" w:lineRule="auto" w:before="26"/>
        <w:ind w:left="152" w:right="6194" w:firstLine="480"/>
        <w:jc w:val="left"/>
        <w:rPr>
          <w:rFonts w:ascii="宋体" w:hAnsi="宋体" w:cs="宋体" w:eastAsia="宋体" w:hint="default"/>
          <w:sz w:val="24"/>
          <w:szCs w:val="24"/>
        </w:rPr>
      </w:pPr>
      <w:r>
        <w:rPr>
          <w:rFonts w:ascii="宋体" w:hAnsi="宋体" w:cs="宋体" w:eastAsia="宋体" w:hint="default"/>
          <w:sz w:val="24"/>
          <w:szCs w:val="24"/>
        </w:rPr>
        <w:t>公司报告期未发生破产重整相关事项。 </w:t>
      </w:r>
      <w:bookmarkStart w:name="十二、重大诉讼、仲裁事项" w:id="77"/>
      <w:bookmarkEnd w:id="77"/>
      <w:r>
        <w:rPr>
          <w:rFonts w:ascii="宋体" w:hAnsi="宋体" w:cs="宋体" w:eastAsia="宋体" w:hint="default"/>
          <w:sz w:val="24"/>
          <w:szCs w:val="24"/>
        </w:rPr>
      </w:r>
      <w:r>
        <w:rPr>
          <w:rFonts w:ascii="宋体" w:hAnsi="宋体" w:cs="宋体" w:eastAsia="宋体" w:hint="default"/>
          <w:b/>
          <w:bCs/>
          <w:sz w:val="24"/>
          <w:szCs w:val="24"/>
        </w:rPr>
        <w:t>十二、重大诉讼、仲裁事项</w:t>
      </w:r>
      <w:r>
        <w:rPr>
          <w:rFonts w:ascii="宋体" w:hAnsi="宋体" w:cs="宋体" w:eastAsia="宋体" w:hint="default"/>
          <w:sz w:val="24"/>
          <w:szCs w:val="24"/>
        </w:rPr>
      </w:r>
    </w:p>
    <w:p>
      <w:pPr>
        <w:spacing w:line="484" w:lineRule="auto" w:before="2"/>
        <w:ind w:left="152" w:right="6194" w:firstLine="480"/>
        <w:jc w:val="left"/>
        <w:rPr>
          <w:rFonts w:ascii="宋体" w:hAnsi="宋体" w:cs="宋体" w:eastAsia="宋体" w:hint="default"/>
          <w:sz w:val="24"/>
          <w:szCs w:val="24"/>
        </w:rPr>
      </w:pPr>
      <w:r>
        <w:rPr>
          <w:rFonts w:ascii="宋体" w:hAnsi="宋体" w:cs="宋体" w:eastAsia="宋体" w:hint="default"/>
          <w:sz w:val="24"/>
          <w:szCs w:val="24"/>
        </w:rPr>
        <w:t>本报告期公司无重大诉讼、仲裁事项。 </w:t>
      </w:r>
      <w:bookmarkStart w:name="十三、处罚及整改情况" w:id="78"/>
      <w:bookmarkEnd w:id="78"/>
      <w:r>
        <w:rPr>
          <w:rFonts w:ascii="宋体" w:hAnsi="宋体" w:cs="宋体" w:eastAsia="宋体" w:hint="default"/>
          <w:sz w:val="24"/>
          <w:szCs w:val="24"/>
        </w:rPr>
      </w:r>
      <w:r>
        <w:rPr>
          <w:rFonts w:ascii="宋体" w:hAnsi="宋体" w:cs="宋体" w:eastAsia="宋体" w:hint="default"/>
          <w:b/>
          <w:bCs/>
          <w:sz w:val="24"/>
          <w:szCs w:val="24"/>
        </w:rPr>
        <w:t>十三、处罚及整改情况</w:t>
      </w:r>
      <w:r>
        <w:rPr>
          <w:rFonts w:ascii="宋体" w:hAnsi="宋体" w:cs="宋体" w:eastAsia="宋体" w:hint="default"/>
          <w:sz w:val="24"/>
          <w:szCs w:val="24"/>
        </w:rPr>
      </w:r>
    </w:p>
    <w:p>
      <w:pPr>
        <w:spacing w:line="484" w:lineRule="auto" w:before="1"/>
        <w:ind w:left="152" w:right="5453" w:firstLine="480"/>
        <w:jc w:val="left"/>
        <w:rPr>
          <w:rFonts w:ascii="宋体" w:hAnsi="宋体" w:cs="宋体" w:eastAsia="宋体" w:hint="default"/>
          <w:sz w:val="24"/>
          <w:szCs w:val="24"/>
        </w:rPr>
      </w:pPr>
      <w:r>
        <w:rPr>
          <w:rFonts w:ascii="宋体" w:hAnsi="宋体" w:cs="宋体" w:eastAsia="宋体" w:hint="default"/>
          <w:sz w:val="24"/>
          <w:szCs w:val="24"/>
        </w:rPr>
        <w:t>公司报告期不存在处罚及整改情况。 </w:t>
      </w:r>
      <w:bookmarkStart w:name="十四、公司及其控股股东、实际控制人的诚信状况" w:id="79"/>
      <w:bookmarkEnd w:id="79"/>
      <w:r>
        <w:rPr>
          <w:rFonts w:ascii="宋体" w:hAnsi="宋体" w:cs="宋体" w:eastAsia="宋体" w:hint="default"/>
          <w:sz w:val="24"/>
          <w:szCs w:val="24"/>
        </w:rPr>
      </w:r>
      <w:r>
        <w:rPr>
          <w:rFonts w:ascii="宋体" w:hAnsi="宋体" w:cs="宋体" w:eastAsia="宋体" w:hint="default"/>
          <w:b/>
          <w:bCs/>
          <w:sz w:val="24"/>
          <w:szCs w:val="24"/>
        </w:rPr>
        <w:t>十四、公司及其控股股东、实际控制人的诚信状况</w:t>
      </w:r>
      <w:r>
        <w:rPr>
          <w:rFonts w:ascii="宋体" w:hAnsi="宋体" w:cs="宋体" w:eastAsia="宋体" w:hint="default"/>
          <w:sz w:val="24"/>
          <w:szCs w:val="24"/>
        </w:rPr>
      </w:r>
    </w:p>
    <w:p>
      <w:pPr>
        <w:pStyle w:val="BodyText"/>
        <w:spacing w:line="350" w:lineRule="auto"/>
        <w:ind w:right="1154" w:firstLine="480"/>
        <w:jc w:val="left"/>
      </w:pPr>
      <w:r>
        <w:rPr/>
        <w:t>报告期内，公司及公司第一大股东不存在未履行的法院生效判决、所负数额较大的债务 到期未清偿等情况。</w:t>
      </w:r>
    </w:p>
    <w:p>
      <w:pPr>
        <w:spacing w:line="427" w:lineRule="auto" w:before="209"/>
        <w:ind w:left="633" w:right="1873" w:hanging="481"/>
        <w:jc w:val="left"/>
        <w:rPr>
          <w:rFonts w:ascii="宋体" w:hAnsi="宋体" w:cs="宋体" w:eastAsia="宋体" w:hint="default"/>
          <w:sz w:val="24"/>
          <w:szCs w:val="24"/>
        </w:rPr>
      </w:pPr>
      <w:bookmarkStart w:name="十五、公司股权激励计划、员工持股计划或其他员工激励措施的实施情况" w:id="80"/>
      <w:bookmarkEnd w:id="80"/>
      <w:r>
        <w:rPr/>
      </w:r>
      <w:r>
        <w:rPr>
          <w:rFonts w:ascii="宋体" w:hAnsi="宋体" w:cs="宋体" w:eastAsia="宋体" w:hint="default"/>
          <w:b/>
          <w:bCs/>
          <w:sz w:val="24"/>
          <w:szCs w:val="24"/>
        </w:rPr>
        <w:t>十五、公司股权激励计划、员工持股计划或其他员工激励措施的实施情况</w:t>
      </w:r>
      <w:r>
        <w:rPr>
          <w:rFonts w:ascii="宋体" w:hAnsi="宋体" w:cs="宋体" w:eastAsia="宋体" w:hint="default"/>
          <w:b/>
          <w:bCs/>
          <w:w w:val="99"/>
          <w:sz w:val="24"/>
          <w:szCs w:val="24"/>
        </w:rPr>
        <w:t> </w:t>
      </w:r>
      <w:r>
        <w:rPr>
          <w:rFonts w:ascii="宋体" w:hAnsi="宋体" w:cs="宋体" w:eastAsia="宋体" w:hint="default"/>
          <w:sz w:val="24"/>
          <w:szCs w:val="24"/>
        </w:rPr>
        <w:t>公司报告期无股权激励计划、员工持股计划或其他员工激励措施及其实施情况。</w:t>
      </w:r>
    </w:p>
    <w:p>
      <w:pPr>
        <w:pStyle w:val="Heading2"/>
        <w:spacing w:line="240" w:lineRule="auto" w:before="132"/>
        <w:ind w:right="996"/>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4"/>
        <w:rPr>
          <w:rFonts w:ascii="宋体" w:hAnsi="宋体" w:cs="宋体" w:eastAsia="宋体" w:hint="default"/>
          <w:b/>
          <w:bCs/>
          <w:sz w:val="20"/>
          <w:szCs w:val="20"/>
        </w:rPr>
      </w:pPr>
    </w:p>
    <w:p>
      <w:pPr>
        <w:spacing w:before="0"/>
        <w:ind w:left="152" w:right="996" w:firstLine="0"/>
        <w:jc w:val="left"/>
        <w:rPr>
          <w:rFonts w:ascii="宋体" w:hAnsi="宋体" w:cs="宋体" w:eastAsia="宋体" w:hint="default"/>
          <w:sz w:val="21"/>
          <w:szCs w:val="21"/>
        </w:rPr>
      </w:pPr>
      <w:bookmarkStart w:name="1、与日常经营相关的关联交易" w:id="82"/>
      <w:bookmarkEnd w:id="8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t>公司报告期未发生与日常经营相关的关联交易。</w:t>
      </w:r>
    </w:p>
    <w:p>
      <w:pPr>
        <w:spacing w:line="240" w:lineRule="auto" w:before="10"/>
        <w:rPr>
          <w:rFonts w:ascii="宋体" w:hAnsi="宋体" w:cs="宋体" w:eastAsia="宋体" w:hint="default"/>
          <w:sz w:val="21"/>
          <w:szCs w:val="21"/>
        </w:rPr>
      </w:pPr>
    </w:p>
    <w:p>
      <w:pPr>
        <w:spacing w:before="0"/>
        <w:ind w:left="152" w:right="996" w:firstLine="0"/>
        <w:jc w:val="left"/>
        <w:rPr>
          <w:rFonts w:ascii="宋体" w:hAnsi="宋体" w:cs="宋体" w:eastAsia="宋体" w:hint="default"/>
          <w:sz w:val="21"/>
          <w:szCs w:val="21"/>
        </w:rPr>
      </w:pPr>
      <w:bookmarkStart w:name="2、资产或股权收购、出售发生的关联交易" w:id="83"/>
      <w:bookmarkEnd w:id="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t>公司报告期未发生资产或股权收购、出售的关联交易。</w:t>
      </w:r>
    </w:p>
    <w:p>
      <w:pPr>
        <w:spacing w:line="240" w:lineRule="auto" w:before="13"/>
        <w:rPr>
          <w:rFonts w:ascii="宋体" w:hAnsi="宋体" w:cs="宋体" w:eastAsia="宋体" w:hint="default"/>
          <w:sz w:val="21"/>
          <w:szCs w:val="21"/>
        </w:rPr>
      </w:pPr>
    </w:p>
    <w:p>
      <w:pPr>
        <w:spacing w:before="0"/>
        <w:ind w:left="152" w:right="996" w:firstLine="0"/>
        <w:jc w:val="left"/>
        <w:rPr>
          <w:rFonts w:ascii="宋体" w:hAnsi="宋体" w:cs="宋体" w:eastAsia="宋体" w:hint="default"/>
          <w:sz w:val="21"/>
          <w:szCs w:val="21"/>
        </w:rPr>
      </w:pPr>
      <w:bookmarkStart w:name="3、共同对外投资的关联交易" w:id="84"/>
      <w:bookmarkEnd w:id="8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pStyle w:val="BodyText"/>
        <w:spacing w:line="240" w:lineRule="auto"/>
        <w:ind w:left="633" w:right="996"/>
        <w:jc w:val="left"/>
      </w:pPr>
      <w:r>
        <w:rPr/>
        <w:t>公司报告期未发生共同对外投资的关联交易。</w:t>
      </w:r>
    </w:p>
    <w:p>
      <w:pPr>
        <w:spacing w:line="240" w:lineRule="auto" w:before="13"/>
        <w:rPr>
          <w:rFonts w:ascii="宋体" w:hAnsi="宋体" w:cs="宋体" w:eastAsia="宋体" w:hint="default"/>
          <w:sz w:val="21"/>
          <w:szCs w:val="21"/>
        </w:rPr>
      </w:pPr>
    </w:p>
    <w:p>
      <w:pPr>
        <w:spacing w:before="0"/>
        <w:ind w:left="152" w:right="996" w:firstLine="0"/>
        <w:jc w:val="left"/>
        <w:rPr>
          <w:rFonts w:ascii="宋体" w:hAnsi="宋体" w:cs="宋体" w:eastAsia="宋体" w:hint="default"/>
          <w:sz w:val="21"/>
          <w:szCs w:val="21"/>
        </w:rPr>
      </w:pPr>
      <w:bookmarkStart w:name="4、关联债权债务往来" w:id="85"/>
      <w:bookmarkEnd w:id="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t>公司报告期不存在关联债权债务往来。</w:t>
      </w:r>
    </w:p>
    <w:p>
      <w:pPr>
        <w:spacing w:line="240" w:lineRule="auto" w:before="10"/>
        <w:rPr>
          <w:rFonts w:ascii="宋体" w:hAnsi="宋体" w:cs="宋体" w:eastAsia="宋体" w:hint="default"/>
          <w:sz w:val="21"/>
          <w:szCs w:val="21"/>
        </w:rPr>
      </w:pPr>
    </w:p>
    <w:p>
      <w:pPr>
        <w:spacing w:before="0"/>
        <w:ind w:left="152" w:right="996" w:firstLine="0"/>
        <w:jc w:val="left"/>
        <w:rPr>
          <w:rFonts w:ascii="宋体" w:hAnsi="宋体" w:cs="宋体" w:eastAsia="宋体" w:hint="default"/>
          <w:sz w:val="21"/>
          <w:szCs w:val="21"/>
        </w:rPr>
      </w:pPr>
      <w:bookmarkStart w:name="5、其他重大关联交易" w:id="86"/>
      <w:bookmarkEnd w:id="8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t>公司报告期无其他重大关联交易。</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ind w:right="996"/>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4"/>
        <w:rPr>
          <w:rFonts w:ascii="宋体" w:hAnsi="宋体" w:cs="宋体" w:eastAsia="宋体" w:hint="default"/>
          <w:b/>
          <w:bCs/>
          <w:sz w:val="20"/>
          <w:szCs w:val="20"/>
        </w:rPr>
      </w:pPr>
    </w:p>
    <w:p>
      <w:pPr>
        <w:spacing w:before="0"/>
        <w:ind w:left="152" w:right="996" w:firstLine="0"/>
        <w:jc w:val="left"/>
        <w:rPr>
          <w:rFonts w:ascii="宋体" w:hAnsi="宋体" w:cs="宋体" w:eastAsia="宋体" w:hint="default"/>
          <w:sz w:val="21"/>
          <w:szCs w:val="21"/>
        </w:rPr>
      </w:pPr>
      <w:bookmarkStart w:name="1、托管、承包、租赁事项情况" w:id="88"/>
      <w:bookmarkEnd w:id="8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托管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公司报告期不存在托管情况。</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承包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公司报告期不存在承包情况。</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租赁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公司报告期不存在租赁情况。</w:t>
      </w:r>
    </w:p>
    <w:p>
      <w:pPr>
        <w:spacing w:line="240" w:lineRule="auto" w:before="13"/>
        <w:rPr>
          <w:rFonts w:ascii="宋体" w:hAnsi="宋体" w:cs="宋体" w:eastAsia="宋体" w:hint="default"/>
          <w:sz w:val="21"/>
          <w:szCs w:val="21"/>
        </w:rPr>
      </w:pPr>
    </w:p>
    <w:p>
      <w:pPr>
        <w:spacing w:before="0"/>
        <w:ind w:left="152" w:right="996" w:firstLine="0"/>
        <w:jc w:val="left"/>
        <w:rPr>
          <w:rFonts w:ascii="宋体" w:hAnsi="宋体" w:cs="宋体" w:eastAsia="宋体" w:hint="default"/>
          <w:sz w:val="21"/>
          <w:szCs w:val="21"/>
        </w:rPr>
      </w:pPr>
      <w:bookmarkStart w:name="2、重大担保" w:id="92"/>
      <w:bookmarkEnd w:id="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t>公司报告期不存在担保情况。</w:t>
      </w:r>
    </w:p>
    <w:p>
      <w:pPr>
        <w:spacing w:line="240" w:lineRule="auto" w:before="10"/>
        <w:rPr>
          <w:rFonts w:ascii="宋体" w:hAnsi="宋体" w:cs="宋体" w:eastAsia="宋体" w:hint="default"/>
          <w:sz w:val="21"/>
          <w:szCs w:val="21"/>
        </w:rPr>
      </w:pPr>
    </w:p>
    <w:p>
      <w:pPr>
        <w:spacing w:before="0"/>
        <w:ind w:left="152" w:right="996" w:firstLine="0"/>
        <w:jc w:val="left"/>
        <w:rPr>
          <w:rFonts w:ascii="宋体" w:hAnsi="宋体" w:cs="宋体" w:eastAsia="宋体" w:hint="default"/>
          <w:sz w:val="21"/>
          <w:szCs w:val="21"/>
        </w:rPr>
      </w:pPr>
      <w:bookmarkStart w:name="3、委托他人进行现金资产管理情况" w:id="93"/>
      <w:bookmarkEnd w:id="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委托理财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6"/>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45" w:footer="980" w:top="1060" w:bottom="1160" w:left="980" w:right="0"/>
        </w:sectPr>
      </w:pPr>
    </w:p>
    <w:p>
      <w:pPr>
        <w:pStyle w:val="BodyText"/>
        <w:spacing w:line="240" w:lineRule="auto" w:before="26"/>
        <w:ind w:left="633" w:right="-20"/>
        <w:jc w:val="left"/>
      </w:pPr>
      <w:r>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34" w:space="5226"/>
            <w:col w:w="267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14,600</w:t>
            </w:r>
            <w:r>
              <w:rPr>
                <w:rFonts w:ascii="Times New Roman"/>
                <w:sz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单项金额重大或安全性较低、流动性较差、不保本的高风险委托理财具体情况</w:t>
      </w:r>
    </w:p>
    <w:p>
      <w:pPr>
        <w:pStyle w:val="BodyText"/>
        <w:spacing w:line="331" w:lineRule="auto" w:before="147"/>
        <w:ind w:left="633" w:right="3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委托理财出现预期无法收回本金或存在其他可能导致减值的情形</w:t>
      </w:r>
    </w:p>
    <w:p>
      <w:pPr>
        <w:pStyle w:val="BodyText"/>
        <w:spacing w:line="240" w:lineRule="auto" w:before="55"/>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2"/>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bookmarkStart w:name="（2）委托贷款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t>公司报告期不存在委托贷款。</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4、其他重大合同" w:id="96"/>
      <w:bookmarkEnd w:id="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line="484" w:lineRule="auto" w:before="0"/>
        <w:ind w:left="152" w:right="6674" w:firstLine="480"/>
        <w:jc w:val="left"/>
        <w:rPr>
          <w:rFonts w:ascii="宋体" w:hAnsi="宋体" w:cs="宋体" w:eastAsia="宋体" w:hint="default"/>
          <w:sz w:val="24"/>
          <w:szCs w:val="24"/>
        </w:rPr>
      </w:pPr>
      <w:r>
        <w:rPr>
          <w:rFonts w:ascii="宋体" w:hAnsi="宋体" w:cs="宋体" w:eastAsia="宋体" w:hint="default"/>
          <w:sz w:val="24"/>
          <w:szCs w:val="24"/>
        </w:rPr>
        <w:t>公司报告期不存在其他重大合同。 </w:t>
      </w:r>
      <w:bookmarkStart w:name="十八、社会责任情况" w:id="97"/>
      <w:bookmarkEnd w:id="97"/>
      <w:r>
        <w:rPr>
          <w:rFonts w:ascii="宋体" w:hAnsi="宋体" w:cs="宋体" w:eastAsia="宋体" w:hint="default"/>
          <w:sz w:val="24"/>
          <w:szCs w:val="24"/>
        </w:rPr>
      </w:r>
      <w:r>
        <w:rPr>
          <w:rFonts w:ascii="宋体" w:hAnsi="宋体" w:cs="宋体" w:eastAsia="宋体" w:hint="default"/>
          <w:b/>
          <w:bCs/>
          <w:sz w:val="24"/>
          <w:szCs w:val="24"/>
        </w:rPr>
        <w:t>十八、社会责任情况</w:t>
      </w:r>
      <w:r>
        <w:rPr>
          <w:rFonts w:ascii="宋体" w:hAnsi="宋体" w:cs="宋体" w:eastAsia="宋体" w:hint="default"/>
          <w:sz w:val="24"/>
          <w:szCs w:val="24"/>
        </w:rPr>
      </w:r>
    </w:p>
    <w:p>
      <w:pPr>
        <w:pStyle w:val="BodyText"/>
        <w:spacing w:line="331" w:lineRule="auto"/>
        <w:ind w:left="633" w:right="1153"/>
        <w:jc w:val="left"/>
      </w:pPr>
      <w:r>
        <w:rPr>
          <w:rFonts w:ascii="Times New Roman" w:hAnsi="Times New Roman" w:cs="Times New Roman" w:eastAsia="Times New Roman" w:hint="default"/>
        </w:rPr>
        <w:t>1</w:t>
      </w:r>
      <w:r>
        <w:rPr/>
        <w:t>、履行社会责任情况 公司积极努力推进经营业务发展，在追求最佳企业经济效益的同时，切实履行对股东、</w:t>
      </w:r>
    </w:p>
    <w:p>
      <w:pPr>
        <w:pStyle w:val="BodyText"/>
        <w:spacing w:line="240" w:lineRule="auto" w:before="55"/>
        <w:ind w:right="0"/>
        <w:jc w:val="both"/>
      </w:pPr>
      <w:r>
        <w:rPr>
          <w:spacing w:val="-2"/>
        </w:rPr>
        <w:t>职工客户、供应商等利益相关者的社会责任，实现公司与社会的全面、协调、可持续性发展。</w:t>
      </w:r>
    </w:p>
    <w:p>
      <w:pPr>
        <w:pStyle w:val="BodyText"/>
        <w:spacing w:line="331" w:lineRule="auto" w:before="146"/>
        <w:ind w:left="633" w:right="1153"/>
        <w:jc w:val="left"/>
      </w:pPr>
      <w:r>
        <w:rPr/>
        <w:t>（</w:t>
      </w:r>
      <w:r>
        <w:rPr>
          <w:rFonts w:ascii="Times New Roman" w:hAnsi="Times New Roman" w:cs="Times New Roman" w:eastAsia="Times New Roman" w:hint="default"/>
        </w:rPr>
        <w:t>1</w:t>
      </w:r>
      <w:r>
        <w:rPr/>
        <w:t>）股东和投资者权益保护 </w:t>
      </w:r>
      <w:r>
        <w:rPr>
          <w:spacing w:val="-12"/>
        </w:rPr>
        <w:t>公司严格按照《公司法》、《证券法》、《深圳证券交易所中小板上市公司规范运作指引》</w:t>
      </w:r>
    </w:p>
    <w:p>
      <w:pPr>
        <w:pStyle w:val="BodyText"/>
        <w:spacing w:line="350" w:lineRule="auto" w:before="56"/>
        <w:ind w:right="1170"/>
        <w:jc w:val="both"/>
      </w:pPr>
      <w:r>
        <w:rPr/>
        <w:t>等法律法规以及《公司章程》的要求，建立健全公司内部控制体系，优化公司治理结构，不 断提升公司治理水平。公司严格依法履行信息披露义务，真实、准确、完整、及时、公平地 向所有股东披露信息，通过深圳证券交易所网站互动平台、接待调研采访等沟通渠道与广大 投资者进行互动、交流，可及时接受投资者咨询，加深投资者对公司的了解和认同，促进公 司与投资者之间长期、健康、稳定的关系，提高了公司的透明度与诚信度，实现公司价值和 股东利益最大化。</w:t>
      </w:r>
    </w:p>
    <w:p>
      <w:pPr>
        <w:pStyle w:val="BodyText"/>
        <w:spacing w:line="352" w:lineRule="auto" w:before="36"/>
        <w:ind w:right="1171" w:firstLine="480"/>
        <w:jc w:val="both"/>
      </w:pPr>
      <w:r>
        <w:rPr/>
        <w:t>公司非常重视对投资者的合理回报，严格依照法律法规关于上市公司利润分配的规定， 制定并实施合理可行的利润分配方案，决策程序透明，有效保障了股东的合法权益。</w:t>
      </w:r>
    </w:p>
    <w:p>
      <w:pPr>
        <w:pStyle w:val="BodyText"/>
        <w:spacing w:line="333" w:lineRule="auto" w:before="31"/>
        <w:ind w:left="633" w:right="1153"/>
        <w:jc w:val="left"/>
      </w:pPr>
      <w:r>
        <w:rPr/>
        <w:t>（</w:t>
      </w:r>
      <w:r>
        <w:rPr>
          <w:rFonts w:ascii="Times New Roman" w:hAnsi="Times New Roman" w:cs="Times New Roman" w:eastAsia="Times New Roman" w:hint="default"/>
        </w:rPr>
        <w:t>2</w:t>
      </w:r>
      <w:r>
        <w:rPr/>
        <w:t>）职工权益保护 公司一直坚持以人为本的理念，努力构建和谐的劳资关系，把员工作为企业生存和发展</w:t>
      </w:r>
    </w:p>
    <w:p>
      <w:pPr>
        <w:pStyle w:val="BodyText"/>
        <w:spacing w:line="350" w:lineRule="auto" w:before="53"/>
        <w:ind w:right="1170"/>
        <w:jc w:val="both"/>
      </w:pPr>
      <w:r>
        <w:rPr/>
        <w:t>的宝贵资源，为员工提供良好的工作环境、积极向上的文化氛围、公平合理的薪酬福利体系 及广阔的职业发展道路，实现企业与员工的共同成长、发展。</w:t>
      </w:r>
    </w:p>
    <w:p>
      <w:pPr>
        <w:pStyle w:val="BodyText"/>
        <w:spacing w:line="352" w:lineRule="auto" w:before="36"/>
        <w:ind w:right="1015" w:firstLine="480"/>
        <w:jc w:val="both"/>
      </w:pPr>
      <w:r>
        <w:rPr>
          <w:spacing w:val="-7"/>
        </w:rPr>
        <w:t>公司严格遵守《中华人民共和国劳动合同法》、《妇女权益保护法》等有关法律法规，规</w:t>
      </w:r>
      <w:r>
        <w:rPr/>
        <w:t> 范执行劳动用工制度。公司还设立了工会、职工代表大会等职工维权机构，从制度上为维护 职工权益提供了保障。公司按照国家规定为员工缴纳五险一金，同时关爱员工，为广大员工 </w:t>
      </w:r>
      <w:r>
        <w:rPr>
          <w:spacing w:val="-3"/>
        </w:rPr>
        <w:t>提供优厚的福利待遇，如：免费班车、员工餐厅、健康体检、节日慰问、意外险、运动场等。</w:t>
      </w:r>
    </w:p>
    <w:p>
      <w:pPr>
        <w:pStyle w:val="BodyText"/>
        <w:spacing w:line="350" w:lineRule="auto" w:before="34"/>
        <w:ind w:right="1170" w:firstLine="480"/>
        <w:jc w:val="both"/>
      </w:pPr>
      <w:r>
        <w:rPr/>
        <w:t>报告期内，公司结合铁路通信信号的行业特点及公司经营特点，按照市场化原则，公司 对现有的制度不断优化，有效的提升了员工的执行力及责任意识，有利于巩固公司的人才队 伍，为企业的发展提供人力资源保障。同时，通过良性的企业文化树立员工的主人翁意识， 培养员工的进取精神，通过给员工提供成长和发展的机遇与平台，鼓励员工提升自我、实现 自我，从而促进了员工与企业的共同发展。</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33" w:lineRule="auto" w:before="198"/>
        <w:ind w:left="633" w:right="1153"/>
        <w:jc w:val="left"/>
      </w:pPr>
      <w:r>
        <w:rPr/>
        <w:t>（</w:t>
      </w:r>
      <w:r>
        <w:rPr>
          <w:rFonts w:ascii="Times New Roman" w:hAnsi="Times New Roman" w:cs="Times New Roman" w:eastAsia="Times New Roman" w:hint="default"/>
        </w:rPr>
        <w:t>3</w:t>
      </w:r>
      <w:r>
        <w:rPr/>
        <w:t>）客户和供应商权益保护 公司将诚实守信作为企业发展之基，注重与供应商、客户的沟通与协调，把其满意度作</w:t>
      </w:r>
    </w:p>
    <w:p>
      <w:pPr>
        <w:pStyle w:val="BodyText"/>
        <w:spacing w:line="352" w:lineRule="auto" w:before="50"/>
        <w:ind w:right="1154"/>
        <w:jc w:val="left"/>
      </w:pPr>
      <w:r>
        <w:rPr/>
        <w:t>为衡量公司工作的标准之一，并与其建立共生共荣的战略合作伙伴关系，充分尊重并保护供 应商和客户的合法权益，保持长期良好的合作关系。</w:t>
      </w:r>
    </w:p>
    <w:p>
      <w:pPr>
        <w:pStyle w:val="BodyText"/>
        <w:spacing w:line="350" w:lineRule="auto" w:before="34"/>
        <w:ind w:right="1170" w:firstLine="480"/>
        <w:jc w:val="both"/>
      </w:pPr>
      <w:r>
        <w:rPr/>
        <w:t>公司遵循合法合规、互利双赢的原则，与主要供应商建立并保持了诚信共赢、长期稳定 的战略合作关系。公司严格遵守相关规定，不断完善采购流程与机制，推动双方更深层次的 合作与发展，促进共同进步。</w:t>
      </w:r>
    </w:p>
    <w:p>
      <w:pPr>
        <w:pStyle w:val="BodyText"/>
        <w:spacing w:line="340" w:lineRule="auto" w:before="36"/>
        <w:ind w:right="1171" w:firstLine="480"/>
        <w:jc w:val="both"/>
      </w:pPr>
      <w:r>
        <w:rPr/>
        <w:t>公司一贯信守承诺，始终坚持</w:t>
      </w:r>
      <w:r>
        <w:rPr>
          <w:rFonts w:ascii="Times New Roman" w:hAnsi="Times New Roman" w:cs="Times New Roman" w:eastAsia="Times New Roman" w:hint="default"/>
        </w:rPr>
        <w:t>“</w:t>
      </w:r>
      <w:r>
        <w:rPr/>
        <w:t>客户至上</w:t>
      </w:r>
      <w:r>
        <w:rPr>
          <w:rFonts w:ascii="Times New Roman" w:hAnsi="Times New Roman" w:cs="Times New Roman" w:eastAsia="Times New Roman" w:hint="default"/>
        </w:rPr>
        <w:t>”</w:t>
      </w:r>
      <w:r>
        <w:rPr/>
        <w:t>的原则，为客户提供优质产品与满意的服务， 充分保障客户利益。公司注重加强与客户的沟通交流，以合作为纽带，以诚信为基础，形成 长期友好合作的战略伙伴关系，达到供需双方的互惠共赢，共同为社会创造财富。</w:t>
      </w:r>
    </w:p>
    <w:p>
      <w:pPr>
        <w:pStyle w:val="BodyText"/>
        <w:spacing w:line="331" w:lineRule="auto" w:before="46"/>
        <w:ind w:left="633" w:right="1153"/>
        <w:jc w:val="left"/>
      </w:pPr>
      <w:r>
        <w:rPr/>
        <w:t>（</w:t>
      </w:r>
      <w:r>
        <w:rPr>
          <w:rFonts w:ascii="Times New Roman" w:hAnsi="Times New Roman" w:cs="Times New Roman" w:eastAsia="Times New Roman" w:hint="default"/>
        </w:rPr>
        <w:t>4</w:t>
      </w:r>
      <w:r>
        <w:rPr/>
        <w:t>）其他社会责任 公司诚信经营，遵纪守法，积极履行企业的纳税义务，为国家经济发展做贡献。公司在</w:t>
      </w:r>
    </w:p>
    <w:p>
      <w:pPr>
        <w:pStyle w:val="BodyText"/>
        <w:spacing w:line="350" w:lineRule="auto" w:before="55"/>
        <w:ind w:right="1170"/>
        <w:jc w:val="both"/>
      </w:pPr>
      <w:r>
        <w:rPr/>
        <w:t>自身发展壮大的同时，也积极为社会创造更多的就业机会，面向社会公开招聘员工，为缓解 社会的就业压力、带动地方的经济发展做出贡献。公司积极、主动的与相关政府部门、监管 机构、媒体保持沟通交流，主动接受政府部门、监管机构的行政监督和社会公众、新闻媒体 的社会监督，力争营造友善、和谐的公共关系。</w:t>
      </w:r>
    </w:p>
    <w:p>
      <w:pPr>
        <w:spacing w:line="240" w:lineRule="auto" w:before="2"/>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2、履行精准扶贫社会责任情况" w:id="98"/>
      <w:bookmarkEnd w:id="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报告期内无精准扶贫规划。暂无后续精准扶贫计划。</w:t>
      </w:r>
    </w:p>
    <w:p>
      <w:pPr>
        <w:spacing w:line="240" w:lineRule="auto" w:before="7"/>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3、环境保护相关的情况" w:id="99"/>
      <w:bookmarkEnd w:id="9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left="633" w:right="3553"/>
        <w:jc w:val="left"/>
      </w:pPr>
      <w:r>
        <w:rPr/>
        <w:t>上市公司及其子公司是否属于环境保护部门公布的重点排污单位 否</w:t>
      </w:r>
    </w:p>
    <w:p>
      <w:pPr>
        <w:pStyle w:val="BodyText"/>
        <w:spacing w:line="350" w:lineRule="auto" w:before="34"/>
        <w:ind w:right="996" w:firstLine="480"/>
        <w:jc w:val="left"/>
      </w:pPr>
      <w:r>
        <w:rPr/>
        <w:t>经公司核查，公司及子公司不属于环境保护部门公布的重点排污单位。公司及子公司在 </w:t>
      </w:r>
      <w:r>
        <w:rPr>
          <w:spacing w:val="-9"/>
        </w:rPr>
        <w:t>日常生产经营中认真执行《中华人民共和国环境保护法》、《中华人民共和国水污染防治法》、</w:t>
      </w:r>
    </w:p>
    <w:p>
      <w:pPr>
        <w:pStyle w:val="BodyText"/>
        <w:spacing w:line="352" w:lineRule="auto" w:before="36"/>
        <w:ind w:right="1160"/>
        <w:jc w:val="left"/>
      </w:pPr>
      <w:r>
        <w:rPr>
          <w:spacing w:val="-6"/>
        </w:rPr>
        <w:t>《中华人民共和国大气污染防治法》、《中华人民共和国固体废物污染环境防治法》等环保方</w:t>
      </w:r>
      <w:r>
        <w:rPr>
          <w:spacing w:val="-114"/>
        </w:rPr>
        <w:t> </w:t>
      </w:r>
      <w:r>
        <w:rPr>
          <w:spacing w:val="-114"/>
        </w:rPr>
      </w:r>
      <w:r>
        <w:rPr/>
        <w:t>面的法律法规，报告期内未出现因违法违规而受到处罚的情况。</w:t>
      </w:r>
    </w:p>
    <w:p>
      <w:pPr>
        <w:pStyle w:val="Heading2"/>
        <w:spacing w:line="240" w:lineRule="auto" w:before="204"/>
        <w:ind w:right="0"/>
        <w:jc w:val="both"/>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spacing w:val="-3"/>
        </w:rPr>
        <w:t>1</w:t>
      </w:r>
      <w:r>
        <w:rPr>
          <w:spacing w:val="-3"/>
        </w:rPr>
        <w:t>、报告期内，公司已收到补偿义务人柯坚、王国志、吴文海、秦剑关于成都西南交大驱</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rPr>
          <w:rFonts w:ascii="Times New Roman" w:hAnsi="Times New Roman" w:cs="Times New Roman" w:eastAsia="Times New Roman" w:hint="default"/>
        </w:rPr>
      </w:pPr>
      <w:r>
        <w:rPr/>
        <w:t>动技术有限责任公司</w:t>
      </w:r>
      <w:r>
        <w:rPr>
          <w:spacing w:val="-7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年度和</w:t>
      </w:r>
      <w:r>
        <w:rPr>
          <w:spacing w:val="-7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年度的业绩补偿款共计</w:t>
      </w:r>
      <w:r>
        <w:rPr>
          <w:spacing w:val="-72"/>
        </w:rPr>
        <w:t> </w:t>
      </w:r>
      <w:r>
        <w:rPr>
          <w:rFonts w:ascii="Times New Roman" w:hAnsi="Times New Roman" w:cs="Times New Roman" w:eastAsia="Times New Roman" w:hint="default"/>
        </w:rPr>
        <w:t>1,773,228.56</w:t>
      </w:r>
      <w:r>
        <w:rPr>
          <w:rFonts w:ascii="Times New Roman" w:hAnsi="Times New Roman" w:cs="Times New Roman" w:eastAsia="Times New Roman" w:hint="default"/>
          <w:spacing w:val="-12"/>
        </w:rPr>
        <w:t> </w:t>
      </w:r>
      <w:r>
        <w:rPr/>
        <w:t>元</w:t>
      </w:r>
      <w:r>
        <w:rPr>
          <w:spacing w:val="-120"/>
        </w:rPr>
        <w:t>。</w:t>
      </w:r>
      <w:r>
        <w:rPr/>
        <w:t>详见公司</w:t>
      </w:r>
      <w:r>
        <w:rPr>
          <w:spacing w:val="-72"/>
        </w:rPr>
        <w:t> </w:t>
      </w:r>
      <w:r>
        <w:rPr>
          <w:rFonts w:ascii="Times New Roman" w:hAnsi="Times New Roman" w:cs="Times New Roman" w:eastAsia="Times New Roman" w:hint="default"/>
        </w:rPr>
        <w:t>2019</w:t>
      </w:r>
    </w:p>
    <w:p>
      <w:pPr>
        <w:pStyle w:val="BodyText"/>
        <w:spacing w:line="331" w:lineRule="auto" w:before="128"/>
        <w:ind w:right="1131"/>
        <w:jc w:val="left"/>
      </w:pPr>
      <w:r>
        <w:rPr/>
        <w:t>年</w:t>
      </w:r>
      <w:r>
        <w:rPr>
          <w:spacing w:val="-82"/>
        </w:rPr>
        <w:t> </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月</w:t>
      </w:r>
      <w:r>
        <w:rPr>
          <w:spacing w:val="-82"/>
        </w:rPr>
        <w:t> </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日刊登于巨潮资讯网（</w:t>
      </w:r>
      <w:hyperlink r:id="rId13">
        <w:r>
          <w:rPr>
            <w:rFonts w:ascii="Times New Roman" w:hAnsi="Times New Roman" w:cs="Times New Roman" w:eastAsia="Times New Roman" w:hint="default"/>
          </w:rPr>
          <w:t>http://www.cninfo.com.cn</w:t>
        </w:r>
      </w:hyperlink>
      <w:r>
        <w:rPr/>
        <w:t>）的《关于成都西南交大驱动技术有 </w:t>
      </w:r>
      <w:r>
        <w:rPr>
          <w:spacing w:val="-13"/>
        </w:rPr>
        <w:t>限责任公司原股东完成业绩补偿的公告》（</w:t>
      </w:r>
      <w:r>
        <w:rPr>
          <w:rFonts w:ascii="Times New Roman" w:hAnsi="Times New Roman" w:cs="Times New Roman" w:eastAsia="Times New Roman" w:hint="default"/>
          <w:spacing w:val="-13"/>
        </w:rPr>
        <w:t>2019-019</w:t>
      </w:r>
      <w:r>
        <w:rPr>
          <w:spacing w:val="-13"/>
        </w:rPr>
        <w:t>）。</w:t>
      </w:r>
      <w:r>
        <w:rPr/>
      </w:r>
    </w:p>
    <w:p>
      <w:pPr>
        <w:pStyle w:val="BodyText"/>
        <w:spacing w:line="333" w:lineRule="auto" w:before="27"/>
        <w:ind w:right="1215"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5 </w:t>
      </w:r>
      <w:r>
        <w:rPr/>
        <w:t>日，公司新设全资子公司洛阳辉煌城轨科技有限公司，统一社会信用 代码</w:t>
      </w:r>
      <w:r>
        <w:rPr>
          <w:spacing w:val="-61"/>
        </w:rPr>
        <w:t> </w:t>
      </w:r>
      <w:r>
        <w:rPr>
          <w:rFonts w:ascii="Times New Roman" w:hAnsi="Times New Roman" w:cs="Times New Roman" w:eastAsia="Times New Roman" w:hint="default"/>
        </w:rPr>
        <w:t>91410300MA46X1PQ4W</w:t>
      </w:r>
      <w:r>
        <w:rPr/>
        <w:t>，注册资本</w:t>
      </w:r>
      <w:r>
        <w:rPr>
          <w:spacing w:val="-6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万元。</w:t>
      </w:r>
    </w:p>
    <w:p>
      <w:pPr>
        <w:pStyle w:val="BodyText"/>
        <w:spacing w:line="240" w:lineRule="auto" w:before="22"/>
        <w:ind w:left="633" w:right="996"/>
        <w:jc w:val="left"/>
        <w:rPr>
          <w:rFonts w:ascii="Times New Roman" w:hAnsi="Times New Roman" w:cs="Times New Roman" w:eastAsia="Times New Roman" w:hint="default"/>
        </w:rPr>
      </w:pPr>
      <w:r>
        <w:rPr>
          <w:rFonts w:ascii="Times New Roman" w:hAnsi="Times New Roman" w:cs="Times New Roman" w:eastAsia="Times New Roman" w:hint="default"/>
        </w:rPr>
        <w:t>3</w:t>
      </w:r>
      <w:r>
        <w:rPr>
          <w:spacing w:val="-108"/>
        </w:rPr>
        <w:t>、</w:t>
      </w:r>
      <w:r>
        <w:rPr/>
        <w:t>报告期内</w:t>
      </w:r>
      <w:r>
        <w:rPr>
          <w:spacing w:val="-108"/>
        </w:rPr>
        <w:t>，</w:t>
      </w:r>
      <w:r>
        <w:rPr/>
        <w:t>公司及</w:t>
      </w:r>
      <w:r>
        <w:rPr>
          <w:spacing w:val="2"/>
        </w:rPr>
        <w:t>全</w:t>
      </w:r>
      <w:r>
        <w:rPr/>
        <w:t>资子公司收到政府补贴合计人民币</w:t>
      </w:r>
      <w:r>
        <w:rPr>
          <w:spacing w:val="-59"/>
        </w:rPr>
        <w:t> </w:t>
      </w:r>
      <w:r>
        <w:rPr>
          <w:rFonts w:ascii="Times New Roman" w:hAnsi="Times New Roman" w:cs="Times New Roman" w:eastAsia="Times New Roman" w:hint="default"/>
        </w:rPr>
        <w:t>4,541,700.00 </w:t>
      </w:r>
      <w:r>
        <w:rPr/>
        <w:t>元</w:t>
      </w:r>
      <w:r>
        <w:rPr>
          <w:spacing w:val="-108"/>
        </w:rPr>
        <w:t>，</w:t>
      </w:r>
      <w:r>
        <w:rPr/>
        <w:t>详见公司</w:t>
      </w:r>
      <w:r>
        <w:rPr>
          <w:spacing w:val="-60"/>
        </w:rPr>
        <w:t> </w:t>
      </w:r>
      <w:r>
        <w:rPr>
          <w:rFonts w:ascii="Times New Roman" w:hAnsi="Times New Roman" w:cs="Times New Roman" w:eastAsia="Times New Roman" w:hint="default"/>
        </w:rPr>
        <w:t>2019</w:t>
      </w:r>
    </w:p>
    <w:p>
      <w:pPr>
        <w:pStyle w:val="BodyText"/>
        <w:spacing w:line="240" w:lineRule="auto" w:before="128"/>
        <w:ind w:right="996"/>
        <w:jc w:val="left"/>
      </w:pPr>
      <w:r>
        <w:rPr/>
        <w:t>年</w:t>
      </w:r>
      <w:r>
        <w:rPr>
          <w:spacing w:val="-60"/>
        </w:rPr>
        <w:t> </w:t>
      </w:r>
      <w:r>
        <w:rPr>
          <w:rFonts w:ascii="Times New Roman" w:hAnsi="Times New Roman" w:cs="Times New Roman" w:eastAsia="Times New Roman" w:hint="default"/>
        </w:rPr>
        <w:t>10 </w:t>
      </w:r>
      <w:r>
        <w:rPr/>
        <w:t>月</w:t>
      </w:r>
      <w:r>
        <w:rPr>
          <w:spacing w:val="-61"/>
        </w:rPr>
        <w:t> </w:t>
      </w:r>
      <w:r>
        <w:rPr>
          <w:rFonts w:ascii="Times New Roman" w:hAnsi="Times New Roman" w:cs="Times New Roman" w:eastAsia="Times New Roman" w:hint="default"/>
        </w:rPr>
        <w:t>16 </w:t>
      </w:r>
      <w:r>
        <w:rPr/>
        <w:t>日刊登于巨潮资讯网的《关于收到政府补贴的公告</w:t>
      </w:r>
      <w:r>
        <w:rPr>
          <w:spacing w:val="-120"/>
        </w:rPr>
        <w:t>》</w:t>
      </w:r>
      <w:r>
        <w:rPr>
          <w:spacing w:val="1"/>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w:t>
      </w:r>
      <w:r>
        <w:rPr>
          <w:rFonts w:ascii="Times New Roman" w:hAnsi="Times New Roman" w:cs="Times New Roman" w:eastAsia="Times New Roman" w:hint="default"/>
        </w:rPr>
        <w:t>040</w:t>
      </w:r>
      <w:r>
        <w:rPr>
          <w:spacing w:val="-120"/>
        </w:rPr>
        <w:t>）。</w:t>
      </w:r>
      <w:r>
        <w:rPr/>
      </w:r>
    </w:p>
    <w:p>
      <w:pPr>
        <w:pStyle w:val="BodyText"/>
        <w:spacing w:line="240" w:lineRule="auto" w:before="128"/>
        <w:ind w:left="633" w:right="996"/>
        <w:jc w:val="left"/>
      </w:pPr>
      <w:r>
        <w:rPr>
          <w:rFonts w:ascii="Times New Roman" w:hAnsi="Times New Roman" w:cs="Times New Roman" w:eastAsia="Times New Roman" w:hint="default"/>
          <w:spacing w:val="-5"/>
        </w:rPr>
        <w:t>4</w:t>
      </w:r>
      <w:r>
        <w:rPr>
          <w:spacing w:val="-5"/>
        </w:rPr>
        <w:t>、报告期内，公司收到了郑州市轨道交通</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号线一期工程综合监控系统总集成项目的中</w:t>
      </w:r>
    </w:p>
    <w:p>
      <w:pPr>
        <w:pStyle w:val="BodyText"/>
        <w:spacing w:line="333" w:lineRule="auto" w:before="126"/>
        <w:ind w:right="1131"/>
        <w:jc w:val="left"/>
      </w:pPr>
      <w:r>
        <w:rPr>
          <w:spacing w:val="-3"/>
        </w:rPr>
        <w:t>标通知书，中标金额为人民币</w:t>
      </w:r>
      <w:r>
        <w:rPr>
          <w:spacing w:val="-58"/>
        </w:rPr>
        <w:t> </w:t>
      </w:r>
      <w:r>
        <w:rPr>
          <w:rFonts w:ascii="Times New Roman" w:hAnsi="Times New Roman" w:cs="Times New Roman" w:eastAsia="Times New Roman" w:hint="default"/>
        </w:rPr>
        <w:t>5,986.00</w:t>
      </w:r>
      <w:r>
        <w:rPr>
          <w:rFonts w:ascii="Times New Roman" w:hAnsi="Times New Roman" w:cs="Times New Roman" w:eastAsia="Times New Roman" w:hint="default"/>
          <w:spacing w:val="1"/>
        </w:rPr>
        <w:t> </w:t>
      </w:r>
      <w:r>
        <w:rPr>
          <w:spacing w:val="-6"/>
        </w:rPr>
        <w:t>万元，详见公司</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日刊登于巨潮资讯网 </w:t>
      </w:r>
      <w:r>
        <w:rPr>
          <w:spacing w:val="-13"/>
        </w:rPr>
        <w:t>的《关于收到项目中标通知书的公告》（</w:t>
      </w:r>
      <w:r>
        <w:rPr>
          <w:rFonts w:ascii="Times New Roman" w:hAnsi="Times New Roman" w:cs="Times New Roman" w:eastAsia="Times New Roman" w:hint="default"/>
          <w:spacing w:val="-13"/>
        </w:rPr>
        <w:t>2019-053</w:t>
      </w:r>
      <w:r>
        <w:rPr>
          <w:spacing w:val="-13"/>
        </w:rPr>
        <w:t>）。</w:t>
      </w:r>
      <w:r>
        <w:rPr/>
      </w:r>
    </w:p>
    <w:p>
      <w:pPr>
        <w:spacing w:line="427" w:lineRule="auto" w:before="197"/>
        <w:ind w:left="633" w:right="1393" w:hanging="481"/>
        <w:jc w:val="left"/>
        <w:rPr>
          <w:rFonts w:ascii="宋体" w:hAnsi="宋体" w:cs="宋体" w:eastAsia="宋体" w:hint="default"/>
          <w:sz w:val="24"/>
          <w:szCs w:val="24"/>
        </w:rPr>
      </w:pPr>
      <w:bookmarkStart w:name="二十、公司子公司重大事项" w:id="101"/>
      <w:bookmarkEnd w:id="101"/>
      <w:r>
        <w:rPr/>
      </w:r>
      <w:r>
        <w:rPr>
          <w:rFonts w:ascii="宋体" w:hAnsi="宋体" w:cs="宋体" w:eastAsia="宋体" w:hint="default"/>
          <w:b/>
          <w:bCs/>
          <w:sz w:val="24"/>
          <w:szCs w:val="24"/>
        </w:rPr>
        <w:t>二十、公司子公司重大事项</w:t>
      </w:r>
      <w:r>
        <w:rPr>
          <w:rFonts w:ascii="宋体" w:hAnsi="宋体" w:cs="宋体" w:eastAsia="宋体" w:hint="default"/>
          <w:b/>
          <w:bCs/>
          <w:w w:val="99"/>
          <w:sz w:val="24"/>
          <w:szCs w:val="24"/>
        </w:rPr>
        <w:t> </w:t>
      </w:r>
      <w:r>
        <w:rPr>
          <w:rFonts w:ascii="宋体" w:hAnsi="宋体" w:cs="宋体" w:eastAsia="宋体" w:hint="default"/>
          <w:sz w:val="24"/>
          <w:szCs w:val="24"/>
        </w:rPr>
        <w:t>报告期内，放弃参股公司智慧图增资事项的相关优先权，公司持有其股权比例由期初</w:t>
      </w:r>
    </w:p>
    <w:p>
      <w:pPr>
        <w:pStyle w:val="BodyText"/>
        <w:spacing w:line="289" w:lineRule="exact"/>
        <w:ind w:right="996"/>
        <w:jc w:val="left"/>
      </w:pPr>
      <w:r>
        <w:rPr>
          <w:rFonts w:ascii="Times New Roman" w:hAnsi="Times New Roman" w:cs="Times New Roman" w:eastAsia="Times New Roman" w:hint="default"/>
          <w:spacing w:val="-1"/>
        </w:rPr>
        <w:t>2.15%</w:t>
      </w:r>
      <w:r>
        <w:rPr>
          <w:spacing w:val="-1"/>
        </w:rPr>
        <w:t>变更为期末的</w:t>
      </w:r>
      <w:r>
        <w:rPr>
          <w:spacing w:val="-47"/>
        </w:rPr>
        <w:t> </w:t>
      </w:r>
      <w:r>
        <w:rPr>
          <w:rFonts w:ascii="Times New Roman" w:hAnsi="Times New Roman" w:cs="Times New Roman" w:eastAsia="Times New Roman" w:hint="default"/>
          <w:spacing w:val="-2"/>
        </w:rPr>
        <w:t>2.11%</w:t>
      </w:r>
      <w:r>
        <w:rPr>
          <w:spacing w:val="-2"/>
        </w:rPr>
        <w:t>；放弃参股公司飞天联合股权转让和增资事项的相关优先权，公司</w:t>
      </w:r>
    </w:p>
    <w:p>
      <w:pPr>
        <w:pStyle w:val="BodyText"/>
        <w:spacing w:line="333" w:lineRule="auto" w:before="128"/>
        <w:ind w:right="1236"/>
        <w:jc w:val="left"/>
      </w:pPr>
      <w:r>
        <w:rPr/>
        <w:t>持有其股权比例由期初</w:t>
      </w:r>
      <w:r>
        <w:rPr>
          <w:spacing w:val="-61"/>
        </w:rPr>
        <w:t> </w:t>
      </w:r>
      <w:r>
        <w:rPr>
          <w:rFonts w:ascii="Times New Roman" w:hAnsi="Times New Roman" w:cs="Times New Roman" w:eastAsia="Times New Roman" w:hint="default"/>
        </w:rPr>
        <w:t>21.06%</w:t>
      </w:r>
      <w:r>
        <w:rPr/>
        <w:t>变更为期末的</w:t>
      </w:r>
      <w:r>
        <w:rPr>
          <w:spacing w:val="-61"/>
        </w:rPr>
        <w:t> </w:t>
      </w:r>
      <w:r>
        <w:rPr>
          <w:rFonts w:ascii="Times New Roman" w:hAnsi="Times New Roman" w:cs="Times New Roman" w:eastAsia="Times New Roman" w:hint="default"/>
        </w:rPr>
        <w:t>18.72%</w:t>
      </w:r>
      <w:r>
        <w:rPr/>
        <w:t>，上述交易事项均已履行公司内部审批 程序。截至本报告期末，智慧图和飞天联合已完成相关工商变更手续。</w:t>
      </w:r>
    </w:p>
    <w:p>
      <w:pPr>
        <w:spacing w:after="0" w:line="33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996"/>
        <w:jc w:val="left"/>
        <w:rPr>
          <w:b w:val="0"/>
          <w:bCs w:val="0"/>
        </w:rPr>
      </w:pPr>
      <w:bookmarkStart w:name="第六节股份变动及股东情况" w:id="102"/>
      <w:bookmarkEnd w:id="102"/>
      <w:r>
        <w:rPr>
          <w:b w:val="0"/>
          <w:bCs w:val="0"/>
        </w:rPr>
      </w:r>
      <w:bookmarkStart w:name="_bookmark5" w:id="103"/>
      <w:bookmarkEnd w:id="103"/>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996"/>
        <w:jc w:val="left"/>
        <w:rPr>
          <w:b w:val="0"/>
          <w:bCs w:val="0"/>
        </w:rPr>
      </w:pPr>
      <w:bookmarkStart w:name="一、股份变动情况" w:id="104"/>
      <w:bookmarkEnd w:id="104"/>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股份变动情况" w:id="105"/>
      <w:bookmarkEnd w:id="10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3"/>
        <w:rPr>
          <w:rFonts w:ascii="宋体" w:hAnsi="宋体" w:cs="宋体" w:eastAsia="宋体" w:hint="default"/>
          <w:b/>
          <w:bCs/>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3"/>
        <w:gridCol w:w="521"/>
        <w:gridCol w:w="425"/>
        <w:gridCol w:w="711"/>
        <w:gridCol w:w="991"/>
        <w:gridCol w:w="1135"/>
        <w:gridCol w:w="1124"/>
        <w:gridCol w:w="792"/>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52,944,509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14.06%</w:t>
            </w:r>
          </w:p>
        </w:tc>
        <w:tc>
          <w:tcPr>
            <w:tcW w:w="52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47,694,509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52,944,509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14.06%</w:t>
            </w:r>
          </w:p>
        </w:tc>
        <w:tc>
          <w:tcPr>
            <w:tcW w:w="52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47,694,509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12.66%</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52,944,509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14.06%</w:t>
            </w:r>
          </w:p>
        </w:tc>
        <w:tc>
          <w:tcPr>
            <w:tcW w:w="52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47,694,509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12.66%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323,711,911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85.94%</w:t>
            </w:r>
          </w:p>
        </w:tc>
        <w:tc>
          <w:tcPr>
            <w:tcW w:w="52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328,961,911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323,711,911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85.94%</w:t>
            </w:r>
          </w:p>
        </w:tc>
        <w:tc>
          <w:tcPr>
            <w:tcW w:w="52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328,961,911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87.34%</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376,656,420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376,656,420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股份变动的原因</w:t>
      </w:r>
    </w:p>
    <w:p>
      <w:pPr>
        <w:pStyle w:val="BodyText"/>
        <w:spacing w:line="240" w:lineRule="auto" w:before="144"/>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1" w:lineRule="auto" w:before="129"/>
        <w:ind w:right="1179" w:firstLine="480"/>
        <w:jc w:val="both"/>
      </w:pPr>
      <w:r>
        <w:rPr/>
        <w:t>根据公司董事长李海鹰先生</w:t>
      </w:r>
      <w:r>
        <w:rPr>
          <w:spacing w:val="-60"/>
        </w:rPr>
        <w:t> </w:t>
      </w:r>
      <w:r>
        <w:rPr>
          <w:rFonts w:ascii="Times New Roman" w:hAnsi="Times New Roman" w:cs="Times New Roman" w:eastAsia="Times New Roman" w:hint="default"/>
        </w:rPr>
        <w:t>2017 </w:t>
      </w:r>
      <w:r>
        <w:rPr/>
        <w:t>年度股份减持计划，详见</w:t>
      </w:r>
      <w:r>
        <w:rPr>
          <w:spacing w:val="-60"/>
        </w:rPr>
        <w:t> </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日巨潮资讯 网《关于公司持股</w:t>
      </w:r>
      <w:r>
        <w:rPr>
          <w:spacing w:val="-56"/>
        </w:rPr>
        <w:t> </w:t>
      </w:r>
      <w:r>
        <w:rPr>
          <w:rFonts w:ascii="Times New Roman" w:hAnsi="Times New Roman" w:cs="Times New Roman" w:eastAsia="Times New Roman" w:hint="default"/>
          <w:spacing w:val="-8"/>
        </w:rPr>
        <w:t>5%</w:t>
      </w:r>
      <w:r>
        <w:rPr>
          <w:spacing w:val="-8"/>
        </w:rPr>
        <w:t>以上股东减持计划的预披露公告》（</w:t>
      </w:r>
      <w:r>
        <w:rPr>
          <w:rFonts w:ascii="Times New Roman" w:hAnsi="Times New Roman" w:cs="Times New Roman" w:eastAsia="Times New Roman" w:hint="default"/>
          <w:spacing w:val="-8"/>
        </w:rPr>
        <w:t>2017-072</w:t>
      </w:r>
      <w:r>
        <w:rPr>
          <w:spacing w:val="-8"/>
        </w:rPr>
        <w:t>），</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4"/>
        </w:rPr>
        <w:t> </w:t>
      </w:r>
      <w:r>
        <w:rPr/>
        <w:t>年度李海鹰先生</w:t>
      </w:r>
      <w:r>
        <w:rPr>
          <w:spacing w:val="-114"/>
        </w:rPr>
        <w:t> </w:t>
      </w:r>
      <w:r>
        <w:rPr/>
        <w:t>共减持股份</w:t>
      </w:r>
      <w:r>
        <w:rPr>
          <w:spacing w:val="-60"/>
        </w:rPr>
        <w:t> </w:t>
      </w:r>
      <w:r>
        <w:rPr>
          <w:rFonts w:ascii="Times New Roman" w:hAnsi="Times New Roman" w:cs="Times New Roman" w:eastAsia="Times New Roman" w:hint="default"/>
        </w:rPr>
        <w:t>7,000,000 </w:t>
      </w:r>
      <w:r>
        <w:rPr/>
        <w:t>股，致本报告期内有限售条件股份减少</w:t>
      </w:r>
      <w:r>
        <w:rPr>
          <w:spacing w:val="-59"/>
        </w:rPr>
        <w:t> </w:t>
      </w:r>
      <w:r>
        <w:rPr>
          <w:rFonts w:ascii="Times New Roman" w:hAnsi="Times New Roman" w:cs="Times New Roman" w:eastAsia="Times New Roman" w:hint="default"/>
        </w:rPr>
        <w:t>5,250,000 </w:t>
      </w:r>
      <w:r>
        <w:rPr/>
        <w:t>股。</w:t>
      </w:r>
    </w:p>
    <w:p>
      <w:pPr>
        <w:pStyle w:val="BodyText"/>
        <w:spacing w:line="240" w:lineRule="auto" w:before="27"/>
        <w:ind w:left="633" w:right="996"/>
        <w:jc w:val="left"/>
      </w:pPr>
      <w:r>
        <w:rPr/>
        <w:t>股份变动的批准情况</w:t>
      </w:r>
    </w:p>
    <w:p>
      <w:pPr>
        <w:pStyle w:val="BodyText"/>
        <w:spacing w:line="331" w:lineRule="auto" w:before="146"/>
        <w:ind w:left="633"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股份变动的过户情况</w:t>
      </w:r>
    </w:p>
    <w:p>
      <w:pPr>
        <w:pStyle w:val="BodyText"/>
        <w:spacing w:line="333" w:lineRule="auto" w:before="55"/>
        <w:ind w:left="633" w:right="7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股份回购的实施进展情况</w:t>
      </w:r>
    </w:p>
    <w:p>
      <w:pPr>
        <w:pStyle w:val="BodyText"/>
        <w:spacing w:line="333" w:lineRule="auto" w:before="51"/>
        <w:ind w:left="633" w:right="5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采用集中竞价方式减持回购股份的实施进展情况</w:t>
      </w:r>
    </w:p>
    <w:p>
      <w:pPr>
        <w:pStyle w:val="BodyText"/>
        <w:spacing w:line="331" w:lineRule="auto" w:before="53"/>
        <w:ind w:left="633" w:right="1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股份变动对最近一年和最近一期基本每股收益和稀释每股收益、归属于公司普通股股东</w:t>
      </w:r>
    </w:p>
    <w:p>
      <w:pPr>
        <w:pStyle w:val="BodyText"/>
        <w:spacing w:line="240" w:lineRule="auto" w:before="55"/>
        <w:ind w:right="996"/>
        <w:jc w:val="left"/>
      </w:pPr>
      <w:r>
        <w:rPr/>
        <w:t>的每股净资产等财务指标的影响</w:t>
      </w:r>
    </w:p>
    <w:p>
      <w:pPr>
        <w:pStyle w:val="BodyText"/>
        <w:spacing w:line="240" w:lineRule="auto" w:before="146"/>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left="633" w:right="996"/>
        <w:jc w:val="left"/>
      </w:pPr>
      <w:r>
        <w:rPr/>
        <w:t>公司认为必要或证券监管机构要求披露的其他内容</w:t>
      </w:r>
    </w:p>
    <w:p>
      <w:pPr>
        <w:pStyle w:val="BodyText"/>
        <w:spacing w:line="240" w:lineRule="auto" w:before="146"/>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20"/>
          <w:szCs w:val="20"/>
        </w:rPr>
      </w:pPr>
    </w:p>
    <w:p>
      <w:pPr>
        <w:spacing w:before="0"/>
        <w:ind w:left="152" w:right="996" w:firstLine="0"/>
        <w:jc w:val="left"/>
        <w:rPr>
          <w:rFonts w:ascii="宋体" w:hAnsi="宋体" w:cs="宋体" w:eastAsia="宋体" w:hint="default"/>
          <w:sz w:val="21"/>
          <w:szCs w:val="21"/>
        </w:rPr>
      </w:pPr>
      <w:bookmarkStart w:name="2、限售股份变动情况" w:id="106"/>
      <w:bookmarkEnd w:id="10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745" w:footer="980" w:top="1060" w:bottom="1160" w:left="980" w:right="0"/>
        </w:sectPr>
      </w:pPr>
    </w:p>
    <w:p>
      <w:pPr>
        <w:pStyle w:val="BodyText"/>
        <w:spacing w:line="240" w:lineRule="auto" w:before="26"/>
        <w:ind w:left="6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6"/>
          <w:szCs w:val="16"/>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470" w:space="5970"/>
            <w:col w:w="24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35,619,225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30,369,225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35,619,225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30,369,225</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ind w:right="996"/>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报告期内证券发行（不含优先股）情况" w:id="108"/>
      <w:bookmarkEnd w:id="1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20"/>
          <w:szCs w:val="20"/>
        </w:rPr>
      </w:pPr>
    </w:p>
    <w:p>
      <w:pPr>
        <w:spacing w:before="0"/>
        <w:ind w:left="152" w:right="996" w:firstLine="0"/>
        <w:jc w:val="left"/>
        <w:rPr>
          <w:rFonts w:ascii="宋体" w:hAnsi="宋体" w:cs="宋体" w:eastAsia="宋体" w:hint="default"/>
          <w:sz w:val="21"/>
          <w:szCs w:val="21"/>
        </w:rPr>
      </w:pPr>
      <w:bookmarkStart w:name="2、公司股份总数及股东结构的变动、公司资产和负债结构的变动情况说明" w:id="109"/>
      <w:bookmarkEnd w:id="1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20"/>
          <w:szCs w:val="20"/>
        </w:rPr>
      </w:pPr>
    </w:p>
    <w:p>
      <w:pPr>
        <w:spacing w:before="0"/>
        <w:ind w:left="152" w:right="996" w:firstLine="0"/>
        <w:jc w:val="left"/>
        <w:rPr>
          <w:rFonts w:ascii="宋体" w:hAnsi="宋体" w:cs="宋体" w:eastAsia="宋体" w:hint="default"/>
          <w:sz w:val="21"/>
          <w:szCs w:val="21"/>
        </w:rPr>
      </w:pPr>
      <w:bookmarkStart w:name="3、现存的内部职工股情况" w:id="110"/>
      <w:bookmarkEnd w:id="1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line="458" w:lineRule="auto" w:before="0"/>
        <w:ind w:left="152" w:right="786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三、股东和实际控制人情况" w:id="111"/>
      <w:bookmarkEnd w:id="111"/>
      <w:r>
        <w:rPr>
          <w:rFonts w:ascii="宋体" w:hAnsi="宋体" w:cs="宋体" w:eastAsia="宋体" w:hint="default"/>
          <w:sz w:val="24"/>
          <w:szCs w:val="24"/>
        </w:rPr>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before="105"/>
        <w:ind w:left="152" w:right="996" w:firstLine="0"/>
        <w:jc w:val="left"/>
        <w:rPr>
          <w:rFonts w:ascii="宋体" w:hAnsi="宋体" w:cs="宋体" w:eastAsia="宋体" w:hint="default"/>
          <w:sz w:val="21"/>
          <w:szCs w:val="21"/>
        </w:rPr>
      </w:pPr>
      <w:bookmarkStart w:name="1、公司股东数量及持股情况"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3"/>
        <w:rPr>
          <w:rFonts w:ascii="宋体" w:hAnsi="宋体" w:cs="宋体" w:eastAsia="宋体" w:hint="default"/>
          <w:b/>
          <w:bCs/>
          <w:sz w:val="8"/>
          <w:szCs w:val="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72"/>
        <w:gridCol w:w="719"/>
        <w:gridCol w:w="276"/>
        <w:gridCol w:w="574"/>
        <w:gridCol w:w="841"/>
        <w:gridCol w:w="294"/>
        <w:gridCol w:w="782"/>
        <w:gridCol w:w="209"/>
        <w:gridCol w:w="1277"/>
        <w:gridCol w:w="229"/>
        <w:gridCol w:w="678"/>
        <w:gridCol w:w="653"/>
        <w:gridCol w:w="850"/>
        <w:gridCol w:w="371"/>
        <w:gridCol w:w="508"/>
      </w:tblGrid>
      <w:tr>
        <w:trPr>
          <w:trHeight w:val="161" w:hRule="exact"/>
        </w:trPr>
        <w:tc>
          <w:tcPr>
            <w:tcW w:w="14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46,020</w:t>
            </w:r>
          </w:p>
        </w:tc>
        <w:tc>
          <w:tcPr>
            <w:tcW w:w="14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3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76"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48,578</w:t>
            </w:r>
          </w:p>
        </w:tc>
        <w:tc>
          <w:tcPr>
            <w:tcW w:w="171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8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0"/>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股股东总数</w:t>
            </w:r>
          </w:p>
        </w:tc>
        <w:tc>
          <w:tcPr>
            <w:tcW w:w="508"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03" w:hRule="exact"/>
        </w:trPr>
        <w:tc>
          <w:tcPr>
            <w:tcW w:w="140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995" w:type="dxa"/>
            <w:gridSpan w:val="2"/>
            <w:vMerge/>
            <w:tcBorders>
              <w:left w:val="single" w:sz="9" w:space="0" w:color="D2D2D2"/>
              <w:right w:val="single" w:sz="13" w:space="0" w:color="D2D2D2"/>
            </w:tcBorders>
          </w:tcPr>
          <w:p>
            <w:pPr/>
          </w:p>
        </w:tc>
        <w:tc>
          <w:tcPr>
            <w:tcW w:w="1415" w:type="dxa"/>
            <w:gridSpan w:val="2"/>
            <w:vMerge/>
            <w:tcBorders>
              <w:left w:val="single" w:sz="4" w:space="0" w:color="000000"/>
              <w:right w:val="single" w:sz="4" w:space="0" w:color="000000"/>
            </w:tcBorders>
            <w:shd w:val="clear" w:color="auto" w:fill="D2D2D2"/>
          </w:tcPr>
          <w:p>
            <w:pPr/>
          </w:p>
        </w:tc>
        <w:tc>
          <w:tcPr>
            <w:tcW w:w="1076" w:type="dxa"/>
            <w:gridSpan w:val="2"/>
            <w:vMerge/>
            <w:tcBorders>
              <w:left w:val="single" w:sz="9" w:space="0" w:color="D2D2D2"/>
              <w:right w:val="single" w:sz="10" w:space="0" w:color="D2D2D2"/>
            </w:tcBorders>
          </w:tcPr>
          <w:p>
            <w:pPr/>
          </w:p>
        </w:tc>
        <w:tc>
          <w:tcPr>
            <w:tcW w:w="171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71"/>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678" w:type="dxa"/>
            <w:vMerge/>
            <w:tcBorders>
              <w:left w:val="single" w:sz="9" w:space="0" w:color="D2D2D2"/>
              <w:right w:val="single" w:sz="13" w:space="0" w:color="D2D2D2"/>
            </w:tcBorders>
          </w:tcPr>
          <w:p>
            <w:pPr/>
          </w:p>
        </w:tc>
        <w:tc>
          <w:tcPr>
            <w:tcW w:w="1874" w:type="dxa"/>
            <w:gridSpan w:val="3"/>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single" w:sz="4" w:space="0" w:color="000000"/>
            </w:tcBorders>
          </w:tcPr>
          <w:p>
            <w:pPr/>
          </w:p>
        </w:tc>
      </w:tr>
      <w:tr>
        <w:trPr>
          <w:trHeight w:val="166" w:hRule="exact"/>
        </w:trPr>
        <w:tc>
          <w:tcPr>
            <w:tcW w:w="14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gridSpan w:val="2"/>
            <w:vMerge/>
            <w:tcBorders>
              <w:left w:val="single" w:sz="9" w:space="0" w:color="D2D2D2"/>
              <w:bottom w:val="single" w:sz="4" w:space="0" w:color="000000"/>
              <w:right w:val="single" w:sz="13" w:space="0" w:color="D2D2D2"/>
            </w:tcBorders>
          </w:tcPr>
          <w:p>
            <w:pPr/>
          </w:p>
        </w:tc>
        <w:tc>
          <w:tcPr>
            <w:tcW w:w="1415" w:type="dxa"/>
            <w:gridSpan w:val="2"/>
            <w:vMerge/>
            <w:tcBorders>
              <w:left w:val="single" w:sz="4" w:space="0" w:color="000000"/>
              <w:bottom w:val="single" w:sz="4" w:space="0" w:color="000000"/>
              <w:right w:val="single" w:sz="4" w:space="0" w:color="000000"/>
            </w:tcBorders>
            <w:shd w:val="clear" w:color="auto" w:fill="D2D2D2"/>
          </w:tcPr>
          <w:p>
            <w:pPr/>
          </w:p>
        </w:tc>
        <w:tc>
          <w:tcPr>
            <w:tcW w:w="1076" w:type="dxa"/>
            <w:gridSpan w:val="2"/>
            <w:vMerge/>
            <w:tcBorders>
              <w:left w:val="single" w:sz="9" w:space="0" w:color="D2D2D2"/>
              <w:bottom w:val="single" w:sz="4" w:space="0" w:color="000000"/>
              <w:right w:val="single" w:sz="10" w:space="0" w:color="D2D2D2"/>
            </w:tcBorders>
          </w:tcPr>
          <w:p>
            <w:pPr/>
          </w:p>
        </w:tc>
        <w:tc>
          <w:tcPr>
            <w:tcW w:w="171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vMerge/>
            <w:tcBorders>
              <w:left w:val="single" w:sz="9" w:space="0" w:color="D2D2D2"/>
              <w:bottom w:val="single" w:sz="4" w:space="0" w:color="000000"/>
              <w:right w:val="single" w:sz="13" w:space="0" w:color="D2D2D2"/>
            </w:tcBorders>
          </w:tcPr>
          <w:p>
            <w:pPr/>
          </w:p>
        </w:tc>
        <w:tc>
          <w:tcPr>
            <w:tcW w:w="1874" w:type="dxa"/>
            <w:gridSpan w:val="3"/>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2" w:space="0" w:color="D2D2D2"/>
              <w:bottom w:val="single" w:sz="4" w:space="0" w:color="000000"/>
              <w:right w:val="single" w:sz="4" w:space="0" w:color="000000"/>
            </w:tcBorders>
          </w:tcPr>
          <w:p>
            <w:pPr/>
          </w:p>
        </w:tc>
      </w:tr>
      <w:tr>
        <w:trPr>
          <w:trHeight w:val="394" w:hRule="exact"/>
        </w:trPr>
        <w:tc>
          <w:tcPr>
            <w:tcW w:w="96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1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95" w:right="10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3" w:right="91"/>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56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415" w:right="53" w:hanging="360"/>
              <w:jc w:val="left"/>
              <w:rPr>
                <w:rFonts w:ascii="宋体" w:hAnsi="宋体" w:cs="宋体" w:eastAsia="宋体" w:hint="default"/>
                <w:sz w:val="18"/>
                <w:szCs w:val="18"/>
              </w:rPr>
            </w:pPr>
            <w:r>
              <w:rPr>
                <w:rFonts w:ascii="宋体" w:hAnsi="宋体" w:cs="宋体" w:eastAsia="宋体" w:hint="default"/>
                <w:sz w:val="18"/>
                <w:szCs w:val="18"/>
              </w:rPr>
              <w:t>持有无限售条件的 股份数量</w:t>
            </w:r>
          </w:p>
        </w:tc>
        <w:tc>
          <w:tcPr>
            <w:tcW w:w="172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5"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61" w:type="dxa"/>
            <w:gridSpan w:val="3"/>
            <w:vMerge/>
            <w:tcBorders>
              <w:left w:val="single" w:sz="4" w:space="0" w:color="000000"/>
              <w:right w:val="single" w:sz="4" w:space="0" w:color="000000"/>
            </w:tcBorders>
            <w:shd w:val="clear" w:color="auto" w:fill="D2D2D2"/>
          </w:tcPr>
          <w:p>
            <w:pPr/>
          </w:p>
        </w:tc>
        <w:tc>
          <w:tcPr>
            <w:tcW w:w="172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561" w:type="dxa"/>
            <w:gridSpan w:val="3"/>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561" w:type="dxa"/>
            <w:gridSpan w:val="3"/>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78" w:type="dxa"/>
            <w:gridSpan w:val="2"/>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52" w:right="0"/>
              <w:jc w:val="left"/>
              <w:rPr>
                <w:rFonts w:ascii="Times New Roman" w:hAnsi="Times New Roman" w:cs="Times New Roman" w:eastAsia="Times New Roman" w:hint="default"/>
                <w:sz w:val="18"/>
                <w:szCs w:val="18"/>
              </w:rPr>
            </w:pPr>
            <w:r>
              <w:rPr>
                <w:rFonts w:ascii="Times New Roman"/>
                <w:sz w:val="18"/>
              </w:rPr>
              <w:t>9.31%</w:t>
            </w:r>
          </w:p>
        </w:tc>
        <w:tc>
          <w:tcPr>
            <w:tcW w:w="1135"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35,069,300</w:t>
            </w:r>
          </w:p>
        </w:tc>
        <w:tc>
          <w:tcPr>
            <w:tcW w:w="99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-5423000</w:t>
            </w:r>
          </w:p>
        </w:tc>
        <w:tc>
          <w:tcPr>
            <w:tcW w:w="127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30,369,225</w:t>
            </w:r>
          </w:p>
        </w:tc>
        <w:tc>
          <w:tcPr>
            <w:tcW w:w="1561"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4,700,075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3" w:right="0"/>
              <w:jc w:val="left"/>
              <w:rPr>
                <w:rFonts w:ascii="Times New Roman" w:hAnsi="Times New Roman" w:cs="Times New Roman" w:eastAsia="Times New Roman" w:hint="default"/>
                <w:sz w:val="18"/>
                <w:szCs w:val="18"/>
              </w:rPr>
            </w:pPr>
            <w:r>
              <w:rPr>
                <w:rFonts w:ascii="Times New Roman"/>
                <w:sz w:val="18"/>
              </w:rPr>
              <w:t>18,000,000</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5.89%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22,168,000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16,626,000</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5,542,000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7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2.63%</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9,897,600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9,897,600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7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2.32%</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8,745,174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-5629169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8,745,174</w:t>
            </w:r>
          </w:p>
        </w:tc>
        <w:tc>
          <w:tcPr>
            <w:tcW w:w="850" w:type="dxa"/>
            <w:tcBorders>
              <w:top w:val="single" w:sz="4" w:space="0" w:color="000000"/>
              <w:left w:val="single" w:sz="4" w:space="0" w:color="000000"/>
              <w:bottom w:val="single" w:sz="4" w:space="0" w:color="000000"/>
              <w:right w:val="single" w:sz="4" w:space="0" w:color="000000"/>
            </w:tcBorders>
          </w:tcPr>
          <w:p>
            <w:pPr/>
          </w:p>
        </w:tc>
        <w:tc>
          <w:tcPr>
            <w:tcW w:w="87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754"/>
        <w:gridCol w:w="96"/>
        <w:gridCol w:w="569"/>
        <w:gridCol w:w="566"/>
        <w:gridCol w:w="991"/>
        <w:gridCol w:w="1277"/>
        <w:gridCol w:w="1561"/>
        <w:gridCol w:w="379"/>
        <w:gridCol w:w="470"/>
        <w:gridCol w:w="878"/>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1.56%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5,894,354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5,894,354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1.44%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5,423,000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3119650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5,423,000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0.60%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2,260,900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2,260,900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2,260,900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张树林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0.59%</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2,210,000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河南惠众投 资有限公司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0.46%</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1,733,064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1,733,064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0.44%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3" w:right="0"/>
              <w:jc w:val="left"/>
              <w:rPr>
                <w:rFonts w:ascii="Times New Roman" w:hAnsi="Times New Roman" w:cs="Times New Roman" w:eastAsia="Times New Roman" w:hint="default"/>
                <w:sz w:val="18"/>
                <w:szCs w:val="18"/>
              </w:rPr>
            </w:pPr>
            <w:r>
              <w:rPr>
                <w:rFonts w:ascii="Times New Roman"/>
                <w:sz w:val="18"/>
              </w:rPr>
              <w:t>1,667,856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-824225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1,667,856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w:t>
            </w:r>
            <w:r>
              <w:rPr>
                <w:rFonts w:ascii="宋体" w:hAnsi="宋体" w:cs="宋体" w:eastAsia="宋体" w:hint="default"/>
                <w:spacing w:val="-9"/>
                <w:sz w:val="18"/>
                <w:szCs w:val="18"/>
              </w:rPr>
              <w:t>的情况（如有）（参见注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557"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7" w:hRule="exact"/>
        </w:trPr>
        <w:tc>
          <w:tcPr>
            <w:tcW w:w="41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557"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未知上述股东之间是否存在关联关系，也未知是否属于一致行动人。</w:t>
            </w:r>
          </w:p>
        </w:tc>
      </w:tr>
      <w:tr>
        <w:trPr>
          <w:trHeight w:val="398"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28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0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289"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3500" w:type="dxa"/>
            <w:gridSpan w:val="5"/>
            <w:vMerge/>
            <w:tcBorders>
              <w:left w:val="single" w:sz="4" w:space="0" w:color="000000"/>
              <w:bottom w:val="nil" w:sz="6" w:space="0" w:color="auto"/>
              <w:right w:val="single" w:sz="4" w:space="0" w:color="000000"/>
            </w:tcBorders>
            <w:shd w:val="clear" w:color="auto" w:fill="D2D2D2"/>
          </w:tcPr>
          <w:p>
            <w:pPr/>
          </w:p>
        </w:tc>
        <w:tc>
          <w:tcPr>
            <w:tcW w:w="19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50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9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胡江平</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9,897,600</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9,897,600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8,745,174</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8,745,174</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苗卫东</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5,894,354</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5,894,354</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5,542,000</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5,542,000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张金梅</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5,423,000</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5,423,000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4,700,075</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4,700,075</w:t>
            </w:r>
          </w:p>
        </w:tc>
      </w:tr>
      <w:tr>
        <w:trPr>
          <w:trHeight w:val="404"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王芸</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2,260,900</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5" w:right="0"/>
              <w:jc w:val="left"/>
              <w:rPr>
                <w:rFonts w:ascii="Times New Roman" w:hAnsi="Times New Roman" w:cs="Times New Roman" w:eastAsia="Times New Roman" w:hint="default"/>
                <w:sz w:val="18"/>
                <w:szCs w:val="18"/>
              </w:rPr>
            </w:pPr>
            <w:r>
              <w:rPr>
                <w:rFonts w:ascii="Times New Roman"/>
                <w:sz w:val="18"/>
              </w:rPr>
              <w:t>2,260,900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张树林</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2,210,000</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2,210,000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河南惠众投资有限公司</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1,733,064</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5" w:right="0"/>
              <w:jc w:val="left"/>
              <w:rPr>
                <w:rFonts w:ascii="Times New Roman" w:hAnsi="Times New Roman" w:cs="Times New Roman" w:eastAsia="Times New Roman" w:hint="default"/>
                <w:sz w:val="18"/>
                <w:szCs w:val="18"/>
              </w:rPr>
            </w:pPr>
            <w:r>
              <w:rPr>
                <w:rFonts w:ascii="Times New Roman"/>
                <w:sz w:val="18"/>
              </w:rPr>
              <w:t>1,733,064</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刘锐</w:t>
            </w:r>
          </w:p>
        </w:tc>
        <w:tc>
          <w:tcPr>
            <w:tcW w:w="35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1,667,856</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1,667,856</w:t>
            </w:r>
          </w:p>
        </w:tc>
      </w:tr>
      <w:tr>
        <w:trPr>
          <w:trHeight w:val="1027" w:hRule="exact"/>
        </w:trPr>
        <w:tc>
          <w:tcPr>
            <w:tcW w:w="35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00" w:lineRule="auto" w:before="60"/>
              <w:ind w:left="24" w:right="22"/>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名股东之间关联 关系或一致行动的说明</w:t>
            </w:r>
          </w:p>
        </w:tc>
        <w:tc>
          <w:tcPr>
            <w:tcW w:w="61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未知前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名无限售条件普通股股东之间，以及前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名普通股股东之间是否存在关联关系，也未知是否属于一致行动人。</w:t>
            </w:r>
          </w:p>
        </w:tc>
      </w:tr>
      <w:tr>
        <w:trPr>
          <w:trHeight w:val="715" w:hRule="exact"/>
        </w:trPr>
        <w:tc>
          <w:tcPr>
            <w:tcW w:w="35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名普通股股东参与融资融券业务情况说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1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公司前</w:t>
      </w:r>
      <w:r>
        <w:rPr>
          <w:spacing w:val="-61"/>
        </w:rPr>
        <w:t> </w:t>
      </w:r>
      <w:r>
        <w:rPr>
          <w:rFonts w:ascii="Times New Roman" w:hAnsi="Times New Roman" w:cs="Times New Roman" w:eastAsia="Times New Roman" w:hint="default"/>
        </w:rPr>
        <w:t>10 </w:t>
      </w:r>
      <w:r>
        <w:rPr/>
        <w:t>名普通股股东、前</w:t>
      </w:r>
      <w:r>
        <w:rPr>
          <w:spacing w:val="-60"/>
        </w:rPr>
        <w:t> </w:t>
      </w:r>
      <w:r>
        <w:rPr>
          <w:rFonts w:ascii="Times New Roman" w:hAnsi="Times New Roman" w:cs="Times New Roman" w:eastAsia="Times New Roman" w:hint="default"/>
        </w:rPr>
        <w:t>10 </w:t>
      </w:r>
      <w:r>
        <w:rPr/>
        <w:t>名无限售条件普通股股东在报告期内未进行约定购回交</w:t>
      </w:r>
    </w:p>
    <w:p>
      <w:pPr>
        <w:pStyle w:val="BodyText"/>
        <w:spacing w:line="240" w:lineRule="auto" w:before="126"/>
        <w:ind w:right="996"/>
        <w:jc w:val="left"/>
      </w:pPr>
      <w:r>
        <w:rPr/>
        <w:t>易。</w:t>
      </w:r>
    </w:p>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公司控股股东情况"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350" w:lineRule="auto"/>
        <w:ind w:left="633" w:right="6913"/>
        <w:jc w:val="left"/>
      </w:pPr>
      <w:r>
        <w:rPr/>
        <w:t>控股股东性质：无控股主体 控股股东类型：不存在 公司不存在控股股东情况的说明</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31" w:lineRule="auto" w:before="198"/>
        <w:ind w:right="1152" w:firstLine="480"/>
        <w:jc w:val="both"/>
      </w:pPr>
      <w:r>
        <w:rPr/>
        <w:t>公司股权分散，不存在持有的股份占公司股本总额</w:t>
      </w:r>
      <w:r>
        <w:rPr>
          <w:spacing w:val="-61"/>
        </w:rPr>
        <w:t> </w:t>
      </w:r>
      <w:r>
        <w:rPr>
          <w:rFonts w:ascii="Times New Roman" w:hAnsi="Times New Roman" w:cs="Times New Roman" w:eastAsia="Times New Roman" w:hint="default"/>
        </w:rPr>
        <w:t>50%</w:t>
      </w:r>
      <w:r>
        <w:rPr/>
        <w:t>以上的股东；也不存在持有股份 的比例虽然不足</w:t>
      </w:r>
      <w:r>
        <w:rPr>
          <w:spacing w:val="-61"/>
        </w:rPr>
        <w:t> </w:t>
      </w:r>
      <w:r>
        <w:rPr>
          <w:rFonts w:ascii="Times New Roman" w:hAnsi="Times New Roman" w:cs="Times New Roman" w:eastAsia="Times New Roman" w:hint="default"/>
        </w:rPr>
        <w:t>50%</w:t>
      </w:r>
      <w:r>
        <w:rPr/>
        <w:t>，但依其持有的股份所享有的表决权已足以对股东会、股东大会的决议 产生重大影响的股东。</w:t>
      </w:r>
    </w:p>
    <w:p>
      <w:pPr>
        <w:pStyle w:val="BodyText"/>
        <w:spacing w:line="240" w:lineRule="auto" w:before="55"/>
        <w:ind w:left="633" w:right="996"/>
        <w:jc w:val="left"/>
      </w:pPr>
      <w:r>
        <w:rPr/>
        <w:t>控股股东报告期内变更</w:t>
      </w:r>
    </w:p>
    <w:p>
      <w:pPr>
        <w:pStyle w:val="BodyText"/>
        <w:spacing w:line="331" w:lineRule="auto" w:before="146"/>
        <w:ind w:left="633" w:right="6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公司报告期控股股东未发生变更。</w:t>
      </w:r>
    </w:p>
    <w:p>
      <w:pPr>
        <w:spacing w:before="196"/>
        <w:ind w:left="152" w:right="996" w:firstLine="0"/>
        <w:jc w:val="left"/>
        <w:rPr>
          <w:rFonts w:ascii="宋体" w:hAnsi="宋体" w:cs="宋体" w:eastAsia="宋体" w:hint="default"/>
          <w:sz w:val="21"/>
          <w:szCs w:val="21"/>
        </w:rPr>
      </w:pPr>
      <w:bookmarkStart w:name="3、公司实际控制人及其一致行动人" w:id="114"/>
      <w:bookmarkEnd w:id="1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350" w:lineRule="auto"/>
        <w:ind w:left="633" w:right="6673"/>
        <w:jc w:val="left"/>
      </w:pPr>
      <w:r>
        <w:rPr/>
        <w:t>实际控制人性质：无实际控制人 实际控制人类型：不存在 公司不存在实际控制人情况的说明</w:t>
      </w:r>
    </w:p>
    <w:p>
      <w:pPr>
        <w:pStyle w:val="BodyText"/>
        <w:spacing w:line="331" w:lineRule="auto" w:before="36"/>
        <w:ind w:right="1151" w:firstLine="480"/>
        <w:jc w:val="both"/>
      </w:pPr>
      <w:r>
        <w:rPr>
          <w:spacing w:val="-8"/>
        </w:rPr>
        <w:t>公司目前不存在以下情况：（</w:t>
      </w:r>
      <w:r>
        <w:rPr>
          <w:rFonts w:ascii="Times New Roman" w:hAnsi="Times New Roman" w:cs="Times New Roman" w:eastAsia="Times New Roman" w:hint="default"/>
          <w:spacing w:val="-8"/>
        </w:rPr>
        <w:t>1</w:t>
      </w:r>
      <w:r>
        <w:rPr>
          <w:spacing w:val="-8"/>
        </w:rPr>
        <w:t>）持股</w:t>
      </w:r>
      <w:r>
        <w:rPr>
          <w:spacing w:val="-26"/>
        </w:rPr>
        <w:t> </w:t>
      </w:r>
      <w:r>
        <w:rPr>
          <w:rFonts w:ascii="Times New Roman" w:hAnsi="Times New Roman" w:cs="Times New Roman" w:eastAsia="Times New Roman" w:hint="default"/>
          <w:spacing w:val="-6"/>
        </w:rPr>
        <w:t>50%</w:t>
      </w:r>
      <w:r>
        <w:rPr>
          <w:spacing w:val="-6"/>
        </w:rPr>
        <w:t>以上控股股东；（</w:t>
      </w:r>
      <w:r>
        <w:rPr>
          <w:rFonts w:ascii="Times New Roman" w:hAnsi="Times New Roman" w:cs="Times New Roman" w:eastAsia="Times New Roman" w:hint="default"/>
          <w:spacing w:val="-6"/>
        </w:rPr>
        <w:t>2</w:t>
      </w:r>
      <w:r>
        <w:rPr>
          <w:spacing w:val="-6"/>
        </w:rPr>
        <w:t>）实际支配公司表决权超过</w:t>
      </w:r>
      <w:r>
        <w:rPr/>
        <w:t> </w:t>
      </w:r>
      <w:r>
        <w:rPr>
          <w:rFonts w:ascii="Times New Roman" w:hAnsi="Times New Roman" w:cs="Times New Roman" w:eastAsia="Times New Roman" w:hint="default"/>
          <w:spacing w:val="-3"/>
        </w:rPr>
        <w:t>30%</w:t>
      </w:r>
      <w:r>
        <w:rPr>
          <w:spacing w:val="-3"/>
        </w:rPr>
        <w:t>的股东；（</w:t>
      </w:r>
      <w:r>
        <w:rPr>
          <w:rFonts w:ascii="Times New Roman" w:hAnsi="Times New Roman" w:cs="Times New Roman" w:eastAsia="Times New Roman" w:hint="default"/>
          <w:spacing w:val="-3"/>
        </w:rPr>
        <w:t>3</w:t>
      </w:r>
      <w:r>
        <w:rPr>
          <w:spacing w:val="-3"/>
        </w:rPr>
        <w:t>）通过实际支配公司股份表决权能够决定公司董事会半数以上成员选任的股</w:t>
      </w:r>
      <w:r>
        <w:rPr>
          <w:spacing w:val="-116"/>
        </w:rPr>
        <w:t> </w:t>
      </w:r>
      <w:r>
        <w:rPr>
          <w:spacing w:val="-3"/>
        </w:rPr>
        <w:t>东；（</w:t>
      </w:r>
      <w:r>
        <w:rPr>
          <w:rFonts w:ascii="Times New Roman" w:hAnsi="Times New Roman" w:cs="Times New Roman" w:eastAsia="Times New Roman" w:hint="default"/>
          <w:spacing w:val="-3"/>
        </w:rPr>
        <w:t>4</w:t>
      </w:r>
      <w:r>
        <w:rPr>
          <w:spacing w:val="-3"/>
        </w:rPr>
        <w:t>）股东依其可实际支配的公司股份表决权足以对公司股东大会的决议产生重大影响。</w:t>
      </w:r>
      <w:r>
        <w:rPr>
          <w:spacing w:val="-117"/>
        </w:rPr>
        <w:t> </w:t>
      </w:r>
      <w:r>
        <w:rPr/>
        <w:t>故公司不存在实际控制人。</w:t>
      </w:r>
    </w:p>
    <w:p>
      <w:pPr>
        <w:pStyle w:val="BodyText"/>
        <w:spacing w:line="240" w:lineRule="auto" w:before="55"/>
        <w:ind w:left="633" w:right="996"/>
        <w:jc w:val="left"/>
      </w:pPr>
      <w:r>
        <w:rPr/>
        <w:t>公司最终控制层面是否存在持股比例在</w:t>
      </w:r>
      <w:r>
        <w:rPr>
          <w:spacing w:val="-61"/>
        </w:rPr>
        <w:t> </w:t>
      </w:r>
      <w:r>
        <w:rPr>
          <w:rFonts w:ascii="Times New Roman" w:hAnsi="Times New Roman" w:cs="Times New Roman" w:eastAsia="Times New Roman" w:hint="default"/>
        </w:rPr>
        <w:t>10%</w:t>
      </w:r>
      <w:r>
        <w:rPr/>
        <w:t>以上的股东情况</w:t>
      </w:r>
    </w:p>
    <w:p>
      <w:pPr>
        <w:pStyle w:val="BodyText"/>
        <w:spacing w:line="240" w:lineRule="auto" w:before="126"/>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pStyle w:val="BodyText"/>
        <w:spacing w:line="333" w:lineRule="auto" w:before="128"/>
        <w:ind w:left="633" w:right="5334"/>
        <w:jc w:val="left"/>
      </w:pPr>
      <w:r>
        <w:rPr/>
        <w:t>公司最终控制层面持股比例</w:t>
      </w:r>
      <w:r>
        <w:rPr>
          <w:spacing w:val="-61"/>
        </w:rPr>
        <w:t> </w:t>
      </w:r>
      <w:r>
        <w:rPr>
          <w:rFonts w:ascii="Times New Roman" w:hAnsi="Times New Roman" w:cs="Times New Roman" w:eastAsia="Times New Roman" w:hint="default"/>
        </w:rPr>
        <w:t>5%</w:t>
      </w:r>
      <w:r>
        <w:rPr/>
        <w:t>以上的股东情况 自然人</w:t>
      </w:r>
    </w:p>
    <w:p>
      <w:pPr>
        <w:pStyle w:val="BodyText"/>
        <w:spacing w:line="240" w:lineRule="auto" w:before="50"/>
        <w:ind w:left="633" w:right="996"/>
        <w:jc w:val="left"/>
      </w:pPr>
      <w:r>
        <w:rPr/>
        <w:t>最终控制层面持股情况</w:t>
      </w:r>
    </w:p>
    <w:p>
      <w:pPr>
        <w:spacing w:line="240" w:lineRule="auto" w:before="8"/>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4"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李海鹰先生最近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年一直担任公司董事长。</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实际控制人报告期内变更</w:t>
      </w:r>
    </w:p>
    <w:p>
      <w:pPr>
        <w:pStyle w:val="BodyText"/>
        <w:spacing w:line="340" w:lineRule="auto" w:before="147"/>
        <w:ind w:left="63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公司报告期实际控制人未发生变更。 公司与实际控制人之间的产权及控制关系的方框图</w:t>
      </w:r>
    </w:p>
    <w:p>
      <w:pPr>
        <w:spacing w:after="0" w:line="3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675" w:lineRule="exact"/>
        <w:ind w:left="2296"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397377" cy="169868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3397377" cy="1698688"/>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12"/>
        <w:rPr>
          <w:rFonts w:ascii="宋体" w:hAnsi="宋体" w:cs="宋体" w:eastAsia="宋体" w:hint="default"/>
          <w:sz w:val="24"/>
          <w:szCs w:val="24"/>
        </w:rPr>
      </w:pPr>
    </w:p>
    <w:p>
      <w:pPr>
        <w:pStyle w:val="BodyText"/>
        <w:spacing w:line="240" w:lineRule="auto" w:before="26"/>
        <w:ind w:left="633" w:right="996"/>
        <w:jc w:val="left"/>
      </w:pPr>
      <w:r>
        <w:rPr/>
        <w:t>实际控制人通过信托或其他资产管理方式控制公司</w:t>
      </w:r>
    </w:p>
    <w:p>
      <w:pPr>
        <w:pStyle w:val="BodyText"/>
        <w:spacing w:line="240" w:lineRule="auto" w:before="146"/>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8"/>
        <w:rPr>
          <w:rFonts w:ascii="宋体" w:hAnsi="宋体" w:cs="宋体" w:eastAsia="宋体" w:hint="default"/>
          <w:sz w:val="20"/>
          <w:szCs w:val="20"/>
        </w:rPr>
      </w:pPr>
    </w:p>
    <w:p>
      <w:pPr>
        <w:spacing w:before="0"/>
        <w:ind w:left="152" w:right="996" w:firstLine="0"/>
        <w:jc w:val="left"/>
        <w:rPr>
          <w:rFonts w:ascii="宋体" w:hAnsi="宋体" w:cs="宋体" w:eastAsia="宋体" w:hint="default"/>
          <w:sz w:val="21"/>
          <w:szCs w:val="21"/>
        </w:rPr>
      </w:pPr>
      <w:bookmarkStart w:name="4、其他持股在10%以上的法人股东" w:id="115"/>
      <w:bookmarkEnd w:id="11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20"/>
          <w:szCs w:val="20"/>
        </w:rPr>
      </w:pPr>
    </w:p>
    <w:p>
      <w:pPr>
        <w:spacing w:before="0"/>
        <w:ind w:left="152" w:right="996" w:firstLine="0"/>
        <w:jc w:val="left"/>
        <w:rPr>
          <w:rFonts w:ascii="宋体" w:hAnsi="宋体" w:cs="宋体" w:eastAsia="宋体" w:hint="default"/>
          <w:sz w:val="21"/>
          <w:szCs w:val="21"/>
        </w:rPr>
      </w:pPr>
      <w:bookmarkStart w:name="5、控股股东、实际控制人、重组方及其他承诺主体股份限制减持情况" w:id="116"/>
      <w:bookmarkEnd w:id="11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365" w:right="996"/>
        <w:jc w:val="left"/>
        <w:rPr>
          <w:b w:val="0"/>
          <w:bCs w:val="0"/>
        </w:rPr>
      </w:pPr>
      <w:bookmarkStart w:name="第七节优先股相关情况" w:id="117"/>
      <w:bookmarkEnd w:id="117"/>
      <w:r>
        <w:rPr>
          <w:b w:val="0"/>
          <w:bCs w:val="0"/>
        </w:rPr>
      </w:r>
      <w:bookmarkStart w:name="_bookmark6" w:id="118"/>
      <w:bookmarkEnd w:id="118"/>
      <w:r>
        <w:rPr>
          <w:b w:val="0"/>
          <w:bCs w:val="0"/>
        </w:rPr>
      </w:r>
      <w:r>
        <w:rPr/>
        <w:t>第七节优先股相关情况</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6"/>
        <w:ind w:left="633" w:right="996"/>
        <w:jc w:val="left"/>
      </w:pPr>
      <w:r>
        <w:rPr/>
        <w:t>报告期公司不存在优先股。</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723" w:right="996"/>
        <w:jc w:val="left"/>
        <w:rPr>
          <w:b w:val="0"/>
          <w:bCs w:val="0"/>
        </w:rPr>
      </w:pPr>
      <w:bookmarkStart w:name="第八节可转换公司债券相关情况" w:id="119"/>
      <w:bookmarkEnd w:id="119"/>
      <w:r>
        <w:rPr>
          <w:b w:val="0"/>
          <w:bCs w:val="0"/>
        </w:rPr>
      </w:r>
      <w:bookmarkStart w:name="_bookmark7" w:id="120"/>
      <w:bookmarkEnd w:id="120"/>
      <w:r>
        <w:rPr>
          <w:b w:val="0"/>
          <w:bCs w:val="0"/>
        </w:rPr>
      </w:r>
      <w:r>
        <w:rPr/>
        <w:t>第八节可转换公司债券相关情况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6"/>
        <w:ind w:left="633" w:right="996"/>
        <w:jc w:val="left"/>
      </w:pPr>
      <w:r>
        <w:rPr/>
        <w:t>报告期公司不存在可转换公司债券。</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758" w:right="996"/>
        <w:jc w:val="left"/>
        <w:rPr>
          <w:b w:val="0"/>
          <w:bCs w:val="0"/>
        </w:rPr>
      </w:pPr>
      <w:bookmarkStart w:name="第九节董事、监事、高级管理人员和员工情况" w:id="121"/>
      <w:bookmarkEnd w:id="121"/>
      <w:r>
        <w:rPr>
          <w:b w:val="0"/>
          <w:bCs w:val="0"/>
        </w:rPr>
      </w:r>
      <w:bookmarkStart w:name="_bookmark8" w:id="122"/>
      <w:bookmarkEnd w:id="122"/>
      <w:r>
        <w:rPr>
          <w:b w:val="0"/>
          <w:bCs w:val="0"/>
        </w:rPr>
      </w:r>
      <w:r>
        <w:rPr/>
        <w:t>第九节董事、监事、高级管理人员和员工情况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before="0"/>
        <w:ind w:right="996"/>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44"/>
        <w:ind w:left="0" w:right="2910" w:firstLine="0"/>
        <w:jc w:val="right"/>
        <w:rPr>
          <w:rFonts w:ascii="宋体" w:hAnsi="宋体" w:cs="宋体" w:eastAsia="宋体" w:hint="default"/>
          <w:sz w:val="18"/>
          <w:szCs w:val="18"/>
        </w:rPr>
      </w:pPr>
      <w:r>
        <w:rPr/>
        <w:pict>
          <v:shape style="position:absolute;margin-left:56.400002pt;margin-top:-24.128304pt;width:479.4pt;height:500.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797"/>
                    <w:gridCol w:w="530"/>
                    <w:gridCol w:w="425"/>
                    <w:gridCol w:w="425"/>
                    <w:gridCol w:w="994"/>
                    <w:gridCol w:w="994"/>
                    <w:gridCol w:w="992"/>
                    <w:gridCol w:w="850"/>
                    <w:gridCol w:w="994"/>
                    <w:gridCol w:w="73"/>
                    <w:gridCol w:w="635"/>
                    <w:gridCol w:w="1066"/>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314" w:right="12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311" w:right="13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73" w:type="dxa"/>
                        <w:tcBorders>
                          <w:top w:val="single" w:sz="4" w:space="0" w:color="000000"/>
                          <w:left w:val="single" w:sz="4" w:space="0" w:color="000000"/>
                          <w:bottom w:val="single" w:sz="4" w:space="0" w:color="000000"/>
                          <w:right w:val="nil" w:sz="6" w:space="0" w:color="auto"/>
                        </w:tcBorders>
                        <w:shd w:val="clear" w:color="auto" w:fill="D2D2D2"/>
                      </w:tcPr>
                      <w:p>
                        <w:pPr/>
                      </w:p>
                    </w:tc>
                    <w:tc>
                      <w:tcPr>
                        <w:tcW w:w="63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1" w:right="7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40,492,300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5,423,000</w:t>
                        </w: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35,069,300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22,168,000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22,168,000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郑建彪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郭治国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34,626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34,626</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357,967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357,967</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郝恩元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13,749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13,749</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杜旭升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342,380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342,380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杜旭升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183,657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183,657</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侯菊艳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7"/>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63,592,968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5,423,000</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58,169,968</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2"/>
        <w:spacing w:line="240" w:lineRule="auto"/>
        <w:ind w:right="996"/>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3"/>
          <w:szCs w:val="23"/>
        </w:rPr>
      </w:pPr>
    </w:p>
    <w:p>
      <w:pPr>
        <w:pStyle w:val="Heading2"/>
        <w:spacing w:line="240" w:lineRule="auto"/>
        <w:ind w:right="996"/>
        <w:jc w:val="left"/>
        <w:rPr>
          <w:b w:val="0"/>
          <w:bCs w:val="0"/>
        </w:rPr>
      </w:pPr>
      <w:bookmarkStart w:name="三、任职情况" w:id="125"/>
      <w:bookmarkEnd w:id="125"/>
      <w:r>
        <w:rPr>
          <w:b w:val="0"/>
          <w:bCs w:val="0"/>
        </w:rPr>
      </w:r>
      <w:r>
        <w:rPr/>
        <w:t>三、任职情况</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before="26"/>
        <w:ind w:left="633" w:right="996"/>
        <w:jc w:val="left"/>
      </w:pPr>
      <w:r>
        <w:rPr/>
        <w:t>公司现任董事、监事、高级管理人员专业背景、主要工作经历以及目前在公司的主要职</w:t>
      </w:r>
    </w:p>
    <w:p>
      <w:pPr>
        <w:pStyle w:val="BodyText"/>
        <w:spacing w:line="240" w:lineRule="auto" w:before="146"/>
        <w:ind w:right="996"/>
        <w:jc w:val="left"/>
      </w:pPr>
      <w:r>
        <w:rPr/>
        <w:t>责</w:t>
      </w:r>
    </w:p>
    <w:p>
      <w:pPr>
        <w:pStyle w:val="BodyText"/>
        <w:spacing w:line="240" w:lineRule="auto" w:before="144"/>
        <w:ind w:left="633" w:right="996"/>
        <w:jc w:val="left"/>
      </w:pPr>
      <w:r>
        <w:rPr>
          <w:rFonts w:ascii="Times New Roman" w:hAnsi="Times New Roman" w:cs="Times New Roman" w:eastAsia="Times New Roman" w:hint="default"/>
        </w:rPr>
        <w:t>1</w:t>
      </w:r>
      <w:r>
        <w:rPr/>
        <w:t>、董事</w:t>
      </w:r>
    </w:p>
    <w:p>
      <w:pPr>
        <w:pStyle w:val="BodyText"/>
        <w:spacing w:line="240" w:lineRule="auto" w:before="128"/>
        <w:ind w:left="633" w:right="996"/>
        <w:jc w:val="left"/>
      </w:pPr>
      <w:r>
        <w:rPr/>
        <w:t>（</w:t>
      </w:r>
      <w:r>
        <w:rPr>
          <w:rFonts w:ascii="Times New Roman" w:hAnsi="Times New Roman" w:cs="Times New Roman" w:eastAsia="Times New Roman" w:hint="default"/>
        </w:rPr>
        <w:t>1</w:t>
      </w:r>
      <w:r>
        <w:rPr/>
        <w:t>）李海鹰先生，</w:t>
      </w:r>
      <w:r>
        <w:rPr>
          <w:rFonts w:ascii="Times New Roman" w:hAnsi="Times New Roman" w:cs="Times New Roman" w:eastAsia="Times New Roman" w:hint="default"/>
        </w:rPr>
        <w:t>53</w:t>
      </w:r>
      <w:r>
        <w:rPr>
          <w:rFonts w:ascii="Times New Roman" w:hAnsi="Times New Roman" w:cs="Times New Roman" w:eastAsia="Times New Roman" w:hint="default"/>
          <w:spacing w:val="-1"/>
        </w:rPr>
        <w:t> </w:t>
      </w:r>
      <w:r>
        <w:rPr/>
        <w:t>岁，本科学历，工程师。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月任公司董事</w:t>
      </w:r>
    </w:p>
    <w:p>
      <w:pPr>
        <w:spacing w:line="240" w:lineRule="auto" w:before="11"/>
        <w:rPr>
          <w:rFonts w:ascii="宋体" w:hAnsi="宋体" w:cs="宋体" w:eastAsia="宋体" w:hint="default"/>
          <w:sz w:val="7"/>
          <w:szCs w:val="7"/>
        </w:rPr>
      </w:pPr>
    </w:p>
    <w:p>
      <w:pPr>
        <w:pStyle w:val="BodyText"/>
        <w:spacing w:line="331" w:lineRule="auto" w:before="26"/>
        <w:ind w:right="1122"/>
        <w:jc w:val="left"/>
      </w:pPr>
      <w:r>
        <w:rPr>
          <w:spacing w:val="-5"/>
        </w:rPr>
        <w:t>长兼总经理，</w:t>
      </w:r>
      <w:r>
        <w:rPr>
          <w:rFonts w:ascii="Times New Roman" w:hAnsi="Times New Roman" w:cs="Times New Roman" w:eastAsia="Times New Roman" w:hint="default"/>
          <w:spacing w:val="-5"/>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月至今担任本公司董事长。</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日至</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年担任北京七彩 通达传媒股份有限公司董事。</w:t>
      </w:r>
    </w:p>
    <w:p>
      <w:pPr>
        <w:pStyle w:val="BodyText"/>
        <w:spacing w:line="240" w:lineRule="auto" w:before="55"/>
        <w:ind w:left="633" w:right="996"/>
        <w:jc w:val="left"/>
      </w:pPr>
      <w:r>
        <w:rPr/>
        <w:t>（</w:t>
      </w:r>
      <w:r>
        <w:rPr>
          <w:rFonts w:ascii="Times New Roman" w:hAnsi="Times New Roman" w:cs="Times New Roman" w:eastAsia="Times New Roman" w:hint="default"/>
        </w:rPr>
        <w:t>2</w:t>
      </w:r>
      <w:r>
        <w:rPr/>
        <w:t>）谢春生先生，</w:t>
      </w:r>
      <w:r>
        <w:rPr>
          <w:rFonts w:ascii="Times New Roman" w:hAnsi="Times New Roman" w:cs="Times New Roman" w:eastAsia="Times New Roman" w:hint="default"/>
        </w:rPr>
        <w:t>51</w:t>
      </w:r>
      <w:r>
        <w:rPr>
          <w:rFonts w:ascii="Times New Roman" w:hAnsi="Times New Roman" w:cs="Times New Roman" w:eastAsia="Times New Roman" w:hint="default"/>
          <w:spacing w:val="-1"/>
        </w:rPr>
        <w:t> </w:t>
      </w:r>
      <w:r>
        <w:rPr/>
        <w:t>岁，本科学历，高级工程师。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6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月任公司</w:t>
      </w:r>
    </w:p>
    <w:p>
      <w:pPr>
        <w:pStyle w:val="BodyText"/>
        <w:spacing w:line="240" w:lineRule="auto" w:before="129"/>
        <w:ind w:right="996"/>
        <w:jc w:val="left"/>
      </w:pPr>
      <w:r>
        <w:rPr/>
        <w:t>董事兼副总经理，</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2 </w:t>
      </w:r>
      <w:r>
        <w:rPr/>
        <w:t>月至</w:t>
      </w:r>
      <w:r>
        <w:rPr>
          <w:spacing w:val="-60"/>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4 </w:t>
      </w:r>
      <w:r>
        <w:rPr/>
        <w:t>月任公司董事兼总经理，</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4 </w:t>
      </w:r>
      <w:r>
        <w:rPr/>
        <w:t>月至</w:t>
      </w:r>
      <w:r>
        <w:rPr>
          <w:spacing w:val="-60"/>
        </w:rPr>
        <w:t> </w:t>
      </w:r>
      <w:r>
        <w:rPr>
          <w:rFonts w:ascii="Times New Roman" w:hAnsi="Times New Roman" w:cs="Times New Roman" w:eastAsia="Times New Roman" w:hint="default"/>
        </w:rPr>
        <w:t>2010 </w:t>
      </w:r>
      <w:r>
        <w:rPr/>
        <w:t>年</w:t>
      </w:r>
    </w:p>
    <w:p>
      <w:pPr>
        <w:pStyle w:val="BodyText"/>
        <w:spacing w:line="240" w:lineRule="auto" w:before="126"/>
        <w:ind w:right="996"/>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3"/>
        </w:rPr>
        <w:t>月任公司总经理；</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月至今任公司董事；</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月至今任公司总经理。</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p>
    <w:p>
      <w:pPr>
        <w:pStyle w:val="BodyText"/>
        <w:spacing w:line="333" w:lineRule="auto" w:before="128"/>
        <w:ind w:right="112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月至今兼任河南辉煌软件有限公司执行董事，</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月担任北京全路信通 技术有限公司执行董事，</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 </w:t>
      </w:r>
      <w:r>
        <w:rPr/>
        <w:t>月至今任河南辉煌信通软件有限公司执行董事。</w:t>
      </w:r>
    </w:p>
    <w:p>
      <w:pPr>
        <w:pStyle w:val="BodyText"/>
        <w:spacing w:line="345" w:lineRule="auto" w:before="22"/>
        <w:ind w:right="1131" w:firstLine="480"/>
        <w:jc w:val="both"/>
      </w:pPr>
      <w:r>
        <w:rPr/>
        <w:t>（</w:t>
      </w:r>
      <w:r>
        <w:rPr>
          <w:rFonts w:ascii="Times New Roman" w:hAnsi="Times New Roman" w:cs="Times New Roman" w:eastAsia="Times New Roman" w:hint="default"/>
        </w:rPr>
        <w:t>3</w:t>
      </w:r>
      <w:r>
        <w:rPr/>
        <w:t>）郑建彪先生，</w:t>
      </w:r>
      <w:r>
        <w:rPr>
          <w:rFonts w:ascii="Times New Roman" w:hAnsi="Times New Roman" w:cs="Times New Roman" w:eastAsia="Times New Roman" w:hint="default"/>
        </w:rPr>
        <w:t>56</w:t>
      </w:r>
      <w:r>
        <w:rPr>
          <w:rFonts w:ascii="Times New Roman" w:hAnsi="Times New Roman" w:cs="Times New Roman" w:eastAsia="Times New Roman" w:hint="default"/>
          <w:spacing w:val="-26"/>
        </w:rPr>
        <w:t> </w:t>
      </w:r>
      <w:r>
        <w:rPr/>
        <w:t>岁，经济学硕士</w:t>
      </w:r>
      <w:r>
        <w:rPr>
          <w:rFonts w:ascii="Times New Roman" w:hAnsi="Times New Roman" w:cs="Times New Roman" w:eastAsia="Times New Roman" w:hint="default"/>
        </w:rPr>
        <w:t>/</w:t>
      </w:r>
      <w:r>
        <w:rPr/>
        <w:t>工商管理硕士学位</w:t>
      </w:r>
      <w:r>
        <w:rPr>
          <w:rFonts w:ascii="Times New Roman" w:hAnsi="Times New Roman" w:cs="Times New Roman" w:eastAsia="Times New Roman" w:hint="default"/>
        </w:rPr>
        <w:t>,</w:t>
      </w:r>
      <w:r>
        <w:rPr/>
        <w:t>高级会计师、注册会计师，中 共党员。历任：北京市财政局干部、深圳蛇口中华会计师事务所经理、京都会计师事务所副 主任；现任致同会计师事务所合伙人、中国证监会第三届上市公司并购重组专家咨询委员会 专家委员、南方基金管理股份有限公司独立董事；现任辉煌科技独立董事。</w:t>
      </w:r>
    </w:p>
    <w:p>
      <w:pPr>
        <w:pStyle w:val="BodyText"/>
        <w:spacing w:line="331" w:lineRule="auto" w:before="41"/>
        <w:ind w:right="1035" w:firstLine="480"/>
        <w:jc w:val="left"/>
      </w:pPr>
      <w:r>
        <w:rPr/>
        <w:t>（</w:t>
      </w:r>
      <w:r>
        <w:rPr>
          <w:rFonts w:ascii="Times New Roman" w:hAnsi="Times New Roman" w:cs="Times New Roman" w:eastAsia="Times New Roman" w:hint="default"/>
        </w:rPr>
        <w:t>4</w:t>
      </w:r>
      <w:r>
        <w:rPr/>
        <w:t>）康斌生先生，</w:t>
      </w:r>
      <w:r>
        <w:rPr>
          <w:rFonts w:ascii="Times New Roman" w:hAnsi="Times New Roman" w:cs="Times New Roman" w:eastAsia="Times New Roman" w:hint="default"/>
        </w:rPr>
        <w:t>53 </w:t>
      </w:r>
      <w:r>
        <w:rPr/>
        <w:t>岁，硕士，高级工程师，清华大学首届</w:t>
      </w:r>
      <w:r>
        <w:rPr>
          <w:spacing w:val="-61"/>
        </w:rPr>
        <w:t> </w:t>
      </w:r>
      <w:r>
        <w:rPr>
          <w:rFonts w:ascii="Times New Roman" w:hAnsi="Times New Roman" w:cs="Times New Roman" w:eastAsia="Times New Roman" w:hint="default"/>
        </w:rPr>
        <w:t>EMBA</w:t>
      </w:r>
      <w:r>
        <w:rPr/>
        <w:t>，中共党员。</w:t>
      </w:r>
      <w:r>
        <w:rPr>
          <w:rFonts w:ascii="Times New Roman" w:hAnsi="Times New Roman" w:cs="Times New Roman" w:eastAsia="Times New Roman" w:hint="default"/>
        </w:rPr>
        <w:t>1990 </w:t>
      </w:r>
      <w:r>
        <w:rPr/>
        <w:t>年至</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年曾先后在北京录音机厂、松下电器（中国）有限公司、同方威视股份有限公司、 易程科技股份有限公司工作。</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月至今担任中科天艺（北京）科技有限公司董事长， </w:t>
      </w:r>
      <w:r>
        <w:rPr>
          <w:rFonts w:ascii="Times New Roman" w:hAnsi="Times New Roman" w:cs="Times New Roman" w:eastAsia="Times New Roman" w:hint="default"/>
        </w:rPr>
        <w:t>2014 </w:t>
      </w:r>
      <w:r>
        <w:rPr>
          <w:spacing w:val="-3"/>
        </w:rPr>
        <w:t>年至今担任中科天艺信息技术江苏有限公司董事长，</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年至今担任江苏绿海物联科技 有限责任公司董事，</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月至今担任清谊汇（北京）科技有限公司董事长兼</w:t>
      </w:r>
      <w:r>
        <w:rPr>
          <w:spacing w:val="-70"/>
        </w:rPr>
        <w:t> </w:t>
      </w:r>
      <w:r>
        <w:rPr>
          <w:rFonts w:ascii="Times New Roman" w:hAnsi="Times New Roman" w:cs="Times New Roman" w:eastAsia="Times New Roman" w:hint="default"/>
          <w:spacing w:val="-4"/>
        </w:rPr>
        <w:t>CEO</w:t>
      </w:r>
      <w:r>
        <w:rPr>
          <w:spacing w:val="-4"/>
        </w:rPr>
        <w:t>；现任</w:t>
      </w:r>
      <w:r>
        <w:rPr/>
        <w:t> 辉煌科技独立董事。</w:t>
      </w:r>
    </w:p>
    <w:p>
      <w:pPr>
        <w:pStyle w:val="BodyText"/>
        <w:spacing w:line="343" w:lineRule="auto" w:before="55"/>
        <w:ind w:right="996" w:firstLine="480"/>
        <w:jc w:val="left"/>
      </w:pPr>
      <w:r>
        <w:rPr>
          <w:spacing w:val="-3"/>
        </w:rPr>
        <w:t>（</w:t>
      </w:r>
      <w:r>
        <w:rPr>
          <w:rFonts w:ascii="Times New Roman" w:hAnsi="Times New Roman" w:cs="Times New Roman" w:eastAsia="Times New Roman" w:hint="default"/>
          <w:spacing w:val="-3"/>
        </w:rPr>
        <w:t>5</w:t>
      </w:r>
      <w:r>
        <w:rPr>
          <w:spacing w:val="-3"/>
        </w:rPr>
        <w:t>）张宇锋先生，</w:t>
      </w:r>
      <w:r>
        <w:rPr>
          <w:rFonts w:ascii="Times New Roman" w:hAnsi="Times New Roman" w:cs="Times New Roman" w:eastAsia="Times New Roman" w:hint="default"/>
          <w:spacing w:val="-3"/>
        </w:rPr>
        <w:t>57</w:t>
      </w:r>
      <w:r>
        <w:rPr>
          <w:rFonts w:ascii="Times New Roman" w:hAnsi="Times New Roman" w:cs="Times New Roman" w:eastAsia="Times New Roman" w:hint="default"/>
          <w:spacing w:val="1"/>
        </w:rPr>
        <w:t> </w:t>
      </w:r>
      <w:r>
        <w:rPr>
          <w:spacing w:val="-3"/>
        </w:rPr>
        <w:t>岁，硕士，经济师，律师，中共党员。</w:t>
      </w:r>
      <w:r>
        <w:rPr>
          <w:rFonts w:ascii="Times New Roman" w:hAnsi="Times New Roman" w:cs="Times New Roman" w:eastAsia="Times New Roman" w:hint="default"/>
          <w:spacing w:val="-3"/>
        </w:rPr>
        <w:t>1989</w:t>
      </w:r>
      <w:r>
        <w:rPr>
          <w:rFonts w:ascii="Times New Roman" w:hAnsi="Times New Roman" w:cs="Times New Roman" w:eastAsia="Times New Roman" w:hint="default"/>
          <w:spacing w:val="1"/>
        </w:rPr>
        <w:t> </w:t>
      </w:r>
      <w:r>
        <w:rPr/>
        <w:t>年至</w:t>
      </w:r>
      <w:r>
        <w:rPr>
          <w:spacing w:val="-59"/>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年先后在中 纪委驻卫生部纪检组、中国康华房地产开发公司、中国建筑工程总公司进出口部从事行政管 理、房地产开发、进出口贸易等工作。</w:t>
      </w:r>
      <w:r>
        <w:rPr>
          <w:rFonts w:ascii="Times New Roman" w:hAnsi="Times New Roman" w:cs="Times New Roman" w:eastAsia="Times New Roman" w:hint="default"/>
        </w:rPr>
        <w:t>1999</w:t>
      </w:r>
      <w:r>
        <w:rPr>
          <w:rFonts w:ascii="Times New Roman" w:hAnsi="Times New Roman" w:cs="Times New Roman" w:eastAsia="Times New Roman" w:hint="default"/>
          <w:spacing w:val="-7"/>
        </w:rPr>
        <w:t> </w:t>
      </w:r>
      <w:r>
        <w:rPr/>
        <w:t>年至今任北京市华城律师事务所创始合伙人、主 任，</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10 </w:t>
      </w:r>
      <w:r>
        <w:rPr/>
        <w:t>月至今任北京市广银律师事务所律师，现兼任中国政法大学金融法研究中心 研究员，中国政法大学国际银行法律实务研究中心研究员，中国贸促会、中国国际商会调解 </w:t>
      </w:r>
      <w:r>
        <w:rPr>
          <w:spacing w:val="-2"/>
        </w:rPr>
        <w:t>中心商事调解员、广州仲裁委员会仲裁员、武汉仲裁委员会仲裁员、无锡仲裁委员会仲裁员、</w:t>
      </w:r>
      <w:r>
        <w:rPr/>
        <w:t> 中国保健协会常务理事兼副秘书长、中华全国律师协会金融证券保险专业委员会委员，上市 公司胜利股份、德展健康的独立董事，互联网金融安全专家顾问委员会委员等职务；现任辉</w:t>
      </w:r>
    </w:p>
    <w:p>
      <w:pPr>
        <w:spacing w:after="0" w:line="34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煌科技独立董事。</w:t>
      </w:r>
    </w:p>
    <w:p>
      <w:pPr>
        <w:pStyle w:val="BodyText"/>
        <w:spacing w:line="240" w:lineRule="auto" w:before="146"/>
        <w:ind w:left="633" w:right="996"/>
        <w:jc w:val="left"/>
      </w:pPr>
      <w:r>
        <w:rPr>
          <w:rFonts w:ascii="Times New Roman" w:hAnsi="Times New Roman" w:cs="Times New Roman" w:eastAsia="Times New Roman" w:hint="default"/>
        </w:rPr>
        <w:t>2</w:t>
      </w:r>
      <w:r>
        <w:rPr/>
        <w:t>、监事</w:t>
      </w:r>
    </w:p>
    <w:p>
      <w:pPr>
        <w:pStyle w:val="BodyText"/>
        <w:spacing w:line="333" w:lineRule="auto" w:before="126"/>
        <w:ind w:right="1155" w:firstLine="48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）郭治国先生，</w:t>
      </w:r>
      <w:r>
        <w:rPr>
          <w:rFonts w:ascii="Times New Roman" w:hAnsi="Times New Roman" w:cs="Times New Roman" w:eastAsia="Times New Roman" w:hint="default"/>
        </w:rPr>
        <w:t>43 </w:t>
      </w:r>
      <w:r>
        <w:rPr/>
        <w:t>岁，硕士，高级工程师。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年至今历任公司项目经理、总工程 师助理、副总工程师、总经理助理，</w:t>
      </w:r>
      <w:r>
        <w:rPr>
          <w:rFonts w:ascii="Times New Roman" w:hAnsi="Times New Roman" w:cs="Times New Roman" w:eastAsia="Times New Roman" w:hint="default"/>
        </w:rPr>
        <w:t>2017 </w:t>
      </w:r>
      <w:r>
        <w:rPr/>
        <w:t>年</w:t>
      </w:r>
      <w:r>
        <w:rPr>
          <w:spacing w:val="-60"/>
        </w:rPr>
        <w:t> </w:t>
      </w:r>
      <w:r>
        <w:rPr>
          <w:rFonts w:ascii="Times New Roman" w:hAnsi="Times New Roman" w:cs="Times New Roman" w:eastAsia="Times New Roman" w:hint="default"/>
        </w:rPr>
        <w:t>2 </w:t>
      </w:r>
      <w:r>
        <w:rPr/>
        <w:t>月至</w:t>
      </w:r>
      <w:r>
        <w:rPr>
          <w:spacing w:val="-60"/>
        </w:rPr>
        <w:t> </w:t>
      </w:r>
      <w:r>
        <w:rPr>
          <w:rFonts w:ascii="Times New Roman" w:hAnsi="Times New Roman" w:cs="Times New Roman" w:eastAsia="Times New Roman" w:hint="default"/>
        </w:rPr>
        <w:t>2020 </w:t>
      </w:r>
      <w:r>
        <w:rPr/>
        <w:t>年</w:t>
      </w:r>
      <w:r>
        <w:rPr>
          <w:spacing w:val="-60"/>
        </w:rPr>
        <w:t> </w:t>
      </w:r>
      <w:r>
        <w:rPr>
          <w:rFonts w:ascii="Times New Roman" w:hAnsi="Times New Roman" w:cs="Times New Roman" w:eastAsia="Times New Roman" w:hint="default"/>
        </w:rPr>
        <w:t>2 </w:t>
      </w:r>
      <w:r>
        <w:rPr/>
        <w:t>月担任公司监事会主席，</w:t>
      </w:r>
      <w:r>
        <w:rPr>
          <w:rFonts w:ascii="Times New Roman" w:hAnsi="Times New Roman" w:cs="Times New Roman" w:eastAsia="Times New Roman" w:hint="default"/>
        </w:rPr>
        <w:t>2018</w:t>
      </w:r>
    </w:p>
    <w:p>
      <w:pPr>
        <w:pStyle w:val="BodyText"/>
        <w:spacing w:line="240" w:lineRule="auto" w:before="25"/>
        <w:ind w:right="996"/>
        <w:jc w:val="left"/>
      </w:pPr>
      <w:r>
        <w:rPr/>
        <w:t>年</w:t>
      </w:r>
      <w:r>
        <w:rPr>
          <w:spacing w:val="-60"/>
        </w:rPr>
        <w:t> </w:t>
      </w:r>
      <w:r>
        <w:rPr>
          <w:rFonts w:ascii="Times New Roman" w:hAnsi="Times New Roman" w:cs="Times New Roman" w:eastAsia="Times New Roman" w:hint="default"/>
        </w:rPr>
        <w:t>9 </w:t>
      </w:r>
      <w:r>
        <w:rPr/>
        <w:t>月至今任北京国铁路阳技术有限公司执行董事。</w:t>
      </w:r>
    </w:p>
    <w:p>
      <w:pPr>
        <w:pStyle w:val="BodyText"/>
        <w:spacing w:line="333" w:lineRule="auto" w:before="126"/>
        <w:ind w:right="1000" w:firstLine="480"/>
        <w:jc w:val="left"/>
      </w:pPr>
      <w:r>
        <w:rPr>
          <w:spacing w:val="-8"/>
        </w:rPr>
        <w:t>（</w:t>
      </w:r>
      <w:r>
        <w:rPr>
          <w:rFonts w:ascii="Times New Roman" w:hAnsi="Times New Roman" w:cs="Times New Roman" w:eastAsia="Times New Roman" w:hint="default"/>
          <w:spacing w:val="-8"/>
        </w:rPr>
        <w:t>2</w:t>
      </w:r>
      <w:r>
        <w:rPr>
          <w:spacing w:val="-8"/>
        </w:rPr>
        <w:t>）黄继军先生，</w:t>
      </w:r>
      <w:r>
        <w:rPr>
          <w:rFonts w:ascii="Times New Roman" w:hAnsi="Times New Roman" w:cs="Times New Roman" w:eastAsia="Times New Roman" w:hint="default"/>
          <w:spacing w:val="-8"/>
        </w:rPr>
        <w:t>50 </w:t>
      </w:r>
      <w:r>
        <w:rPr>
          <w:spacing w:val="-8"/>
        </w:rPr>
        <w:t>岁，本科学历，助理工程师。</w:t>
      </w:r>
      <w:r>
        <w:rPr>
          <w:rFonts w:ascii="Times New Roman" w:hAnsi="Times New Roman" w:cs="Times New Roman" w:eastAsia="Times New Roman" w:hint="default"/>
          <w:spacing w:val="-8"/>
        </w:rPr>
        <w:t>2001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月至今任公司物资部经理、 </w:t>
      </w:r>
      <w:r>
        <w:rPr>
          <w:spacing w:val="-6"/>
        </w:rPr>
        <w:t>监事，</w:t>
      </w:r>
      <w:r>
        <w:rPr>
          <w:rFonts w:ascii="Times New Roman" w:hAnsi="Times New Roman" w:cs="Times New Roman" w:eastAsia="Times New Roman" w:hint="default"/>
          <w:spacing w:val="-6"/>
        </w:rPr>
        <w:t>2019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月至今担任北京国铁路阳技术有限公司监事，</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月至今担任北京全路 信通技术有限公司执行董事。</w:t>
      </w:r>
    </w:p>
    <w:p>
      <w:pPr>
        <w:pStyle w:val="BodyText"/>
        <w:spacing w:line="333" w:lineRule="auto" w:before="51"/>
        <w:ind w:right="1121" w:firstLine="480"/>
        <w:jc w:val="left"/>
      </w:pPr>
      <w:r>
        <w:rPr>
          <w:spacing w:val="-4"/>
        </w:rPr>
        <w:t>（</w:t>
      </w:r>
      <w:r>
        <w:rPr>
          <w:rFonts w:ascii="Times New Roman" w:hAnsi="Times New Roman" w:cs="Times New Roman" w:eastAsia="Times New Roman" w:hint="default"/>
          <w:spacing w:val="-4"/>
        </w:rPr>
        <w:t>3</w:t>
      </w:r>
      <w:r>
        <w:rPr>
          <w:spacing w:val="-4"/>
        </w:rPr>
        <w:t>）郝恩元先生，</w:t>
      </w:r>
      <w:r>
        <w:rPr>
          <w:rFonts w:ascii="Times New Roman" w:hAnsi="Times New Roman" w:cs="Times New Roman" w:eastAsia="Times New Roman" w:hint="default"/>
          <w:spacing w:val="-4"/>
        </w:rPr>
        <w:t>44</w:t>
      </w:r>
      <w:r>
        <w:rPr>
          <w:rFonts w:ascii="Times New Roman" w:hAnsi="Times New Roman" w:cs="Times New Roman" w:eastAsia="Times New Roman" w:hint="default"/>
          <w:spacing w:val="2"/>
        </w:rPr>
        <w:t> </w:t>
      </w:r>
      <w:r>
        <w:rPr>
          <w:spacing w:val="-3"/>
        </w:rPr>
        <w:t>岁，本科学历，中级会计师。</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月至今任公司职工代表监 事、财务部会计。</w:t>
      </w:r>
    </w:p>
    <w:p>
      <w:pPr>
        <w:pStyle w:val="BodyText"/>
        <w:spacing w:line="240" w:lineRule="auto" w:before="53"/>
        <w:ind w:left="633" w:right="996"/>
        <w:jc w:val="left"/>
      </w:pPr>
      <w:r>
        <w:rPr>
          <w:rFonts w:ascii="Times New Roman" w:hAnsi="Times New Roman" w:cs="Times New Roman" w:eastAsia="Times New Roman" w:hint="default"/>
        </w:rPr>
        <w:t>3</w:t>
      </w:r>
      <w:r>
        <w:rPr/>
        <w:t>、高级管理人员</w:t>
      </w:r>
    </w:p>
    <w:p>
      <w:pPr>
        <w:pStyle w:val="BodyText"/>
        <w:spacing w:line="333" w:lineRule="auto" w:before="126"/>
        <w:ind w:right="1127" w:firstLine="480"/>
        <w:jc w:val="left"/>
      </w:pPr>
      <w:r>
        <w:rPr>
          <w:spacing w:val="-5"/>
        </w:rPr>
        <w:t>（</w:t>
      </w:r>
      <w:r>
        <w:rPr>
          <w:rFonts w:ascii="Times New Roman" w:hAnsi="Times New Roman" w:cs="Times New Roman" w:eastAsia="Times New Roman" w:hint="default"/>
          <w:spacing w:val="-5"/>
        </w:rPr>
        <w:t>1</w:t>
      </w:r>
      <w:r>
        <w:rPr>
          <w:spacing w:val="-5"/>
        </w:rPr>
        <w:t>）谢春生先生，现任公司董事、总经理，专业背景、主要工作经历等信息详见本节</w:t>
      </w:r>
      <w:r>
        <w:rPr>
          <w:rFonts w:ascii="Times New Roman" w:hAnsi="Times New Roman" w:cs="Times New Roman" w:eastAsia="Times New Roman" w:hint="default"/>
          <w:spacing w:val="-5"/>
        </w:rPr>
        <w:t>“</w:t>
      </w:r>
      <w:r>
        <w:rPr>
          <w:spacing w:val="-5"/>
        </w:rPr>
        <w:t>董</w:t>
      </w:r>
      <w:r>
        <w:rPr/>
        <w:t> 事</w:t>
      </w:r>
      <w:r>
        <w:rPr>
          <w:rFonts w:ascii="Times New Roman" w:hAnsi="Times New Roman" w:cs="Times New Roman" w:eastAsia="Times New Roman" w:hint="default"/>
        </w:rPr>
        <w:t>”</w:t>
      </w:r>
      <w:r>
        <w:rPr/>
        <w:t>。</w:t>
      </w:r>
    </w:p>
    <w:p>
      <w:pPr>
        <w:pStyle w:val="BodyText"/>
        <w:spacing w:line="331" w:lineRule="auto" w:before="25"/>
        <w:ind w:right="1128" w:firstLine="480"/>
        <w:jc w:val="both"/>
      </w:pPr>
      <w:r>
        <w:rPr/>
        <w:t>（</w:t>
      </w:r>
      <w:r>
        <w:rPr>
          <w:rFonts w:ascii="Times New Roman" w:hAnsi="Times New Roman" w:cs="Times New Roman" w:eastAsia="Times New Roman" w:hint="default"/>
        </w:rPr>
        <w:t>2</w:t>
      </w:r>
      <w:r>
        <w:rPr/>
        <w:t>）杜旭升先生，</w:t>
      </w:r>
      <w:r>
        <w:rPr>
          <w:rFonts w:ascii="Times New Roman" w:hAnsi="Times New Roman" w:cs="Times New Roman" w:eastAsia="Times New Roman" w:hint="default"/>
        </w:rPr>
        <w:t>45 </w:t>
      </w:r>
      <w:r>
        <w:rPr/>
        <w:t>岁，大专学历，高级工程师。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年至今历任公司副总工程师、 </w:t>
      </w:r>
      <w:r>
        <w:rPr>
          <w:spacing w:val="-4"/>
        </w:rPr>
        <w:t>常务副总工程师、总工程师，</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月至今任公司副总经理，</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月至今任公司董事 会秘书。</w:t>
      </w:r>
    </w:p>
    <w:p>
      <w:pPr>
        <w:pStyle w:val="BodyText"/>
        <w:spacing w:line="240" w:lineRule="auto" w:before="56"/>
        <w:ind w:left="633" w:right="0"/>
        <w:jc w:val="left"/>
      </w:pPr>
      <w:r>
        <w:rPr>
          <w:spacing w:val="-3"/>
        </w:rPr>
        <w:t>（</w:t>
      </w:r>
      <w:r>
        <w:rPr>
          <w:rFonts w:ascii="Times New Roman" w:hAnsi="Times New Roman" w:cs="Times New Roman" w:eastAsia="Times New Roman" w:hint="default"/>
          <w:spacing w:val="-3"/>
        </w:rPr>
        <w:t>3</w:t>
      </w:r>
      <w:r>
        <w:rPr>
          <w:spacing w:val="-3"/>
        </w:rPr>
        <w:t>）张奕敏女士，</w:t>
      </w:r>
      <w:r>
        <w:rPr>
          <w:rFonts w:ascii="Times New Roman" w:hAnsi="Times New Roman" w:cs="Times New Roman" w:eastAsia="Times New Roman" w:hint="default"/>
          <w:spacing w:val="-3"/>
        </w:rPr>
        <w:t>46 </w:t>
      </w:r>
      <w:r>
        <w:rPr>
          <w:spacing w:val="-4"/>
        </w:rPr>
        <w:t>岁，硕士，工程师。</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3"/>
        </w:rPr>
        <w:t> </w:t>
      </w:r>
      <w:r>
        <w:rPr/>
        <w:t>年至今历任公司营销总监、总经理助理，</w:t>
      </w:r>
    </w:p>
    <w:p>
      <w:pPr>
        <w:pStyle w:val="BodyText"/>
        <w:spacing w:line="240" w:lineRule="auto" w:before="126"/>
        <w:ind w:right="996"/>
        <w:jc w:val="left"/>
      </w:pP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月至今任公司副总经理，</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月至今任河南辉煌城轨科技有限公司执行董事，</w:t>
      </w:r>
    </w:p>
    <w:p>
      <w:pPr>
        <w:pStyle w:val="BodyText"/>
        <w:spacing w:line="240" w:lineRule="auto" w:before="128"/>
        <w:ind w:right="996"/>
        <w:jc w:val="lef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月至今任洛阳辉煌城轨科技有限公司执行董事。</w:t>
      </w:r>
    </w:p>
    <w:p>
      <w:pPr>
        <w:pStyle w:val="BodyText"/>
        <w:spacing w:line="331" w:lineRule="auto" w:before="128"/>
        <w:ind w:right="1155" w:firstLine="480"/>
        <w:jc w:val="left"/>
      </w:pPr>
      <w:r>
        <w:rPr/>
        <w:t>（</w:t>
      </w:r>
      <w:r>
        <w:rPr>
          <w:rFonts w:ascii="Times New Roman" w:hAnsi="Times New Roman" w:cs="Times New Roman" w:eastAsia="Times New Roman" w:hint="default"/>
        </w:rPr>
        <w:t>4</w:t>
      </w:r>
      <w:r>
        <w:rPr/>
        <w:t>）侯菊艳女士，</w:t>
      </w:r>
      <w:r>
        <w:rPr>
          <w:rFonts w:ascii="Times New Roman" w:hAnsi="Times New Roman" w:cs="Times New Roman" w:eastAsia="Times New Roman" w:hint="default"/>
        </w:rPr>
        <w:t>53 </w:t>
      </w:r>
      <w:r>
        <w:rPr/>
        <w:t>岁，本科学历，会计师。</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年至今历任公司成本会计、财务主 管，</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2 </w:t>
      </w:r>
      <w:r>
        <w:rPr/>
        <w:t>月至今任公司财务总监。</w:t>
      </w:r>
    </w:p>
    <w:p>
      <w:pPr>
        <w:pStyle w:val="BodyText"/>
        <w:spacing w:line="240" w:lineRule="auto" w:before="27"/>
        <w:ind w:left="633" w:right="996"/>
        <w:jc w:val="left"/>
      </w:pPr>
      <w:r>
        <w:rPr/>
        <w:t>在股东单位任职情况</w:t>
      </w:r>
    </w:p>
    <w:p>
      <w:pPr>
        <w:pStyle w:val="BodyText"/>
        <w:spacing w:line="331" w:lineRule="auto" w:before="146"/>
        <w:ind w:left="633" w:right="8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在其他单位任职情况</w:t>
      </w:r>
    </w:p>
    <w:p>
      <w:pPr>
        <w:pStyle w:val="BodyText"/>
        <w:spacing w:line="240" w:lineRule="auto" w:before="56"/>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994"/>
        <w:gridCol w:w="2835"/>
        <w:gridCol w:w="1274"/>
        <w:gridCol w:w="1560"/>
        <w:gridCol w:w="1561"/>
        <w:gridCol w:w="1344"/>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1" w:right="41"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李海鹰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北京七彩通达传媒股份有限公司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北京全路信通技术有限公司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谢春生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2835"/>
        <w:gridCol w:w="1274"/>
        <w:gridCol w:w="1560"/>
        <w:gridCol w:w="1561"/>
        <w:gridCol w:w="1344"/>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郑建彪</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中科天艺（北京）科技有限公司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清谊汇（北京）科技有限公司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CEO</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北京市华城律师事务所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山东胜利股份有限公司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德展大健康股份有限公司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北京市广银律师事务所</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张奕敏</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洛阳辉煌城轨科技有限公司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郭治国</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黄继军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北京全路信通技术有限公司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57"/>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574"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6"/>
              <w:jc w:val="both"/>
              <w:rPr>
                <w:rFonts w:ascii="宋体" w:hAnsi="宋体" w:cs="宋体" w:eastAsia="宋体" w:hint="default"/>
                <w:sz w:val="18"/>
                <w:szCs w:val="18"/>
              </w:rPr>
            </w:pPr>
            <w:r>
              <w:rPr>
                <w:rFonts w:ascii="宋体" w:hAnsi="宋体" w:cs="宋体" w:eastAsia="宋体" w:hint="default"/>
                <w:spacing w:val="-3"/>
                <w:sz w:val="18"/>
                <w:szCs w:val="18"/>
              </w:rPr>
              <w:t>郑建彪：</w:t>
            </w:r>
            <w:r>
              <w:rPr>
                <w:rFonts w:ascii="Times New Roman" w:hAnsi="Times New Roman" w:cs="Times New Roman" w:eastAsia="Times New Roman" w:hint="default"/>
                <w:spacing w:val="-3"/>
                <w:sz w:val="18"/>
                <w:szCs w:val="18"/>
              </w:rPr>
              <w:t>2008 </w:t>
            </w:r>
            <w:r>
              <w:rPr>
                <w:rFonts w:ascii="宋体" w:hAnsi="宋体" w:cs="宋体" w:eastAsia="宋体" w:hint="default"/>
                <w:sz w:val="18"/>
                <w:szCs w:val="18"/>
              </w:rPr>
              <w:t>年至今兼任中国证监会上市公司并购重组专家咨询委员会专家委员，</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年至今兼任南方基金 管理股份有限公司独立董事。张宇锋：</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年至今兼任中国贸促会</w:t>
            </w:r>
            <w:r>
              <w:rPr>
                <w:rFonts w:ascii="Times New Roman" w:hAnsi="Times New Roman" w:cs="Times New Roman" w:eastAsia="Times New Roman" w:hint="default"/>
                <w:sz w:val="18"/>
                <w:szCs w:val="18"/>
              </w:rPr>
              <w:t>/</w:t>
            </w:r>
            <w:r>
              <w:rPr>
                <w:rFonts w:ascii="宋体" w:hAnsi="宋体" w:cs="宋体" w:eastAsia="宋体" w:hint="default"/>
                <w:sz w:val="18"/>
                <w:szCs w:val="18"/>
              </w:rPr>
              <w:t>中国国际商会调解中心商事调解员、</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月至今兼任中国保健协会常务理事、副秘书长，</w:t>
            </w:r>
            <w:r>
              <w:rPr>
                <w:rFonts w:ascii="Times New Roman" w:hAnsi="Times New Roman" w:cs="Times New Roman" w:eastAsia="Times New Roman" w:hint="default"/>
                <w:spacing w:val="-4"/>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月至今兼任中国政法大学金融法研究中心研究</w:t>
            </w:r>
          </w:p>
          <w:p>
            <w:pPr>
              <w:pStyle w:val="TableParagraph"/>
              <w:spacing w:line="300" w:lineRule="auto" w:before="13"/>
              <w:ind w:left="23" w:right="17"/>
              <w:jc w:val="both"/>
              <w:rPr>
                <w:rFonts w:ascii="宋体" w:hAnsi="宋体" w:cs="宋体" w:eastAsia="宋体" w:hint="default"/>
                <w:sz w:val="18"/>
                <w:szCs w:val="18"/>
              </w:rPr>
            </w:pPr>
            <w:r>
              <w:rPr>
                <w:rFonts w:ascii="宋体" w:hAnsi="宋体" w:cs="宋体" w:eastAsia="宋体" w:hint="default"/>
                <w:sz w:val="18"/>
                <w:szCs w:val="18"/>
              </w:rPr>
              <w:t>员，</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月至今兼任广州仲裁委员会仲裁员，</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月至今兼任无锡仲裁委员会仲裁员，</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月至今兼任中国政法大学国际银行法律实务研究中心研究员。康斌生：</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年至今担任中科天艺信息技术江 苏有限公司董事长，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年至今兼任江苏绿海物联科技有限责任公司董事。黄继军：</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月至今兼任北 京国铁路阳技术有限公司监事。</w:t>
            </w:r>
          </w:p>
        </w:tc>
      </w:tr>
    </w:tbl>
    <w:p>
      <w:pPr>
        <w:spacing w:line="240" w:lineRule="auto" w:before="9"/>
        <w:rPr>
          <w:rFonts w:ascii="宋体" w:hAnsi="宋体" w:cs="宋体" w:eastAsia="宋体" w:hint="default"/>
          <w:sz w:val="4"/>
          <w:szCs w:val="4"/>
        </w:rPr>
      </w:pPr>
    </w:p>
    <w:p>
      <w:pPr>
        <w:pStyle w:val="BodyText"/>
        <w:spacing w:line="352" w:lineRule="auto" w:before="26"/>
        <w:ind w:left="633" w:right="1117"/>
        <w:jc w:val="left"/>
      </w:pPr>
      <w:r>
        <w:rPr/>
        <w:t>公司现任及报告期内离任董事、监事和高级管理人员近三年证券监管机构处罚的情况 深圳证券交易所</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4"/>
        </w:rPr>
        <w:t>日发布了《关于对河南辉煌科技股份有限公司董事长李海</w:t>
      </w:r>
    </w:p>
    <w:p>
      <w:pPr>
        <w:pStyle w:val="BodyText"/>
        <w:spacing w:line="352" w:lineRule="auto" w:before="1"/>
        <w:ind w:right="1119"/>
        <w:jc w:val="left"/>
      </w:pPr>
      <w:r>
        <w:rPr>
          <w:spacing w:val="-5"/>
        </w:rPr>
        <w:t>鹰给予通报批评处分的决定》，对于李海鹰先生减持行为发生在业绩预告公告前十日内，给予</w:t>
      </w:r>
      <w:r>
        <w:rPr>
          <w:spacing w:val="-117"/>
        </w:rPr>
        <w:t> </w:t>
      </w:r>
      <w:r>
        <w:rPr>
          <w:spacing w:val="-117"/>
        </w:rPr>
      </w:r>
      <w:r>
        <w:rPr/>
        <w:t>其通报批评的处分。</w:t>
      </w:r>
    </w:p>
    <w:p>
      <w:pPr>
        <w:pStyle w:val="Heading2"/>
        <w:spacing w:line="240" w:lineRule="auto" w:before="206"/>
        <w:ind w:right="996"/>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10"/>
        <w:rPr>
          <w:rFonts w:ascii="宋体" w:hAnsi="宋体" w:cs="宋体" w:eastAsia="宋体" w:hint="default"/>
          <w:b/>
          <w:bCs/>
          <w:sz w:val="18"/>
          <w:szCs w:val="18"/>
        </w:rPr>
      </w:pPr>
    </w:p>
    <w:p>
      <w:pPr>
        <w:pStyle w:val="BodyText"/>
        <w:spacing w:line="350" w:lineRule="auto"/>
        <w:ind w:left="633" w:right="996"/>
        <w:jc w:val="left"/>
      </w:pPr>
      <w:r>
        <w:rPr/>
        <w:t>董事、监事、高级管理人员报酬的决策程序、确定依据、实际支付情况 </w:t>
      </w:r>
      <w:r>
        <w:rPr>
          <w:spacing w:val="-7"/>
        </w:rPr>
        <w:t>公司董事、监事、高级管理人员的报酬按照公司《薪酬体系管理规定》、《高级管理人员</w:t>
      </w:r>
    </w:p>
    <w:p>
      <w:pPr>
        <w:pStyle w:val="BodyText"/>
        <w:spacing w:line="352" w:lineRule="auto" w:before="36"/>
        <w:ind w:right="1154"/>
        <w:jc w:val="left"/>
      </w:pPr>
      <w:r>
        <w:rPr/>
        <w:t>薪酬管理制度》的规定进行考核，并由公司董事会审议后提交公司股东大会审议。公司根据 薪酬计划按月发放薪酬，报告期内共支付董事、监事、高级管理人员薪酬</w:t>
      </w:r>
      <w:r>
        <w:rPr>
          <w:spacing w:val="-58"/>
        </w:rPr>
        <w:t> </w:t>
      </w:r>
      <w:r>
        <w:rPr>
          <w:rFonts w:ascii="Times New Roman" w:hAnsi="Times New Roman" w:cs="Times New Roman" w:eastAsia="Times New Roman" w:hint="default"/>
        </w:rPr>
        <w:t>637.20 </w:t>
      </w:r>
      <w:r>
        <w:rPr/>
        <w:t>万元。</w:t>
      </w:r>
    </w:p>
    <w:p>
      <w:pPr>
        <w:pStyle w:val="BodyText"/>
        <w:spacing w:line="240" w:lineRule="auto" w:before="2"/>
        <w:ind w:left="633" w:right="996"/>
        <w:jc w:val="left"/>
      </w:pPr>
      <w:r>
        <w:rPr/>
        <w:t>公司报告期内董事、监事和高级管理人员报酬情况</w:t>
      </w:r>
    </w:p>
    <w:p>
      <w:pPr>
        <w:spacing w:before="10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133"/>
        <w:gridCol w:w="934"/>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李海鹰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谢春生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郑建彪</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2036"/>
        <w:gridCol w:w="1133"/>
        <w:gridCol w:w="934"/>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康斌生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张宇锋</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郭治国</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黄继军</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郝恩元</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杜旭升</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5"/>
              <w:jc w:val="right"/>
              <w:rPr>
                <w:rFonts w:ascii="宋体" w:hAnsi="宋体" w:cs="宋体" w:eastAsia="宋体" w:hint="default"/>
                <w:sz w:val="18"/>
                <w:szCs w:val="18"/>
              </w:rPr>
            </w:pPr>
            <w:r>
              <w:rPr>
                <w:rFonts w:ascii="宋体" w:hAnsi="宋体" w:cs="宋体" w:eastAsia="宋体" w:hint="default"/>
                <w:sz w:val="18"/>
                <w:szCs w:val="18"/>
              </w:rPr>
              <w:t>张奕敏</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5"/>
              <w:jc w:val="right"/>
              <w:rPr>
                <w:rFonts w:ascii="宋体" w:hAnsi="宋体" w:cs="宋体" w:eastAsia="宋体" w:hint="default"/>
                <w:sz w:val="18"/>
                <w:szCs w:val="18"/>
              </w:rPr>
            </w:pPr>
            <w:r>
              <w:rPr>
                <w:rFonts w:ascii="宋体" w:hAnsi="宋体" w:cs="宋体" w:eastAsia="宋体" w:hint="default"/>
                <w:sz w:val="18"/>
                <w:szCs w:val="18"/>
              </w:rPr>
              <w:t>侯菊艳</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2" w:right="0"/>
              <w:jc w:val="lef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637.2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公司董事、高级管理人员报告期内被授予的股权激励情况</w:t>
      </w:r>
    </w:p>
    <w:p>
      <w:pPr>
        <w:spacing w:line="451" w:lineRule="auto" w:before="144"/>
        <w:ind w:left="152" w:right="6779" w:firstLine="480"/>
        <w:jc w:val="left"/>
        <w:rPr>
          <w:rFonts w:ascii="宋体" w:hAnsi="宋体" w:cs="宋体" w:eastAsia="宋体" w:hint="default"/>
          <w:sz w:val="21"/>
          <w:szCs w:val="21"/>
        </w:rPr>
      </w:pPr>
      <w:r>
        <w:rPr/>
        <w:pict>
          <v:shape style="position:absolute;margin-left:57pt;margin-top:90.095673pt;width:478.7pt;height:382.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5"/>
                    <w:gridCol w:w="4794"/>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r>
                </w:tbl>
                <w:p>
                  <w:pPr/>
                </w:p>
              </w:txbxContent>
            </v:textbox>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五、公司员工情况" w:id="127"/>
      <w:bookmarkEnd w:id="127"/>
      <w:r>
        <w:rPr>
          <w:rFonts w:ascii="宋体" w:hAnsi="宋体" w:cs="宋体" w:eastAsia="宋体" w:hint="default"/>
          <w:sz w:val="24"/>
          <w:szCs w:val="24"/>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8"/>
      <w:bookmarkEnd w:id="128"/>
      <w:r>
        <w:rPr>
          <w:rFonts w:ascii="宋体" w:hAnsi="宋体" w:cs="宋体" w:eastAsia="宋体" w:hint="default"/>
          <w:b/>
          <w:bCs/>
          <w:w w:val="99"/>
          <w:sz w:val="24"/>
          <w:szCs w:val="24"/>
        </w:rPr>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after="0" w:line="451"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spacing w:before="36"/>
        <w:ind w:left="152" w:right="0" w:firstLine="0"/>
        <w:jc w:val="both"/>
        <w:rPr>
          <w:rFonts w:ascii="宋体" w:hAnsi="宋体" w:cs="宋体" w:eastAsia="宋体" w:hint="default"/>
          <w:sz w:val="21"/>
          <w:szCs w:val="21"/>
        </w:rPr>
      </w:pPr>
      <w:bookmarkStart w:name="2、薪酬政策" w:id="129"/>
      <w:bookmarkEnd w:id="1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pStyle w:val="BodyText"/>
        <w:spacing w:line="340" w:lineRule="auto"/>
        <w:ind w:right="1000" w:firstLine="48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4"/>
        </w:rPr>
        <w:t>年度，公司严格执行国家用工制度、劳动保护制度、社会保障制度和医疗保障制度，</w:t>
      </w:r>
      <w:r>
        <w:rPr/>
        <w:t> 按照国家法律法规及时为员工缴纳医疗保险金、养老保险、失业保险、工伤保险、生育保险 和公积金。在此基础上，公司结合所处行业及经营特点，充分考虑公平性和竞争力，形成了</w:t>
      </w:r>
    </w:p>
    <w:p>
      <w:pPr>
        <w:pStyle w:val="BodyText"/>
        <w:spacing w:line="350" w:lineRule="auto" w:before="46"/>
        <w:ind w:right="1171"/>
        <w:jc w:val="both"/>
      </w:pPr>
      <w:r>
        <w:rPr>
          <w:spacing w:val="-6"/>
        </w:rPr>
        <w:t>《薪酬体系管理规定》、《高级管理人员薪酬管理制度》等一系列富有竞争力的薪酬考核制度</w:t>
      </w:r>
      <w:r>
        <w:rPr>
          <w:spacing w:val="-114"/>
        </w:rPr>
        <w:t> </w:t>
      </w:r>
      <w:r>
        <w:rPr>
          <w:spacing w:val="-114"/>
        </w:rPr>
      </w:r>
      <w:r>
        <w:rPr/>
        <w:t>及绩效考核制度。报告期内，公司向员工提供稳定而有竞争力的薪酬，实施了公平公正的绩 效考核机制，充分调动员工的积极性和创造性，稳定公司人才队伍和吸引外部优秀人才，为 公司发展提供人力资源保障。</w:t>
      </w:r>
    </w:p>
    <w:p>
      <w:pPr>
        <w:pStyle w:val="BodyText"/>
        <w:spacing w:line="331" w:lineRule="auto" w:before="37"/>
        <w:ind w:right="1118" w:firstLine="480"/>
        <w:jc w:val="left"/>
      </w:pPr>
      <w:r>
        <w:rPr>
          <w:spacing w:val="-4"/>
        </w:rPr>
        <w:t>公司需遵守《深圳证券交易所行业信息披露指引第</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上市公司从事软件与信息技 术服务业务》的披露要求</w:t>
      </w:r>
    </w:p>
    <w:p>
      <w:pPr>
        <w:pStyle w:val="BodyText"/>
        <w:spacing w:line="331" w:lineRule="auto" w:before="55"/>
        <w:ind w:right="1122" w:firstLine="480"/>
        <w:jc w:val="left"/>
      </w:pPr>
      <w:r>
        <w:rPr/>
        <w:t>报告期内计入成本部分的职工薪酬总额为</w:t>
      </w:r>
      <w:r>
        <w:rPr>
          <w:spacing w:val="-60"/>
        </w:rPr>
        <w:t> </w:t>
      </w:r>
      <w:r>
        <w:rPr>
          <w:rFonts w:ascii="Times New Roman" w:hAnsi="Times New Roman" w:cs="Times New Roman" w:eastAsia="Times New Roman" w:hint="default"/>
        </w:rPr>
        <w:t>1,421.16 </w:t>
      </w:r>
      <w:r>
        <w:rPr/>
        <w:t>万元，占公司产品成本总额的比重 </w:t>
      </w:r>
      <w:r>
        <w:rPr>
          <w:rFonts w:ascii="Times New Roman" w:hAnsi="Times New Roman" w:cs="Times New Roman" w:eastAsia="Times New Roman" w:hint="default"/>
          <w:spacing w:val="-2"/>
        </w:rPr>
        <w:t>4.98%</w:t>
      </w:r>
      <w:r>
        <w:rPr>
          <w:spacing w:val="-2"/>
        </w:rPr>
        <w:t>，占比较小，对公司利润无显著影响。报告期内核心技术人员数量占比</w:t>
      </w:r>
      <w:r>
        <w:rPr>
          <w:spacing w:val="-38"/>
        </w:rPr>
        <w:t> </w:t>
      </w:r>
      <w:r>
        <w:rPr>
          <w:rFonts w:ascii="Times New Roman" w:hAnsi="Times New Roman" w:cs="Times New Roman" w:eastAsia="Times New Roman" w:hint="default"/>
          <w:spacing w:val="-2"/>
        </w:rPr>
        <w:t>9.57%</w:t>
      </w:r>
      <w:r>
        <w:rPr>
          <w:spacing w:val="-2"/>
        </w:rPr>
        <w:t>，核心技</w:t>
      </w:r>
      <w:r>
        <w:rPr>
          <w:spacing w:val="-117"/>
        </w:rPr>
        <w:t> </w:t>
      </w:r>
      <w:r>
        <w:rPr>
          <w:spacing w:val="-117"/>
        </w:rPr>
      </w:r>
      <w:r>
        <w:rPr/>
        <w:t>术人员薪酬占比</w:t>
      </w:r>
      <w:r>
        <w:rPr>
          <w:spacing w:val="-61"/>
        </w:rPr>
        <w:t> </w:t>
      </w:r>
      <w:r>
        <w:rPr>
          <w:rFonts w:ascii="Times New Roman" w:hAnsi="Times New Roman" w:cs="Times New Roman" w:eastAsia="Times New Roman" w:hint="default"/>
        </w:rPr>
        <w:t>14.65%</w:t>
      </w:r>
      <w:r>
        <w:rPr/>
        <w:t>，核心技术人员的薪酬高于公司的平均薪酬。</w:t>
      </w:r>
    </w:p>
    <w:p>
      <w:pPr>
        <w:spacing w:before="168"/>
        <w:ind w:left="152" w:right="0" w:firstLine="0"/>
        <w:jc w:val="both"/>
        <w:rPr>
          <w:rFonts w:ascii="宋体" w:hAnsi="宋体" w:cs="宋体" w:eastAsia="宋体" w:hint="default"/>
          <w:sz w:val="21"/>
          <w:szCs w:val="21"/>
        </w:rPr>
      </w:pPr>
      <w:bookmarkStart w:name="3、培训计划" w:id="130"/>
      <w:bookmarkEnd w:id="1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pStyle w:val="BodyText"/>
        <w:spacing w:line="350" w:lineRule="auto"/>
        <w:ind w:right="1170" w:firstLine="480"/>
        <w:jc w:val="both"/>
      </w:pPr>
      <w:r>
        <w:rPr/>
        <w:t>公司充分认识到对员工培训的重要性，根据公司的经营发展状况及员工个人发展需要而 选择合适培训方式进行培训，培训方式为外派和内训相结合。报告期内，公司持续完善公司 的培训体系</w:t>
      </w:r>
      <w:r>
        <w:rPr>
          <w:rFonts w:ascii="Times New Roman" w:hAnsi="Times New Roman" w:cs="Times New Roman" w:eastAsia="Times New Roman" w:hint="default"/>
        </w:rPr>
        <w:t>,</w:t>
      </w:r>
      <w:r>
        <w:rPr/>
        <w:t>建立学习型组织，帮助员工制定职业生涯规划，制订科学有效的培训制度。</w:t>
      </w:r>
    </w:p>
    <w:p>
      <w:pPr>
        <w:pStyle w:val="BodyText"/>
        <w:spacing w:line="333" w:lineRule="auto" w:before="6"/>
        <w:ind w:right="1117" w:firstLine="48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23"/>
        </w:rPr>
        <w:t> </w:t>
      </w:r>
      <w:r>
        <w:rPr/>
        <w:t>年公司将持续优化公司的培训体系，丰富培训的方式方法，满足各部门的业务需求 和公司发展的需要。</w:t>
      </w:r>
    </w:p>
    <w:p>
      <w:pPr>
        <w:spacing w:line="240" w:lineRule="auto" w:before="3"/>
        <w:rPr>
          <w:rFonts w:ascii="宋体" w:hAnsi="宋体" w:cs="宋体" w:eastAsia="宋体" w:hint="default"/>
          <w:sz w:val="19"/>
          <w:szCs w:val="19"/>
        </w:rPr>
      </w:pPr>
    </w:p>
    <w:p>
      <w:pPr>
        <w:spacing w:before="0"/>
        <w:ind w:left="152" w:right="0" w:firstLine="0"/>
        <w:jc w:val="both"/>
        <w:rPr>
          <w:rFonts w:ascii="宋体" w:hAnsi="宋体" w:cs="宋体" w:eastAsia="宋体" w:hint="default"/>
          <w:sz w:val="21"/>
          <w:szCs w:val="21"/>
        </w:rPr>
      </w:pPr>
      <w:bookmarkStart w:name="4、劳务外包情况" w:id="131"/>
      <w:bookmarkEnd w:id="13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十节公司治理" w:id="132"/>
      <w:bookmarkEnd w:id="132"/>
      <w:r>
        <w:rPr>
          <w:b w:val="0"/>
          <w:bCs w:val="0"/>
        </w:rPr>
      </w:r>
      <w:bookmarkStart w:name="_bookmark9" w:id="133"/>
      <w:bookmarkEnd w:id="133"/>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996"/>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ind w:right="1170" w:firstLine="480"/>
        <w:jc w:val="both"/>
      </w:pPr>
      <w:r>
        <w:rPr>
          <w:spacing w:val="-18"/>
        </w:rPr>
        <w:t>报告期内，公司严格按照《公司法》、《证券法》、《上市公司治理准则》、《深圳证券交易</w:t>
      </w:r>
      <w:r>
        <w:rPr/>
        <w:t> 所中小板上市公司规范运作指引》等相关法律、法规的要求，不断地完善公司治理结构，建 立健全公司法人治理结构及内部控制体系，持续深入开展公司治理活动，以进一步规范公司 运作，提高公司治理水平，充分维护公司及投资者的利益。</w:t>
      </w:r>
    </w:p>
    <w:p>
      <w:pPr>
        <w:pStyle w:val="BodyText"/>
        <w:spacing w:line="352" w:lineRule="auto" w:before="34"/>
        <w:ind w:right="1171" w:firstLine="480"/>
        <w:jc w:val="both"/>
      </w:pPr>
      <w:r>
        <w:rPr/>
        <w:t>报告期内，公司治理情况符合中国证监会、深圳证券交易所发布的有关上市公司治理的 规范性文件要求。</w:t>
      </w:r>
    </w:p>
    <w:p>
      <w:pPr>
        <w:pStyle w:val="BodyText"/>
        <w:spacing w:line="240" w:lineRule="auto" w:before="34"/>
        <w:ind w:left="633" w:right="996"/>
        <w:jc w:val="left"/>
      </w:pPr>
      <w:r>
        <w:rPr/>
        <w:t>公司治理的实际状况与中国证监会发布的有关上市公司治理的规范性文件是否存在重大</w:t>
      </w:r>
    </w:p>
    <w:p>
      <w:pPr>
        <w:spacing w:line="240" w:lineRule="auto" w:before="1"/>
        <w:rPr>
          <w:rFonts w:ascii="宋体" w:hAnsi="宋体" w:cs="宋体" w:eastAsia="宋体" w:hint="default"/>
          <w:sz w:val="9"/>
          <w:szCs w:val="9"/>
        </w:rPr>
      </w:pPr>
    </w:p>
    <w:p>
      <w:pPr>
        <w:pStyle w:val="BodyText"/>
        <w:spacing w:line="240" w:lineRule="auto" w:before="26"/>
        <w:ind w:right="996"/>
        <w:jc w:val="left"/>
      </w:pPr>
      <w:r>
        <w:rPr/>
        <w:t>差异</w:t>
      </w:r>
    </w:p>
    <w:p>
      <w:pPr>
        <w:pStyle w:val="BodyText"/>
        <w:spacing w:line="333" w:lineRule="auto" w:before="146"/>
        <w:ind w:left="633" w:right="1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公司治理的实际状况与中国证监会发布的有关上市公司治理的规范性文件不存在重大差</w:t>
      </w:r>
    </w:p>
    <w:p>
      <w:pPr>
        <w:pStyle w:val="BodyText"/>
        <w:spacing w:line="240" w:lineRule="auto" w:before="50"/>
        <w:ind w:right="996"/>
        <w:jc w:val="left"/>
      </w:pPr>
      <w:r>
        <w:rPr/>
        <w:t>异。</w:t>
      </w:r>
    </w:p>
    <w:p>
      <w:pPr>
        <w:spacing w:line="240" w:lineRule="auto" w:before="9"/>
        <w:rPr>
          <w:rFonts w:ascii="宋体" w:hAnsi="宋体" w:cs="宋体" w:eastAsia="宋体" w:hint="default"/>
          <w:sz w:val="22"/>
          <w:szCs w:val="22"/>
        </w:rPr>
      </w:pPr>
    </w:p>
    <w:p>
      <w:pPr>
        <w:pStyle w:val="Heading2"/>
        <w:spacing w:line="240" w:lineRule="auto"/>
        <w:ind w:right="996"/>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2"/>
          <w:szCs w:val="32"/>
        </w:rPr>
      </w:pPr>
    </w:p>
    <w:p>
      <w:pPr>
        <w:pStyle w:val="BodyText"/>
        <w:spacing w:line="350" w:lineRule="auto"/>
        <w:ind w:right="1171" w:firstLine="480"/>
        <w:jc w:val="both"/>
      </w:pPr>
      <w:r>
        <w:rPr/>
        <w:t>公司不存在控股股东，公司在业务、人员、资产、机构、财务等方面与第一大股东之间 相互独立，具有独立完整的业务及面向市场自主经营的能力，具有完整的供应、生产和销售 系统。</w:t>
      </w:r>
    </w:p>
    <w:p>
      <w:pPr>
        <w:pStyle w:val="BodyText"/>
        <w:spacing w:line="240" w:lineRule="auto" w:before="36"/>
        <w:ind w:left="633" w:right="996"/>
        <w:jc w:val="left"/>
      </w:pPr>
      <w:r>
        <w:rPr>
          <w:rFonts w:ascii="Times New Roman" w:hAnsi="Times New Roman" w:cs="Times New Roman" w:eastAsia="Times New Roman" w:hint="default"/>
        </w:rPr>
        <w:t>1</w:t>
      </w:r>
      <w:r>
        <w:rPr/>
        <w:t>、业务独立</w:t>
      </w:r>
    </w:p>
    <w:p>
      <w:pPr>
        <w:pStyle w:val="BodyText"/>
        <w:spacing w:line="345" w:lineRule="auto" w:before="126"/>
        <w:ind w:right="1130" w:firstLine="480"/>
        <w:jc w:val="both"/>
      </w:pPr>
      <w:r>
        <w:rPr>
          <w:spacing w:val="-3"/>
        </w:rPr>
        <w:t>（</w:t>
      </w:r>
      <w:r>
        <w:rPr>
          <w:rFonts w:ascii="Times New Roman" w:hAnsi="Times New Roman" w:cs="Times New Roman" w:eastAsia="Times New Roman" w:hint="default"/>
          <w:spacing w:val="-3"/>
        </w:rPr>
        <w:t>1</w:t>
      </w:r>
      <w:r>
        <w:rPr>
          <w:spacing w:val="-3"/>
        </w:rPr>
        <w:t>）公司与第一大股东之间不存在同业竞争。公司第一大股东承诺：在持有辉煌科技股</w:t>
      </w:r>
      <w:r>
        <w:rPr/>
        <w:t> 权期间或担任辉煌科技董事、监事、高级管理人员或核心技术人员期间及法定期限内，不经 营或投资于任何与辉煌科技主营业务构成同业竞争的企业。第一大股东现除持有本公司股份 外，未拥有其他经营性资产，亦未从事其他经营业务。</w:t>
      </w:r>
    </w:p>
    <w:p>
      <w:pPr>
        <w:pStyle w:val="BodyText"/>
        <w:spacing w:line="333" w:lineRule="auto" w:before="41"/>
        <w:ind w:right="1131" w:firstLine="480"/>
        <w:jc w:val="both"/>
      </w:pPr>
      <w:r>
        <w:rPr>
          <w:spacing w:val="-3"/>
        </w:rPr>
        <w:t>（</w:t>
      </w:r>
      <w:r>
        <w:rPr>
          <w:rFonts w:ascii="Times New Roman" w:hAnsi="Times New Roman" w:cs="Times New Roman" w:eastAsia="Times New Roman" w:hint="default"/>
          <w:spacing w:val="-3"/>
        </w:rPr>
        <w:t>2</w:t>
      </w:r>
      <w:r>
        <w:rPr>
          <w:spacing w:val="-3"/>
        </w:rPr>
        <w:t>）公司拥有独立完整的研发、供应、生产和销售业务体系，具有直接面向市场独立经</w:t>
      </w:r>
      <w:r>
        <w:rPr/>
        <w:t> 营的能力。</w:t>
      </w:r>
    </w:p>
    <w:p>
      <w:pPr>
        <w:pStyle w:val="BodyText"/>
        <w:spacing w:line="240" w:lineRule="auto" w:before="50"/>
        <w:ind w:left="633" w:right="996"/>
        <w:jc w:val="left"/>
      </w:pPr>
      <w:r>
        <w:rPr>
          <w:rFonts w:ascii="Times New Roman" w:hAnsi="Times New Roman" w:cs="Times New Roman" w:eastAsia="Times New Roman" w:hint="default"/>
        </w:rPr>
        <w:t>2</w:t>
      </w:r>
      <w:r>
        <w:rPr/>
        <w:t>、人员独立</w:t>
      </w:r>
    </w:p>
    <w:p>
      <w:pPr>
        <w:pStyle w:val="BodyText"/>
        <w:spacing w:line="240" w:lineRule="auto" w:before="128"/>
        <w:ind w:left="633" w:right="996"/>
        <w:jc w:val="left"/>
      </w:pPr>
      <w:r>
        <w:rPr>
          <w:spacing w:val="-3"/>
        </w:rPr>
        <w:t>（</w:t>
      </w:r>
      <w:r>
        <w:rPr>
          <w:rFonts w:ascii="Times New Roman" w:hAnsi="Times New Roman" w:cs="Times New Roman" w:eastAsia="Times New Roman" w:hint="default"/>
          <w:spacing w:val="-3"/>
        </w:rPr>
        <w:t>1</w:t>
      </w:r>
      <w:r>
        <w:rPr>
          <w:spacing w:val="-3"/>
        </w:rPr>
        <w:t>）公司董事、监事、高级管理人员均依合法程序选举或聘任，不存在第一大股东超越</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本公司董事会和股东大会作出人事任免决定的情况。</w:t>
      </w:r>
    </w:p>
    <w:p>
      <w:pPr>
        <w:pStyle w:val="BodyText"/>
        <w:spacing w:line="331" w:lineRule="auto" w:before="146"/>
        <w:ind w:right="996" w:firstLine="480"/>
        <w:jc w:val="left"/>
      </w:pPr>
      <w:r>
        <w:rPr>
          <w:spacing w:val="-3"/>
        </w:rPr>
        <w:t>（</w:t>
      </w:r>
      <w:r>
        <w:rPr>
          <w:rFonts w:ascii="Times New Roman" w:hAnsi="Times New Roman" w:cs="Times New Roman" w:eastAsia="Times New Roman" w:hint="default"/>
          <w:spacing w:val="-3"/>
        </w:rPr>
        <w:t>2</w:t>
      </w:r>
      <w:r>
        <w:rPr>
          <w:spacing w:val="-3"/>
        </w:rPr>
        <w:t>）公司总经理、副总经理、财务负责人、董事会秘书等高级管理人员均在本公司工作</w:t>
      </w:r>
      <w:r>
        <w:rPr/>
        <w:t> 并领取报酬。</w:t>
      </w:r>
    </w:p>
    <w:p>
      <w:pPr>
        <w:pStyle w:val="BodyText"/>
        <w:spacing w:line="240" w:lineRule="auto" w:before="55"/>
        <w:ind w:left="633" w:right="996"/>
        <w:jc w:val="left"/>
      </w:pPr>
      <w:r>
        <w:rPr/>
        <w:t>（</w:t>
      </w:r>
      <w:r>
        <w:rPr>
          <w:rFonts w:ascii="Times New Roman" w:hAnsi="Times New Roman" w:cs="Times New Roman" w:eastAsia="Times New Roman" w:hint="default"/>
        </w:rPr>
        <w:t>3</w:t>
      </w:r>
      <w:r>
        <w:rPr/>
        <w:t>）公司拥有独立完整的人事和劳资管理体系，完全独立于各股东。</w:t>
      </w:r>
    </w:p>
    <w:p>
      <w:pPr>
        <w:pStyle w:val="BodyText"/>
        <w:spacing w:line="331" w:lineRule="auto" w:before="128"/>
        <w:ind w:left="633" w:right="1153"/>
        <w:jc w:val="left"/>
      </w:pPr>
      <w:r>
        <w:rPr>
          <w:rFonts w:ascii="Times New Roman" w:hAnsi="Times New Roman" w:cs="Times New Roman" w:eastAsia="Times New Roman" w:hint="default"/>
        </w:rPr>
        <w:t>3</w:t>
      </w:r>
      <w:r>
        <w:rPr/>
        <w:t>、资产独立 公司业务和生产经营必需的土地使用权、房产、机器设备、商标、专利和专有技术及其</w:t>
      </w:r>
    </w:p>
    <w:p>
      <w:pPr>
        <w:pStyle w:val="BodyText"/>
        <w:spacing w:line="352" w:lineRule="auto" w:before="55"/>
        <w:ind w:right="1154"/>
        <w:jc w:val="left"/>
      </w:pPr>
      <w:r>
        <w:rPr/>
        <w:t>他资产的权属完全由公司独立享有，不存在与第一大股东共用的情况，公司对所有资产拥有 完全的控制和支配权。</w:t>
      </w:r>
    </w:p>
    <w:p>
      <w:pPr>
        <w:pStyle w:val="BodyText"/>
        <w:spacing w:line="333" w:lineRule="auto" w:before="32"/>
        <w:ind w:left="633" w:right="1153"/>
        <w:jc w:val="left"/>
      </w:pPr>
      <w:r>
        <w:rPr>
          <w:rFonts w:ascii="Times New Roman" w:hAnsi="Times New Roman" w:cs="Times New Roman" w:eastAsia="Times New Roman" w:hint="default"/>
        </w:rPr>
        <w:t>4</w:t>
      </w:r>
      <w:r>
        <w:rPr/>
        <w:t>、机构独立 公司设有健全的组织结构体系，股东大会、董事会、监事会及董事会下设专业委员会等</w:t>
      </w:r>
    </w:p>
    <w:p>
      <w:pPr>
        <w:pStyle w:val="BodyText"/>
        <w:spacing w:line="350" w:lineRule="auto" w:before="53"/>
        <w:ind w:right="1154"/>
        <w:jc w:val="left"/>
      </w:pPr>
      <w:r>
        <w:rPr/>
        <w:t>决策监督机构独立运作，不存在股东及其他任何单位或个人干预公司机构设置及日常运作的 情形。</w:t>
      </w:r>
    </w:p>
    <w:p>
      <w:pPr>
        <w:pStyle w:val="BodyText"/>
        <w:spacing w:line="333" w:lineRule="auto" w:before="36"/>
        <w:ind w:left="633" w:right="1153"/>
        <w:jc w:val="left"/>
      </w:pPr>
      <w:r>
        <w:rPr>
          <w:rFonts w:ascii="Times New Roman" w:hAnsi="Times New Roman" w:cs="Times New Roman" w:eastAsia="Times New Roman" w:hint="default"/>
        </w:rPr>
        <w:t>5</w:t>
      </w:r>
      <w:r>
        <w:rPr/>
        <w:t>、财务独立 公司设有独立的财务部门、财务负责人和财务会计工作人员，有完整、独立的财务核算</w:t>
      </w:r>
    </w:p>
    <w:p>
      <w:pPr>
        <w:pStyle w:val="BodyText"/>
        <w:spacing w:line="487" w:lineRule="auto" w:before="50"/>
        <w:ind w:right="2594"/>
        <w:jc w:val="left"/>
        <w:rPr>
          <w:rFonts w:ascii="宋体" w:hAnsi="宋体" w:cs="宋体" w:eastAsia="宋体" w:hint="default"/>
        </w:rPr>
      </w:pPr>
      <w:r>
        <w:rPr/>
        <w:t>体系和财务管理制度，并独立开设银行账户、独立纳税、独立做出财务决策。 </w:t>
      </w:r>
      <w:bookmarkStart w:name="三、同业竞争情况" w:id="136"/>
      <w:bookmarkEnd w:id="136"/>
      <w:r>
        <w:rPr/>
      </w:r>
      <w:r>
        <w:rPr>
          <w:rFonts w:ascii="宋体" w:hAnsi="宋体" w:cs="宋体" w:eastAsia="宋体" w:hint="default"/>
          <w:b/>
          <w:bCs/>
        </w:rPr>
        <w:t>三、同业竞争情况</w:t>
      </w:r>
      <w:r>
        <w:rPr>
          <w:rFonts w:ascii="宋体" w:hAnsi="宋体" w:cs="宋体" w:eastAsia="宋体" w:hint="default"/>
        </w:rPr>
      </w:r>
    </w:p>
    <w:p>
      <w:pPr>
        <w:spacing w:line="472" w:lineRule="auto" w:before="178"/>
        <w:ind w:left="152" w:right="4249" w:firstLine="480"/>
        <w:jc w:val="left"/>
        <w:rPr>
          <w:rFonts w:ascii="宋体" w:hAnsi="宋体" w:cs="宋体" w:eastAsia="宋体" w:hint="default"/>
          <w:sz w:val="21"/>
          <w:szCs w:val="21"/>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四、报告期内召开的年度股东大会和临时股东大会的有关情况" w:id="137"/>
      <w:bookmarkEnd w:id="137"/>
      <w:r>
        <w:rPr>
          <w:rFonts w:ascii="宋体" w:hAnsi="宋体" w:cs="宋体" w:eastAsia="宋体" w:hint="default"/>
          <w:sz w:val="24"/>
          <w:szCs w:val="24"/>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38"/>
      <w:bookmarkEnd w:id="1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4"/>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274"/>
        <w:gridCol w:w="994"/>
        <w:gridCol w:w="1133"/>
        <w:gridCol w:w="1277"/>
        <w:gridCol w:w="3613"/>
      </w:tblGrid>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2" w:right="41"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21.27%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详见刊登于巨潮资讯网</w:t>
            </w:r>
          </w:p>
          <w:p>
            <w:pPr>
              <w:pStyle w:val="TableParagraph"/>
              <w:spacing w:line="300" w:lineRule="auto" w:before="77"/>
              <w:ind w:left="24" w:right="24"/>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年年 </w:t>
            </w:r>
            <w:r>
              <w:rPr>
                <w:rFonts w:ascii="宋体" w:hAnsi="宋体" w:cs="宋体" w:eastAsia="宋体" w:hint="default"/>
                <w:spacing w:val="-5"/>
                <w:sz w:val="18"/>
                <w:szCs w:val="18"/>
              </w:rPr>
              <w:t>度股东大会决议公告》（</w:t>
            </w:r>
            <w:r>
              <w:rPr>
                <w:rFonts w:ascii="Times New Roman" w:hAnsi="Times New Roman" w:cs="Times New Roman" w:eastAsia="Times New Roman" w:hint="default"/>
                <w:spacing w:val="-5"/>
                <w:sz w:val="18"/>
                <w:szCs w:val="18"/>
              </w:rPr>
              <w:t>2019-020</w:t>
            </w:r>
            <w:r>
              <w:rPr>
                <w:rFonts w:ascii="宋体" w:hAnsi="宋体" w:cs="宋体" w:eastAsia="宋体" w:hint="default"/>
                <w:spacing w:val="-5"/>
                <w:sz w:val="18"/>
                <w:szCs w:val="18"/>
              </w:rPr>
              <w:t>）</w:t>
            </w:r>
          </w:p>
        </w:tc>
      </w:tr>
    </w:tbl>
    <w:p>
      <w:pPr>
        <w:spacing w:line="240" w:lineRule="auto" w:before="3"/>
        <w:rPr>
          <w:rFonts w:ascii="宋体" w:hAnsi="宋体" w:cs="宋体" w:eastAsia="宋体" w:hint="default"/>
          <w:b/>
          <w:bCs/>
          <w:sz w:val="19"/>
          <w:szCs w:val="19"/>
        </w:rPr>
      </w:pPr>
    </w:p>
    <w:p>
      <w:pPr>
        <w:spacing w:before="36"/>
        <w:ind w:left="152" w:right="996" w:firstLine="0"/>
        <w:jc w:val="left"/>
        <w:rPr>
          <w:rFonts w:ascii="宋体" w:hAnsi="宋体" w:cs="宋体" w:eastAsia="宋体" w:hint="default"/>
          <w:sz w:val="21"/>
          <w:szCs w:val="21"/>
        </w:rPr>
      </w:pPr>
      <w:bookmarkStart w:name="2、表决权恢复的优先股股东请求召开临时股东大会" w:id="139"/>
      <w:bookmarkEnd w:id="1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独立董事出席董事会及股东大会的情况" w:id="141"/>
      <w:bookmarkEnd w:id="1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郑建彪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康斌生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张宇锋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9"/>
        <w:rPr>
          <w:rFonts w:ascii="宋体" w:hAnsi="宋体" w:cs="宋体" w:eastAsia="宋体" w:hint="default"/>
          <w:b/>
          <w:bCs/>
          <w:sz w:val="4"/>
          <w:szCs w:val="4"/>
        </w:rPr>
      </w:pPr>
    </w:p>
    <w:p>
      <w:pPr>
        <w:pStyle w:val="BodyText"/>
        <w:spacing w:line="350" w:lineRule="auto" w:before="26"/>
        <w:ind w:left="633" w:right="4273"/>
        <w:jc w:val="left"/>
      </w:pPr>
      <w:r>
        <w:rPr/>
        <w:t>连续两次未亲自出席董事会的说明 报告期内独立董事无连续两次未亲自出席董事会的情况。</w:t>
      </w:r>
    </w:p>
    <w:p>
      <w:pPr>
        <w:spacing w:line="240" w:lineRule="auto" w:before="1"/>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2、独立董事对公司有关事项提出异议的情况" w:id="142"/>
      <w:bookmarkEnd w:id="1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独立董事对公司有关事项是否提出异议</w:t>
      </w:r>
    </w:p>
    <w:p>
      <w:pPr>
        <w:pStyle w:val="BodyText"/>
        <w:spacing w:line="333" w:lineRule="auto" w:before="144"/>
        <w:ind w:left="633" w:right="52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报告期内独立董事对公司有关事项未提出异议。</w:t>
      </w:r>
    </w:p>
    <w:p>
      <w:pPr>
        <w:spacing w:line="240" w:lineRule="auto" w:before="6"/>
        <w:rPr>
          <w:rFonts w:ascii="宋体" w:hAnsi="宋体" w:cs="宋体" w:eastAsia="宋体" w:hint="default"/>
          <w:sz w:val="19"/>
          <w:szCs w:val="19"/>
        </w:rPr>
      </w:pPr>
    </w:p>
    <w:p>
      <w:pPr>
        <w:spacing w:before="0"/>
        <w:ind w:left="152" w:right="996" w:firstLine="0"/>
        <w:jc w:val="left"/>
        <w:rPr>
          <w:rFonts w:ascii="宋体" w:hAnsi="宋体" w:cs="宋体" w:eastAsia="宋体" w:hint="default"/>
          <w:sz w:val="21"/>
          <w:szCs w:val="21"/>
        </w:rPr>
      </w:pPr>
      <w:bookmarkStart w:name="3、独立董事履行职责的其他说明" w:id="143"/>
      <w:bookmarkEnd w:id="1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独立董事对公司有关建议是否被采纳</w:t>
      </w:r>
    </w:p>
    <w:p>
      <w:pPr>
        <w:pStyle w:val="BodyText"/>
        <w:spacing w:line="331" w:lineRule="auto" w:before="146"/>
        <w:ind w:left="633"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独立董事对公司有关建议被采纳或未被采纳的说明</w:t>
      </w:r>
    </w:p>
    <w:p>
      <w:pPr>
        <w:pStyle w:val="BodyText"/>
        <w:spacing w:line="350" w:lineRule="auto" w:before="55"/>
        <w:ind w:right="1171" w:firstLine="480"/>
        <w:jc w:val="both"/>
      </w:pPr>
      <w:r>
        <w:rPr/>
        <w:t>报告期内，独立董事严格按照有关法律、法规的规定履行诚信和勤勉的职责，维护公司 和全体股东利益，尤其是中小股东的合法权益。积极参加历次董事会并认真审议各项议案， 对公司的相关重大事项进行事先审核并发表独立意见。同时通过电话或邮件等方式与公司的 董事、监事、高级管理人员保持密切的联系，深入公司调查，了解公司生产经营情况、管理 及内部控制建设及董事会各项决议执行情况，运用专业优势为公司管理、规范化运作等提出 合理化的意见和建议，对公司财务及生产经营活动进行了有效监督，提高了公司决策的科学 性，为完善公司监督机制，维护公司和全体股东的合法权益发挥了应有的作用。</w:t>
      </w:r>
    </w:p>
    <w:p>
      <w:pPr>
        <w:spacing w:after="0" w:line="350"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340" w:lineRule="auto"/>
        <w:ind w:right="1128" w:firstLine="480"/>
        <w:jc w:val="both"/>
      </w:pPr>
      <w:r>
        <w:rPr/>
        <w:t>公司董事会下设审计委员会、薪酬与考核委员会、提名委员会及战略决策委员会。报告 </w:t>
      </w:r>
      <w:r>
        <w:rPr>
          <w:spacing w:val="-3"/>
        </w:rPr>
        <w:t>期内，公司董事会各专门委员会充分发挥专业性作用，科学决策，审慎监督，为公司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118"/>
        </w:rPr>
        <w:t> </w:t>
      </w:r>
      <w:r>
        <w:rPr/>
        <w:t>度的经营管理、组织建设做了大量的工作，有效提升了公司管理水平。</w:t>
      </w:r>
    </w:p>
    <w:p>
      <w:pPr>
        <w:pStyle w:val="BodyText"/>
        <w:spacing w:line="331" w:lineRule="auto" w:before="46"/>
        <w:ind w:left="633" w:right="1153"/>
        <w:jc w:val="left"/>
      </w:pPr>
      <w:r>
        <w:rPr>
          <w:rFonts w:ascii="Times New Roman" w:hAnsi="Times New Roman" w:cs="Times New Roman" w:eastAsia="Times New Roman" w:hint="default"/>
        </w:rPr>
        <w:t>1</w:t>
      </w:r>
      <w:r>
        <w:rPr/>
        <w:t>、董事会审计委员会履职情况 报告期内，对公司内部控制情况进行了定期核查，监督并协助公司与外部审计机构的沟</w:t>
      </w:r>
    </w:p>
    <w:p>
      <w:pPr>
        <w:pStyle w:val="BodyText"/>
        <w:spacing w:line="350" w:lineRule="auto" w:before="55"/>
        <w:ind w:right="1171"/>
        <w:jc w:val="both"/>
      </w:pPr>
      <w:r>
        <w:rPr/>
        <w:t>通，确保公司内部控制体系依法合规，有效的控制了相关风险的产生。董事会审计委员会共 召开会议四次，重点对公司定期财务报告、募集资金使用情况、内部审计部门的工作计划及 总结等事项进行审议，并提出续聘会计师事务所的建议。</w:t>
      </w:r>
    </w:p>
    <w:p>
      <w:pPr>
        <w:pStyle w:val="BodyText"/>
        <w:spacing w:line="333" w:lineRule="auto" w:before="36"/>
        <w:ind w:left="633" w:right="1153"/>
        <w:jc w:val="left"/>
      </w:pPr>
      <w:r>
        <w:rPr>
          <w:rFonts w:ascii="Times New Roman" w:hAnsi="Times New Roman" w:cs="Times New Roman" w:eastAsia="Times New Roman" w:hint="default"/>
        </w:rPr>
        <w:t>2</w:t>
      </w:r>
      <w:r>
        <w:rPr/>
        <w:t>、董事会薪酬与考核委员会履职情况 报告期内，公司薪酬与考核委员会共召开两次会议，薪酬与考核委员会认真履行职责，</w:t>
      </w:r>
    </w:p>
    <w:p>
      <w:pPr>
        <w:pStyle w:val="BodyText"/>
        <w:spacing w:line="352" w:lineRule="auto" w:before="50"/>
        <w:ind w:right="1171"/>
        <w:jc w:val="both"/>
      </w:pPr>
      <w:r>
        <w:rPr/>
        <w:t>保持与管理层的顺畅沟通，就有关薪酬与考核方面工作提出合理化建议，切实履行了相关工 作职责。</w:t>
      </w:r>
    </w:p>
    <w:p>
      <w:pPr>
        <w:pStyle w:val="BodyText"/>
        <w:spacing w:line="331" w:lineRule="auto" w:before="34"/>
        <w:ind w:left="633" w:right="1153"/>
        <w:jc w:val="left"/>
      </w:pPr>
      <w:r>
        <w:rPr>
          <w:rFonts w:ascii="Times New Roman" w:hAnsi="Times New Roman" w:cs="Times New Roman" w:eastAsia="Times New Roman" w:hint="default"/>
        </w:rPr>
        <w:t>3</w:t>
      </w:r>
      <w:r>
        <w:rPr/>
        <w:t>、董事会提名委员会履职情况 报告期内，公司董事会提名委员会共召开两次会议，提名委员会向本届董事会提出下一</w:t>
      </w:r>
    </w:p>
    <w:p>
      <w:pPr>
        <w:pStyle w:val="BodyText"/>
        <w:spacing w:line="340" w:lineRule="auto" w:before="55"/>
        <w:ind w:left="633" w:right="1153" w:hanging="481"/>
        <w:jc w:val="left"/>
      </w:pPr>
      <w:r>
        <w:rPr/>
        <w:t>届董事会候选人的建议，对高级管理人员进行审查并提出建议。 </w:t>
      </w:r>
      <w:r>
        <w:rPr>
          <w:rFonts w:ascii="Times New Roman" w:hAnsi="Times New Roman" w:cs="Times New Roman" w:eastAsia="Times New Roman" w:hint="default"/>
        </w:rPr>
        <w:t>4</w:t>
      </w:r>
      <w:r>
        <w:rPr/>
        <w:t>、董事会战略决策委员会履职工作情况 报告期内，公司董事会战略决策委员会共召开两次会议，通过积极组织各委员开展相关</w:t>
      </w:r>
    </w:p>
    <w:p>
      <w:pPr>
        <w:pStyle w:val="BodyText"/>
        <w:spacing w:line="350" w:lineRule="auto" w:before="46"/>
        <w:ind w:right="1171"/>
        <w:jc w:val="both"/>
      </w:pPr>
      <w:r>
        <w:rPr/>
        <w:t>活动，认真听取管理层的工作汇报，就公司经营情况、行业发展动态、公司未来规划等内容 与公司高管进行沟通交流，对公司长期发展战略和重大决策事项进行研究并提出合理建议， 并督促战略实施。</w:t>
      </w:r>
    </w:p>
    <w:p>
      <w:pPr>
        <w:pStyle w:val="Heading2"/>
        <w:spacing w:line="240" w:lineRule="auto" w:before="211"/>
        <w:ind w:right="0"/>
        <w:jc w:val="both"/>
        <w:rPr>
          <w:b w:val="0"/>
          <w:bCs w:val="0"/>
        </w:rPr>
      </w:pPr>
      <w:bookmarkStart w:name="七、监事会工作情况" w:id="145"/>
      <w:bookmarkEnd w:id="145"/>
      <w:r>
        <w:rPr>
          <w:b w:val="0"/>
          <w:bCs w:val="0"/>
        </w:rPr>
      </w:r>
      <w:r>
        <w:rPr/>
        <w:t>七、监事会工作情况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监事会在报告期内的监督活动中发现公司是否存在风险</w:t>
      </w:r>
    </w:p>
    <w:p>
      <w:pPr>
        <w:pStyle w:val="BodyText"/>
        <w:spacing w:line="333" w:lineRule="auto" w:before="146"/>
        <w:ind w:left="633" w:right="6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监事会对报告期内的监督事项无异议。</w:t>
      </w:r>
    </w:p>
    <w:p>
      <w:pPr>
        <w:spacing w:line="240" w:lineRule="auto" w:before="3"/>
        <w:rPr>
          <w:rFonts w:ascii="宋体" w:hAnsi="宋体" w:cs="宋体" w:eastAsia="宋体" w:hint="default"/>
          <w:sz w:val="17"/>
          <w:szCs w:val="17"/>
        </w:rPr>
      </w:pPr>
    </w:p>
    <w:p>
      <w:pPr>
        <w:pStyle w:val="Heading2"/>
        <w:spacing w:line="240" w:lineRule="auto" w:before="0"/>
        <w:ind w:right="0"/>
        <w:jc w:val="both"/>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2"/>
          <w:szCs w:val="32"/>
        </w:rPr>
      </w:pPr>
    </w:p>
    <w:p>
      <w:pPr>
        <w:pStyle w:val="BodyText"/>
        <w:spacing w:line="352" w:lineRule="auto"/>
        <w:ind w:right="1132" w:firstLine="480"/>
        <w:jc w:val="both"/>
      </w:pPr>
      <w:r>
        <w:rPr>
          <w:spacing w:val="-12"/>
        </w:rPr>
        <w:t>根据公司《章程》、《高级管理人员薪酬管理制度》，公司对高级管理人员的考评实行基本</w:t>
      </w:r>
      <w:r>
        <w:rPr/>
        <w:t> 薪酬与工作绩效挂钩的激励与约束机制。年末根据公司年度经营目标完成情况以及高级管理</w:t>
      </w:r>
    </w:p>
    <w:p>
      <w:pPr>
        <w:spacing w:after="0" w:line="352"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54"/>
        <w:jc w:val="left"/>
      </w:pPr>
      <w:r>
        <w:rPr/>
        <w:t>人员的工作业绩，由董事会薪酬与考核委员会对高级管理人员进行年度绩效考核，并监督薪 酬制度执行情况。公司则根据绩效考核结果兑现其绩效年薪，并进行奖惩。</w:t>
      </w:r>
    </w:p>
    <w:p>
      <w:pPr>
        <w:pStyle w:val="BodyText"/>
        <w:spacing w:line="343" w:lineRule="auto" w:before="31"/>
        <w:ind w:right="996" w:firstLine="480"/>
        <w:jc w:val="left"/>
      </w:pPr>
      <w:r>
        <w:rPr>
          <w:spacing w:val="-3"/>
        </w:rPr>
        <w:t>公司董事会薪酬与考核委员会根据实际情况对公司高级管理人员进行考核后，一致认为：</w:t>
      </w:r>
      <w:r>
        <w:rPr/>
        <w:t> 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3"/>
        </w:rPr>
        <w:t>年度高级管理人员薪酬方案严格执行公司薪酬考核制度，薪酬方案合理，薪酬发放</w:t>
      </w:r>
      <w:r>
        <w:rPr>
          <w:spacing w:val="-107"/>
        </w:rPr>
        <w:t> </w:t>
      </w:r>
      <w:r>
        <w:rPr>
          <w:spacing w:val="-107"/>
        </w:rPr>
      </w:r>
      <w:r>
        <w:rPr/>
        <w:t>的程序符合有关法律、法规及公司制度的规定。</w:t>
      </w:r>
    </w:p>
    <w:p>
      <w:pPr>
        <w:spacing w:line="240" w:lineRule="auto" w:before="7"/>
        <w:rPr>
          <w:rFonts w:ascii="宋体" w:hAnsi="宋体" w:cs="宋体" w:eastAsia="宋体" w:hint="default"/>
          <w:sz w:val="16"/>
          <w:szCs w:val="16"/>
        </w:rPr>
      </w:pPr>
    </w:p>
    <w:p>
      <w:pPr>
        <w:pStyle w:val="Heading2"/>
        <w:spacing w:line="240" w:lineRule="auto" w:before="0"/>
        <w:ind w:right="996"/>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报告期内发现的内部控制重大缺陷的具体情况" w:id="148"/>
      <w:bookmarkEnd w:id="14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pStyle w:val="BodyText"/>
        <w:spacing w:line="240" w:lineRule="auto"/>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2"/>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bookmarkStart w:name="2、内控自我评价报告" w:id="149"/>
      <w:bookmarkEnd w:id="1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line="662" w:lineRule="exact"/>
        <w:ind w:left="6703"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149.8pt;height:33.15pt;mso-position-horizontal-relative:char;mso-position-vertical-relative:line" coordorigin="0,0" coordsize="2996,663">
            <v:group style="position:absolute;left:0;top:0;width:2996;height:351" coordorigin="0,0" coordsize="2996,351">
              <v:shape style="position:absolute;left:0;top:0;width:2996;height:351" coordorigin="0,0" coordsize="2996,351" path="m0,350l2996,350,2996,0,0,0,0,350xe" filled="true" fillcolor="#ffffff" stroked="false">
                <v:path arrowok="t"/>
                <v:fill type="solid"/>
              </v:shape>
            </v:group>
            <v:group style="position:absolute;left:0;top:350;width:2996;height:312" coordorigin="0,350" coordsize="2996,312">
              <v:shape style="position:absolute;left:0;top:350;width:2996;height:312" coordorigin="0,350" coordsize="2996,312" path="m0,662l2996,662,2996,350,0,350,0,662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44"/>
        <w:ind w:left="0" w:right="1135" w:firstLine="0"/>
        <w:jc w:val="right"/>
        <w:rPr>
          <w:rFonts w:ascii="宋体" w:hAnsi="宋体" w:cs="宋体" w:eastAsia="宋体" w:hint="default"/>
          <w:sz w:val="18"/>
          <w:szCs w:val="18"/>
        </w:rPr>
      </w:pPr>
      <w:r>
        <w:rPr/>
        <w:pict>
          <v:shape style="position:absolute;margin-left:56.400002pt;margin-top:-391.01825pt;width:479.4pt;height:442.1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4254"/>
                    <w:gridCol w:w="1133"/>
                    <w:gridCol w:w="3051"/>
                  </w:tblGrid>
                  <w:tr>
                    <w:trPr>
                      <w:trHeight w:val="401" w:hRule="exact"/>
                    </w:trPr>
                    <w:tc>
                      <w:tcPr>
                        <w:tcW w:w="53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18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17" w:hRule="exact"/>
                    </w:trPr>
                    <w:tc>
                      <w:tcPr>
                        <w:tcW w:w="538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84"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16" w:right="95"/>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年度内部控制评 价报告》刊登于公司指定信息披露媒体巨潮资讯网</w:t>
                        </w:r>
                      </w:p>
                      <w:p>
                        <w:pPr>
                          <w:pStyle w:val="TableParagraph"/>
                          <w:spacing w:line="240" w:lineRule="auto" w:before="3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394" w:hRule="exact"/>
                    </w:trPr>
                    <w:tc>
                      <w:tcPr>
                        <w:tcW w:w="538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184" w:type="dxa"/>
                        <w:gridSpan w:val="2"/>
                        <w:vMerge/>
                        <w:tcBorders>
                          <w:left w:val="single" w:sz="10" w:space="0" w:color="D2D2D2"/>
                          <w:right w:val="single" w:sz="4" w:space="0" w:color="000000"/>
                        </w:tcBorders>
                      </w:tcPr>
                      <w:p>
                        <w:pPr/>
                      </w:p>
                    </w:tc>
                  </w:tr>
                  <w:tr>
                    <w:trPr>
                      <w:trHeight w:val="317" w:hRule="exact"/>
                    </w:trPr>
                    <w:tc>
                      <w:tcPr>
                        <w:tcW w:w="538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84" w:type="dxa"/>
                        <w:gridSpan w:val="2"/>
                        <w:vMerge/>
                        <w:tcBorders>
                          <w:left w:val="single" w:sz="10" w:space="0" w:color="D2D2D2"/>
                          <w:bottom w:val="single" w:sz="4" w:space="0" w:color="000000"/>
                          <w:right w:val="single" w:sz="4" w:space="0" w:color="000000"/>
                        </w:tcBorders>
                      </w:tcPr>
                      <w:p>
                        <w:pPr/>
                      </w:p>
                    </w:tc>
                  </w:tr>
                  <w:tr>
                    <w:trPr>
                      <w:trHeight w:val="401" w:hRule="exact"/>
                    </w:trPr>
                    <w:tc>
                      <w:tcPr>
                        <w:tcW w:w="53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18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96.00%</w:t>
                        </w:r>
                      </w:p>
                    </w:tc>
                  </w:tr>
                  <w:tr>
                    <w:trPr>
                      <w:trHeight w:val="408" w:hRule="exact"/>
                    </w:trPr>
                    <w:tc>
                      <w:tcPr>
                        <w:tcW w:w="53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18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78.00%</w:t>
                        </w:r>
                      </w:p>
                    </w:tc>
                  </w:tr>
                  <w:tr>
                    <w:trPr>
                      <w:trHeight w:val="392" w:hRule="exact"/>
                    </w:trPr>
                    <w:tc>
                      <w:tcPr>
                        <w:tcW w:w="95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1"/>
                          <w:jc w:val="right"/>
                          <w:rPr>
                            <w:rFonts w:ascii="宋体" w:hAnsi="宋体" w:cs="宋体" w:eastAsia="宋体" w:hint="default"/>
                            <w:sz w:val="18"/>
                            <w:szCs w:val="18"/>
                          </w:rPr>
                        </w:pPr>
                        <w:r>
                          <w:rPr>
                            <w:rFonts w:ascii="宋体" w:hAnsi="宋体" w:cs="宋体" w:eastAsia="宋体" w:hint="default"/>
                            <w:sz w:val="18"/>
                            <w:szCs w:val="18"/>
                          </w:rPr>
                          <w:t>类别</w:t>
                        </w:r>
                      </w:p>
                    </w:tc>
                    <w:tc>
                      <w:tcPr>
                        <w:tcW w:w="53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7" w:type="dxa"/>
                        <w:gridSpan w:val="2"/>
                        <w:vMerge w:val="restart"/>
                        <w:tcBorders>
                          <w:top w:val="single" w:sz="4" w:space="0" w:color="000000"/>
                          <w:left w:val="single" w:sz="10" w:space="0" w:color="D2D2D2"/>
                          <w:right w:val="single" w:sz="9" w:space="0" w:color="FFFFFF"/>
                        </w:tcBorders>
                      </w:tcPr>
                      <w:p>
                        <w:pPr>
                          <w:pStyle w:val="TableParagraph"/>
                          <w:spacing w:line="304" w:lineRule="auto" w:before="49"/>
                          <w:ind w:left="16" w:right="11"/>
                          <w:jc w:val="left"/>
                          <w:rPr>
                            <w:rFonts w:ascii="宋体" w:hAnsi="宋体" w:cs="宋体" w:eastAsia="宋体" w:hint="default"/>
                            <w:sz w:val="18"/>
                            <w:szCs w:val="18"/>
                          </w:rPr>
                        </w:pPr>
                        <w:r>
                          <w:rPr>
                            <w:rFonts w:ascii="宋体" w:hAnsi="宋体" w:cs="宋体" w:eastAsia="宋体" w:hint="default"/>
                            <w:sz w:val="18"/>
                            <w:szCs w:val="18"/>
                          </w:rPr>
                          <w:t>①如公司具备以下特征之一的缺陷，应定义为重大缺陷：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上市公司 </w:t>
                        </w:r>
                        <w:r>
                          <w:rPr>
                            <w:rFonts w:ascii="宋体" w:hAnsi="宋体" w:cs="宋体" w:eastAsia="宋体" w:hint="default"/>
                            <w:spacing w:val="-4"/>
                            <w:sz w:val="18"/>
                            <w:szCs w:val="18"/>
                          </w:rPr>
                          <w:t>组织架构设置严重缺失；</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公司董事、监事和高级管理人员滥用职权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发生重大舞弊行为；</w:t>
                        </w:r>
                        <w:r>
                          <w:rPr>
                            <w:rFonts w:ascii="Times New Roman" w:hAnsi="Times New Roman" w:cs="Times New Roman" w:eastAsia="Times New Roman" w:hint="default"/>
                            <w:sz w:val="18"/>
                            <w:szCs w:val="18"/>
                          </w:rPr>
                          <w:t>c.</w:t>
                        </w:r>
                        <w:r>
                          <w:rPr>
                            <w:rFonts w:ascii="宋体" w:hAnsi="宋体" w:cs="宋体" w:eastAsia="宋体" w:hint="default"/>
                            <w:sz w:val="18"/>
                            <w:szCs w:val="18"/>
                          </w:rPr>
                          <w:t>公司因发现以前年度存在重大会计差错，更正 </w:t>
                        </w:r>
                        <w:r>
                          <w:rPr>
                            <w:rFonts w:ascii="宋体" w:hAnsi="宋体" w:cs="宋体" w:eastAsia="宋体" w:hint="default"/>
                            <w:spacing w:val="-1"/>
                            <w:sz w:val="18"/>
                            <w:szCs w:val="18"/>
                          </w:rPr>
                          <w:t>已披露的财务报告；</w:t>
                        </w: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外部审计发现当期财务报表存在重大错报，而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内控在运行过程中未能发现该错报；</w:t>
                        </w:r>
                        <w:r>
                          <w:rPr>
                            <w:rFonts w:ascii="Times New Roman" w:hAnsi="Times New Roman" w:cs="Times New Roman" w:eastAsia="Times New Roman" w:hint="default"/>
                            <w:sz w:val="18"/>
                            <w:szCs w:val="18"/>
                          </w:rPr>
                          <w:t>e.</w:t>
                        </w:r>
                        <w:r>
                          <w:rPr>
                            <w:rFonts w:ascii="宋体" w:hAnsi="宋体" w:cs="宋体" w:eastAsia="宋体" w:hint="default"/>
                            <w:sz w:val="18"/>
                            <w:szCs w:val="18"/>
                          </w:rPr>
                          <w:t>公司运营管理上存在严重违反 </w:t>
                        </w:r>
                        <w:r>
                          <w:rPr>
                            <w:rFonts w:ascii="宋体" w:hAnsi="宋体" w:cs="宋体" w:eastAsia="宋体" w:hint="default"/>
                            <w:spacing w:val="-3"/>
                            <w:sz w:val="18"/>
                            <w:szCs w:val="18"/>
                          </w:rPr>
                          <w:t>法律法规的行为。②如公司具备以下特征之一的缺陷，应定义为重要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缺陷：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 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对于非常规和特殊交易的账务处理没有建立相应 </w:t>
                        </w:r>
                        <w:r>
                          <w:rPr>
                            <w:rFonts w:ascii="宋体" w:hAnsi="宋体" w:cs="宋体" w:eastAsia="宋体" w:hint="default"/>
                            <w:spacing w:val="-1"/>
                            <w:sz w:val="18"/>
                            <w:szCs w:val="18"/>
                          </w:rPr>
                          <w:t>的控制机制或没有实施且没有相应的补偿措施；</w:t>
                        </w: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对于财务报告过程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的控制存在一项或多项缺陷且不能合理保证编制的财务报表达到真 </w:t>
                        </w:r>
                        <w:r>
                          <w:rPr>
                            <w:rFonts w:ascii="宋体" w:hAnsi="宋体" w:cs="宋体" w:eastAsia="宋体" w:hint="default"/>
                            <w:spacing w:val="-3"/>
                            <w:sz w:val="18"/>
                            <w:szCs w:val="18"/>
                          </w:rPr>
                          <w:t>实、准确的目标。③除上述重大缺陷、重要缺陷之外的其他控制缺陷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定义为一般缺陷。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5" w:lineRule="exact"/>
                          <w:ind w:left="17" w:right="0"/>
                          <w:jc w:val="left"/>
                          <w:rPr>
                            <w:rFonts w:ascii="宋体" w:hAnsi="宋体" w:cs="宋体" w:eastAsia="宋体" w:hint="default"/>
                            <w:sz w:val="18"/>
                            <w:szCs w:val="18"/>
                          </w:rPr>
                        </w:pPr>
                        <w:r>
                          <w:rPr>
                            <w:rFonts w:ascii="宋体" w:hAnsi="宋体" w:cs="宋体" w:eastAsia="宋体" w:hint="default"/>
                            <w:spacing w:val="-4"/>
                            <w:sz w:val="18"/>
                            <w:szCs w:val="18"/>
                          </w:rPr>
                          <w:t>①如公司具备以下特征之一的缺陷，应</w:t>
                        </w:r>
                      </w:p>
                      <w:p>
                        <w:pPr>
                          <w:pStyle w:val="TableParagraph"/>
                          <w:spacing w:line="155" w:lineRule="exact"/>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7" w:right="0"/>
                          <w:jc w:val="left"/>
                          <w:rPr>
                            <w:rFonts w:ascii="宋体" w:hAnsi="宋体" w:cs="宋体" w:eastAsia="宋体" w:hint="default"/>
                            <w:sz w:val="18"/>
                            <w:szCs w:val="18"/>
                          </w:rPr>
                        </w:pPr>
                        <w:r>
                          <w:rPr>
                            <w:rFonts w:ascii="宋体" w:hAnsi="宋体" w:cs="宋体" w:eastAsia="宋体" w:hint="default"/>
                            <w:sz w:val="18"/>
                            <w:szCs w:val="18"/>
                          </w:rPr>
                          <w:t>定义为重大缺陷：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公司缺乏民主决策</w:t>
                        </w:r>
                      </w:p>
                      <w:p>
                        <w:pPr>
                          <w:pStyle w:val="TableParagraph"/>
                          <w:spacing w:line="304"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b.</w:t>
                        </w:r>
                        <w:r>
                          <w:rPr>
                            <w:rFonts w:ascii="宋体" w:hAnsi="宋体" w:cs="宋体" w:eastAsia="宋体" w:hint="default"/>
                            <w:sz w:val="18"/>
                            <w:szCs w:val="18"/>
                          </w:rPr>
                          <w:t>公司决策程序导致重大失误； </w:t>
                        </w:r>
                        <w:r>
                          <w:rPr>
                            <w:rFonts w:ascii="Times New Roman" w:hAnsi="Times New Roman" w:cs="Times New Roman" w:eastAsia="Times New Roman" w:hint="default"/>
                            <w:sz w:val="18"/>
                            <w:szCs w:val="18"/>
                          </w:rPr>
                          <w:t>c.</w:t>
                        </w:r>
                        <w:r>
                          <w:rPr>
                            <w:rFonts w:ascii="宋体" w:hAnsi="宋体" w:cs="宋体" w:eastAsia="宋体" w:hint="default"/>
                            <w:sz w:val="18"/>
                            <w:szCs w:val="18"/>
                          </w:rPr>
                          <w:t>公司高级管理人员和高级技术人员 流失严重；</w:t>
                        </w:r>
                        <w:r>
                          <w:rPr>
                            <w:rFonts w:ascii="Times New Roman" w:hAnsi="Times New Roman" w:cs="Times New Roman" w:eastAsia="Times New Roman" w:hint="default"/>
                            <w:sz w:val="18"/>
                            <w:szCs w:val="18"/>
                          </w:rPr>
                          <w:t>d.</w:t>
                        </w:r>
                        <w:r>
                          <w:rPr>
                            <w:rFonts w:ascii="宋体" w:hAnsi="宋体" w:cs="宋体" w:eastAsia="宋体" w:hint="default"/>
                            <w:sz w:val="18"/>
                            <w:szCs w:val="18"/>
                          </w:rPr>
                          <w:t>媒体频现负面新闻，涉及 面广且负面影响一直未能消除；</w:t>
                        </w:r>
                        <w:r>
                          <w:rPr>
                            <w:rFonts w:ascii="Times New Roman" w:hAnsi="Times New Roman" w:cs="Times New Roman" w:eastAsia="Times New Roman" w:hint="default"/>
                            <w:sz w:val="18"/>
                            <w:szCs w:val="18"/>
                          </w:rPr>
                          <w:t>e.</w:t>
                        </w:r>
                        <w:r>
                          <w:rPr>
                            <w:rFonts w:ascii="宋体" w:hAnsi="宋体" w:cs="宋体" w:eastAsia="宋体" w:hint="default"/>
                            <w:sz w:val="18"/>
                            <w:szCs w:val="18"/>
                          </w:rPr>
                          <w:t>公司 重要业务缺乏制度控制或制度体系失 效；</w:t>
                        </w:r>
                        <w:r>
                          <w:rPr>
                            <w:rFonts w:ascii="Times New Roman" w:hAnsi="Times New Roman" w:cs="Times New Roman" w:eastAsia="Times New Roman" w:hint="default"/>
                            <w:sz w:val="18"/>
                            <w:szCs w:val="18"/>
                          </w:rPr>
                          <w:t>f.</w:t>
                        </w:r>
                        <w:r>
                          <w:rPr>
                            <w:rFonts w:ascii="宋体" w:hAnsi="宋体" w:cs="宋体" w:eastAsia="宋体" w:hint="default"/>
                            <w:sz w:val="18"/>
                            <w:szCs w:val="18"/>
                          </w:rPr>
                          <w:t>公司内部控制重大或重要缺陷未 得到整改；</w:t>
                        </w:r>
                        <w:r>
                          <w:rPr>
                            <w:rFonts w:ascii="Times New Roman" w:hAnsi="Times New Roman" w:cs="Times New Roman" w:eastAsia="Times New Roman" w:hint="default"/>
                            <w:sz w:val="18"/>
                            <w:szCs w:val="18"/>
                          </w:rPr>
                          <w:t>g.</w:t>
                        </w:r>
                        <w:r>
                          <w:rPr>
                            <w:rFonts w:ascii="宋体" w:hAnsi="宋体" w:cs="宋体" w:eastAsia="宋体" w:hint="default"/>
                            <w:sz w:val="18"/>
                            <w:szCs w:val="18"/>
                          </w:rPr>
                          <w:t>公司遭受证监会处罚或证 </w:t>
                        </w:r>
                        <w:r>
                          <w:rPr>
                            <w:rFonts w:ascii="宋体" w:hAnsi="宋体" w:cs="宋体" w:eastAsia="宋体" w:hint="default"/>
                            <w:spacing w:val="-4"/>
                            <w:sz w:val="18"/>
                            <w:szCs w:val="18"/>
                          </w:rPr>
                          <w:t>券交易所警告。②其他情形按照影响程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度分别确定重要缺陷或一般缺陷。</w:t>
                        </w:r>
                      </w:p>
                    </w:tc>
                  </w:tr>
                  <w:tr>
                    <w:trPr>
                      <w:trHeight w:val="391"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定性标准</w:t>
                        </w:r>
                      </w:p>
                    </w:tc>
                    <w:tc>
                      <w:tcPr>
                        <w:tcW w:w="5387" w:type="dxa"/>
                        <w:gridSpan w:val="2"/>
                        <w:vMerge/>
                        <w:tcBorders>
                          <w:left w:val="single" w:sz="10"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721"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387" w:type="dxa"/>
                        <w:gridSpan w:val="2"/>
                        <w:vMerge/>
                        <w:tcBorders>
                          <w:left w:val="single" w:sz="10"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785"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387" w:type="dxa"/>
                        <w:gridSpan w:val="2"/>
                        <w:vMerge w:val="restart"/>
                        <w:tcBorders>
                          <w:top w:val="single" w:sz="4" w:space="0" w:color="000000"/>
                          <w:left w:val="single" w:sz="10" w:space="0" w:color="D2D2D2"/>
                          <w:right w:val="single" w:sz="4" w:space="0" w:color="000000"/>
                        </w:tcBorders>
                      </w:tcPr>
                      <w:p>
                        <w:pPr>
                          <w:pStyle w:val="TableParagraph"/>
                          <w:spacing w:line="300" w:lineRule="auto" w:before="49"/>
                          <w:ind w:left="16" w:right="16"/>
                          <w:jc w:val="both"/>
                          <w:rPr>
                            <w:rFonts w:ascii="宋体" w:hAnsi="宋体" w:cs="宋体" w:eastAsia="宋体" w:hint="default"/>
                            <w:sz w:val="18"/>
                            <w:szCs w:val="18"/>
                          </w:rPr>
                        </w:pPr>
                        <w:r>
                          <w:rPr>
                            <w:rFonts w:ascii="宋体" w:hAnsi="宋体" w:cs="宋体" w:eastAsia="宋体" w:hint="default"/>
                            <w:sz w:val="18"/>
                            <w:szCs w:val="18"/>
                          </w:rPr>
                          <w:t>①一般缺陷：失控金额＜资产总额的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；失控金额＜主营业务收 入总额的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；失控金额＜净利润总额的</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。②重要缺陷：资产总</w:t>
                        </w:r>
                        <w:r>
                          <w:rPr>
                            <w:rFonts w:ascii="宋体" w:hAnsi="宋体" w:cs="宋体" w:eastAsia="宋体" w:hint="default"/>
                            <w:sz w:val="18"/>
                            <w:szCs w:val="18"/>
                          </w:rPr>
                          <w:t> 额的</w:t>
                        </w:r>
                        <w:r>
                          <w:rPr>
                            <w:rFonts w:ascii="宋体" w:hAnsi="宋体" w:cs="宋体" w:eastAsia="宋体" w:hint="default"/>
                            <w:spacing w:val="-40"/>
                            <w:sz w:val="18"/>
                            <w:szCs w:val="18"/>
                          </w:rPr>
                          <w:t> </w:t>
                        </w:r>
                        <w:r>
                          <w:rPr>
                            <w:rFonts w:ascii="Times New Roman" w:hAnsi="Times New Roman" w:cs="Times New Roman" w:eastAsia="Times New Roman" w:hint="default"/>
                            <w:spacing w:val="-1"/>
                            <w:w w:val="100"/>
                            <w:sz w:val="18"/>
                            <w:szCs w:val="18"/>
                          </w:rPr>
                          <w:t>0.1%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失控金额＜资产总额的</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；主营业务收入总额的</w:t>
                        </w:r>
                        <w:r>
                          <w:rPr>
                            <w:rFonts w:ascii="宋体" w:hAnsi="宋体" w:cs="宋体" w:eastAsia="宋体" w:hint="default"/>
                            <w:spacing w:val="-40"/>
                            <w:sz w:val="18"/>
                            <w:szCs w:val="18"/>
                          </w:rPr>
                          <w:t> </w:t>
                        </w:r>
                        <w:r>
                          <w:rPr>
                            <w:rFonts w:ascii="Times New Roman" w:hAnsi="Times New Roman" w:cs="Times New Roman" w:eastAsia="Times New Roman" w:hint="default"/>
                            <w:w w:val="100"/>
                            <w:sz w:val="18"/>
                            <w:szCs w:val="18"/>
                          </w:rPr>
                          <w:t>0.1%</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42"/>
                            <w:w w:val="100"/>
                            <w:sz w:val="18"/>
                            <w:szCs w:val="18"/>
                          </w:rPr>
                          <w:t> </w:t>
                        </w:r>
                        <w:r>
                          <w:rPr>
                            <w:rFonts w:ascii="宋体" w:hAnsi="宋体" w:cs="宋体" w:eastAsia="宋体" w:hint="default"/>
                            <w:sz w:val="18"/>
                            <w:szCs w:val="18"/>
                          </w:rPr>
                          <w:t>失控金额＜主营业务收入总额的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；净利润总额的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失控金额</w:t>
                        </w:r>
                      </w:p>
                      <w:p>
                        <w:pPr>
                          <w:pStyle w:val="TableParagraph"/>
                          <w:spacing w:line="300" w:lineRule="auto" w:before="13"/>
                          <w:ind w:left="16" w:right="47"/>
                          <w:jc w:val="both"/>
                          <w:rPr>
                            <w:rFonts w:ascii="宋体" w:hAnsi="宋体" w:cs="宋体" w:eastAsia="宋体" w:hint="default"/>
                            <w:sz w:val="18"/>
                            <w:szCs w:val="18"/>
                          </w:rPr>
                        </w:pPr>
                        <w:r>
                          <w:rPr>
                            <w:rFonts w:ascii="宋体" w:hAnsi="宋体" w:cs="宋体" w:eastAsia="宋体" w:hint="default"/>
                            <w:sz w:val="18"/>
                            <w:szCs w:val="18"/>
                          </w:rPr>
                          <w:t>＜净利润总额的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。③重大缺陷：失控金额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；失 控金额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；失控金额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①一般缺陷：直接财产损失的绝对金额</w:t>
                        </w:r>
                      </w:p>
                      <w:p>
                        <w:pPr>
                          <w:pStyle w:val="TableParagraph"/>
                          <w:spacing w:line="300" w:lineRule="auto" w:before="76"/>
                          <w:ind w:left="23" w:right="29"/>
                          <w:jc w:val="left"/>
                          <w:rPr>
                            <w:rFonts w:ascii="宋体" w:hAnsi="宋体" w:cs="宋体" w:eastAsia="宋体" w:hint="default"/>
                            <w:sz w:val="18"/>
                            <w:szCs w:val="18"/>
                          </w:rPr>
                        </w:pPr>
                        <w:r>
                          <w:rPr>
                            <w:rFonts w:ascii="宋体" w:hAnsi="宋体" w:cs="宋体" w:eastAsia="宋体" w:hint="default"/>
                            <w:sz w:val="18"/>
                            <w:szCs w:val="18"/>
                          </w:rPr>
                          <w:t>＜净利润总额的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；②重要缺陷：净 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直接财产损失的绝对 金额＜净利润总额的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；③重大缺陷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直接财产损失的绝对金额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394"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81"/>
                          <w:jc w:val="right"/>
                          <w:rPr>
                            <w:rFonts w:ascii="宋体" w:hAnsi="宋体" w:cs="宋体" w:eastAsia="宋体" w:hint="default"/>
                            <w:sz w:val="18"/>
                            <w:szCs w:val="18"/>
                          </w:rPr>
                        </w:pPr>
                        <w:r>
                          <w:rPr>
                            <w:rFonts w:ascii="宋体" w:hAnsi="宋体" w:cs="宋体" w:eastAsia="宋体" w:hint="default"/>
                            <w:sz w:val="18"/>
                            <w:szCs w:val="18"/>
                          </w:rPr>
                          <w:t>定量标准</w:t>
                        </w:r>
                      </w:p>
                    </w:tc>
                    <w:tc>
                      <w:tcPr>
                        <w:tcW w:w="5387" w:type="dxa"/>
                        <w:gridSpan w:val="2"/>
                        <w:vMerge/>
                        <w:tcBorders>
                          <w:left w:val="single" w:sz="10"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785"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387" w:type="dxa"/>
                        <w:gridSpan w:val="2"/>
                        <w:vMerge/>
                        <w:tcBorders>
                          <w:left w:val="single" w:sz="10"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21"/>
        <w:gridCol w:w="3051"/>
      </w:tblGrid>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spacing w:line="564" w:lineRule="auto" w:before="26"/>
        <w:ind w:left="633" w:right="7140" w:hanging="481"/>
        <w:jc w:val="left"/>
        <w:rPr>
          <w:rFonts w:ascii="宋体" w:hAnsi="宋体" w:cs="宋体" w:eastAsia="宋体" w:hint="default"/>
          <w:sz w:val="24"/>
          <w:szCs w:val="24"/>
        </w:rPr>
      </w:pPr>
      <w:r>
        <w:rPr/>
        <w:pict>
          <v:shape style="position:absolute;margin-left:56.459999pt;margin-top:56.895649pt;width:479.2pt;height:172.4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辉煌科技于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日按照《企业内部控制基本规范》和相关规定在所有重大方面保持了有效的财务报告内部控 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年度内部控制审计报告》刊登于公司指定信息披露媒</w:t>
                        </w:r>
                        <w:r>
                          <w:rPr>
                            <w:rFonts w:ascii="宋体" w:hAnsi="宋体" w:cs="宋体" w:eastAsia="宋体" w:hint="default"/>
                            <w:sz w:val="18"/>
                            <w:szCs w:val="18"/>
                          </w:rPr>
                          <w:t> 体巨潮资讯网（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bookmarkStart w:name="十、内部控制审计报告或鉴证报告" w:id="150"/>
      <w:bookmarkEnd w:id="150"/>
      <w:r>
        <w:rPr/>
      </w:r>
      <w:r>
        <w:rPr>
          <w:rFonts w:ascii="宋体" w:hAnsi="宋体" w:cs="宋体" w:eastAsia="宋体" w:hint="default"/>
          <w:b/>
          <w:bCs/>
          <w:sz w:val="24"/>
          <w:szCs w:val="24"/>
        </w:rPr>
        <w:t>十、内部控制审计报告或鉴证报告</w:t>
      </w:r>
      <w:r>
        <w:rPr>
          <w:rFonts w:ascii="宋体" w:hAnsi="宋体" w:cs="宋体" w:eastAsia="宋体" w:hint="default"/>
          <w:b/>
          <w:bCs/>
          <w:w w:val="99"/>
          <w:sz w:val="24"/>
          <w:szCs w:val="24"/>
        </w:rPr>
        <w:t> </w:t>
      </w:r>
      <w:r>
        <w:rPr>
          <w:rFonts w:ascii="宋体" w:hAnsi="宋体" w:cs="宋体" w:eastAsia="宋体" w:hint="default"/>
          <w:sz w:val="24"/>
          <w:szCs w:val="24"/>
        </w:rPr>
        <w:t>内部控制审计报告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26"/>
        <w:ind w:left="633" w:right="996"/>
        <w:jc w:val="left"/>
      </w:pPr>
      <w:r>
        <w:rPr/>
        <w:t>会计师事务所是否出具非标准意见的内部控制审计报告</w:t>
      </w:r>
    </w:p>
    <w:p>
      <w:pPr>
        <w:pStyle w:val="BodyText"/>
        <w:spacing w:line="331" w:lineRule="auto" w:before="146"/>
        <w:ind w:left="633" w:right="21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会计师事务所出具的内部控制审计报告与董事会的自我评价报告意见是否一致</w:t>
      </w:r>
    </w:p>
    <w:p>
      <w:pPr>
        <w:pStyle w:val="BodyText"/>
        <w:spacing w:line="240" w:lineRule="auto" w:before="55"/>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996"/>
        <w:jc w:val="left"/>
        <w:rPr>
          <w:b w:val="0"/>
          <w:bCs w:val="0"/>
        </w:rPr>
      </w:pPr>
      <w:bookmarkStart w:name="第十一节公司债券相关情况" w:id="151"/>
      <w:bookmarkEnd w:id="151"/>
      <w:r>
        <w:rPr>
          <w:b w:val="0"/>
          <w:bCs w:val="0"/>
        </w:rPr>
      </w:r>
      <w:bookmarkStart w:name="_bookmark10" w:id="152"/>
      <w:bookmarkEnd w:id="152"/>
      <w:r>
        <w:rPr>
          <w:b w:val="0"/>
          <w:bCs w:val="0"/>
        </w:rPr>
      </w:r>
      <w:r>
        <w:rPr/>
        <w:t>第十一节公司债券相关情况</w:t>
      </w:r>
      <w:r>
        <w:rPr>
          <w:b w:val="0"/>
          <w:bCs w:val="0"/>
        </w:rPr>
      </w:r>
    </w:p>
    <w:p>
      <w:pPr>
        <w:spacing w:line="240" w:lineRule="auto" w:before="0"/>
        <w:rPr>
          <w:rFonts w:ascii="宋体" w:hAnsi="宋体" w:cs="宋体" w:eastAsia="宋体" w:hint="default"/>
          <w:b/>
          <w:bCs/>
          <w:sz w:val="32"/>
          <w:szCs w:val="32"/>
        </w:rPr>
      </w:pPr>
    </w:p>
    <w:p>
      <w:pPr>
        <w:pStyle w:val="BodyText"/>
        <w:spacing w:line="352" w:lineRule="auto" w:before="216"/>
        <w:ind w:right="1154" w:firstLine="480"/>
        <w:jc w:val="left"/>
      </w:pPr>
      <w:r>
        <w:rPr/>
        <w:t>公司是否存在公开发行并在证券交易所上市，且在年度报告批准报出日未到期或到期未 能全额兑付的公司债券</w:t>
      </w:r>
    </w:p>
    <w:p>
      <w:pPr>
        <w:pStyle w:val="BodyText"/>
        <w:spacing w:line="240" w:lineRule="auto" w:before="34"/>
        <w:ind w:left="633" w:right="996"/>
        <w:jc w:val="left"/>
      </w:pPr>
      <w:r>
        <w:rPr/>
        <w:t>否</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996"/>
        <w:jc w:val="left"/>
        <w:rPr>
          <w:b w:val="0"/>
          <w:bCs w:val="0"/>
        </w:rPr>
      </w:pPr>
      <w:bookmarkStart w:name="第十二节 财务报告" w:id="153"/>
      <w:bookmarkEnd w:id="153"/>
      <w:r>
        <w:rPr>
          <w:b w:val="0"/>
          <w:bCs w:val="0"/>
        </w:rPr>
      </w:r>
      <w:bookmarkStart w:name="_bookmark11" w:id="154"/>
      <w:bookmarkEnd w:id="154"/>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996"/>
        <w:jc w:val="left"/>
        <w:rPr>
          <w:b w:val="0"/>
          <w:bCs w:val="0"/>
        </w:rPr>
      </w:pPr>
      <w:bookmarkStart w:name="一、审计报告" w:id="155"/>
      <w:bookmarkEnd w:id="155"/>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2"/>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[2020]002712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李斌</w:t>
            </w:r>
            <w:r>
              <w:rPr>
                <w:rFonts w:ascii="宋体" w:hAnsi="宋体" w:cs="宋体" w:eastAsia="宋体" w:hint="default"/>
                <w:spacing w:val="1"/>
                <w:sz w:val="21"/>
                <w:szCs w:val="21"/>
              </w:rPr>
              <w:t> </w:t>
            </w:r>
            <w:r>
              <w:rPr>
                <w:rFonts w:ascii="宋体" w:hAnsi="宋体" w:cs="宋体" w:eastAsia="宋体" w:hint="default"/>
                <w:sz w:val="21"/>
                <w:szCs w:val="21"/>
              </w:rPr>
              <w:t>胡丽娟</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6"/>
        <w:ind w:left="0" w:right="980"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before="36"/>
        <w:ind w:left="0" w:right="1131" w:firstLine="0"/>
        <w:jc w:val="right"/>
        <w:rPr>
          <w:rFonts w:ascii="宋体" w:hAnsi="宋体" w:cs="宋体" w:eastAsia="宋体" w:hint="default"/>
          <w:sz w:val="21"/>
          <w:szCs w:val="21"/>
        </w:rPr>
      </w:pPr>
      <w:r>
        <w:rPr>
          <w:rFonts w:ascii="宋体" w:hAnsi="宋体" w:cs="宋体" w:eastAsia="宋体" w:hint="default"/>
          <w:b/>
          <w:bCs/>
          <w:spacing w:val="-1"/>
          <w:sz w:val="21"/>
          <w:szCs w:val="21"/>
        </w:rPr>
        <w:t>大华审字</w:t>
      </w:r>
      <w:r>
        <w:rPr>
          <w:rFonts w:ascii="Times New Roman" w:hAnsi="Times New Roman" w:cs="Times New Roman" w:eastAsia="Times New Roman" w:hint="default"/>
          <w:b/>
          <w:bCs/>
          <w:spacing w:val="-1"/>
          <w:sz w:val="21"/>
          <w:szCs w:val="21"/>
        </w:rPr>
        <w:t>[2020]002712</w:t>
      </w:r>
      <w:r>
        <w:rPr>
          <w:rFonts w:ascii="宋体" w:hAnsi="宋体" w:cs="宋体" w:eastAsia="宋体" w:hint="default"/>
          <w:b/>
          <w:bCs/>
          <w:spacing w:val="-1"/>
          <w:sz w:val="21"/>
          <w:szCs w:val="21"/>
        </w:rPr>
        <w:t>号</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pStyle w:val="Heading2"/>
        <w:spacing w:line="240" w:lineRule="auto" w:before="171"/>
        <w:ind w:right="996"/>
        <w:jc w:val="left"/>
        <w:rPr>
          <w:b w:val="0"/>
          <w:bCs w:val="0"/>
        </w:rPr>
      </w:pPr>
      <w:r>
        <w:rPr/>
        <w:t>河南辉煌科技股份有限公司全体股东：</w:t>
      </w:r>
      <w:r>
        <w:rPr>
          <w:b w:val="0"/>
          <w:bCs w:val="0"/>
        </w:rPr>
      </w:r>
    </w:p>
    <w:p>
      <w:pPr>
        <w:spacing w:line="240" w:lineRule="auto" w:before="2"/>
        <w:rPr>
          <w:rFonts w:ascii="宋体" w:hAnsi="宋体" w:cs="宋体" w:eastAsia="宋体" w:hint="default"/>
          <w:b/>
          <w:bCs/>
          <w:sz w:val="23"/>
          <w:szCs w:val="23"/>
        </w:rPr>
      </w:pPr>
    </w:p>
    <w:p>
      <w:pPr>
        <w:pStyle w:val="Heading2"/>
        <w:spacing w:line="240" w:lineRule="auto" w:before="0"/>
        <w:ind w:right="996"/>
        <w:jc w:val="left"/>
        <w:rPr>
          <w:b w:val="0"/>
          <w:bCs w:val="0"/>
        </w:rPr>
      </w:pPr>
      <w:r>
        <w:rPr/>
        <w:t>一、审计意见</w:t>
      </w:r>
      <w:r>
        <w:rPr>
          <w:b w:val="0"/>
          <w:bCs w:val="0"/>
        </w:rPr>
      </w:r>
    </w:p>
    <w:p>
      <w:pPr>
        <w:pStyle w:val="BodyText"/>
        <w:spacing w:line="350" w:lineRule="auto" w:before="146"/>
        <w:ind w:right="1136" w:firstLine="480"/>
        <w:jc w:val="both"/>
      </w:pPr>
      <w:r>
        <w:rPr/>
        <w:t>我们审计了河南辉煌科技股份有限公司</w:t>
      </w:r>
      <w:r>
        <w:rPr>
          <w:rFonts w:ascii="宋体" w:hAnsi="宋体" w:cs="宋体" w:eastAsia="宋体" w:hint="default"/>
        </w:rPr>
        <w:t>(</w:t>
      </w:r>
      <w:r>
        <w:rPr/>
        <w:t>以下简称辉煌科技</w:t>
      </w:r>
      <w:r>
        <w:rPr>
          <w:rFonts w:ascii="宋体" w:hAnsi="宋体" w:cs="宋体" w:eastAsia="宋体" w:hint="default"/>
        </w:rPr>
        <w:t>)</w:t>
      </w:r>
      <w:r>
        <w:rPr/>
        <w:t>财务报表，包括</w:t>
      </w:r>
      <w:r>
        <w:rPr>
          <w:rFonts w:ascii="宋体" w:hAnsi="宋体" w:cs="宋体" w:eastAsia="宋体" w:hint="default"/>
        </w:rPr>
        <w:t>2019</w:t>
      </w:r>
      <w:r>
        <w:rPr/>
        <w:t>年</w:t>
      </w:r>
      <w:r>
        <w:rPr>
          <w:rFonts w:ascii="宋体" w:hAnsi="宋体" w:cs="宋体" w:eastAsia="宋体" w:hint="default"/>
        </w:rPr>
        <w:t>12</w:t>
      </w:r>
      <w:r>
        <w:rPr/>
        <w:t>月 </w:t>
      </w:r>
      <w:r>
        <w:rPr>
          <w:rFonts w:ascii="宋体" w:hAnsi="宋体" w:cs="宋体" w:eastAsia="宋体" w:hint="default"/>
        </w:rPr>
        <w:t>31</w:t>
      </w:r>
      <w:r>
        <w:rPr/>
        <w:t>日的合并及母公司资产负债表，</w:t>
      </w:r>
      <w:r>
        <w:rPr>
          <w:rFonts w:ascii="宋体" w:hAnsi="宋体" w:cs="宋体" w:eastAsia="宋体" w:hint="default"/>
        </w:rPr>
        <w:t>2019</w:t>
      </w:r>
      <w:r>
        <w:rPr/>
        <w:t>年度的合并及母公司利润表、合并及母公司现金流量</w:t>
      </w:r>
      <w:r>
        <w:rPr>
          <w:spacing w:val="-90"/>
        </w:rPr>
        <w:t> </w:t>
      </w:r>
      <w:r>
        <w:rPr>
          <w:spacing w:val="-90"/>
        </w:rPr>
      </w:r>
      <w:r>
        <w:rPr/>
        <w:t>表、合并及母公司股东权益变动表以及相关财务报表附注。</w:t>
      </w:r>
    </w:p>
    <w:p>
      <w:pPr>
        <w:pStyle w:val="BodyText"/>
        <w:spacing w:line="350" w:lineRule="auto" w:before="36"/>
        <w:ind w:right="1135" w:firstLine="480"/>
        <w:jc w:val="both"/>
      </w:pPr>
      <w:r>
        <w:rPr/>
        <w:t>我们认为，后附的财务报表在所有重大方面按照企业会计准则的规定编制，公允反映了 辉煌科技</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年度的合并及母公司经营成果和</w:t>
      </w:r>
      <w:r>
        <w:rPr>
          <w:spacing w:val="-89"/>
        </w:rPr>
        <w:t> </w:t>
      </w:r>
      <w:r>
        <w:rPr>
          <w:spacing w:val="-89"/>
        </w:rPr>
      </w:r>
      <w:r>
        <w:rPr/>
        <w:t>现金流量。</w:t>
      </w:r>
    </w:p>
    <w:p>
      <w:pPr>
        <w:spacing w:line="350" w:lineRule="auto" w:before="192"/>
        <w:ind w:left="633" w:right="996" w:hanging="481"/>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z w:val="24"/>
          <w:szCs w:val="24"/>
        </w:rPr>
        <w:t>我们按照中国注册会计师审计准则的规定执行了审计工作。审计报告的“注册会计师对</w:t>
      </w:r>
    </w:p>
    <w:p>
      <w:pPr>
        <w:pStyle w:val="BodyText"/>
        <w:spacing w:line="350" w:lineRule="auto" w:before="36"/>
        <w:ind w:right="1137"/>
        <w:jc w:val="both"/>
      </w:pPr>
      <w:r>
        <w:rPr/>
        <w:t>财务报表审计的责任”部分进一步阐述了我们在这些准则下的责任。按照中国注册会计师职</w:t>
      </w:r>
      <w:r>
        <w:rPr>
          <w:spacing w:val="-90"/>
        </w:rPr>
        <w:t> </w:t>
      </w:r>
      <w:r>
        <w:rPr>
          <w:spacing w:val="-90"/>
        </w:rPr>
      </w:r>
      <w:r>
        <w:rPr/>
        <w:t>业道德守则，我们独立于辉煌科技，并履行了职业道德方面的其他责任。我们相信，我们获</w:t>
      </w:r>
      <w:r>
        <w:rPr>
          <w:spacing w:val="-91"/>
        </w:rPr>
        <w:t> </w:t>
      </w:r>
      <w:r>
        <w:rPr>
          <w:spacing w:val="-91"/>
        </w:rPr>
      </w:r>
      <w:r>
        <w:rPr/>
        <w:t>取的审计证据是充分、适当的，为发表审计意见提供了基础。</w:t>
      </w:r>
    </w:p>
    <w:p>
      <w:pPr>
        <w:pStyle w:val="BodyText"/>
        <w:spacing w:line="352" w:lineRule="auto" w:before="192"/>
        <w:ind w:left="633" w:right="996" w:hanging="481"/>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spacing w:after="0" w:line="35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996"/>
        <w:jc w:val="left"/>
      </w:pPr>
      <w:r>
        <w:rPr/>
        <w:t>项的应对以对财务报表整体进行审计并形成审计意见为背景，我们不对这些事项单独发表意</w:t>
      </w:r>
      <w:r>
        <w:rPr>
          <w:spacing w:val="-91"/>
        </w:rPr>
        <w:t> </w:t>
      </w:r>
      <w:r>
        <w:rPr>
          <w:spacing w:val="-91"/>
        </w:rPr>
      </w:r>
      <w:r>
        <w:rPr/>
        <w:t>见。</w:t>
      </w:r>
    </w:p>
    <w:p>
      <w:pPr>
        <w:pStyle w:val="BodyText"/>
        <w:spacing w:line="352" w:lineRule="auto" w:before="31"/>
        <w:ind w:left="633" w:right="3793"/>
        <w:jc w:val="left"/>
      </w:pPr>
      <w:r>
        <w:rPr/>
        <w:t>我们确定下列事项是需要在审计报告中沟通的关键审计事项。 应收账款预期信用损失事项。</w:t>
      </w:r>
    </w:p>
    <w:p>
      <w:pPr>
        <w:spacing w:line="350" w:lineRule="auto" w:before="34"/>
        <w:ind w:left="635" w:right="7394" w:hanging="3"/>
        <w:jc w:val="left"/>
        <w:rPr>
          <w:rFonts w:ascii="宋体" w:hAnsi="宋体" w:cs="宋体" w:eastAsia="宋体" w:hint="default"/>
          <w:sz w:val="24"/>
          <w:szCs w:val="24"/>
        </w:rPr>
      </w:pPr>
      <w:r>
        <w:rPr>
          <w:rFonts w:ascii="宋体" w:hAnsi="宋体" w:cs="宋体" w:eastAsia="宋体" w:hint="default"/>
          <w:sz w:val="24"/>
          <w:szCs w:val="24"/>
        </w:rPr>
        <w:t>应收账款坏账准备的计提。 </w:t>
      </w:r>
      <w:r>
        <w:rPr>
          <w:rFonts w:ascii="宋体" w:hAnsi="宋体" w:cs="宋体" w:eastAsia="宋体" w:hint="default"/>
          <w:b/>
          <w:bCs/>
          <w:sz w:val="24"/>
          <w:szCs w:val="24"/>
        </w:rPr>
        <w:t>1</w:t>
      </w:r>
      <w:r>
        <w:rPr>
          <w:rFonts w:ascii="宋体" w:hAnsi="宋体" w:cs="宋体" w:eastAsia="宋体" w:hint="default"/>
          <w:b/>
          <w:bCs/>
          <w:sz w:val="24"/>
          <w:szCs w:val="24"/>
        </w:rPr>
        <w:t>、事项描述</w:t>
      </w:r>
      <w:r>
        <w:rPr>
          <w:rFonts w:ascii="宋体" w:hAnsi="宋体" w:cs="宋体" w:eastAsia="宋体" w:hint="default"/>
          <w:sz w:val="24"/>
          <w:szCs w:val="24"/>
        </w:rPr>
      </w:r>
    </w:p>
    <w:p>
      <w:pPr>
        <w:pStyle w:val="BodyText"/>
        <w:spacing w:line="352" w:lineRule="auto" w:before="36"/>
        <w:ind w:right="1131" w:firstLine="480"/>
        <w:jc w:val="both"/>
      </w:pPr>
      <w:r>
        <w:rPr>
          <w:spacing w:val="-3"/>
        </w:rPr>
        <w:t>辉煌科技应收账款预期信用损失的确定方法相关的会计政策见：附注四（八）</w:t>
      </w:r>
      <w:r>
        <w:rPr>
          <w:rFonts w:ascii="宋体" w:hAnsi="宋体" w:cs="宋体" w:eastAsia="宋体" w:hint="default"/>
          <w:spacing w:val="-3"/>
        </w:rPr>
        <w:t>6</w:t>
      </w:r>
      <w:r>
        <w:rPr>
          <w:spacing w:val="-3"/>
        </w:rPr>
        <w:t>“金融工</w:t>
      </w:r>
      <w:r>
        <w:rPr/>
        <w:t> </w:t>
      </w:r>
      <w:r>
        <w:rPr>
          <w:spacing w:val="-2"/>
        </w:rPr>
        <w:t>具减值”、附注四（十）“应收账款”，如财务报表附注六、注释</w:t>
      </w:r>
      <w:r>
        <w:rPr>
          <w:rFonts w:ascii="宋体" w:hAnsi="宋体" w:cs="宋体" w:eastAsia="宋体" w:hint="default"/>
          <w:spacing w:val="-2"/>
        </w:rPr>
        <w:t>4</w:t>
      </w:r>
      <w:r>
        <w:rPr>
          <w:spacing w:val="-2"/>
        </w:rPr>
        <w:t>所示，截止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115"/>
        </w:rPr>
        <w:t> </w:t>
      </w:r>
      <w:r>
        <w:rPr/>
        <w:t>日，辉煌科技应收账款账面原值</w:t>
      </w:r>
      <w:r>
        <w:rPr>
          <w:spacing w:val="27"/>
        </w:rPr>
        <w:t> </w:t>
      </w:r>
      <w:r>
        <w:rPr>
          <w:rFonts w:ascii="宋体" w:hAnsi="宋体" w:cs="宋体" w:eastAsia="宋体" w:hint="default"/>
        </w:rPr>
        <w:t>47,473.84</w:t>
      </w:r>
      <w:r>
        <w:rPr/>
        <w:t>万元，已计提坏账准备</w:t>
      </w:r>
      <w:r>
        <w:rPr>
          <w:rFonts w:ascii="宋体" w:hAnsi="宋体" w:cs="宋体" w:eastAsia="宋体" w:hint="default"/>
        </w:rPr>
        <w:t>8,752.79</w:t>
      </w:r>
      <w:r>
        <w:rPr/>
        <w:t>万元，应收账款</w:t>
      </w:r>
      <w:r>
        <w:rPr>
          <w:spacing w:val="-117"/>
        </w:rPr>
        <w:t> </w:t>
      </w:r>
      <w:r>
        <w:rPr>
          <w:spacing w:val="-117"/>
        </w:rPr>
      </w:r>
      <w:r>
        <w:rPr/>
        <w:t>账面价值占资产总额的比例为</w:t>
      </w:r>
      <w:r>
        <w:rPr>
          <w:rFonts w:ascii="宋体" w:hAnsi="宋体" w:cs="宋体" w:eastAsia="宋体" w:hint="default"/>
        </w:rPr>
        <w:t>20.74%</w:t>
      </w:r>
      <w:r>
        <w:rPr/>
        <w:t>。</w:t>
      </w:r>
    </w:p>
    <w:p>
      <w:pPr>
        <w:pStyle w:val="BodyText"/>
        <w:spacing w:line="350" w:lineRule="auto" w:before="34"/>
        <w:ind w:right="996" w:firstLine="480"/>
        <w:jc w:val="left"/>
      </w:pPr>
      <w:r>
        <w:rPr>
          <w:spacing w:val="-3"/>
        </w:rPr>
        <w:t>辉煌科技管理层根据应收账款的信用风险特征，以单项应收账款或应收账款组合为基础，</w:t>
      </w:r>
      <w:r>
        <w:rPr/>
        <w:t> 按照整个存续期内的预期信用损失计提损失准备。对于以单项为基础计量预期信用损失的应</w:t>
      </w:r>
      <w:r>
        <w:rPr>
          <w:spacing w:val="-91"/>
        </w:rPr>
        <w:t> </w:t>
      </w:r>
      <w:r>
        <w:rPr>
          <w:spacing w:val="-91"/>
        </w:rPr>
      </w:r>
      <w:r>
        <w:rPr/>
        <w:t>收账款，管理层综合考虑有关过去事项、当前状况以及未来经济状况预测的合理且有依据的</w:t>
      </w:r>
      <w:r>
        <w:rPr>
          <w:spacing w:val="-91"/>
        </w:rPr>
        <w:t> </w:t>
      </w:r>
      <w:r>
        <w:rPr>
          <w:spacing w:val="-91"/>
        </w:rPr>
      </w:r>
      <w:r>
        <w:rPr/>
        <w:t>信息，估计预期收取的现金流量，据此确定应计提的坏账准备；对于以组合为基础计量预期</w:t>
      </w:r>
      <w:r>
        <w:rPr>
          <w:spacing w:val="-91"/>
        </w:rPr>
        <w:t> </w:t>
      </w:r>
      <w:r>
        <w:rPr>
          <w:spacing w:val="-91"/>
        </w:rPr>
      </w:r>
      <w:r>
        <w:rPr/>
        <w:t>信用损失的应收账款，管理层以账龄为依据划分组合，参考历史信用损失经验，结合当前状</w:t>
      </w:r>
      <w:r>
        <w:rPr>
          <w:spacing w:val="-91"/>
        </w:rPr>
        <w:t> </w:t>
      </w:r>
      <w:r>
        <w:rPr>
          <w:spacing w:val="-91"/>
        </w:rPr>
      </w:r>
      <w:r>
        <w:rPr/>
        <w:t>况以及前瞻性估计进行调整，编制应收账款账龄与违约损失率对照表，据此确认应收账款预</w:t>
      </w:r>
      <w:r>
        <w:rPr>
          <w:spacing w:val="-86"/>
        </w:rPr>
        <w:t> </w:t>
      </w:r>
      <w:r>
        <w:rPr>
          <w:spacing w:val="-86"/>
        </w:rPr>
      </w:r>
      <w:r>
        <w:rPr/>
        <w:t>期信用损失。</w:t>
      </w:r>
    </w:p>
    <w:p>
      <w:pPr>
        <w:pStyle w:val="BodyText"/>
        <w:spacing w:line="352" w:lineRule="auto" w:before="34"/>
        <w:ind w:right="1136" w:firstLine="480"/>
        <w:jc w:val="both"/>
      </w:pPr>
      <w:r>
        <w:rPr/>
        <w:t>由于应收账款金额重大，且应收账款减值涉及重大管理层判断，我们将应收账款坏账准 备的计提确定为关键审计事项。</w:t>
      </w:r>
    </w:p>
    <w:p>
      <w:pPr>
        <w:pStyle w:val="BodyText"/>
        <w:spacing w:line="350" w:lineRule="auto" w:before="34"/>
        <w:ind w:left="633" w:right="3553"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我们针对应收账款的可回收性认定所实施的重要审计程序包括：</w:t>
      </w:r>
    </w:p>
    <w:p>
      <w:pPr>
        <w:pStyle w:val="BodyText"/>
        <w:spacing w:line="352" w:lineRule="auto" w:before="36"/>
        <w:ind w:right="1132" w:firstLine="480"/>
        <w:jc w:val="both"/>
      </w:pPr>
      <w:r>
        <w:rPr>
          <w:spacing w:val="-3"/>
        </w:rPr>
        <w:t>（</w:t>
      </w:r>
      <w:r>
        <w:rPr>
          <w:rFonts w:ascii="宋体" w:hAnsi="宋体" w:cs="宋体" w:eastAsia="宋体" w:hint="default"/>
          <w:spacing w:val="-3"/>
        </w:rPr>
        <w:t>1</w:t>
      </w:r>
      <w:r>
        <w:rPr>
          <w:spacing w:val="-3"/>
        </w:rPr>
        <w:t>）了解管理层与应收账款减值相关的内部控制设计的有效性，并对关键控制运行的有</w:t>
      </w:r>
      <w:r>
        <w:rPr/>
        <w:t> 效性进行测试。</w:t>
      </w:r>
    </w:p>
    <w:p>
      <w:pPr>
        <w:pStyle w:val="BodyText"/>
        <w:spacing w:line="352" w:lineRule="auto" w:before="31"/>
        <w:ind w:right="1132" w:firstLine="480"/>
        <w:jc w:val="both"/>
      </w:pPr>
      <w:r>
        <w:rPr>
          <w:spacing w:val="-3"/>
        </w:rPr>
        <w:t>（</w:t>
      </w:r>
      <w:r>
        <w:rPr>
          <w:rFonts w:ascii="宋体" w:hAnsi="宋体" w:cs="宋体" w:eastAsia="宋体" w:hint="default"/>
          <w:spacing w:val="-3"/>
        </w:rPr>
        <w:t>2</w:t>
      </w:r>
      <w:r>
        <w:rPr>
          <w:spacing w:val="-3"/>
        </w:rPr>
        <w:t>）对管理层按照信用风险特征组合计提坏账准备的应收账款进行减值测试，结合行业</w:t>
      </w:r>
      <w:r>
        <w:rPr/>
        <w:t> 内其他上市公司坏账准备计提比例评估管理层确定的坏账准备计提比例是否恰当，并对账龄</w:t>
      </w:r>
      <w:r>
        <w:rPr>
          <w:spacing w:val="-91"/>
        </w:rPr>
        <w:t> </w:t>
      </w:r>
      <w:r>
        <w:rPr>
          <w:spacing w:val="-91"/>
        </w:rPr>
      </w:r>
      <w:r>
        <w:rPr/>
        <w:t>进行重新划分并计算坏账准备金额，评估其是否准确。</w:t>
      </w:r>
    </w:p>
    <w:p>
      <w:pPr>
        <w:pStyle w:val="BodyText"/>
        <w:spacing w:line="352" w:lineRule="auto" w:before="31"/>
        <w:ind w:right="1132" w:firstLine="480"/>
        <w:jc w:val="both"/>
      </w:pPr>
      <w:r>
        <w:rPr>
          <w:spacing w:val="-3"/>
        </w:rPr>
        <w:t>（</w:t>
      </w:r>
      <w:r>
        <w:rPr>
          <w:rFonts w:ascii="宋体" w:hAnsi="宋体" w:cs="宋体" w:eastAsia="宋体" w:hint="default"/>
          <w:spacing w:val="-3"/>
        </w:rPr>
        <w:t>3</w:t>
      </w:r>
      <w:r>
        <w:rPr>
          <w:spacing w:val="-3"/>
        </w:rPr>
        <w:t>）对年末余额重大及本期发生额重大的应收账款执行函证程序，将函证结果与辉煌科</w:t>
      </w:r>
      <w:r>
        <w:rPr/>
        <w:t> 技账面记录进行核对，以核实应收账款的存在性及准确性。</w:t>
      </w:r>
    </w:p>
    <w:p>
      <w:pPr>
        <w:pStyle w:val="BodyText"/>
        <w:spacing w:line="350" w:lineRule="auto" w:before="34"/>
        <w:ind w:left="633" w:right="1753"/>
        <w:jc w:val="left"/>
      </w:pPr>
      <w:r>
        <w:rPr/>
        <w:t>（</w:t>
      </w:r>
      <w:r>
        <w:rPr>
          <w:rFonts w:ascii="宋体" w:hAnsi="宋体" w:cs="宋体" w:eastAsia="宋体" w:hint="default"/>
        </w:rPr>
        <w:t>4</w:t>
      </w:r>
      <w:r>
        <w:rPr/>
        <w:t>）检查与应收账款减值相关的信息是否已在财务报表中做出恰当列报与披露。 基于已执行的审计工作，辉煌科技应收账款坏账准备的计提是可接受的。</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8"/>
        <w:ind w:right="996"/>
        <w:jc w:val="left"/>
        <w:rPr>
          <w:b w:val="0"/>
          <w:bCs w:val="0"/>
        </w:rPr>
      </w:pPr>
      <w:r>
        <w:rPr/>
        <w:t>四、其他信息</w:t>
      </w:r>
      <w:r>
        <w:rPr>
          <w:b w:val="0"/>
          <w:bCs w:val="0"/>
        </w:rPr>
      </w:r>
    </w:p>
    <w:p>
      <w:pPr>
        <w:pStyle w:val="BodyText"/>
        <w:spacing w:line="350" w:lineRule="auto" w:before="146"/>
        <w:ind w:right="996" w:firstLine="480"/>
        <w:jc w:val="left"/>
      </w:pPr>
      <w:r>
        <w:rPr/>
        <w:t>辉煌科技管理层对其他信息负责。其他信息包括</w:t>
      </w:r>
      <w:r>
        <w:rPr>
          <w:rFonts w:ascii="宋体" w:hAnsi="宋体" w:cs="宋体" w:eastAsia="宋体" w:hint="default"/>
        </w:rPr>
        <w:t>2019</w:t>
      </w:r>
      <w:r>
        <w:rPr/>
        <w:t>年度报告中涵盖的信息，但不包括 财务报表和我们的审计报告。</w:t>
      </w:r>
    </w:p>
    <w:p>
      <w:pPr>
        <w:pStyle w:val="BodyText"/>
        <w:spacing w:line="352" w:lineRule="auto" w:before="36"/>
        <w:ind w:right="996" w:firstLine="480"/>
        <w:jc w:val="left"/>
      </w:pPr>
      <w:r>
        <w:rPr/>
        <w:t>我们对财务报表发表的审计意见不涵盖其他信息，我们也不对其他信息发表任何形式的 鉴证结论。</w:t>
      </w:r>
    </w:p>
    <w:p>
      <w:pPr>
        <w:pStyle w:val="BodyText"/>
        <w:spacing w:line="352" w:lineRule="auto" w:before="31"/>
        <w:ind w:right="996" w:firstLine="480"/>
        <w:jc w:val="left"/>
      </w:pPr>
      <w:r>
        <w:rPr/>
        <w:t>结合我们对财务报表的审计，我们的责任是阅读其他信息，在此过程中，考虑其他信息 是否与财务报表或我们在审计过程中了解的情况存在重大不一致或者似乎存在重大错报。</w:t>
      </w:r>
    </w:p>
    <w:p>
      <w:pPr>
        <w:pStyle w:val="BodyText"/>
        <w:spacing w:line="350" w:lineRule="auto" w:before="34"/>
        <w:ind w:right="996" w:firstLine="480"/>
        <w:jc w:val="left"/>
      </w:pPr>
      <w:r>
        <w:rPr/>
        <w:t>基于我们已执行的工作，如果我们确定其他信息存在重大错报，我们应当报告该事实。 在这方面，我们无任何事项需要报告。</w:t>
      </w:r>
    </w:p>
    <w:p>
      <w:pPr>
        <w:spacing w:line="352" w:lineRule="auto" w:before="192"/>
        <w:ind w:left="633" w:right="996" w:hanging="481"/>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辉煌科技管理层负责按照企业会计准则的规定编制财务报表，使其实现公允反映，并设</w:t>
      </w:r>
    </w:p>
    <w:p>
      <w:pPr>
        <w:pStyle w:val="BodyText"/>
        <w:spacing w:line="352" w:lineRule="auto" w:before="31"/>
        <w:ind w:left="633" w:right="996" w:hanging="481"/>
        <w:jc w:val="left"/>
      </w:pPr>
      <w:r>
        <w:rPr/>
        <w:t>计、执行和维护必要的内部控制，以使财务报表不存在由于舞弊或错误导致的重大错报。 在编制财务报表时，辉煌科技管理层负责评估辉煌科技的持续经营能力，披露与持续经</w:t>
      </w:r>
    </w:p>
    <w:p>
      <w:pPr>
        <w:pStyle w:val="BodyText"/>
        <w:spacing w:line="350" w:lineRule="auto" w:before="34"/>
        <w:ind w:right="1138"/>
        <w:jc w:val="both"/>
      </w:pPr>
      <w:r>
        <w:rPr/>
        <w:t>营相关的事项（如适用），并运用持续经营假设，除非管理层计划清算辉煌科技、终止运营</w:t>
      </w:r>
      <w:r>
        <w:rPr>
          <w:spacing w:val="-89"/>
        </w:rPr>
        <w:t> </w:t>
      </w:r>
      <w:r>
        <w:rPr>
          <w:spacing w:val="-89"/>
        </w:rPr>
      </w:r>
      <w:r>
        <w:rPr/>
        <w:t>或别无其他现实的选择。</w:t>
      </w:r>
    </w:p>
    <w:p>
      <w:pPr>
        <w:pStyle w:val="BodyText"/>
        <w:spacing w:line="240" w:lineRule="auto" w:before="36"/>
        <w:ind w:left="633" w:right="996"/>
        <w:jc w:val="left"/>
      </w:pPr>
      <w:r>
        <w:rPr/>
        <w:t>治理层负责监督辉煌科技的财务报告过程。</w:t>
      </w:r>
    </w:p>
    <w:p>
      <w:pPr>
        <w:spacing w:line="240" w:lineRule="auto" w:before="2"/>
        <w:rPr>
          <w:rFonts w:ascii="宋体" w:hAnsi="宋体" w:cs="宋体" w:eastAsia="宋体" w:hint="default"/>
          <w:sz w:val="23"/>
          <w:szCs w:val="23"/>
        </w:rPr>
      </w:pPr>
    </w:p>
    <w:p>
      <w:pPr>
        <w:spacing w:line="350" w:lineRule="auto" w:before="0"/>
        <w:ind w:left="633" w:right="996" w:hanging="481"/>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6"/>
          <w:sz w:val="24"/>
          <w:szCs w:val="24"/>
        </w:rPr>
        <w:t>我们的目标是对财务报表整体是否不存在由于舞弊或错误导致的重大错报获取合理保</w:t>
      </w:r>
    </w:p>
    <w:p>
      <w:pPr>
        <w:pStyle w:val="BodyText"/>
        <w:spacing w:line="350" w:lineRule="auto" w:before="36"/>
        <w:ind w:right="1139"/>
        <w:jc w:val="both"/>
      </w:pPr>
      <w:r>
        <w:rPr/>
        <w:t>证，并出具包含审计意见的审计报告。合理保证是高水平的保证，但并不能保证按照审计准</w:t>
      </w:r>
      <w:r>
        <w:rPr>
          <w:spacing w:val="-91"/>
        </w:rPr>
        <w:t> </w:t>
      </w:r>
      <w:r>
        <w:rPr>
          <w:spacing w:val="-91"/>
        </w:rPr>
      </w:r>
      <w:r>
        <w:rPr/>
        <w:t>则执行的审计在某一重大错报存在时总能发现。错报可能由于舞弊或错误导致，如果合理预</w:t>
      </w:r>
      <w:r>
        <w:rPr>
          <w:spacing w:val="-91"/>
        </w:rPr>
        <w:t> </w:t>
      </w:r>
      <w:r>
        <w:rPr>
          <w:spacing w:val="-91"/>
        </w:rPr>
      </w:r>
      <w:r>
        <w:rPr/>
        <w:t>期错报单独或汇总起来可能影响财务报表使用者依据财务报表作出的经济决策，则通常认为</w:t>
      </w:r>
      <w:r>
        <w:rPr>
          <w:spacing w:val="-91"/>
        </w:rPr>
        <w:t> </w:t>
      </w:r>
      <w:r>
        <w:rPr>
          <w:spacing w:val="-91"/>
        </w:rPr>
      </w:r>
      <w:r>
        <w:rPr/>
        <w:t>错报是重大的。</w:t>
      </w:r>
    </w:p>
    <w:p>
      <w:pPr>
        <w:pStyle w:val="BodyText"/>
        <w:spacing w:line="350" w:lineRule="auto" w:before="36"/>
        <w:ind w:right="996" w:firstLine="480"/>
        <w:jc w:val="left"/>
      </w:pPr>
      <w:r>
        <w:rPr/>
        <w:t>在按照审计准则执行审计工作的过程中，我们运用职业判断，并保持职业怀疑。同时， 我们也执行以下工作：</w:t>
      </w:r>
    </w:p>
    <w:p>
      <w:pPr>
        <w:pStyle w:val="BodyText"/>
        <w:spacing w:line="350" w:lineRule="auto" w:before="36"/>
        <w:ind w:right="1132" w:firstLine="358"/>
        <w:jc w:val="both"/>
      </w:pPr>
      <w:r>
        <w:rPr>
          <w:rFonts w:ascii="宋体" w:hAnsi="宋体" w:cs="宋体" w:eastAsia="宋体" w:hint="default"/>
          <w:spacing w:val="-2"/>
        </w:rPr>
        <w:t>1.</w:t>
      </w:r>
      <w:r>
        <w:rPr>
          <w:spacing w:val="-2"/>
        </w:rPr>
        <w:t>识别和评估由于舞弊或错误导致的财务报表重大错报风险，设计和实施审计程序以应对</w:t>
      </w:r>
      <w:r>
        <w:rPr/>
        <w:t> 这些风险，并获取充分、适当的审计证据，作为发表审计意见的基础。由于舞弊可能涉及串</w:t>
      </w:r>
      <w:r>
        <w:rPr>
          <w:spacing w:val="-91"/>
        </w:rPr>
        <w:t> </w:t>
      </w:r>
      <w:r>
        <w:rPr>
          <w:spacing w:val="-91"/>
        </w:rPr>
      </w:r>
      <w:r>
        <w:rPr/>
        <w:t>通、伪造、故意遗漏、虚假陈述或凌驾于内部控制之上，未能发现由于舞弊导致的重大错报</w:t>
      </w:r>
      <w:r>
        <w:rPr>
          <w:spacing w:val="-91"/>
        </w:rPr>
        <w:t> </w:t>
      </w:r>
      <w:r>
        <w:rPr>
          <w:spacing w:val="-91"/>
        </w:rPr>
      </w:r>
      <w:r>
        <w:rPr/>
        <w:t>的风险高于未能发现由于错误导致的重大错报的风险。</w:t>
      </w:r>
    </w:p>
    <w:p>
      <w:pPr>
        <w:pStyle w:val="BodyText"/>
        <w:spacing w:line="240" w:lineRule="auto" w:before="36"/>
        <w:ind w:left="510" w:right="996"/>
        <w:jc w:val="left"/>
      </w:pPr>
      <w:r>
        <w:rPr>
          <w:rFonts w:ascii="宋体" w:hAnsi="宋体" w:cs="宋体" w:eastAsia="宋体" w:hint="default"/>
        </w:rPr>
        <w:t>2.</w:t>
      </w:r>
      <w:r>
        <w:rPr/>
        <w:t>了解与审计相关的内部控制，以设计恰当的审计程序。</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left="510" w:right="996"/>
        <w:jc w:val="left"/>
      </w:pPr>
      <w:r>
        <w:rPr>
          <w:rFonts w:ascii="宋体" w:hAnsi="宋体" w:cs="宋体" w:eastAsia="宋体" w:hint="default"/>
        </w:rPr>
        <w:t>3.</w:t>
      </w:r>
      <w:r>
        <w:rPr/>
        <w:t>评价管理层选用会计政策的恰当性和作出会计估计及相关披露的合理性。</w:t>
      </w:r>
    </w:p>
    <w:p>
      <w:pPr>
        <w:pStyle w:val="BodyText"/>
        <w:spacing w:line="350" w:lineRule="auto" w:before="146"/>
        <w:ind w:right="1132" w:firstLine="358"/>
        <w:jc w:val="both"/>
      </w:pPr>
      <w:r>
        <w:rPr>
          <w:rFonts w:ascii="宋体" w:hAnsi="宋体" w:cs="宋体" w:eastAsia="宋体" w:hint="default"/>
          <w:spacing w:val="-3"/>
        </w:rPr>
        <w:t>4.</w:t>
      </w:r>
      <w:r>
        <w:rPr>
          <w:spacing w:val="-3"/>
        </w:rPr>
        <w:t>对管理层使用持续经营假设的恰当性得出结论。同时，根据获取的审计证据，就可能导</w:t>
      </w:r>
      <w:r>
        <w:rPr/>
        <w:t> 致对辉煌科技持续经营能力产生重大疑虑的事项或情况是否存在重大不确定性得出结论。如</w:t>
      </w:r>
      <w:r>
        <w:rPr>
          <w:spacing w:val="-91"/>
        </w:rPr>
        <w:t> </w:t>
      </w:r>
      <w:r>
        <w:rPr>
          <w:spacing w:val="-91"/>
        </w:rPr>
      </w:r>
      <w:r>
        <w:rPr/>
        <w:t>果我们得出结论认为存在重大不确定性，审计准则要求我们在审计报告中提请报告使用者注</w:t>
      </w:r>
      <w:r>
        <w:rPr>
          <w:spacing w:val="-91"/>
        </w:rPr>
        <w:t> </w:t>
      </w:r>
      <w:r>
        <w:rPr>
          <w:spacing w:val="-91"/>
        </w:rPr>
      </w:r>
      <w:r>
        <w:rPr/>
        <w:t>意财务报表中的相关披露；如果披露不充分，我们应当发表非无保留意见。我们的结论基于</w:t>
      </w:r>
      <w:r>
        <w:rPr>
          <w:spacing w:val="-91"/>
        </w:rPr>
        <w:t> </w:t>
      </w:r>
      <w:r>
        <w:rPr>
          <w:spacing w:val="-91"/>
        </w:rPr>
      </w:r>
      <w:r>
        <w:rPr/>
        <w:t>截至审计报告日可获得的信息。然而，未来的事项或情况可能导致辉煌科技不能持续经营。</w:t>
      </w:r>
    </w:p>
    <w:p>
      <w:pPr>
        <w:pStyle w:val="BodyText"/>
        <w:spacing w:line="240" w:lineRule="auto" w:before="36"/>
        <w:ind w:left="510" w:right="0"/>
        <w:jc w:val="left"/>
      </w:pPr>
      <w:r>
        <w:rPr>
          <w:rFonts w:ascii="宋体" w:hAnsi="宋体" w:cs="宋体" w:eastAsia="宋体" w:hint="default"/>
        </w:rPr>
        <w:t>5.</w:t>
      </w:r>
      <w:r>
        <w:rPr/>
        <w:t>评价财务报表的总体列报</w:t>
      </w:r>
      <w:r>
        <w:rPr>
          <w:spacing w:val="-99"/>
        </w:rPr>
        <w:t>、</w:t>
      </w:r>
      <w:r>
        <w:rPr/>
        <w:t>结构和内容</w:t>
      </w:r>
      <w:r>
        <w:rPr>
          <w:spacing w:val="-99"/>
        </w:rPr>
        <w:t>，</w:t>
      </w:r>
      <w:r>
        <w:rPr/>
        <w:t>并评</w:t>
      </w:r>
      <w:r>
        <w:rPr>
          <w:spacing w:val="-3"/>
        </w:rPr>
        <w:t>价</w:t>
      </w:r>
      <w:r>
        <w:rPr/>
        <w:t>财务报表是否公允反映相关交易和事项。</w:t>
      </w:r>
    </w:p>
    <w:p>
      <w:pPr>
        <w:pStyle w:val="BodyText"/>
        <w:spacing w:line="350" w:lineRule="auto" w:before="146"/>
        <w:ind w:right="1129" w:firstLine="358"/>
        <w:jc w:val="both"/>
      </w:pPr>
      <w:r>
        <w:rPr>
          <w:rFonts w:ascii="宋体" w:hAnsi="宋体" w:cs="宋体" w:eastAsia="宋体" w:hint="default"/>
          <w:spacing w:val="-2"/>
        </w:rPr>
        <w:t>6.</w:t>
      </w:r>
      <w:r>
        <w:rPr>
          <w:spacing w:val="-2"/>
        </w:rPr>
        <w:t>就辉煌科技中实体或业务活动的财务信息获取充分、适当的审计证据，以对财务报表发</w:t>
      </w:r>
      <w:r>
        <w:rPr/>
        <w:t> 表意见。我们负责指导、监督和执行集团审计。我们对审计意见承担全部责任。</w:t>
      </w:r>
    </w:p>
    <w:p>
      <w:pPr>
        <w:pStyle w:val="BodyText"/>
        <w:spacing w:line="352" w:lineRule="auto" w:before="36"/>
        <w:ind w:right="1140" w:firstLine="480"/>
        <w:jc w:val="both"/>
      </w:pPr>
      <w:r>
        <w:rPr/>
        <w:t>我们与治理层就计划的审计范围、时间安排和重大审计发现等事项进行沟通，包括沟通 我们在审计中识别出的值得关注的内部控制缺陷。</w:t>
      </w:r>
    </w:p>
    <w:p>
      <w:pPr>
        <w:pStyle w:val="BodyText"/>
        <w:spacing w:line="352" w:lineRule="auto" w:before="31"/>
        <w:ind w:right="1140" w:firstLine="480"/>
        <w:jc w:val="both"/>
      </w:pPr>
      <w:r>
        <w:rPr/>
        <w:t>我们还就已遵守与独立性相关的职业道德要求向治理层提供声明，并与治理层沟通可能 被合理认为影响我们独立性的所有关系和其他事项，以及相关的防范措施（如适用）。</w:t>
      </w:r>
    </w:p>
    <w:p>
      <w:pPr>
        <w:pStyle w:val="BodyText"/>
        <w:spacing w:line="352" w:lineRule="auto" w:before="34"/>
        <w:ind w:right="1136"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89"/>
        </w:rPr>
        <w:t> </w:t>
      </w:r>
      <w:r>
        <w:rPr>
          <w:spacing w:val="-89"/>
        </w:rPr>
      </w:r>
      <w:r>
        <w:rPr/>
        <w:t>或在极少数情形下，如果合理预期在审计报告中沟通某事项造成的负面后果超过在公众利益</w:t>
      </w:r>
      <w:r>
        <w:rPr>
          <w:spacing w:val="-91"/>
        </w:rPr>
        <w:t> </w:t>
      </w:r>
      <w:r>
        <w:rPr>
          <w:spacing w:val="-91"/>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558" w:type="dxa"/>
        <w:tblLayout w:type="fixed"/>
        <w:tblCellMar>
          <w:top w:w="0" w:type="dxa"/>
          <w:left w:w="0" w:type="dxa"/>
          <w:bottom w:w="0" w:type="dxa"/>
          <w:right w:w="0" w:type="dxa"/>
        </w:tblCellMar>
        <w:tblLook w:val="01E0"/>
      </w:tblPr>
      <w:tblGrid>
        <w:gridCol w:w="4236"/>
        <w:gridCol w:w="3436"/>
      </w:tblGrid>
      <w:tr>
        <w:trPr>
          <w:trHeight w:val="448"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58" w:lineRule="exact"/>
              <w:ind w:right="314"/>
              <w:jc w:val="center"/>
              <w:rPr>
                <w:rFonts w:ascii="Times New Roman" w:hAnsi="Times New Roman" w:cs="Times New Roman" w:eastAsia="Times New Roman" w:hint="default"/>
                <w:sz w:val="24"/>
                <w:szCs w:val="24"/>
              </w:rPr>
            </w:pPr>
            <w:r>
              <w:rPr>
                <w:rFonts w:ascii="宋体" w:hAnsi="宋体" w:cs="宋体" w:eastAsia="宋体" w:hint="default"/>
                <w:sz w:val="24"/>
                <w:szCs w:val="24"/>
              </w:rPr>
              <w:t>大华会计师事务所</w:t>
            </w:r>
            <w:r>
              <w:rPr>
                <w:rFonts w:ascii="Times New Roman" w:hAnsi="Times New Roman" w:cs="Times New Roman" w:eastAsia="Times New Roman" w:hint="default"/>
                <w:sz w:val="24"/>
                <w:szCs w:val="24"/>
              </w:rPr>
              <w:t>(</w:t>
            </w:r>
            <w:r>
              <w:rPr>
                <w:rFonts w:ascii="宋体" w:hAnsi="宋体" w:cs="宋体" w:eastAsia="宋体" w:hint="default"/>
                <w:sz w:val="24"/>
                <w:szCs w:val="24"/>
              </w:rPr>
              <w:t>特殊普通合伙</w:t>
            </w:r>
            <w:r>
              <w:rPr>
                <w:rFonts w:ascii="Times New Roman" w:hAnsi="Times New Roman" w:cs="Times New Roman" w:eastAsia="Times New Roman" w:hint="default"/>
                <w:sz w:val="24"/>
                <w:szCs w:val="24"/>
              </w:rPr>
              <w:t>)</w:t>
            </w: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exact"/>
              <w:ind w:left="516" w:right="0"/>
              <w:jc w:val="left"/>
              <w:rPr>
                <w:rFonts w:ascii="宋体" w:hAnsi="宋体" w:cs="宋体" w:eastAsia="宋体" w:hint="default"/>
                <w:sz w:val="24"/>
                <w:szCs w:val="24"/>
              </w:rPr>
            </w:pPr>
            <w:r>
              <w:rPr>
                <w:rFonts w:ascii="宋体" w:hAnsi="宋体" w:cs="宋体" w:eastAsia="宋体" w:hint="default"/>
                <w:sz w:val="24"/>
                <w:szCs w:val="24"/>
              </w:rPr>
              <w:t>中国注册会计师：李斌</w:t>
            </w:r>
          </w:p>
        </w:tc>
      </w:tr>
      <w:tr>
        <w:trPr>
          <w:trHeight w:val="810"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13"/>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北京</w:t>
            </w: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366" w:right="0"/>
              <w:jc w:val="left"/>
              <w:rPr>
                <w:rFonts w:ascii="宋体" w:hAnsi="宋体" w:cs="宋体" w:eastAsia="宋体" w:hint="default"/>
                <w:sz w:val="24"/>
                <w:szCs w:val="24"/>
              </w:rPr>
            </w:pPr>
            <w:r>
              <w:rPr>
                <w:rFonts w:ascii="宋体" w:hAnsi="宋体" w:cs="宋体" w:eastAsia="宋体" w:hint="default"/>
                <w:sz w:val="24"/>
                <w:szCs w:val="24"/>
              </w:rPr>
              <w:t>（项目合伙人）</w:t>
            </w:r>
          </w:p>
        </w:tc>
      </w:tr>
      <w:tr>
        <w:trPr>
          <w:trHeight w:val="813" w:hRule="exact"/>
        </w:trPr>
        <w:tc>
          <w:tcPr>
            <w:tcW w:w="4236"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77"/>
              <w:jc w:val="right"/>
              <w:rPr>
                <w:rFonts w:ascii="宋体" w:hAnsi="宋体" w:cs="宋体" w:eastAsia="宋体" w:hint="default"/>
                <w:sz w:val="24"/>
                <w:szCs w:val="24"/>
              </w:rPr>
            </w:pPr>
            <w:r>
              <w:rPr>
                <w:rFonts w:ascii="宋体" w:hAnsi="宋体" w:cs="宋体" w:eastAsia="宋体" w:hint="default"/>
                <w:sz w:val="24"/>
                <w:szCs w:val="24"/>
              </w:rPr>
              <w:t>中国注册会计师：胡丽娟</w:t>
            </w:r>
          </w:p>
        </w:tc>
      </w:tr>
      <w:tr>
        <w:trPr>
          <w:trHeight w:val="451" w:hRule="exact"/>
        </w:trPr>
        <w:tc>
          <w:tcPr>
            <w:tcW w:w="4236" w:type="dxa"/>
            <w:tcBorders>
              <w:top w:val="nil" w:sz="6" w:space="0" w:color="auto"/>
              <w:left w:val="nil" w:sz="6" w:space="0" w:color="auto"/>
              <w:bottom w:val="nil" w:sz="6" w:space="0" w:color="auto"/>
              <w:right w:val="nil" w:sz="6" w:space="0" w:color="auto"/>
            </w:tcBorders>
          </w:tcPr>
          <w:p>
            <w:pPr/>
          </w:p>
        </w:tc>
        <w:tc>
          <w:tcPr>
            <w:tcW w:w="343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98"/>
              <w:jc w:val="right"/>
              <w:rPr>
                <w:rFonts w:ascii="宋体" w:hAnsi="宋体" w:cs="宋体" w:eastAsia="宋体" w:hint="default"/>
                <w:sz w:val="24"/>
                <w:szCs w:val="24"/>
              </w:rPr>
            </w:pPr>
            <w:r>
              <w:rPr>
                <w:rFonts w:ascii="宋体" w:hAnsi="宋体" w:cs="宋体" w:eastAsia="宋体" w:hint="default"/>
                <w:sz w:val="24"/>
                <w:szCs w:val="24"/>
              </w:rPr>
              <w:t>二〇二〇年四月九日</w:t>
            </w:r>
          </w:p>
        </w:tc>
      </w:tr>
    </w:tbl>
    <w:p>
      <w:pPr>
        <w:spacing w:after="0" w:line="240" w:lineRule="auto"/>
        <w:jc w:val="right"/>
        <w:rPr>
          <w:rFonts w:ascii="宋体" w:hAnsi="宋体" w:cs="宋体" w:eastAsia="宋体" w:hint="default"/>
          <w:sz w:val="24"/>
          <w:szCs w:val="24"/>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1"/>
        <w:ind w:right="996"/>
        <w:jc w:val="left"/>
        <w:rPr>
          <w:b w:val="0"/>
          <w:bCs w:val="0"/>
        </w:rPr>
      </w:pPr>
      <w:bookmarkStart w:name="二、财务报表" w:id="156"/>
      <w:bookmarkEnd w:id="156"/>
      <w:r>
        <w:rPr>
          <w:b w:val="0"/>
          <w:bCs w:val="0"/>
        </w:rPr>
      </w:r>
      <w:r>
        <w:rPr/>
        <w:t>二、财务报表</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633" w:right="996"/>
        <w:jc w:val="left"/>
      </w:pPr>
      <w:r>
        <w:rPr/>
        <w:t>财务附注中报表的单位为：元</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合并资产负债表" w:id="157"/>
      <w:bookmarkEnd w:id="1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59"/>
        <w:ind w:left="633" w:right="0"/>
        <w:jc w:val="left"/>
      </w:pPr>
      <w:r>
        <w:rPr/>
        <w:t>编制单位：河南辉煌科技股份有限公司</w:t>
      </w:r>
    </w:p>
    <w:p>
      <w:pPr>
        <w:pStyle w:val="BodyText"/>
        <w:spacing w:line="240" w:lineRule="auto" w:before="146"/>
        <w:ind w:left="0" w:right="0"/>
        <w:jc w:val="righ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63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54" w:space="2386"/>
            <w:col w:w="2490"/>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333,460,212.01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489,058,726.56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146,013,735.21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78,843,546.26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50,283,048.28</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387,210,575.72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528,156,486.84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35,123,989.08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36,841,266.41</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18,068,860.00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27,706,647.14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235,519,676.06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218,431,989.91</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14,824,692.63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8,069,921.21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1,249,065,286.97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1,511,548,086.35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78,617,675.72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88,101,676.30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20,234,100.00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15,365,900.00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170,999,160.77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99,753,841.47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205,424,781.26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196,734,387.43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49,875,176.79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51,341,037.10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9,237,785.95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5,902,328.93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5,332,456.13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80,281,558.14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47,719,267.46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6,702,833.52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3,865,709.39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618,210,715.13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537,452,061.23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1,867,276,002.10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2,049,000,147.58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20,212,721.09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178,056,443.14</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161,253,763.61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174,622,824.67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67,958,275.01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50,962,655.46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16,701,714.37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12,082,788.40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17,682,391.19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22,167,469.75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9,943,386.51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9,255,533.14</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293,752,251.78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497,147,714.56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17,948,810.75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13,404,051.87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17,948,810.75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92,404,051.87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311,701,062.53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589,551,766.43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376,656,420.00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376,656,420.00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675,296,222.00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666,258,719.72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-93,284,835.22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-114,634,100.00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73,556,122.97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68,270,222.97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493,429,402.21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431,681,283.23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1,525,653,331.96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1,428,232,545.92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29,921,607.61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31,215,835.23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1,555,574,939.57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1,459,448,381.15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1,867,276,002.10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2,049,000,147.58</w:t>
            </w:r>
          </w:p>
        </w:tc>
      </w:tr>
    </w:tbl>
    <w:p>
      <w:pPr>
        <w:spacing w:line="240" w:lineRule="auto" w:before="11"/>
        <w:rPr>
          <w:rFonts w:ascii="Times New Roman" w:hAnsi="Times New Roman" w:cs="Times New Roman" w:eastAsia="Times New Roman" w:hint="default"/>
          <w:sz w:val="22"/>
          <w:szCs w:val="22"/>
        </w:rPr>
      </w:pPr>
    </w:p>
    <w:p>
      <w:pPr>
        <w:tabs>
          <w:tab w:pos="1506" w:val="left" w:leader="none"/>
          <w:tab w:pos="3667" w:val="left" w:leader="none"/>
          <w:tab w:pos="7630" w:val="left" w:leader="none"/>
        </w:tabs>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法定代表人：</w:t>
        <w:tab/>
        <w:t>李海鹰</w:t>
        <w:tab/>
      </w:r>
      <w:r>
        <w:rPr>
          <w:rFonts w:ascii="宋体" w:hAnsi="宋体" w:cs="宋体" w:eastAsia="宋体" w:hint="default"/>
          <w:spacing w:val="-1"/>
          <w:sz w:val="18"/>
          <w:szCs w:val="18"/>
        </w:rPr>
        <w:t>主管会计工作负责人：侯菊艳</w:t>
        <w:tab/>
      </w:r>
      <w:r>
        <w:rPr>
          <w:rFonts w:ascii="宋体" w:hAnsi="宋体" w:cs="宋体" w:eastAsia="宋体" w:hint="default"/>
          <w:sz w:val="18"/>
          <w:szCs w:val="18"/>
        </w:rPr>
        <w:t>会计机构负责人：窦永贺</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2、母公司资产负债表" w:id="158"/>
      <w:bookmarkEnd w:id="1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283,390,718.67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455,277,852.24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146,013,735.21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61,536,045.91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46,014,139.00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266,782,559.61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378,915,350.66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734,812.00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553,938.00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72,789,939.08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77,372,885.90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10,079,791.66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7,704,791.66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143,985,619.52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113,935,291.57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10,329,694.47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4,604,139.65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985,563,124.47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1,229,673,597.02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413,312,517.07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432,439,888.47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173,100.00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94,564,014.73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35,060,749.12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205,424,781.26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181,502,541.31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38,017,313.79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38,931,060.72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5,902,328.93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5,332,456.13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54,453,993.46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38,749,137.53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6,702,833.52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3,849,189.39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818,550,882.76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755,865,022.67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1,804,114,007.23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1,985,538,619.69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17,212,721.09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178,056,443.14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277,090,637.63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255,659,553.99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65,894,845.43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47,061,284.53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10,680,130.87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7,535,264.93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15,382,212.30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16,759,194.02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4,741,307.43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4,777,052.49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391,001,854.75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559,848,793.10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17,913,695.75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13,404,051.87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17,913,695.75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92,404,051.87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408,915,550.50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652,252,844.97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376,656,420.00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376,656,420.00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555,133,889.81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546,096,387.53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16,179.78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73,556,122.97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68,270,222.97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2"/>
        <w:gridCol w:w="2410"/>
        <w:gridCol w:w="2057"/>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389,835,844.17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342,262,744.22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1,395,198,456.73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1,333,285,774.72</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1,804,114,007.23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1,985,538,619.69</w:t>
            </w: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bookmarkStart w:name="3、合并利润表" w:id="159"/>
      <w:bookmarkEnd w:id="1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5"/>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504,408,910.17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528,708,205.03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504,408,910.17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528,708,205.03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452,491,640.73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437,092,344.12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285,374,024.23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278,441,382.36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6,659,526.53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7,377,558.35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41,505,685.50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38,353,173.86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38,323,003.80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34,979,788.74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77,709,270.45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64,326,311.44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2,920,130.22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13,614,129.37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5,040,889.37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21,588,580.36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3,223,138.15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8,777,656.10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39,070,365.23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24,406,909.72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-11,972,737.54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4,739,939.19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-16,764,454.08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-8,100,836.71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5"/>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-19,813,164.79</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25,396,436.96</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-9,237,785.95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-70,256,780.16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26,573.30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75,386,956.65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50,505,929.66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29,899.63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290,865.89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444,538.77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256,961.44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74,972,317.51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50,539,834.11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9,232,526.15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16,085,365.97</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65,739,791.36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34,454,468.14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65,739,791.36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34,454,468.14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67,034,018.98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27,732,998.08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-1,294,227.62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6,721,470.06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21,349,264.78</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21,349,264.78</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21,333,085.00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21,333,085.00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16,179.78</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9"/>
              <w:jc w:val="right"/>
              <w:rPr>
                <w:rFonts w:ascii="Arial" w:hAnsi="Arial" w:cs="Arial" w:eastAsia="Arial" w:hint="default"/>
                <w:sz w:val="20"/>
                <w:szCs w:val="20"/>
              </w:rPr>
            </w:pPr>
            <w:r>
              <w:rPr>
                <w:rFonts w:ascii="Arial"/>
                <w:w w:val="80"/>
                <w:sz w:val="20"/>
              </w:rPr>
              <w:t>16,179.78</w:t>
            </w:r>
            <w:r>
              <w:rPr>
                <w:rFonts w:ascii="Arial"/>
                <w:sz w:val="20"/>
              </w:rPr>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5"/>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87,089,056.14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34,454,468.14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88,383,283.76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27,732,998.08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-1,294,227.62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6,721,470.06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0.1780</w:t>
            </w:r>
            <w:r>
              <w:rPr>
                <w:rFonts w:ascii="Times New Roman"/>
                <w:sz w:val="18"/>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0.0736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0.1780</w:t>
            </w:r>
            <w:r>
              <w:rPr>
                <w:rFonts w:ascii="Times New Roman"/>
                <w:sz w:val="18"/>
              </w:rPr>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0.0736</w:t>
            </w:r>
          </w:p>
        </w:tc>
      </w:tr>
    </w:tbl>
    <w:p>
      <w:pPr>
        <w:tabs>
          <w:tab w:pos="1506" w:val="left" w:leader="none"/>
          <w:tab w:pos="3667" w:val="left" w:leader="none"/>
          <w:tab w:pos="7630" w:val="left" w:leader="none"/>
        </w:tabs>
        <w:spacing w:line="595" w:lineRule="auto" w:before="49"/>
        <w:ind w:left="152" w:right="1232"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w:t>
        <w:tab/>
        <w:t>李海鹰</w:t>
        <w:tab/>
      </w:r>
      <w:r>
        <w:rPr>
          <w:rFonts w:ascii="宋体" w:hAnsi="宋体" w:cs="宋体" w:eastAsia="宋体" w:hint="default"/>
          <w:spacing w:val="-1"/>
          <w:sz w:val="18"/>
          <w:szCs w:val="18"/>
        </w:rPr>
        <w:t>主管会计工作负责人：侯菊艳</w:t>
        <w:tab/>
      </w:r>
      <w:r>
        <w:rPr>
          <w:rFonts w:ascii="宋体" w:hAnsi="宋体" w:cs="宋体" w:eastAsia="宋体" w:hint="default"/>
          <w:sz w:val="18"/>
          <w:szCs w:val="18"/>
        </w:rPr>
        <w:t>会计机构负责人：窦永贺</w:t>
      </w:r>
      <w:r>
        <w:rPr>
          <w:rFonts w:ascii="宋体" w:hAnsi="宋体" w:cs="宋体" w:eastAsia="宋体" w:hint="default"/>
          <w:sz w:val="18"/>
          <w:szCs w:val="18"/>
        </w:rPr>
        <w:t> </w:t>
      </w:r>
      <w:bookmarkStart w:name="4、母公司利润表" w:id="160"/>
      <w:bookmarkEnd w:id="16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392,191,360.38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399,945,155.15</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252,651,611.56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233,650,870.82</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4,331,407.76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5,549,722.14</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18,181,753.65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15,729,941.18</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21,153,742.41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17,580,346.62</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44,257,158.59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39,464,381.20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2,784,455.93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13,689,104.73</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4,929,094.37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21,588,580.36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2,938,227.17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8,543,228.00</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29,936,761.84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19,389,246.11</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-10,969,653.85</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6,476,671.97</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-15,761,370.39</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-6,619,103.93</w:t>
            </w:r>
          </w:p>
        </w:tc>
      </w:tr>
      <w:tr>
        <w:trPr>
          <w:trHeight w:val="715"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17"/>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-19,813,164.79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24,744,081.23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-10,646,454.51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-53,641,975.63</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-105,591.31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61,977,209.09</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46,504,730.91</w:t>
            </w:r>
          </w:p>
        </w:tc>
      </w:tr>
      <w:tr>
        <w:trPr>
          <w:trHeight w:val="401"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261,326.79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286,938.70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122,567.55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9"/>
              <w:jc w:val="right"/>
              <w:rPr>
                <w:rFonts w:ascii="Arial" w:hAnsi="Arial" w:cs="Arial" w:eastAsia="Arial" w:hint="default"/>
                <w:sz w:val="20"/>
                <w:szCs w:val="20"/>
              </w:rPr>
            </w:pPr>
            <w:r>
              <w:rPr>
                <w:rFonts w:ascii="Arial"/>
                <w:w w:val="80"/>
                <w:sz w:val="20"/>
              </w:rPr>
              <w:t>61,695,270.40</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46,643,490.15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8,836,270.45</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13,039,918.89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9"/>
              <w:jc w:val="right"/>
              <w:rPr>
                <w:rFonts w:ascii="Arial" w:hAnsi="Arial" w:cs="Arial" w:eastAsia="Arial" w:hint="default"/>
                <w:sz w:val="20"/>
                <w:szCs w:val="20"/>
              </w:rPr>
            </w:pPr>
            <w:r>
              <w:rPr>
                <w:rFonts w:ascii="Arial"/>
                <w:w w:val="80"/>
                <w:sz w:val="20"/>
              </w:rPr>
              <w:t>52,858,999.95</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33,603,571.26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52,858,999.95</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33,603,571.26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16,179.78</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9"/>
              <w:jc w:val="right"/>
              <w:rPr>
                <w:rFonts w:ascii="Arial" w:hAnsi="Arial" w:cs="Arial" w:eastAsia="Arial" w:hint="default"/>
                <w:sz w:val="20"/>
                <w:szCs w:val="20"/>
              </w:rPr>
            </w:pPr>
            <w:r>
              <w:rPr>
                <w:rFonts w:ascii="Arial"/>
                <w:w w:val="80"/>
                <w:sz w:val="20"/>
              </w:rPr>
              <w:t>16,179.78</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16,179.78</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9"/>
              <w:jc w:val="right"/>
              <w:rPr>
                <w:rFonts w:ascii="Arial" w:hAnsi="Arial" w:cs="Arial" w:eastAsia="Arial" w:hint="default"/>
                <w:sz w:val="20"/>
                <w:szCs w:val="20"/>
              </w:rPr>
            </w:pPr>
            <w:r>
              <w:rPr>
                <w:rFonts w:ascii="Arial"/>
                <w:w w:val="80"/>
                <w:sz w:val="20"/>
              </w:rPr>
              <w:t>52,875,179.73</w:t>
            </w:r>
            <w:r>
              <w:rPr>
                <w:rFonts w:ascii="Arial"/>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33,603,571.26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5、合并现金流量表" w:id="161"/>
      <w:bookmarkEnd w:id="16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093"/>
        <w:gridCol w:w="2409"/>
        <w:gridCol w:w="2057"/>
      </w:tblGrid>
      <w:tr>
        <w:trPr>
          <w:trHeight w:val="402" w:hRule="exact"/>
        </w:trPr>
        <w:tc>
          <w:tcPr>
            <w:tcW w:w="5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44" w:right="0"/>
              <w:jc w:val="left"/>
              <w:rPr>
                <w:rFonts w:ascii="Times New Roman" w:hAnsi="Times New Roman" w:cs="Times New Roman" w:eastAsia="Times New Roman" w:hint="default"/>
                <w:sz w:val="18"/>
                <w:szCs w:val="18"/>
              </w:rPr>
            </w:pPr>
            <w:r>
              <w:rPr>
                <w:rFonts w:ascii="Times New Roman"/>
                <w:sz w:val="18"/>
              </w:rPr>
              <w:t>722,308,278.99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0" w:right="0"/>
              <w:jc w:val="left"/>
              <w:rPr>
                <w:rFonts w:ascii="Times New Roman" w:hAnsi="Times New Roman" w:cs="Times New Roman" w:eastAsia="Times New Roman" w:hint="default"/>
                <w:sz w:val="18"/>
                <w:szCs w:val="18"/>
              </w:rPr>
            </w:pPr>
            <w:r>
              <w:rPr>
                <w:rFonts w:ascii="Times New Roman"/>
                <w:sz w:val="18"/>
              </w:rPr>
              <w:t>612,589,244.07</w:t>
            </w:r>
          </w:p>
        </w:tc>
      </w:tr>
      <w:tr>
        <w:trPr>
          <w:trHeight w:val="402" w:hRule="exact"/>
        </w:trPr>
        <w:tc>
          <w:tcPr>
            <w:tcW w:w="5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09"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24,264,139.27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19,152,802.19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37,228,344.45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17,165,217.21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783,800,762.71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648,907,263.47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296,343,127.80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368,027,310.18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98,371,898.34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91,744,810.48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71,237,702.52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79,821,095.17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87,144,171.08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92,812,497.33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553,096,899.74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632,405,713.16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230,703,862.97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16,501,550.31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5,079,219.51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13,611,222.46</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3,496.00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1,773,228.56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13,902,948.07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13,614,718.46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114,334,806.43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61,962,623.61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6"/>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114,334,806.43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214,962,623.61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-100,431,858.36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-201,347,905.15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20,212,721.09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274,668,446.73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20,212,721.09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274,668,446.73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305,056,443.14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460,175,444.38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5,040,889.37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37,533,189.66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310,097,332.51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497,708,634.04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-289,884,611.42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-223,040,187.31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-159,612,606.81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-407,886,542.15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467,183,100.89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875,069,643.04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307,570,494.08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467,183,100.89</w:t>
            </w: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bookmarkStart w:name="6、母公司现金流量表" w:id="162"/>
      <w:bookmarkEnd w:id="16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5075"/>
        <w:gridCol w:w="2421"/>
        <w:gridCol w:w="2057"/>
      </w:tblGrid>
      <w:tr>
        <w:trPr>
          <w:trHeight w:val="403"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563,791,507.93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443,975,132.29</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18,861,361.84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16,001,923.76</w:t>
            </w:r>
          </w:p>
        </w:tc>
      </w:tr>
      <w:tr>
        <w:trPr>
          <w:trHeight w:val="403"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18,780,558.60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15,267,860.32</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601,433,428.37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475,244,916.37</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234,069,247.26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246,971,544.76</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54,051,329.67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45,449,074.13</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52,442,421.49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57,752,117.67</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43,381,661.96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53,926,668.28</w:t>
            </w:r>
          </w:p>
        </w:tc>
      </w:tr>
      <w:tr>
        <w:trPr>
          <w:trHeight w:val="402" w:hRule="exact"/>
        </w:trPr>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383,944,660.38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404,099,404.84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81"/>
        <w:gridCol w:w="2421"/>
        <w:gridCol w:w="2057"/>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217,488,767.99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71,145,511.53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5,334,219.51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13,611,222.46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3,496.00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1,773,228.56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14,127,448.07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13,614,718.46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113,421,410.12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50,487,324.63</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189,500,000.00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113,421,410.12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239,987,324.63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-99,293,962.05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-226,372,606.17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17,212,721.09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274,668,446.73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17,212,721.09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274,668,446.73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305,056,443.14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460,175,444.38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4,929,094.37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37,337,189.66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309,985,537.51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497,512,634.04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-292,772,816.42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-222,844,187.31</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1" w:type="dxa"/>
            <w:tcBorders>
              <w:top w:val="single" w:sz="4" w:space="0" w:color="000000"/>
              <w:left w:val="single" w:sz="10" w:space="0" w:color="D2D2D2"/>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-174,578,010.48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-378,071,281.95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440,172,663.15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818,243,945.10</w:t>
            </w:r>
          </w:p>
        </w:tc>
      </w:tr>
      <w:tr>
        <w:trPr>
          <w:trHeight w:val="403"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265,594,652.67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440,172,663.15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7、合并所有者权益变动表" w:id="163"/>
      <w:bookmarkEnd w:id="16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7149"/>
        <w:gridCol w:w="586"/>
        <w:gridCol w:w="578"/>
      </w:tblGrid>
      <w:tr>
        <w:trPr>
          <w:trHeight w:val="403"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7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所有</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206"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505"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10" w:space="0" w:color="D2D2D2"/>
              <w:right w:val="single" w:sz="4" w:space="0" w:color="000000"/>
            </w:tcBorders>
          </w:tcPr>
          <w:p>
            <w:pPr>
              <w:pStyle w:val="TableParagraph"/>
              <w:spacing w:line="319"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578" w:type="dxa"/>
            <w:vMerge w:val="restart"/>
            <w:tcBorders>
              <w:top w:val="single" w:sz="4" w:space="0" w:color="000000"/>
              <w:left w:val="single" w:sz="4" w:space="0" w:color="000000"/>
              <w:right w:val="single" w:sz="4" w:space="0" w:color="000000"/>
            </w:tcBorders>
          </w:tcPr>
          <w:p>
            <w:pPr>
              <w:pStyle w:val="TableParagraph"/>
              <w:spacing w:line="319"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者权 益合 计</w:t>
            </w:r>
          </w:p>
        </w:tc>
      </w:tr>
      <w:tr>
        <w:trPr>
          <w:trHeight w:val="176"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82"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90"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206"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10" w:space="0" w:color="D2D2D2"/>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376,6</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56,42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666,25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72</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22"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317,04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7,183.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1,428,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232,54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1,459,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448,38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1.15</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-114,6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34,100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114,63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4,100.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376,6</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56,42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666,25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8,719.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72</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-114,6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34,100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68,270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431,68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1,283.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23</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1,428,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232,54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1,459,</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448,38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1.15</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9,037,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502.28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21,349</w:t>
            </w:r>
            <w:r>
              <w:rPr>
                <w:rFonts w:ascii="Arial"/>
                <w:sz w:val="20"/>
              </w:rPr>
            </w:r>
          </w:p>
          <w:p>
            <w:pPr>
              <w:pStyle w:val="TableParagraph"/>
              <w:spacing w:line="240" w:lineRule="auto" w:before="82"/>
              <w:ind w:right="20"/>
              <w:jc w:val="right"/>
              <w:rPr>
                <w:rFonts w:ascii="Arial" w:hAnsi="Arial" w:cs="Arial" w:eastAsia="Arial" w:hint="default"/>
                <w:sz w:val="20"/>
                <w:szCs w:val="20"/>
              </w:rPr>
            </w:pPr>
            <w:r>
              <w:rPr>
                <w:rFonts w:ascii="Arial"/>
                <w:w w:val="80"/>
                <w:sz w:val="20"/>
              </w:rPr>
              <w:t>,264.7</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8</w:t>
            </w:r>
            <w:r>
              <w:rPr>
                <w:rFonts w:ascii="Arial"/>
                <w:sz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Arial" w:hAnsi="Arial" w:cs="Arial" w:eastAsia="Arial" w:hint="default"/>
                <w:sz w:val="20"/>
                <w:szCs w:val="20"/>
              </w:rPr>
            </w:pPr>
            <w:r>
              <w:rPr>
                <w:rFonts w:ascii="Arial"/>
                <w:w w:val="85"/>
                <w:sz w:val="20"/>
              </w:rPr>
              <w:t>5,285,</w:t>
            </w:r>
            <w:r>
              <w:rPr>
                <w:rFonts w:ascii="Arial"/>
                <w:sz w:val="20"/>
              </w:rPr>
            </w:r>
          </w:p>
          <w:p>
            <w:pPr>
              <w:pStyle w:val="TableParagraph"/>
              <w:spacing w:line="240" w:lineRule="auto" w:before="82"/>
              <w:ind w:left="50" w:right="0"/>
              <w:jc w:val="left"/>
              <w:rPr>
                <w:rFonts w:ascii="Arial" w:hAnsi="Arial" w:cs="Arial" w:eastAsia="Arial" w:hint="default"/>
                <w:sz w:val="20"/>
                <w:szCs w:val="20"/>
              </w:rPr>
            </w:pPr>
            <w:r>
              <w:rPr>
                <w:rFonts w:ascii="Arial"/>
                <w:w w:val="85"/>
                <w:sz w:val="20"/>
              </w:rPr>
              <w:t>900.00</w:t>
            </w:r>
            <w:r>
              <w:rPr>
                <w:rFonts w:ascii="Arial"/>
                <w:sz w:val="20"/>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61,748</w:t>
            </w:r>
            <w:r>
              <w:rPr>
                <w:rFonts w:ascii="Arial"/>
                <w:sz w:val="20"/>
              </w:rPr>
            </w:r>
          </w:p>
          <w:p>
            <w:pPr>
              <w:pStyle w:val="TableParagraph"/>
              <w:spacing w:line="240" w:lineRule="auto" w:before="82"/>
              <w:ind w:right="20"/>
              <w:jc w:val="right"/>
              <w:rPr>
                <w:rFonts w:ascii="Arial" w:hAnsi="Arial" w:cs="Arial" w:eastAsia="Arial" w:hint="default"/>
                <w:sz w:val="20"/>
                <w:szCs w:val="20"/>
              </w:rPr>
            </w:pPr>
            <w:r>
              <w:rPr>
                <w:rFonts w:ascii="Arial"/>
                <w:spacing w:val="-3"/>
                <w:w w:val="80"/>
                <w:sz w:val="20"/>
              </w:rPr>
              <w:t>,118.9</w:t>
            </w:r>
            <w:r>
              <w:rPr>
                <w:rFonts w:ascii="Arial"/>
                <w:spacing w:val="-3"/>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8</w:t>
            </w:r>
            <w:r>
              <w:rPr>
                <w:rFonts w:ascii="Arial"/>
                <w:sz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97,420</w:t>
            </w:r>
            <w:r>
              <w:rPr>
                <w:rFonts w:ascii="Arial"/>
                <w:sz w:val="20"/>
              </w:rPr>
            </w:r>
          </w:p>
          <w:p>
            <w:pPr>
              <w:pStyle w:val="TableParagraph"/>
              <w:spacing w:line="240" w:lineRule="auto" w:before="82"/>
              <w:ind w:right="20"/>
              <w:jc w:val="right"/>
              <w:rPr>
                <w:rFonts w:ascii="Arial" w:hAnsi="Arial" w:cs="Arial" w:eastAsia="Arial" w:hint="default"/>
                <w:sz w:val="20"/>
                <w:szCs w:val="20"/>
              </w:rPr>
            </w:pPr>
            <w:r>
              <w:rPr>
                <w:rFonts w:ascii="Arial"/>
                <w:w w:val="80"/>
                <w:sz w:val="20"/>
              </w:rPr>
              <w:t>,786.0</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4</w:t>
            </w:r>
            <w:r>
              <w:rPr>
                <w:rFonts w:ascii="Arial"/>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227.62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96,126</w:t>
            </w:r>
            <w:r>
              <w:rPr>
                <w:rFonts w:ascii="Arial"/>
                <w:sz w:val="20"/>
              </w:rPr>
            </w:r>
          </w:p>
          <w:p>
            <w:pPr>
              <w:pStyle w:val="TableParagraph"/>
              <w:spacing w:line="240" w:lineRule="auto" w:before="82"/>
              <w:ind w:right="20"/>
              <w:jc w:val="right"/>
              <w:rPr>
                <w:rFonts w:ascii="Arial" w:hAnsi="Arial" w:cs="Arial" w:eastAsia="Arial" w:hint="default"/>
                <w:sz w:val="20"/>
                <w:szCs w:val="20"/>
              </w:rPr>
            </w:pPr>
            <w:r>
              <w:rPr>
                <w:rFonts w:ascii="Arial"/>
                <w:w w:val="80"/>
                <w:sz w:val="20"/>
              </w:rPr>
              <w:t>,558.4</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2</w:t>
            </w:r>
            <w:r>
              <w:rPr>
                <w:rFonts w:ascii="Arial"/>
                <w:sz w:val="20"/>
              </w:rPr>
            </w:r>
          </w:p>
        </w:tc>
      </w:tr>
      <w:tr>
        <w:trPr>
          <w:trHeight w:val="164"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4"/>
              <w:ind w:right="19"/>
              <w:jc w:val="right"/>
              <w:rPr>
                <w:rFonts w:ascii="Arial" w:hAnsi="Arial" w:cs="Arial" w:eastAsia="Arial" w:hint="default"/>
                <w:sz w:val="20"/>
                <w:szCs w:val="20"/>
              </w:rPr>
            </w:pPr>
            <w:r>
              <w:rPr>
                <w:rFonts w:ascii="Arial"/>
                <w:w w:val="80"/>
                <w:sz w:val="20"/>
              </w:rPr>
              <w:t>21,349</w:t>
            </w:r>
            <w:r>
              <w:rPr>
                <w:rFonts w:ascii="Arial"/>
                <w:sz w:val="20"/>
              </w:rPr>
            </w:r>
          </w:p>
          <w:p>
            <w:pPr>
              <w:pStyle w:val="TableParagraph"/>
              <w:spacing w:line="240" w:lineRule="auto" w:before="79"/>
              <w:ind w:right="20"/>
              <w:jc w:val="right"/>
              <w:rPr>
                <w:rFonts w:ascii="Arial" w:hAnsi="Arial" w:cs="Arial" w:eastAsia="Arial" w:hint="default"/>
                <w:sz w:val="20"/>
                <w:szCs w:val="20"/>
              </w:rPr>
            </w:pPr>
            <w:r>
              <w:rPr>
                <w:rFonts w:ascii="Arial"/>
                <w:w w:val="80"/>
                <w:sz w:val="20"/>
              </w:rPr>
              <w:t>,264.7</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8</w:t>
            </w:r>
            <w:r>
              <w:rPr>
                <w:rFonts w:ascii="Arial"/>
                <w:sz w:val="20"/>
              </w:rPr>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67,034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4"/>
              <w:ind w:right="19"/>
              <w:jc w:val="right"/>
              <w:rPr>
                <w:rFonts w:ascii="Arial" w:hAnsi="Arial" w:cs="Arial" w:eastAsia="Arial" w:hint="default"/>
                <w:sz w:val="20"/>
                <w:szCs w:val="20"/>
              </w:rPr>
            </w:pPr>
            <w:r>
              <w:rPr>
                <w:rFonts w:ascii="Arial"/>
                <w:w w:val="80"/>
                <w:sz w:val="20"/>
              </w:rPr>
              <w:t>88,383</w:t>
            </w:r>
            <w:r>
              <w:rPr>
                <w:rFonts w:ascii="Arial"/>
                <w:sz w:val="20"/>
              </w:rPr>
            </w:r>
          </w:p>
          <w:p>
            <w:pPr>
              <w:pStyle w:val="TableParagraph"/>
              <w:spacing w:line="240" w:lineRule="auto" w:before="79"/>
              <w:ind w:right="20"/>
              <w:jc w:val="right"/>
              <w:rPr>
                <w:rFonts w:ascii="Arial" w:hAnsi="Arial" w:cs="Arial" w:eastAsia="Arial" w:hint="default"/>
                <w:sz w:val="20"/>
                <w:szCs w:val="20"/>
              </w:rPr>
            </w:pPr>
            <w:r>
              <w:rPr>
                <w:rFonts w:ascii="Arial"/>
                <w:w w:val="80"/>
                <w:sz w:val="20"/>
              </w:rPr>
              <w:t>,283.7</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6</w:t>
            </w:r>
            <w:r>
              <w:rPr>
                <w:rFonts w:ascii="Arial"/>
                <w:sz w:val="20"/>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227.62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87,089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,056.1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3"/>
              <w:ind w:left="95" w:right="0"/>
              <w:jc w:val="left"/>
              <w:rPr>
                <w:rFonts w:ascii="Arial" w:hAnsi="Arial" w:cs="Arial" w:eastAsia="Arial" w:hint="default"/>
                <w:sz w:val="20"/>
                <w:szCs w:val="20"/>
              </w:rPr>
            </w:pPr>
            <w:r>
              <w:rPr>
                <w:rFonts w:ascii="Arial"/>
                <w:w w:val="85"/>
                <w:sz w:val="20"/>
              </w:rPr>
              <w:t>5,285,</w:t>
            </w:r>
            <w:r>
              <w:rPr>
                <w:rFonts w:ascii="Arial"/>
                <w:sz w:val="20"/>
              </w:rPr>
            </w:r>
          </w:p>
          <w:p>
            <w:pPr>
              <w:pStyle w:val="TableParagraph"/>
              <w:spacing w:line="240" w:lineRule="auto" w:before="79"/>
              <w:ind w:left="50" w:right="0"/>
              <w:jc w:val="left"/>
              <w:rPr>
                <w:rFonts w:ascii="Arial" w:hAnsi="Arial" w:cs="Arial" w:eastAsia="Arial" w:hint="default"/>
                <w:sz w:val="20"/>
                <w:szCs w:val="20"/>
              </w:rPr>
            </w:pPr>
            <w:r>
              <w:rPr>
                <w:rFonts w:ascii="Arial"/>
                <w:w w:val="85"/>
                <w:sz w:val="20"/>
              </w:rPr>
              <w:t>900.00</w:t>
            </w:r>
            <w:r>
              <w:rPr>
                <w:rFonts w:ascii="Arial"/>
                <w:sz w:val="20"/>
              </w:rPr>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3"/>
              <w:ind w:left="43" w:right="0"/>
              <w:jc w:val="left"/>
              <w:rPr>
                <w:rFonts w:ascii="Arial" w:hAnsi="Arial" w:cs="Arial" w:eastAsia="Arial" w:hint="default"/>
                <w:sz w:val="20"/>
                <w:szCs w:val="20"/>
              </w:rPr>
            </w:pPr>
            <w:r>
              <w:rPr>
                <w:rFonts w:ascii="Arial"/>
                <w:w w:val="85"/>
                <w:sz w:val="20"/>
              </w:rPr>
              <w:t>-5,285,</w:t>
            </w:r>
            <w:r>
              <w:rPr>
                <w:rFonts w:ascii="Arial"/>
                <w:sz w:val="20"/>
              </w:rPr>
            </w:r>
          </w:p>
          <w:p>
            <w:pPr>
              <w:pStyle w:val="TableParagraph"/>
              <w:spacing w:line="240" w:lineRule="auto" w:before="79"/>
              <w:ind w:left="52" w:right="0"/>
              <w:jc w:val="left"/>
              <w:rPr>
                <w:rFonts w:ascii="Arial" w:hAnsi="Arial" w:cs="Arial" w:eastAsia="Arial" w:hint="default"/>
                <w:sz w:val="20"/>
                <w:szCs w:val="20"/>
              </w:rPr>
            </w:pPr>
            <w:r>
              <w:rPr>
                <w:rFonts w:ascii="Arial"/>
                <w:w w:val="85"/>
                <w:sz w:val="20"/>
              </w:rPr>
              <w:t>900.00</w:t>
            </w:r>
            <w:r>
              <w:rPr>
                <w:rFonts w:ascii="Arial"/>
                <w:sz w:val="20"/>
              </w:rPr>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r>
      <w:tr>
        <w:trPr>
          <w:trHeight w:val="391"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5" w:right="0"/>
              <w:jc w:val="left"/>
              <w:rPr>
                <w:rFonts w:ascii="Arial" w:hAnsi="Arial" w:cs="Arial" w:eastAsia="Arial" w:hint="default"/>
                <w:sz w:val="20"/>
                <w:szCs w:val="20"/>
              </w:rPr>
            </w:pPr>
            <w:r>
              <w:rPr>
                <w:rFonts w:ascii="Arial"/>
                <w:w w:val="85"/>
                <w:sz w:val="20"/>
              </w:rPr>
              <w:t>5,285,</w:t>
            </w:r>
            <w:r>
              <w:rPr>
                <w:rFonts w:ascii="Arial"/>
                <w:sz w:val="20"/>
              </w:rPr>
            </w:r>
          </w:p>
          <w:p>
            <w:pPr>
              <w:pStyle w:val="TableParagraph"/>
              <w:spacing w:line="240" w:lineRule="auto" w:before="82"/>
              <w:ind w:left="50" w:right="0"/>
              <w:jc w:val="left"/>
              <w:rPr>
                <w:rFonts w:ascii="Arial" w:hAnsi="Arial" w:cs="Arial" w:eastAsia="Arial" w:hint="default"/>
                <w:sz w:val="20"/>
                <w:szCs w:val="20"/>
              </w:rPr>
            </w:pPr>
            <w:r>
              <w:rPr>
                <w:rFonts w:ascii="Arial"/>
                <w:w w:val="85"/>
                <w:sz w:val="20"/>
              </w:rPr>
              <w:t>900.00</w:t>
            </w:r>
            <w:r>
              <w:rPr>
                <w:rFonts w:ascii="Arial"/>
                <w:sz w:val="20"/>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3" w:right="0"/>
              <w:jc w:val="left"/>
              <w:rPr>
                <w:rFonts w:ascii="Arial" w:hAnsi="Arial" w:cs="Arial" w:eastAsia="Arial" w:hint="default"/>
                <w:sz w:val="20"/>
                <w:szCs w:val="20"/>
              </w:rPr>
            </w:pPr>
            <w:r>
              <w:rPr>
                <w:rFonts w:ascii="Arial"/>
                <w:w w:val="85"/>
                <w:sz w:val="20"/>
              </w:rPr>
              <w:t>-5,285,</w:t>
            </w:r>
            <w:r>
              <w:rPr>
                <w:rFonts w:ascii="Arial"/>
                <w:sz w:val="20"/>
              </w:rPr>
            </w:r>
          </w:p>
          <w:p>
            <w:pPr>
              <w:pStyle w:val="TableParagraph"/>
              <w:spacing w:line="240" w:lineRule="auto" w:before="82"/>
              <w:ind w:left="52" w:right="0"/>
              <w:jc w:val="left"/>
              <w:rPr>
                <w:rFonts w:ascii="Arial" w:hAnsi="Arial" w:cs="Arial" w:eastAsia="Arial" w:hint="default"/>
                <w:sz w:val="20"/>
                <w:szCs w:val="20"/>
              </w:rPr>
            </w:pPr>
            <w:r>
              <w:rPr>
                <w:rFonts w:ascii="Arial"/>
                <w:w w:val="85"/>
                <w:sz w:val="20"/>
              </w:rPr>
              <w:t>900.00</w:t>
            </w:r>
            <w:r>
              <w:rPr>
                <w:rFonts w:ascii="Arial"/>
                <w:sz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6" w:right="0"/>
              <w:jc w:val="left"/>
              <w:rPr>
                <w:rFonts w:ascii="Arial" w:hAnsi="Arial" w:cs="Arial" w:eastAsia="Arial" w:hint="default"/>
                <w:sz w:val="20"/>
                <w:szCs w:val="20"/>
              </w:rPr>
            </w:pPr>
            <w:r>
              <w:rPr>
                <w:rFonts w:ascii="Arial"/>
                <w:w w:val="85"/>
                <w:sz w:val="20"/>
              </w:rPr>
              <w:t>9,037,</w:t>
            </w:r>
            <w:r>
              <w:rPr>
                <w:rFonts w:ascii="Arial"/>
                <w:sz w:val="20"/>
              </w:rPr>
            </w:r>
          </w:p>
          <w:p>
            <w:pPr>
              <w:pStyle w:val="TableParagraph"/>
              <w:spacing w:line="240" w:lineRule="auto" w:before="79"/>
              <w:ind w:left="50" w:right="0"/>
              <w:jc w:val="left"/>
              <w:rPr>
                <w:rFonts w:ascii="Arial" w:hAnsi="Arial" w:cs="Arial" w:eastAsia="Arial" w:hint="default"/>
                <w:sz w:val="20"/>
                <w:szCs w:val="20"/>
              </w:rPr>
            </w:pPr>
            <w:r>
              <w:rPr>
                <w:rFonts w:ascii="Arial"/>
                <w:w w:val="85"/>
                <w:sz w:val="20"/>
              </w:rPr>
              <w:t>502.28</w:t>
            </w:r>
            <w:r>
              <w:rPr>
                <w:rFonts w:ascii="Arial"/>
                <w:sz w:val="20"/>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5" w:right="0"/>
              <w:jc w:val="left"/>
              <w:rPr>
                <w:rFonts w:ascii="Arial" w:hAnsi="Arial" w:cs="Arial" w:eastAsia="Arial" w:hint="default"/>
                <w:sz w:val="20"/>
                <w:szCs w:val="20"/>
              </w:rPr>
            </w:pPr>
            <w:r>
              <w:rPr>
                <w:rFonts w:ascii="Arial"/>
                <w:w w:val="85"/>
                <w:sz w:val="20"/>
              </w:rPr>
              <w:t>9,037,</w:t>
            </w:r>
            <w:r>
              <w:rPr>
                <w:rFonts w:ascii="Arial"/>
                <w:sz w:val="20"/>
              </w:rPr>
            </w:r>
          </w:p>
          <w:p>
            <w:pPr>
              <w:pStyle w:val="TableParagraph"/>
              <w:spacing w:line="240" w:lineRule="auto" w:before="79"/>
              <w:ind w:left="50" w:right="0"/>
              <w:jc w:val="left"/>
              <w:rPr>
                <w:rFonts w:ascii="Arial" w:hAnsi="Arial" w:cs="Arial" w:eastAsia="Arial" w:hint="default"/>
                <w:sz w:val="20"/>
                <w:szCs w:val="20"/>
              </w:rPr>
            </w:pPr>
            <w:r>
              <w:rPr>
                <w:rFonts w:ascii="Arial"/>
                <w:w w:val="85"/>
                <w:sz w:val="20"/>
              </w:rPr>
              <w:t>502.28</w:t>
            </w:r>
            <w:r>
              <w:rPr>
                <w:rFonts w:ascii="Arial"/>
                <w:sz w:val="20"/>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1" w:right="0"/>
              <w:jc w:val="left"/>
              <w:rPr>
                <w:rFonts w:ascii="Arial" w:hAnsi="Arial" w:cs="Arial" w:eastAsia="Arial" w:hint="default"/>
                <w:sz w:val="20"/>
                <w:szCs w:val="20"/>
              </w:rPr>
            </w:pPr>
            <w:r>
              <w:rPr>
                <w:rFonts w:ascii="Arial"/>
                <w:w w:val="85"/>
                <w:sz w:val="20"/>
              </w:rPr>
              <w:t>9,037,</w:t>
            </w:r>
            <w:r>
              <w:rPr>
                <w:rFonts w:ascii="Arial"/>
                <w:sz w:val="20"/>
              </w:rPr>
            </w:r>
          </w:p>
          <w:p>
            <w:pPr>
              <w:pStyle w:val="TableParagraph"/>
              <w:spacing w:line="240" w:lineRule="auto" w:before="79"/>
              <w:ind w:left="45" w:right="0"/>
              <w:jc w:val="left"/>
              <w:rPr>
                <w:rFonts w:ascii="Arial" w:hAnsi="Arial" w:cs="Arial" w:eastAsia="Arial" w:hint="default"/>
                <w:sz w:val="20"/>
                <w:szCs w:val="20"/>
              </w:rPr>
            </w:pPr>
            <w:r>
              <w:rPr>
                <w:rFonts w:ascii="Arial"/>
                <w:w w:val="85"/>
                <w:sz w:val="20"/>
              </w:rPr>
              <w:t>502.28</w:t>
            </w:r>
            <w:r>
              <w:rPr>
                <w:rFonts w:ascii="Arial"/>
                <w:sz w:val="20"/>
              </w:rPr>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376,6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56,42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675,29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6,222.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-93,28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4,835.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73,556</w:t>
            </w:r>
            <w:r>
              <w:rPr>
                <w:rFonts w:ascii="Arial"/>
                <w:sz w:val="20"/>
              </w:rPr>
            </w:r>
          </w:p>
          <w:p>
            <w:pPr>
              <w:pStyle w:val="TableParagraph"/>
              <w:spacing w:line="240" w:lineRule="auto" w:before="82"/>
              <w:ind w:right="20"/>
              <w:jc w:val="right"/>
              <w:rPr>
                <w:rFonts w:ascii="Arial" w:hAnsi="Arial" w:cs="Arial" w:eastAsia="Arial" w:hint="default"/>
                <w:sz w:val="20"/>
                <w:szCs w:val="20"/>
              </w:rPr>
            </w:pPr>
            <w:r>
              <w:rPr>
                <w:rFonts w:ascii="Arial"/>
                <w:w w:val="80"/>
                <w:sz w:val="20"/>
              </w:rPr>
              <w:t>,122.9</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7</w:t>
            </w:r>
            <w:r>
              <w:rPr>
                <w:rFonts w:ascii="Arial"/>
                <w:sz w:val="20"/>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2" w:right="0"/>
              <w:jc w:val="left"/>
              <w:rPr>
                <w:rFonts w:ascii="Arial" w:hAnsi="Arial" w:cs="Arial" w:eastAsia="Arial" w:hint="default"/>
                <w:sz w:val="20"/>
                <w:szCs w:val="20"/>
              </w:rPr>
            </w:pPr>
            <w:r>
              <w:rPr>
                <w:rFonts w:ascii="Arial"/>
                <w:w w:val="85"/>
                <w:sz w:val="20"/>
              </w:rPr>
              <w:t>493,42</w:t>
            </w:r>
            <w:r>
              <w:rPr>
                <w:rFonts w:ascii="Arial"/>
                <w:sz w:val="20"/>
              </w:rPr>
            </w:r>
          </w:p>
          <w:p>
            <w:pPr>
              <w:pStyle w:val="TableParagraph"/>
              <w:spacing w:line="240" w:lineRule="auto" w:before="82"/>
              <w:ind w:left="98" w:right="0"/>
              <w:jc w:val="left"/>
              <w:rPr>
                <w:rFonts w:ascii="Arial" w:hAnsi="Arial" w:cs="Arial" w:eastAsia="Arial" w:hint="default"/>
                <w:sz w:val="20"/>
                <w:szCs w:val="20"/>
              </w:rPr>
            </w:pPr>
            <w:r>
              <w:rPr>
                <w:rFonts w:ascii="Arial"/>
                <w:w w:val="85"/>
                <w:sz w:val="20"/>
              </w:rPr>
              <w:t>9,402.</w:t>
            </w:r>
            <w:r>
              <w:rPr>
                <w:rFonts w:ascii="Arial"/>
                <w:sz w:val="20"/>
              </w:rPr>
            </w:r>
          </w:p>
          <w:p>
            <w:pPr>
              <w:pStyle w:val="TableParagraph"/>
              <w:spacing w:line="240" w:lineRule="auto" w:before="82"/>
              <w:ind w:left="372" w:right="0"/>
              <w:jc w:val="left"/>
              <w:rPr>
                <w:rFonts w:ascii="Arial" w:hAnsi="Arial" w:cs="Arial" w:eastAsia="Arial" w:hint="default"/>
                <w:sz w:val="20"/>
                <w:szCs w:val="20"/>
              </w:rPr>
            </w:pPr>
            <w:r>
              <w:rPr>
                <w:rFonts w:ascii="Arial"/>
                <w:w w:val="90"/>
                <w:sz w:val="20"/>
              </w:rPr>
              <w:t>21</w:t>
            </w:r>
            <w:r>
              <w:rPr>
                <w:rFonts w:ascii="Arial"/>
                <w:sz w:val="20"/>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4" w:right="0"/>
              <w:jc w:val="center"/>
              <w:rPr>
                <w:rFonts w:ascii="Arial" w:hAnsi="Arial" w:cs="Arial" w:eastAsia="Arial" w:hint="default"/>
                <w:sz w:val="20"/>
                <w:szCs w:val="20"/>
              </w:rPr>
            </w:pPr>
            <w:r>
              <w:rPr>
                <w:rFonts w:ascii="Arial"/>
                <w:w w:val="80"/>
                <w:sz w:val="20"/>
              </w:rPr>
              <w:t>1,525,</w:t>
            </w:r>
            <w:r>
              <w:rPr>
                <w:rFonts w:ascii="Arial"/>
                <w:sz w:val="20"/>
              </w:rPr>
            </w:r>
          </w:p>
          <w:p>
            <w:pPr>
              <w:pStyle w:val="TableParagraph"/>
              <w:spacing w:line="240" w:lineRule="auto" w:before="82"/>
              <w:ind w:left="28" w:right="0"/>
              <w:jc w:val="center"/>
              <w:rPr>
                <w:rFonts w:ascii="Arial" w:hAnsi="Arial" w:cs="Arial" w:eastAsia="Arial" w:hint="default"/>
                <w:sz w:val="20"/>
                <w:szCs w:val="20"/>
              </w:rPr>
            </w:pPr>
            <w:r>
              <w:rPr>
                <w:rFonts w:ascii="Arial"/>
                <w:w w:val="80"/>
                <w:sz w:val="20"/>
              </w:rPr>
              <w:t>653,33</w:t>
            </w:r>
            <w:r>
              <w:rPr>
                <w:rFonts w:ascii="Arial"/>
                <w:sz w:val="20"/>
              </w:rPr>
            </w:r>
          </w:p>
          <w:p>
            <w:pPr>
              <w:pStyle w:val="TableParagraph"/>
              <w:spacing w:line="240" w:lineRule="auto" w:before="82"/>
              <w:ind w:left="211" w:right="0"/>
              <w:jc w:val="center"/>
              <w:rPr>
                <w:rFonts w:ascii="Arial" w:hAnsi="Arial" w:cs="Arial" w:eastAsia="Arial" w:hint="default"/>
                <w:sz w:val="20"/>
                <w:szCs w:val="20"/>
              </w:rPr>
            </w:pPr>
            <w:r>
              <w:rPr>
                <w:rFonts w:ascii="Arial"/>
                <w:w w:val="85"/>
                <w:sz w:val="20"/>
              </w:rPr>
              <w:t>1.96</w:t>
            </w:r>
            <w:r>
              <w:rPr>
                <w:rFonts w:ascii="Arial"/>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9" w:right="0"/>
              <w:jc w:val="center"/>
              <w:rPr>
                <w:rFonts w:ascii="Arial" w:hAnsi="Arial" w:cs="Arial" w:eastAsia="Arial" w:hint="default"/>
                <w:sz w:val="20"/>
                <w:szCs w:val="20"/>
              </w:rPr>
            </w:pPr>
            <w:r>
              <w:rPr>
                <w:rFonts w:ascii="Arial"/>
                <w:w w:val="80"/>
                <w:sz w:val="20"/>
              </w:rPr>
              <w:t>1,555,</w:t>
            </w:r>
            <w:r>
              <w:rPr>
                <w:rFonts w:ascii="Arial"/>
                <w:sz w:val="20"/>
              </w:rPr>
            </w:r>
          </w:p>
          <w:p>
            <w:pPr>
              <w:pStyle w:val="TableParagraph"/>
              <w:spacing w:line="240" w:lineRule="auto" w:before="82"/>
              <w:ind w:left="24" w:right="0"/>
              <w:jc w:val="center"/>
              <w:rPr>
                <w:rFonts w:ascii="Arial" w:hAnsi="Arial" w:cs="Arial" w:eastAsia="Arial" w:hint="default"/>
                <w:sz w:val="20"/>
                <w:szCs w:val="20"/>
              </w:rPr>
            </w:pPr>
            <w:r>
              <w:rPr>
                <w:rFonts w:ascii="Arial"/>
                <w:w w:val="80"/>
                <w:sz w:val="20"/>
              </w:rPr>
              <w:t>574,93</w:t>
            </w:r>
            <w:r>
              <w:rPr>
                <w:rFonts w:ascii="Arial"/>
                <w:sz w:val="20"/>
              </w:rPr>
            </w:r>
          </w:p>
          <w:p>
            <w:pPr>
              <w:pStyle w:val="TableParagraph"/>
              <w:spacing w:line="240" w:lineRule="auto" w:before="82"/>
              <w:ind w:left="206" w:right="0"/>
              <w:jc w:val="center"/>
              <w:rPr>
                <w:rFonts w:ascii="Arial" w:hAnsi="Arial" w:cs="Arial" w:eastAsia="Arial" w:hint="default"/>
                <w:sz w:val="20"/>
                <w:szCs w:val="20"/>
              </w:rPr>
            </w:pPr>
            <w:r>
              <w:rPr>
                <w:rFonts w:ascii="Arial"/>
                <w:w w:val="85"/>
                <w:sz w:val="20"/>
              </w:rPr>
              <w:t>9.57</w:t>
            </w:r>
            <w:r>
              <w:rPr>
                <w:rFonts w:ascii="Arial"/>
                <w:sz w:val="20"/>
              </w:rPr>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11"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5"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56,42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653,52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7,634.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64,909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292,67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4,542.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1,387,</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768,46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24,739,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365.17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07,827.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z w:val="18"/>
              </w:rPr>
              <w:t>376,6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56,42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0" w:right="0"/>
              <w:jc w:val="left"/>
              <w:rPr>
                <w:rFonts w:ascii="Times New Roman" w:hAnsi="Times New Roman" w:cs="Times New Roman" w:eastAsia="Times New Roman" w:hint="default"/>
                <w:sz w:val="18"/>
                <w:szCs w:val="18"/>
              </w:rPr>
            </w:pPr>
            <w:r>
              <w:rPr>
                <w:rFonts w:ascii="Times New Roman"/>
                <w:sz w:val="18"/>
              </w:rPr>
              <w:t>653,52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7,634.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23</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64,909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left"/>
              <w:rPr>
                <w:rFonts w:ascii="Times New Roman" w:hAnsi="Times New Roman" w:cs="Times New Roman" w:eastAsia="Times New Roman" w:hint="default"/>
                <w:sz w:val="18"/>
                <w:szCs w:val="18"/>
              </w:rPr>
            </w:pPr>
            <w:r>
              <w:rPr>
                <w:rFonts w:ascii="Times New Roman"/>
                <w:sz w:val="18"/>
              </w:rPr>
              <w:t>292,67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4,542.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 w:right="0"/>
              <w:jc w:val="center"/>
              <w:rPr>
                <w:rFonts w:ascii="Times New Roman" w:hAnsi="Times New Roman" w:cs="Times New Roman" w:eastAsia="Times New Roman" w:hint="default"/>
                <w:sz w:val="18"/>
                <w:szCs w:val="18"/>
              </w:rPr>
            </w:pPr>
            <w:r>
              <w:rPr>
                <w:rFonts w:ascii="Times New Roman"/>
                <w:sz w:val="18"/>
              </w:rPr>
              <w:t>1,387,</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768,46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24,739,</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365.17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1,412,5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07,827.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357.13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6,476,4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70.06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46,940,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553.63</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27,732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6,721,4</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70.06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34,454,</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468.14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357.13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357.13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357.13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357.13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12,731,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085.49</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376,6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56,42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666,25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8,719.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68,270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317,04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7,183.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1,428,</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232,54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5.92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31,215,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835.23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10"/>
        <w:rPr>
          <w:rFonts w:ascii="Times New Roman" w:hAnsi="Times New Roman" w:cs="Times New Roman" w:eastAsia="Times New Roman" w:hint="default"/>
          <w:sz w:val="21"/>
          <w:szCs w:val="21"/>
        </w:rPr>
      </w:pPr>
    </w:p>
    <w:p>
      <w:pPr>
        <w:spacing w:before="36"/>
        <w:ind w:left="152" w:right="996" w:firstLine="0"/>
        <w:jc w:val="left"/>
        <w:rPr>
          <w:rFonts w:ascii="宋体" w:hAnsi="宋体" w:cs="宋体" w:eastAsia="宋体" w:hint="default"/>
          <w:sz w:val="21"/>
          <w:szCs w:val="21"/>
        </w:rPr>
      </w:pPr>
      <w:bookmarkStart w:name="8、母公司所有者权益变动表" w:id="164"/>
      <w:bookmarkEnd w:id="16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99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1"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5"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6,420.0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546,096,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387.53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68,270,2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22.97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2,744.2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1,333,285,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774.72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6,420.0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546,096,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387.53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68,270,2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22.97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2,744.2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1,333,285,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774.72</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9,037,50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2.28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0"/>
                <w:szCs w:val="20"/>
              </w:rPr>
            </w:pPr>
            <w:r>
              <w:rPr>
                <w:rFonts w:ascii="Arial"/>
                <w:w w:val="80"/>
                <w:sz w:val="20"/>
              </w:rPr>
              <w:t>16,179.7</w:t>
            </w:r>
            <w:r>
              <w:rPr>
                <w:rFonts w:ascii="Arial"/>
                <w:sz w:val="20"/>
              </w:rPr>
            </w:r>
          </w:p>
          <w:p>
            <w:pPr>
              <w:pStyle w:val="TableParagraph"/>
              <w:spacing w:line="240" w:lineRule="auto" w:before="79"/>
              <w:ind w:right="19"/>
              <w:jc w:val="right"/>
              <w:rPr>
                <w:rFonts w:ascii="Arial" w:hAnsi="Arial" w:cs="Arial" w:eastAsia="Arial" w:hint="default"/>
                <w:sz w:val="20"/>
                <w:szCs w:val="20"/>
              </w:rPr>
            </w:pPr>
            <w:r>
              <w:rPr>
                <w:rFonts w:ascii="Arial"/>
                <w:w w:val="81"/>
                <w:sz w:val="20"/>
              </w:rPr>
              <w:t>8</w:t>
            </w:r>
            <w:r>
              <w:rPr>
                <w:rFonts w:ascii="Arial"/>
                <w:sz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Arial" w:hAnsi="Arial" w:cs="Arial" w:eastAsia="Arial" w:hint="default"/>
                <w:sz w:val="20"/>
                <w:szCs w:val="20"/>
              </w:rPr>
            </w:pPr>
            <w:r>
              <w:rPr>
                <w:rFonts w:ascii="Arial"/>
                <w:w w:val="80"/>
                <w:sz w:val="20"/>
              </w:rPr>
              <w:t>5,285,90</w:t>
            </w:r>
            <w:r>
              <w:rPr>
                <w:rFonts w:ascii="Arial"/>
                <w:sz w:val="20"/>
              </w:rPr>
            </w:r>
          </w:p>
          <w:p>
            <w:pPr>
              <w:pStyle w:val="TableParagraph"/>
              <w:spacing w:line="240" w:lineRule="auto" w:before="79"/>
              <w:ind w:left="374" w:right="0"/>
              <w:jc w:val="left"/>
              <w:rPr>
                <w:rFonts w:ascii="Arial" w:hAnsi="Arial" w:cs="Arial" w:eastAsia="Arial" w:hint="default"/>
                <w:sz w:val="20"/>
                <w:szCs w:val="20"/>
              </w:rPr>
            </w:pPr>
            <w:r>
              <w:rPr>
                <w:rFonts w:ascii="Arial"/>
                <w:w w:val="85"/>
                <w:sz w:val="20"/>
              </w:rPr>
              <w:t>0.00</w:t>
            </w:r>
            <w:r>
              <w:rPr>
                <w:rFonts w:ascii="Arial"/>
                <w:sz w:val="20"/>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6" w:right="0"/>
              <w:jc w:val="left"/>
              <w:rPr>
                <w:rFonts w:ascii="Arial" w:hAnsi="Arial" w:cs="Arial" w:eastAsia="Arial" w:hint="default"/>
                <w:sz w:val="20"/>
                <w:szCs w:val="20"/>
              </w:rPr>
            </w:pPr>
            <w:r>
              <w:rPr>
                <w:rFonts w:ascii="Arial"/>
                <w:w w:val="85"/>
                <w:sz w:val="20"/>
              </w:rPr>
              <w:t>47,573,</w:t>
            </w:r>
            <w:r>
              <w:rPr>
                <w:rFonts w:ascii="Arial"/>
                <w:sz w:val="20"/>
              </w:rPr>
            </w:r>
          </w:p>
          <w:p>
            <w:pPr>
              <w:pStyle w:val="TableParagraph"/>
              <w:spacing w:line="240" w:lineRule="auto" w:before="79"/>
              <w:ind w:left="81" w:right="0"/>
              <w:jc w:val="left"/>
              <w:rPr>
                <w:rFonts w:ascii="Arial" w:hAnsi="Arial" w:cs="Arial" w:eastAsia="Arial" w:hint="default"/>
                <w:sz w:val="20"/>
                <w:szCs w:val="20"/>
              </w:rPr>
            </w:pPr>
            <w:r>
              <w:rPr>
                <w:rFonts w:ascii="Arial"/>
                <w:w w:val="85"/>
                <w:sz w:val="20"/>
              </w:rPr>
              <w:t>099.95</w:t>
            </w:r>
            <w:r>
              <w:rPr>
                <w:rFonts w:ascii="Arial"/>
                <w:sz w:val="20"/>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Arial" w:hAnsi="Arial" w:cs="Arial" w:eastAsia="Arial" w:hint="default"/>
                <w:sz w:val="20"/>
                <w:szCs w:val="20"/>
              </w:rPr>
            </w:pPr>
            <w:r>
              <w:rPr>
                <w:rFonts w:ascii="Arial"/>
                <w:w w:val="80"/>
                <w:sz w:val="20"/>
              </w:rPr>
              <w:t>61,912,68</w:t>
            </w:r>
            <w:r>
              <w:rPr>
                <w:rFonts w:ascii="Arial"/>
                <w:sz w:val="20"/>
              </w:rPr>
            </w:r>
          </w:p>
          <w:p>
            <w:pPr>
              <w:pStyle w:val="TableParagraph"/>
              <w:spacing w:line="240" w:lineRule="auto" w:before="79"/>
              <w:ind w:left="511" w:right="0"/>
              <w:jc w:val="left"/>
              <w:rPr>
                <w:rFonts w:ascii="Arial" w:hAnsi="Arial" w:cs="Arial" w:eastAsia="Arial" w:hint="default"/>
                <w:sz w:val="20"/>
                <w:szCs w:val="20"/>
              </w:rPr>
            </w:pPr>
            <w:r>
              <w:rPr>
                <w:rFonts w:ascii="Arial"/>
                <w:w w:val="85"/>
                <w:sz w:val="20"/>
              </w:rPr>
              <w:t>2.01</w:t>
            </w:r>
            <w:r>
              <w:rPr>
                <w:rFonts w:ascii="Arial"/>
                <w:sz w:val="20"/>
              </w:rPr>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16,179.7</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8</w:t>
            </w:r>
            <w:r>
              <w:rPr>
                <w:rFonts w:ascii="Arial"/>
                <w:sz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6" w:right="0"/>
              <w:jc w:val="left"/>
              <w:rPr>
                <w:rFonts w:ascii="Arial" w:hAnsi="Arial" w:cs="Arial" w:eastAsia="Arial" w:hint="default"/>
                <w:sz w:val="20"/>
                <w:szCs w:val="20"/>
              </w:rPr>
            </w:pPr>
            <w:r>
              <w:rPr>
                <w:rFonts w:ascii="Arial"/>
                <w:w w:val="85"/>
                <w:sz w:val="20"/>
              </w:rPr>
              <w:t>52,858,</w:t>
            </w:r>
            <w:r>
              <w:rPr>
                <w:rFonts w:ascii="Arial"/>
                <w:sz w:val="20"/>
              </w:rPr>
            </w:r>
          </w:p>
          <w:p>
            <w:pPr>
              <w:pStyle w:val="TableParagraph"/>
              <w:spacing w:line="240" w:lineRule="auto" w:before="82"/>
              <w:ind w:left="81" w:right="0"/>
              <w:jc w:val="left"/>
              <w:rPr>
                <w:rFonts w:ascii="Arial" w:hAnsi="Arial" w:cs="Arial" w:eastAsia="Arial" w:hint="default"/>
                <w:sz w:val="20"/>
                <w:szCs w:val="20"/>
              </w:rPr>
            </w:pPr>
            <w:r>
              <w:rPr>
                <w:rFonts w:ascii="Arial"/>
                <w:w w:val="85"/>
                <w:sz w:val="20"/>
              </w:rPr>
              <w:t>999.95</w:t>
            </w:r>
            <w:r>
              <w:rPr>
                <w:rFonts w:ascii="Arial"/>
                <w:sz w:val="20"/>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Arial" w:hAnsi="Arial" w:cs="Arial" w:eastAsia="Arial" w:hint="default"/>
                <w:sz w:val="20"/>
                <w:szCs w:val="20"/>
              </w:rPr>
            </w:pPr>
            <w:r>
              <w:rPr>
                <w:rFonts w:ascii="Arial"/>
                <w:w w:val="80"/>
                <w:sz w:val="20"/>
              </w:rPr>
              <w:t>52,875,17</w:t>
            </w:r>
            <w:r>
              <w:rPr>
                <w:rFonts w:ascii="Arial"/>
                <w:sz w:val="20"/>
              </w:rPr>
            </w:r>
          </w:p>
          <w:p>
            <w:pPr>
              <w:pStyle w:val="TableParagraph"/>
              <w:spacing w:line="240" w:lineRule="auto" w:before="82"/>
              <w:ind w:left="511" w:right="0"/>
              <w:jc w:val="left"/>
              <w:rPr>
                <w:rFonts w:ascii="Arial" w:hAnsi="Arial" w:cs="Arial" w:eastAsia="Arial" w:hint="default"/>
                <w:sz w:val="20"/>
                <w:szCs w:val="20"/>
              </w:rPr>
            </w:pPr>
            <w:r>
              <w:rPr>
                <w:rFonts w:ascii="Arial"/>
                <w:w w:val="85"/>
                <w:sz w:val="20"/>
              </w:rPr>
              <w:t>9.73</w:t>
            </w:r>
            <w:r>
              <w:rPr>
                <w:rFonts w:ascii="Arial"/>
                <w:sz w:val="20"/>
              </w:rPr>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 w:right="0"/>
              <w:jc w:val="left"/>
              <w:rPr>
                <w:rFonts w:ascii="Arial" w:hAnsi="Arial" w:cs="Arial" w:eastAsia="Arial" w:hint="default"/>
                <w:sz w:val="20"/>
                <w:szCs w:val="20"/>
              </w:rPr>
            </w:pPr>
            <w:r>
              <w:rPr>
                <w:rFonts w:ascii="Arial"/>
                <w:w w:val="80"/>
                <w:sz w:val="20"/>
              </w:rPr>
              <w:t>5,285,90</w:t>
            </w:r>
            <w:r>
              <w:rPr>
                <w:rFonts w:ascii="Arial"/>
                <w:sz w:val="20"/>
              </w:rPr>
            </w:r>
          </w:p>
          <w:p>
            <w:pPr>
              <w:pStyle w:val="TableParagraph"/>
              <w:spacing w:line="240" w:lineRule="auto" w:before="82"/>
              <w:ind w:left="374" w:right="0"/>
              <w:jc w:val="left"/>
              <w:rPr>
                <w:rFonts w:ascii="Arial" w:hAnsi="Arial" w:cs="Arial" w:eastAsia="Arial" w:hint="default"/>
                <w:sz w:val="20"/>
                <w:szCs w:val="20"/>
              </w:rPr>
            </w:pPr>
            <w:r>
              <w:rPr>
                <w:rFonts w:ascii="Arial"/>
                <w:w w:val="85"/>
                <w:sz w:val="20"/>
              </w:rPr>
              <w:t>0.00</w:t>
            </w:r>
            <w:r>
              <w:rPr>
                <w:rFonts w:ascii="Arial"/>
                <w:sz w:val="20"/>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72" w:right="0"/>
              <w:jc w:val="left"/>
              <w:rPr>
                <w:rFonts w:ascii="Arial" w:hAnsi="Arial" w:cs="Arial" w:eastAsia="Arial" w:hint="default"/>
                <w:sz w:val="20"/>
                <w:szCs w:val="20"/>
              </w:rPr>
            </w:pPr>
            <w:r>
              <w:rPr>
                <w:rFonts w:ascii="Arial"/>
                <w:w w:val="85"/>
                <w:sz w:val="20"/>
              </w:rPr>
              <w:t>-5,285,</w:t>
            </w:r>
            <w:r>
              <w:rPr>
                <w:rFonts w:ascii="Arial"/>
                <w:sz w:val="20"/>
              </w:rPr>
            </w:r>
          </w:p>
          <w:p>
            <w:pPr>
              <w:pStyle w:val="TableParagraph"/>
              <w:spacing w:line="240" w:lineRule="auto" w:before="82"/>
              <w:ind w:left="81" w:right="0"/>
              <w:jc w:val="left"/>
              <w:rPr>
                <w:rFonts w:ascii="Arial" w:hAnsi="Arial" w:cs="Arial" w:eastAsia="Arial" w:hint="default"/>
                <w:sz w:val="20"/>
                <w:szCs w:val="20"/>
              </w:rPr>
            </w:pPr>
            <w:r>
              <w:rPr>
                <w:rFonts w:ascii="Arial"/>
                <w:w w:val="85"/>
                <w:sz w:val="20"/>
              </w:rPr>
              <w:t>900.00</w:t>
            </w:r>
            <w:r>
              <w:rPr>
                <w:rFonts w:ascii="Arial"/>
                <w:sz w:val="20"/>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5" w:right="0"/>
              <w:jc w:val="left"/>
              <w:rPr>
                <w:rFonts w:ascii="Arial" w:hAnsi="Arial" w:cs="Arial" w:eastAsia="Arial" w:hint="default"/>
                <w:sz w:val="20"/>
                <w:szCs w:val="20"/>
              </w:rPr>
            </w:pPr>
            <w:r>
              <w:rPr>
                <w:rFonts w:ascii="Arial"/>
                <w:w w:val="80"/>
                <w:sz w:val="20"/>
              </w:rPr>
              <w:t>5,285,90</w:t>
            </w:r>
            <w:r>
              <w:rPr>
                <w:rFonts w:ascii="Arial"/>
                <w:sz w:val="20"/>
              </w:rPr>
            </w:r>
          </w:p>
          <w:p>
            <w:pPr>
              <w:pStyle w:val="TableParagraph"/>
              <w:spacing w:line="240" w:lineRule="auto" w:before="79"/>
              <w:ind w:left="374" w:right="0"/>
              <w:jc w:val="left"/>
              <w:rPr>
                <w:rFonts w:ascii="Arial" w:hAnsi="Arial" w:cs="Arial" w:eastAsia="Arial" w:hint="default"/>
                <w:sz w:val="20"/>
                <w:szCs w:val="20"/>
              </w:rPr>
            </w:pPr>
            <w:r>
              <w:rPr>
                <w:rFonts w:ascii="Arial"/>
                <w:w w:val="85"/>
                <w:sz w:val="20"/>
              </w:rPr>
              <w:t>0.00</w:t>
            </w:r>
            <w:r>
              <w:rPr>
                <w:rFonts w:ascii="Arial"/>
                <w:sz w:val="20"/>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-5,285,</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900.00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 w:right="0"/>
              <w:jc w:val="left"/>
              <w:rPr>
                <w:rFonts w:ascii="Arial" w:hAnsi="Arial" w:cs="Arial" w:eastAsia="Arial" w:hint="default"/>
                <w:sz w:val="20"/>
                <w:szCs w:val="20"/>
              </w:rPr>
            </w:pPr>
            <w:r>
              <w:rPr>
                <w:rFonts w:ascii="Arial"/>
                <w:w w:val="80"/>
                <w:sz w:val="20"/>
              </w:rPr>
              <w:t>9,037,50</w:t>
            </w:r>
            <w:r>
              <w:rPr>
                <w:rFonts w:ascii="Arial"/>
                <w:sz w:val="20"/>
              </w:rPr>
            </w:r>
          </w:p>
          <w:p>
            <w:pPr>
              <w:pStyle w:val="TableParagraph"/>
              <w:spacing w:line="240" w:lineRule="auto" w:before="82"/>
              <w:ind w:left="374" w:right="0"/>
              <w:jc w:val="left"/>
              <w:rPr>
                <w:rFonts w:ascii="Arial" w:hAnsi="Arial" w:cs="Arial" w:eastAsia="Arial" w:hint="default"/>
                <w:sz w:val="20"/>
                <w:szCs w:val="20"/>
              </w:rPr>
            </w:pPr>
            <w:r>
              <w:rPr>
                <w:rFonts w:ascii="Arial"/>
                <w:w w:val="85"/>
                <w:sz w:val="20"/>
              </w:rPr>
              <w:t>2.28</w:t>
            </w:r>
            <w:r>
              <w:rPr>
                <w:rFonts w:ascii="Arial"/>
                <w:sz w:val="20"/>
              </w:rPr>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Arial" w:hAnsi="Arial" w:cs="Arial" w:eastAsia="Arial" w:hint="default"/>
                <w:sz w:val="20"/>
                <w:szCs w:val="20"/>
              </w:rPr>
            </w:pPr>
            <w:r>
              <w:rPr>
                <w:rFonts w:ascii="Arial"/>
                <w:w w:val="80"/>
                <w:sz w:val="20"/>
              </w:rPr>
              <w:t>9,037,502.</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0"/>
                <w:sz w:val="20"/>
              </w:rPr>
              <w:t>28</w:t>
            </w:r>
            <w:r>
              <w:rPr>
                <w:rFonts w:ascii="Arial"/>
                <w:sz w:val="20"/>
              </w:rPr>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376,65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6,420.0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555,133,</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889.81</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0"/>
                <w:szCs w:val="20"/>
              </w:rPr>
            </w:pPr>
            <w:r>
              <w:rPr>
                <w:rFonts w:ascii="Arial"/>
                <w:w w:val="80"/>
                <w:sz w:val="20"/>
              </w:rPr>
              <w:t>16,179.7</w:t>
            </w:r>
            <w:r>
              <w:rPr>
                <w:rFonts w:ascii="Arial"/>
                <w:sz w:val="20"/>
              </w:rPr>
            </w:r>
          </w:p>
          <w:p>
            <w:pPr>
              <w:pStyle w:val="TableParagraph"/>
              <w:spacing w:line="240" w:lineRule="auto" w:before="79"/>
              <w:ind w:right="19"/>
              <w:jc w:val="right"/>
              <w:rPr>
                <w:rFonts w:ascii="Arial" w:hAnsi="Arial" w:cs="Arial" w:eastAsia="Arial" w:hint="default"/>
                <w:sz w:val="20"/>
                <w:szCs w:val="20"/>
              </w:rPr>
            </w:pPr>
            <w:r>
              <w:rPr>
                <w:rFonts w:ascii="Arial"/>
                <w:w w:val="81"/>
                <w:sz w:val="20"/>
              </w:rPr>
              <w:t>8</w:t>
            </w:r>
            <w:r>
              <w:rPr>
                <w:rFonts w:ascii="Arial"/>
                <w:sz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Arial" w:hAnsi="Arial" w:cs="Arial" w:eastAsia="Arial" w:hint="default"/>
                <w:sz w:val="20"/>
                <w:szCs w:val="20"/>
              </w:rPr>
            </w:pPr>
            <w:r>
              <w:rPr>
                <w:rFonts w:ascii="Arial"/>
                <w:w w:val="80"/>
                <w:sz w:val="20"/>
              </w:rPr>
              <w:t>73,556,1</w:t>
            </w:r>
            <w:r>
              <w:rPr>
                <w:rFonts w:ascii="Arial"/>
                <w:sz w:val="20"/>
              </w:rPr>
            </w:r>
          </w:p>
          <w:p>
            <w:pPr>
              <w:pStyle w:val="TableParagraph"/>
              <w:spacing w:line="240" w:lineRule="auto" w:before="79"/>
              <w:ind w:left="283" w:right="0"/>
              <w:jc w:val="left"/>
              <w:rPr>
                <w:rFonts w:ascii="Arial" w:hAnsi="Arial" w:cs="Arial" w:eastAsia="Arial" w:hint="default"/>
                <w:sz w:val="20"/>
                <w:szCs w:val="20"/>
              </w:rPr>
            </w:pPr>
            <w:r>
              <w:rPr>
                <w:rFonts w:ascii="Arial"/>
                <w:w w:val="85"/>
                <w:sz w:val="20"/>
              </w:rPr>
              <w:t>22.97</w:t>
            </w:r>
            <w:r>
              <w:rPr>
                <w:rFonts w:ascii="Arial"/>
                <w:sz w:val="20"/>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Arial" w:hAnsi="Arial" w:cs="Arial" w:eastAsia="Arial" w:hint="default"/>
                <w:sz w:val="20"/>
                <w:szCs w:val="20"/>
              </w:rPr>
            </w:pPr>
            <w:r>
              <w:rPr>
                <w:rFonts w:ascii="Arial"/>
                <w:w w:val="80"/>
                <w:sz w:val="20"/>
              </w:rPr>
              <w:t>389,83</w:t>
            </w:r>
            <w:r>
              <w:rPr>
                <w:rFonts w:ascii="Arial"/>
                <w:sz w:val="20"/>
              </w:rPr>
            </w:r>
          </w:p>
          <w:p>
            <w:pPr>
              <w:pStyle w:val="TableParagraph"/>
              <w:spacing w:line="240" w:lineRule="auto" w:before="79"/>
              <w:ind w:right="19"/>
              <w:jc w:val="right"/>
              <w:rPr>
                <w:rFonts w:ascii="Arial" w:hAnsi="Arial" w:cs="Arial" w:eastAsia="Arial" w:hint="default"/>
                <w:sz w:val="20"/>
                <w:szCs w:val="20"/>
              </w:rPr>
            </w:pPr>
            <w:r>
              <w:rPr>
                <w:rFonts w:ascii="Arial"/>
                <w:w w:val="80"/>
                <w:sz w:val="20"/>
              </w:rPr>
              <w:t>5,844.1</w:t>
            </w:r>
            <w:r>
              <w:rPr>
                <w:rFonts w:ascii="Arial"/>
                <w:sz w:val="20"/>
              </w:rPr>
            </w:r>
          </w:p>
          <w:p>
            <w:pPr>
              <w:pStyle w:val="TableParagraph"/>
              <w:spacing w:line="240" w:lineRule="auto" w:before="82"/>
              <w:ind w:right="19"/>
              <w:jc w:val="right"/>
              <w:rPr>
                <w:rFonts w:ascii="Arial" w:hAnsi="Arial" w:cs="Arial" w:eastAsia="Arial" w:hint="default"/>
                <w:sz w:val="20"/>
                <w:szCs w:val="20"/>
              </w:rPr>
            </w:pPr>
            <w:r>
              <w:rPr>
                <w:rFonts w:ascii="Arial"/>
                <w:w w:val="81"/>
                <w:sz w:val="20"/>
              </w:rPr>
              <w:t>7</w:t>
            </w:r>
            <w:r>
              <w:rPr>
                <w:rFonts w:ascii="Arial"/>
                <w:sz w:val="20"/>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5" w:right="0"/>
              <w:jc w:val="left"/>
              <w:rPr>
                <w:rFonts w:ascii="Arial" w:hAnsi="Arial" w:cs="Arial" w:eastAsia="Arial" w:hint="default"/>
                <w:sz w:val="20"/>
                <w:szCs w:val="20"/>
              </w:rPr>
            </w:pPr>
            <w:r>
              <w:rPr>
                <w:rFonts w:ascii="Arial"/>
                <w:w w:val="80"/>
                <w:sz w:val="20"/>
              </w:rPr>
              <w:t>1,395,198,</w:t>
            </w:r>
            <w:r>
              <w:rPr>
                <w:rFonts w:ascii="Arial"/>
                <w:sz w:val="20"/>
              </w:rPr>
            </w:r>
          </w:p>
          <w:p>
            <w:pPr>
              <w:pStyle w:val="TableParagraph"/>
              <w:spacing w:line="240" w:lineRule="auto" w:before="82"/>
              <w:ind w:left="328" w:right="0"/>
              <w:jc w:val="left"/>
              <w:rPr>
                <w:rFonts w:ascii="Arial" w:hAnsi="Arial" w:cs="Arial" w:eastAsia="Arial" w:hint="default"/>
                <w:sz w:val="20"/>
                <w:szCs w:val="20"/>
              </w:rPr>
            </w:pPr>
            <w:r>
              <w:rPr>
                <w:rFonts w:ascii="Arial"/>
                <w:w w:val="85"/>
                <w:sz w:val="20"/>
              </w:rPr>
              <w:t>456.73</w:t>
            </w:r>
            <w:r>
              <w:rPr>
                <w:rFonts w:ascii="Arial"/>
                <w:sz w:val="20"/>
              </w:rPr>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376,65</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6,420.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533,365</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,302.04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64,909,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865.84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312,019,5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30.09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1,286,951,1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17.97</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376,65</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6,420.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533,365</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,302.04</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64,909,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865.84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312,019,5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30.09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1,286,951,1</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17.97</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12,731,</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085.49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3,360,3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57.13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30,243,21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46,334,656.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33,603,57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33,603,571.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3,360,3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57.13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-3,360,35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7.13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3,360,3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57.13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-3,360,35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12,731,</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085.49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12,731,085.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376,65</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6,420.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546,096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,387.53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68,270,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222.97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342,262,7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1,333,285,7</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74.72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996"/>
        <w:jc w:val="left"/>
        <w:rPr>
          <w:b w:val="0"/>
          <w:bCs w:val="0"/>
        </w:rPr>
      </w:pPr>
      <w:bookmarkStart w:name="三、公司基本情况" w:id="165"/>
      <w:bookmarkEnd w:id="165"/>
      <w:r>
        <w:rPr>
          <w:b w:val="0"/>
          <w:bCs w:val="0"/>
        </w:rPr>
      </w:r>
      <w:r>
        <w:rPr/>
        <w:t>三、公司基本情况</w:t>
      </w:r>
      <w:r>
        <w:rPr>
          <w:b w:val="0"/>
          <w:bCs w:val="0"/>
        </w:rPr>
      </w:r>
    </w:p>
    <w:p>
      <w:pPr>
        <w:spacing w:line="240" w:lineRule="auto" w:before="12"/>
        <w:rPr>
          <w:rFonts w:ascii="宋体" w:hAnsi="宋体" w:cs="宋体" w:eastAsia="宋体" w:hint="default"/>
          <w:b/>
          <w:bCs/>
          <w:sz w:val="24"/>
          <w:szCs w:val="24"/>
        </w:rPr>
      </w:pPr>
    </w:p>
    <w:p>
      <w:pPr>
        <w:spacing w:before="0"/>
        <w:ind w:left="513" w:right="996" w:firstLine="0"/>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sz w:val="21"/>
          <w:szCs w:val="21"/>
        </w:rPr>
      </w:r>
    </w:p>
    <w:p>
      <w:pPr>
        <w:pStyle w:val="BodyText"/>
        <w:spacing w:line="350" w:lineRule="auto" w:before="136"/>
        <w:ind w:right="1130" w:firstLine="480"/>
        <w:jc w:val="both"/>
      </w:pPr>
      <w:r>
        <w:rPr/>
        <w:t>河南辉煌科技股份有限公司（以下简称“公司”或“本公司”）系于</w:t>
      </w:r>
      <w:r>
        <w:rPr>
          <w:rFonts w:ascii="宋体" w:hAnsi="宋体" w:cs="宋体" w:eastAsia="宋体" w:hint="default"/>
        </w:rPr>
        <w:t>2001</w:t>
      </w:r>
      <w:r>
        <w:rPr/>
        <w:t>年</w:t>
      </w:r>
      <w:r>
        <w:rPr>
          <w:rFonts w:ascii="宋体" w:hAnsi="宋体" w:cs="宋体" w:eastAsia="宋体" w:hint="default"/>
        </w:rPr>
        <w:t>10</w:t>
      </w:r>
      <w:r>
        <w:rPr/>
        <w:t>月经河南 </w:t>
      </w:r>
      <w:r>
        <w:rPr>
          <w:spacing w:val="3"/>
        </w:rPr>
        <w:t>省人民政府豫股批字</w:t>
      </w:r>
      <w:r>
        <w:rPr>
          <w:rFonts w:ascii="宋体" w:hAnsi="宋体" w:cs="宋体" w:eastAsia="宋体" w:hint="default"/>
          <w:spacing w:val="3"/>
        </w:rPr>
        <w:t>(2001)35</w:t>
      </w:r>
      <w:r>
        <w:rPr>
          <w:spacing w:val="3"/>
        </w:rPr>
        <w:t>号文批准，由李海鹰等</w:t>
      </w:r>
      <w:r>
        <w:rPr>
          <w:rFonts w:ascii="宋体" w:hAnsi="宋体" w:cs="宋体" w:eastAsia="宋体" w:hint="default"/>
          <w:spacing w:val="3"/>
        </w:rPr>
        <w:t>9</w:t>
      </w:r>
      <w:r>
        <w:rPr>
          <w:spacing w:val="3"/>
        </w:rPr>
        <w:t>位自然人共同发起设立的股份有限公</w:t>
      </w:r>
      <w:r>
        <w:rPr>
          <w:spacing w:val="-113"/>
        </w:rPr>
        <w:t> </w:t>
      </w:r>
      <w:r>
        <w:rPr>
          <w:spacing w:val="-113"/>
        </w:rPr>
      </w:r>
      <w:r>
        <w:rPr>
          <w:spacing w:val="32"/>
        </w:rPr>
        <w:t>司。公司于</w:t>
      </w:r>
      <w:r>
        <w:rPr>
          <w:spacing w:val="-79"/>
        </w:rPr>
        <w:t> </w:t>
      </w:r>
      <w:r>
        <w:rPr>
          <w:rFonts w:ascii="宋体" w:hAnsi="宋体" w:cs="宋体" w:eastAsia="宋体" w:hint="default"/>
        </w:rPr>
        <w:t>2009</w:t>
      </w:r>
      <w:r>
        <w:rPr>
          <w:rFonts w:ascii="宋体" w:hAnsi="宋体" w:cs="宋体" w:eastAsia="宋体" w:hint="default"/>
          <w:spacing w:val="-80"/>
        </w:rPr>
        <w:t> </w:t>
      </w:r>
      <w:r>
        <w:rPr/>
        <w:t>年</w:t>
      </w:r>
      <w:r>
        <w:rPr>
          <w:spacing w:val="-80"/>
        </w:rPr>
        <w:t> </w:t>
      </w:r>
      <w:r>
        <w:rPr>
          <w:rFonts w:ascii="宋体" w:hAnsi="宋体" w:cs="宋体" w:eastAsia="宋体" w:hint="default"/>
        </w:rPr>
        <w:t>9</w:t>
      </w:r>
      <w:r>
        <w:rPr>
          <w:rFonts w:ascii="宋体" w:hAnsi="宋体" w:cs="宋体" w:eastAsia="宋体" w:hint="default"/>
          <w:spacing w:val="-77"/>
        </w:rPr>
        <w:t> </w:t>
      </w:r>
      <w:r>
        <w:rPr/>
        <w:t>月</w:t>
      </w:r>
      <w:r>
        <w:rPr>
          <w:spacing w:val="-79"/>
        </w:rPr>
        <w:t> </w:t>
      </w:r>
      <w:r>
        <w:rPr>
          <w:rFonts w:ascii="宋体" w:hAnsi="宋体" w:cs="宋体" w:eastAsia="宋体" w:hint="default"/>
        </w:rPr>
        <w:t>29</w:t>
      </w:r>
      <w:r>
        <w:rPr>
          <w:rFonts w:ascii="宋体" w:hAnsi="宋体" w:cs="宋体" w:eastAsia="宋体" w:hint="default"/>
          <w:spacing w:val="-80"/>
        </w:rPr>
        <w:t> </w:t>
      </w:r>
      <w:r>
        <w:rPr/>
        <w:t>日</w:t>
      </w:r>
      <w:r>
        <w:rPr>
          <w:spacing w:val="-80"/>
        </w:rPr>
        <w:t> </w:t>
      </w:r>
      <w:r>
        <w:rPr/>
        <w:t>在</w:t>
      </w:r>
      <w:r>
        <w:rPr>
          <w:spacing w:val="-80"/>
        </w:rPr>
        <w:t> </w:t>
      </w:r>
      <w:r>
        <w:rPr/>
        <w:t>深</w:t>
      </w:r>
      <w:r>
        <w:rPr>
          <w:spacing w:val="-80"/>
        </w:rPr>
        <w:t> </w:t>
      </w:r>
      <w:r>
        <w:rPr/>
        <w:t>圳</w:t>
      </w:r>
      <w:r>
        <w:rPr>
          <w:spacing w:val="-80"/>
        </w:rPr>
        <w:t> </w:t>
      </w:r>
      <w:r>
        <w:rPr/>
        <w:t>证</w:t>
      </w:r>
      <w:r>
        <w:rPr>
          <w:spacing w:val="-80"/>
        </w:rPr>
        <w:t> </w:t>
      </w:r>
      <w:r>
        <w:rPr/>
        <w:t>券</w:t>
      </w:r>
      <w:r>
        <w:rPr>
          <w:spacing w:val="-78"/>
        </w:rPr>
        <w:t> </w:t>
      </w:r>
      <w:r>
        <w:rPr/>
        <w:t>交</w:t>
      </w:r>
      <w:r>
        <w:rPr>
          <w:spacing w:val="-80"/>
        </w:rPr>
        <w:t> </w:t>
      </w:r>
      <w:r>
        <w:rPr/>
        <w:t>易</w:t>
      </w:r>
      <w:r>
        <w:rPr>
          <w:spacing w:val="-80"/>
        </w:rPr>
        <w:t> </w:t>
      </w:r>
      <w:r>
        <w:rPr/>
        <w:t>所</w:t>
      </w:r>
      <w:r>
        <w:rPr>
          <w:spacing w:val="-80"/>
        </w:rPr>
        <w:t> </w:t>
      </w:r>
      <w:r>
        <w:rPr/>
        <w:t>上</w:t>
      </w:r>
      <w:r>
        <w:rPr>
          <w:spacing w:val="-80"/>
        </w:rPr>
        <w:t> </w:t>
      </w:r>
      <w:r>
        <w:rPr/>
        <w:t>市</w:t>
      </w:r>
      <w:r>
        <w:rPr>
          <w:spacing w:val="-80"/>
        </w:rPr>
        <w:t> </w:t>
      </w:r>
      <w:r>
        <w:rPr/>
        <w:t>，</w:t>
      </w:r>
      <w:r>
        <w:rPr>
          <w:spacing w:val="-80"/>
        </w:rPr>
        <w:t> </w:t>
      </w:r>
      <w:r>
        <w:rPr/>
        <w:t>现</w:t>
      </w:r>
      <w:r>
        <w:rPr>
          <w:spacing w:val="-80"/>
        </w:rPr>
        <w:t> </w:t>
      </w:r>
      <w:r>
        <w:rPr/>
        <w:t>持</w:t>
      </w:r>
      <w:r>
        <w:rPr>
          <w:spacing w:val="-78"/>
        </w:rPr>
        <w:t> </w:t>
      </w:r>
      <w:r>
        <w:rPr/>
        <w:t>有</w:t>
      </w:r>
      <w:r>
        <w:rPr>
          <w:spacing w:val="-80"/>
        </w:rPr>
        <w:t> </w:t>
      </w:r>
      <w:r>
        <w:rPr/>
        <w:t>统</w:t>
      </w:r>
      <w:r>
        <w:rPr>
          <w:spacing w:val="-80"/>
        </w:rPr>
        <w:t> </w:t>
      </w:r>
      <w:r>
        <w:rPr/>
        <w:t>一</w:t>
      </w:r>
      <w:r>
        <w:rPr>
          <w:spacing w:val="-80"/>
        </w:rPr>
        <w:t> </w:t>
      </w:r>
      <w:r>
        <w:rPr/>
        <w:t>社</w:t>
      </w:r>
      <w:r>
        <w:rPr>
          <w:spacing w:val="-80"/>
        </w:rPr>
        <w:t> </w:t>
      </w:r>
      <w:r>
        <w:rPr/>
        <w:t>会</w:t>
      </w:r>
      <w:r>
        <w:rPr>
          <w:spacing w:val="-80"/>
        </w:rPr>
        <w:t> </w:t>
      </w:r>
      <w:r>
        <w:rPr/>
        <w:t>信</w:t>
      </w:r>
      <w:r>
        <w:rPr>
          <w:spacing w:val="-80"/>
        </w:rPr>
        <w:t> </w:t>
      </w:r>
      <w:r>
        <w:rPr/>
        <w:t>用</w:t>
      </w:r>
      <w:r>
        <w:rPr>
          <w:spacing w:val="-80"/>
        </w:rPr>
        <w:t> </w:t>
      </w:r>
      <w:r>
        <w:rPr/>
        <w:t>代</w:t>
      </w:r>
      <w:r>
        <w:rPr>
          <w:spacing w:val="-78"/>
        </w:rPr>
        <w:t> </w:t>
      </w:r>
      <w:r>
        <w:rPr/>
        <w:t>码</w:t>
      </w:r>
      <w:r>
        <w:rPr>
          <w:spacing w:val="-80"/>
        </w:rPr>
        <w:t> </w:t>
      </w:r>
      <w:r>
        <w:rPr/>
        <w:t>为</w:t>
      </w:r>
      <w:r>
        <w:rPr/>
        <w:t> </w:t>
      </w:r>
      <w:r>
        <w:rPr>
          <w:rFonts w:ascii="宋体" w:hAnsi="宋体" w:cs="宋体" w:eastAsia="宋体" w:hint="default"/>
        </w:rPr>
        <w:t>914101007324826746</w:t>
      </w:r>
      <w:r>
        <w:rPr/>
        <w:t>的营业执照。</w:t>
      </w:r>
    </w:p>
    <w:p>
      <w:pPr>
        <w:pStyle w:val="BodyText"/>
        <w:spacing w:line="352" w:lineRule="auto" w:before="34"/>
        <w:ind w:right="1131" w:firstLine="480"/>
        <w:jc w:val="both"/>
      </w:pPr>
      <w:r>
        <w:rPr/>
        <w:t>经过历年的派送红股、配售新股、转增股本及增发新股，截止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 累计发行股本总数</w:t>
      </w:r>
      <w:r>
        <w:rPr>
          <w:rFonts w:ascii="宋体" w:hAnsi="宋体" w:cs="宋体" w:eastAsia="宋体" w:hint="default"/>
        </w:rPr>
        <w:t>37,665.642</w:t>
      </w:r>
      <w:r>
        <w:rPr/>
        <w:t>万股，注册资本为</w:t>
      </w:r>
      <w:r>
        <w:rPr>
          <w:rFonts w:ascii="宋体" w:hAnsi="宋体" w:cs="宋体" w:eastAsia="宋体" w:hint="default"/>
        </w:rPr>
        <w:t>37,665.642</w:t>
      </w:r>
      <w:r>
        <w:rPr/>
        <w:t>万元，注册地址：郑州市高新技</w:t>
      </w:r>
      <w:r>
        <w:rPr>
          <w:spacing w:val="-85"/>
        </w:rPr>
        <w:t> </w:t>
      </w:r>
      <w:r>
        <w:rPr>
          <w:spacing w:val="-85"/>
        </w:rPr>
      </w:r>
      <w:r>
        <w:rPr/>
        <w:t>术产业开发区科学大道</w:t>
      </w:r>
      <w:r>
        <w:rPr>
          <w:rFonts w:ascii="宋体" w:hAnsi="宋体" w:cs="宋体" w:eastAsia="宋体" w:hint="default"/>
        </w:rPr>
        <w:t>74</w:t>
      </w:r>
      <w:r>
        <w:rPr/>
        <w:t>号，总部地址：郑州市高新技术产业开发区科学大道</w:t>
      </w:r>
      <w:r>
        <w:rPr>
          <w:rFonts w:ascii="宋体" w:hAnsi="宋体" w:cs="宋体" w:eastAsia="宋体" w:hint="default"/>
        </w:rPr>
        <w:t>74</w:t>
      </w:r>
      <w:r>
        <w:rPr/>
        <w:t>号，公司第</w:t>
      </w:r>
      <w:r>
        <w:rPr>
          <w:spacing w:val="-88"/>
        </w:rPr>
        <w:t> </w:t>
      </w:r>
      <w:r>
        <w:rPr>
          <w:spacing w:val="-88"/>
        </w:rPr>
      </w:r>
      <w:r>
        <w:rPr/>
        <w:t>一大股东为李海鹰，持股比例为</w:t>
      </w:r>
      <w:r>
        <w:rPr>
          <w:rFonts w:ascii="宋体" w:hAnsi="宋体" w:cs="宋体" w:eastAsia="宋体" w:hint="default"/>
        </w:rPr>
        <w:t>9.31%</w:t>
      </w:r>
      <w:r>
        <w:rPr/>
        <w:t>。</w:t>
      </w:r>
    </w:p>
    <w:p>
      <w:pPr>
        <w:spacing w:before="90"/>
        <w:ind w:left="513" w:right="996" w:firstLine="0"/>
        <w:jc w:val="left"/>
        <w:rPr>
          <w:rFonts w:ascii="宋体" w:hAnsi="宋体" w:cs="宋体" w:eastAsia="宋体" w:hint="default"/>
          <w:sz w:val="21"/>
          <w:szCs w:val="21"/>
        </w:rPr>
      </w:pPr>
      <w:r>
        <w:rPr>
          <w:rFonts w:ascii="宋体" w:hAnsi="宋体" w:cs="宋体" w:eastAsia="宋体" w:hint="default"/>
          <w:b/>
          <w:bCs/>
          <w:sz w:val="21"/>
          <w:szCs w:val="21"/>
        </w:rPr>
        <w:t>（二）经营范围</w:t>
      </w:r>
      <w:r>
        <w:rPr>
          <w:rFonts w:ascii="宋体" w:hAnsi="宋体" w:cs="宋体" w:eastAsia="宋体" w:hint="default"/>
          <w:sz w:val="21"/>
          <w:szCs w:val="21"/>
        </w:rPr>
      </w:r>
    </w:p>
    <w:p>
      <w:pPr>
        <w:pStyle w:val="BodyText"/>
        <w:spacing w:line="350" w:lineRule="auto" w:before="136"/>
        <w:ind w:right="996" w:firstLine="480"/>
        <w:jc w:val="left"/>
      </w:pPr>
      <w:r>
        <w:rPr/>
        <w:t>公司主要经营范围：机电液一体化技术、计算机软件、电子控制技术、铁路专用设备、 </w:t>
      </w:r>
      <w:r>
        <w:rPr>
          <w:spacing w:val="-3"/>
        </w:rPr>
        <w:t>电气设备的研发、销售并提供技术咨询、技术开发、技术转让、技术推广；计算机监控设备、</w:t>
      </w:r>
      <w:r>
        <w:rPr>
          <w:spacing w:val="-82"/>
        </w:rPr>
        <w:t> </w:t>
      </w:r>
      <w:r>
        <w:rPr>
          <w:spacing w:val="-82"/>
        </w:rPr>
      </w:r>
      <w:r>
        <w:rPr/>
        <w:t>电子产品的设计、开发、生产；通讯设备（凭有效批准证书并按其核定和范围经营）、电子</w:t>
      </w:r>
      <w:r>
        <w:rPr>
          <w:spacing w:val="-91"/>
        </w:rPr>
        <w:t> </w:t>
      </w:r>
      <w:r>
        <w:rPr>
          <w:spacing w:val="-91"/>
        </w:rPr>
      </w:r>
      <w:r>
        <w:rPr/>
        <w:t>器件、仪器仪表、电子产品的销售；软件开发；信息服务；计算机系统集成：铁路电务工程</w:t>
      </w:r>
      <w:r>
        <w:rPr>
          <w:spacing w:val="-91"/>
        </w:rPr>
        <w:t> </w:t>
      </w:r>
      <w:r>
        <w:rPr>
          <w:spacing w:val="-91"/>
        </w:rPr>
      </w:r>
      <w:r>
        <w:rPr>
          <w:spacing w:val="-2"/>
        </w:rPr>
        <w:t>施工（凭有效资质证核定的范围和期限经营，未获审批前，不得经营）；设计、制作、代理、</w:t>
      </w:r>
      <w:r>
        <w:rPr/>
        <w:t> 发布国内广告业务、会议及展览展示业务。</w:t>
      </w:r>
    </w:p>
    <w:p>
      <w:pPr>
        <w:pStyle w:val="BodyText"/>
        <w:spacing w:line="355" w:lineRule="auto" w:before="93"/>
        <w:ind w:left="633" w:right="996" w:hanging="120"/>
        <w:jc w:val="left"/>
      </w:pPr>
      <w:r>
        <w:rPr>
          <w:rFonts w:ascii="宋体" w:hAnsi="宋体" w:cs="宋体" w:eastAsia="宋体" w:hint="default"/>
          <w:b/>
          <w:bCs/>
          <w:sz w:val="21"/>
          <w:szCs w:val="21"/>
        </w:rPr>
        <w:t>（三）公司业务性质和主要经营活动</w:t>
      </w:r>
      <w:r>
        <w:rPr>
          <w:rFonts w:ascii="宋体" w:hAnsi="宋体" w:cs="宋体" w:eastAsia="宋体" w:hint="default"/>
          <w:b/>
          <w:bCs/>
          <w:w w:val="100"/>
          <w:sz w:val="21"/>
          <w:szCs w:val="21"/>
        </w:rPr>
        <w:t> </w:t>
      </w:r>
      <w:r>
        <w:rPr/>
        <w:t>公司的主营业务为铁路通信信号领域产品的研制开发、生产及销售。 公司的主要产品为铁路通信信号和铁路运输调度指挥管理领域的软件和系统集成产品，</w:t>
      </w:r>
    </w:p>
    <w:p>
      <w:pPr>
        <w:pStyle w:val="BodyText"/>
        <w:spacing w:line="352" w:lineRule="auto" w:before="29"/>
        <w:ind w:right="996"/>
        <w:jc w:val="left"/>
      </w:pPr>
      <w:r>
        <w:rPr/>
        <w:t>具体为：设备监测类产品：包括信号集中监测及子系统、融雪系统、信号维护支持系统、道</w:t>
      </w:r>
      <w:r>
        <w:rPr>
          <w:spacing w:val="-91"/>
        </w:rPr>
        <w:t> </w:t>
      </w:r>
      <w:r>
        <w:rPr>
          <w:spacing w:val="-91"/>
        </w:rPr>
      </w:r>
      <w:r>
        <w:rPr/>
        <w:t>岔缺口监测、道岔综合监测、电务设备动态监测分析系统等；安防类产品：包括铁路防灾安</w:t>
      </w:r>
    </w:p>
    <w:p>
      <w:pPr>
        <w:spacing w:after="0" w:line="35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996"/>
        <w:jc w:val="left"/>
      </w:pPr>
      <w:r>
        <w:rPr/>
        <w:t>全监控系统、铁路综合视频监控系统、城轨综合监控系统、动力环境监控等；生产指挥及运</w:t>
      </w:r>
      <w:r>
        <w:rPr>
          <w:spacing w:val="-91"/>
        </w:rPr>
        <w:t> </w:t>
      </w:r>
      <w:r>
        <w:rPr>
          <w:spacing w:val="-91"/>
        </w:rPr>
      </w:r>
      <w:r>
        <w:rPr>
          <w:spacing w:val="-2"/>
        </w:rPr>
        <w:t>输调度信息化类产品：包括电务生产指挥、铁路安全生产指挥综合系统等；信号控制类产品：</w:t>
      </w:r>
      <w:r>
        <w:rPr>
          <w:spacing w:val="-117"/>
        </w:rPr>
        <w:t> </w:t>
      </w:r>
      <w:r>
        <w:rPr>
          <w:spacing w:val="-117"/>
        </w:rPr>
      </w:r>
      <w:r>
        <w:rPr/>
        <w:t>包括无线调车机车信号、计算机联锁等；电源类设备产品：包括电源屏设备及子系统；信号</w:t>
      </w:r>
      <w:r>
        <w:rPr>
          <w:spacing w:val="-91"/>
        </w:rPr>
        <w:t> </w:t>
      </w:r>
      <w:r>
        <w:rPr>
          <w:spacing w:val="-91"/>
        </w:rPr>
      </w:r>
      <w:r>
        <w:rPr/>
        <w:t>设备及器材产品：包括信号设备及器材、道岔转辙机、水冲洗设备产品等。</w:t>
      </w:r>
    </w:p>
    <w:p>
      <w:pPr>
        <w:pStyle w:val="BodyText"/>
        <w:spacing w:line="355" w:lineRule="auto" w:before="93"/>
        <w:ind w:left="633" w:right="4273" w:hanging="120"/>
        <w:jc w:val="left"/>
      </w:pPr>
      <w:r>
        <w:rPr/>
        <w:pict>
          <v:shape style="position:absolute;margin-left:56.279999pt;margin-top:66.833656pt;width:428.3pt;height:212.4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2"/>
                    <w:gridCol w:w="1260"/>
                    <w:gridCol w:w="725"/>
                    <w:gridCol w:w="1514"/>
                    <w:gridCol w:w="1517"/>
                  </w:tblGrid>
                  <w:tr>
                    <w:trPr>
                      <w:trHeight w:val="355"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1"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河南辉煌软件有限公司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河南辉煌信通软件有限公司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北京全路信通软件科技有限公司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河南辉煌城轨科技有限公司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北京国铁路阳技术有限公司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天津信通铁路电气技术有限公司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北京国铁路阳软件有限公司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天津辉煌路阳科技有限公司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成都西南交大驱动技术有限责任公司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51.00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成都新一驱动科技有限责任公司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洛阳辉煌城轨科技有限公司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宋体" w:hAnsi="宋体" w:cs="宋体" w:eastAsia="宋体" w:hint="default"/>
          <w:b/>
          <w:bCs/>
          <w:sz w:val="21"/>
          <w:szCs w:val="21"/>
        </w:rPr>
        <w:t>（四）财务报表的批准报出</w:t>
      </w:r>
      <w:r>
        <w:rPr>
          <w:rFonts w:ascii="宋体" w:hAnsi="宋体" w:cs="宋体" w:eastAsia="宋体" w:hint="default"/>
          <w:b/>
          <w:bCs/>
          <w:w w:val="100"/>
          <w:sz w:val="21"/>
          <w:szCs w:val="21"/>
        </w:rPr>
        <w:t> </w:t>
      </w:r>
      <w:r>
        <w:rPr/>
        <w:t>本财务报表业经公司董事会于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9</w:t>
      </w:r>
      <w:r>
        <w:rPr/>
        <w:t>日批准报出。 本期纳入合并财务报表范围的子公司共</w:t>
      </w:r>
      <w:r>
        <w:rPr>
          <w:rFonts w:ascii="宋体" w:hAnsi="宋体" w:cs="宋体" w:eastAsia="宋体" w:hint="default"/>
        </w:rPr>
        <w:t>11</w:t>
      </w:r>
      <w:r>
        <w:rPr/>
        <w:t>户，具体包括：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52" w:lineRule="auto" w:before="26"/>
        <w:ind w:right="996" w:firstLine="480"/>
        <w:jc w:val="left"/>
      </w:pPr>
      <w:r>
        <w:rPr/>
        <w:pict>
          <v:shape style="position:absolute;margin-left:56.400002pt;margin-top:43.035618pt;width:427.2pt;height:34.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1"/>
                    <w:gridCol w:w="5159"/>
                  </w:tblGrid>
                  <w:tr>
                    <w:trPr>
                      <w:trHeight w:val="34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洛阳辉煌城轨科技有限公司</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新设增加</w:t>
                        </w:r>
                      </w:p>
                    </w:tc>
                  </w:tr>
                </w:tbl>
                <w:p>
                  <w:pPr/>
                </w:p>
              </w:txbxContent>
            </v:textbox>
            <w10:wrap type="none"/>
          </v:shape>
        </w:pict>
      </w:r>
      <w:r>
        <w:rPr>
          <w:spacing w:val="-3"/>
        </w:rPr>
        <w:t>本期纳入合并财务报表范围的主体较上期相比，增加</w:t>
      </w:r>
      <w:r>
        <w:rPr>
          <w:rFonts w:ascii="宋体" w:hAnsi="宋体" w:cs="宋体" w:eastAsia="宋体" w:hint="default"/>
          <w:spacing w:val="-3"/>
        </w:rPr>
        <w:t>1</w:t>
      </w:r>
      <w:r>
        <w:rPr>
          <w:spacing w:val="-3"/>
        </w:rPr>
        <w:t>户。本期新纳入合并范围的子公司</w:t>
      </w:r>
      <w:r>
        <w:rPr/>
        <w:t> 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2" w:lineRule="auto" w:before="204"/>
        <w:ind w:right="996" w:firstLine="480"/>
        <w:jc w:val="left"/>
      </w:pPr>
      <w:r>
        <w:rPr/>
        <w:t>注：洛阳辉煌城轨科技有限公司自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5</w:t>
      </w:r>
      <w:r>
        <w:rPr/>
        <w:t>日新设成立，截止报表日该公司尚未开展 经营。</w:t>
      </w:r>
    </w:p>
    <w:p>
      <w:pPr>
        <w:pStyle w:val="Heading2"/>
        <w:spacing w:line="240" w:lineRule="auto" w:before="206"/>
        <w:ind w:right="996"/>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编制基础" w:id="167"/>
      <w:bookmarkEnd w:id="1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right="1002" w:firstLine="480"/>
        <w:jc w:val="left"/>
      </w:pPr>
      <w:r>
        <w:rPr/>
        <w:t>本公司根据实际发生的交易和事项，按照财政部颁布的《企业会计准则——基本准则》 和具体企业会计准则、企业会计准则应用指南、企业会计准则解释及其他相关规定（以下合</w:t>
      </w:r>
      <w:r>
        <w:rPr>
          <w:spacing w:val="-91"/>
        </w:rPr>
        <w:t> </w:t>
      </w:r>
      <w:r>
        <w:rPr>
          <w:spacing w:val="-91"/>
        </w:rPr>
      </w:r>
      <w:r>
        <w:rPr/>
        <w:t>称“企业会计准则”）进行确认和计量，在此基础上，结合中国证券监督管理委员会《公开</w:t>
      </w:r>
      <w:r>
        <w:rPr>
          <w:spacing w:val="-91"/>
        </w:rPr>
        <w:t> </w:t>
      </w:r>
      <w:r>
        <w:rPr>
          <w:spacing w:val="-91"/>
        </w:rPr>
      </w:r>
      <w:r>
        <w:rPr>
          <w:spacing w:val="-2"/>
        </w:rPr>
        <w:t>发行证券的公司信息披露编报规则第</w:t>
      </w:r>
      <w:r>
        <w:rPr>
          <w:rFonts w:ascii="宋体" w:hAnsi="宋体" w:cs="宋体" w:eastAsia="宋体" w:hint="default"/>
          <w:spacing w:val="-2"/>
        </w:rPr>
        <w:t>15</w:t>
      </w:r>
      <w:r>
        <w:rPr>
          <w:spacing w:val="-2"/>
        </w:rPr>
        <w:t>号——财务报告的一般规定》（</w:t>
      </w:r>
      <w:r>
        <w:rPr>
          <w:rFonts w:ascii="宋体" w:hAnsi="宋体" w:cs="宋体" w:eastAsia="宋体" w:hint="default"/>
          <w:spacing w:val="-2"/>
        </w:rPr>
        <w:t>2014</w:t>
      </w:r>
      <w:r>
        <w:rPr>
          <w:spacing w:val="-2"/>
        </w:rPr>
        <w:t>年修订）的规定，</w:t>
      </w:r>
      <w:r>
        <w:rPr>
          <w:spacing w:val="-114"/>
        </w:rPr>
        <w:t> </w:t>
      </w:r>
      <w:r>
        <w:rPr>
          <w:spacing w:val="-114"/>
        </w:rPr>
      </w:r>
      <w:r>
        <w:rPr/>
        <w:t>编制财务报表。</w:t>
      </w:r>
    </w:p>
    <w:p>
      <w:pPr>
        <w:spacing w:after="0" w:line="352"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2、持续经营" w:id="168"/>
      <w:bookmarkEnd w:id="1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350" w:lineRule="auto"/>
        <w:ind w:right="996" w:firstLine="480"/>
        <w:jc w:val="left"/>
      </w:pPr>
      <w:r>
        <w:rPr/>
        <w:t>本公司对报告期末起</w:t>
      </w:r>
      <w:r>
        <w:rPr>
          <w:rFonts w:ascii="宋体" w:hAnsi="宋体" w:cs="宋体" w:eastAsia="宋体" w:hint="default"/>
        </w:rPr>
        <w:t>12</w:t>
      </w:r>
      <w:r>
        <w:rPr/>
        <w:t>个月的持续经营能力进行了评价，未发现对持续经营能力产生重 大怀疑的事项或情况。因此，本财务报表系在持续经营假设的基础上编制。</w:t>
      </w:r>
    </w:p>
    <w:p>
      <w:pPr>
        <w:spacing w:line="564" w:lineRule="auto" w:before="211"/>
        <w:ind w:left="633" w:right="6672" w:hanging="481"/>
        <w:jc w:val="left"/>
        <w:rPr>
          <w:rFonts w:ascii="宋体" w:hAnsi="宋体" w:cs="宋体" w:eastAsia="宋体" w:hint="default"/>
          <w:sz w:val="24"/>
          <w:szCs w:val="24"/>
        </w:rPr>
      </w:pPr>
      <w:bookmarkStart w:name="五、重要会计政策及会计估计" w:id="169"/>
      <w:bookmarkEnd w:id="169"/>
      <w:r>
        <w:rPr/>
      </w: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r>
        <w:rPr>
          <w:rFonts w:ascii="宋体" w:hAnsi="宋体" w:cs="宋体" w:eastAsia="宋体" w:hint="default"/>
          <w:sz w:val="24"/>
          <w:szCs w:val="24"/>
        </w:rPr>
        <w:t>具体会计政策和会计估计提示：</w:t>
      </w:r>
      <w:r>
        <w:rPr>
          <w:rFonts w:ascii="宋体" w:hAnsi="宋体" w:cs="宋体" w:eastAsia="宋体" w:hint="default"/>
          <w:b/>
          <w:bCs/>
          <w:sz w:val="24"/>
          <w:szCs w:val="24"/>
        </w:rPr>
        <w:t>无</w:t>
      </w:r>
      <w:r>
        <w:rPr>
          <w:rFonts w:ascii="宋体" w:hAnsi="宋体" w:cs="宋体" w:eastAsia="宋体" w:hint="default"/>
          <w:sz w:val="24"/>
          <w:szCs w:val="24"/>
        </w:rPr>
      </w:r>
    </w:p>
    <w:p>
      <w:pPr>
        <w:spacing w:line="240" w:lineRule="auto" w:before="8"/>
        <w:rPr>
          <w:rFonts w:ascii="宋体" w:hAnsi="宋体" w:cs="宋体" w:eastAsia="宋体" w:hint="default"/>
          <w:b/>
          <w:bCs/>
          <w:sz w:val="25"/>
          <w:szCs w:val="25"/>
        </w:rPr>
      </w:pPr>
    </w:p>
    <w:p>
      <w:pPr>
        <w:spacing w:before="0"/>
        <w:ind w:left="152" w:right="996" w:firstLine="0"/>
        <w:jc w:val="left"/>
        <w:rPr>
          <w:rFonts w:ascii="宋体" w:hAnsi="宋体" w:cs="宋体" w:eastAsia="宋体" w:hint="default"/>
          <w:sz w:val="21"/>
          <w:szCs w:val="21"/>
        </w:rPr>
      </w:pPr>
      <w:bookmarkStart w:name="1、遵循企业会计准则的声明"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350" w:lineRule="auto" w:before="160"/>
        <w:ind w:right="996" w:firstLine="480"/>
        <w:jc w:val="left"/>
      </w:pPr>
      <w:r>
        <w:rPr/>
        <w:t>本公司所编制的财务报表符合企业会计准则的要求，真实、完整地反映了报告期公司的 财务状况、经营成果、现金流量等有关信息。</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2、会计期间"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8"/>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营业周期" w:id="172"/>
      <w:bookmarkEnd w:id="1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记账本位币" w:id="173"/>
      <w:bookmarkEnd w:id="17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采用人民币为记账本位币。</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同一控制下和非同一控制下企业合并的会计处理方法" w:id="174"/>
      <w:bookmarkEnd w:id="17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3"/>
        <w:rPr>
          <w:rFonts w:ascii="宋体" w:hAnsi="宋体" w:cs="宋体" w:eastAsia="宋体" w:hint="default"/>
          <w:b/>
          <w:bCs/>
          <w:sz w:val="32"/>
          <w:szCs w:val="32"/>
        </w:rPr>
      </w:pPr>
    </w:p>
    <w:p>
      <w:pPr>
        <w:pStyle w:val="BodyText"/>
        <w:spacing w:line="352" w:lineRule="auto"/>
        <w:ind w:right="996" w:firstLine="480"/>
        <w:jc w:val="left"/>
      </w:pPr>
      <w:r>
        <w:rPr>
          <w:spacing w:val="-3"/>
        </w:rPr>
        <w:t>（</w:t>
      </w:r>
      <w:r>
        <w:rPr>
          <w:rFonts w:ascii="宋体" w:hAnsi="宋体" w:cs="宋体" w:eastAsia="宋体" w:hint="default"/>
          <w:spacing w:val="-3"/>
        </w:rPr>
        <w:t>1</w:t>
      </w:r>
      <w:r>
        <w:rPr>
          <w:spacing w:val="-3"/>
        </w:rPr>
        <w:t>）分步实现企业合并过程中的各项交易的条款、条件以及经济影响符合以下一种或多</w:t>
      </w:r>
      <w:r>
        <w:rPr/>
        <w:t> 种情况，将多次交易事项作为一揽子交易进行会计处理</w:t>
      </w:r>
    </w:p>
    <w:p>
      <w:pPr>
        <w:pStyle w:val="BodyText"/>
        <w:spacing w:line="240" w:lineRule="auto" w:before="31"/>
        <w:ind w:left="633" w:right="996"/>
        <w:jc w:val="left"/>
      </w:pPr>
      <w:r>
        <w:rPr/>
        <w:t>①这些交易是同时或者在考虑了彼此影响的情况下订立的；</w:t>
      </w:r>
    </w:p>
    <w:p>
      <w:pPr>
        <w:pStyle w:val="BodyText"/>
        <w:spacing w:line="240" w:lineRule="auto" w:before="146"/>
        <w:ind w:left="633" w:right="996"/>
        <w:jc w:val="left"/>
      </w:pPr>
      <w:r>
        <w:rPr/>
        <w:t>②这些交易整体才能达成一项完整的商业结果；</w:t>
      </w:r>
    </w:p>
    <w:p>
      <w:pPr>
        <w:pStyle w:val="BodyText"/>
        <w:spacing w:line="240" w:lineRule="auto" w:before="146"/>
        <w:ind w:left="633" w:right="996"/>
        <w:jc w:val="left"/>
      </w:pPr>
      <w:r>
        <w:rPr/>
        <w:t>③一项交易的发生取决于其他至少一项交易的发生；</w:t>
      </w:r>
    </w:p>
    <w:p>
      <w:pPr>
        <w:pStyle w:val="BodyText"/>
        <w:spacing w:line="240" w:lineRule="auto" w:before="144"/>
        <w:ind w:left="633" w:right="996"/>
        <w:jc w:val="left"/>
      </w:pPr>
      <w:r>
        <w:rPr/>
        <w:t>④一项交易单独看是不经济的，但是和其他交易一并考虑时是经济的。</w:t>
      </w:r>
    </w:p>
    <w:p>
      <w:pPr>
        <w:pStyle w:val="BodyText"/>
        <w:spacing w:line="240" w:lineRule="auto" w:before="146"/>
        <w:ind w:left="633" w:right="996"/>
        <w:jc w:val="left"/>
      </w:pPr>
      <w:r>
        <w:rPr/>
        <w:t>（</w:t>
      </w:r>
      <w:r>
        <w:rPr>
          <w:rFonts w:ascii="宋体" w:hAnsi="宋体" w:cs="宋体" w:eastAsia="宋体" w:hint="default"/>
        </w:rPr>
        <w:t>2</w:t>
      </w:r>
      <w:r>
        <w:rPr/>
        <w:t>）同一控制下的企业合并</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9" w:firstLine="480"/>
        <w:jc w:val="both"/>
      </w:pPr>
      <w:r>
        <w:rPr/>
        <w:t>本公司在企业合并中取得的资产和负债，按照合并日在被合并方资产、负债（包括最终 控制方收购被合并方而形成的商誉）在最终控制方合并财务报表中的账面价值计量。在合并</w:t>
      </w:r>
      <w:r>
        <w:rPr>
          <w:spacing w:val="-91"/>
        </w:rPr>
        <w:t> </w:t>
      </w:r>
      <w:r>
        <w:rPr>
          <w:spacing w:val="-91"/>
        </w:rPr>
      </w:r>
      <w:r>
        <w:rPr/>
        <w:t>中取得的净资产账面价值与支付的合并对价账面价值（或发行股份面值总额）的差额，调整</w:t>
      </w:r>
      <w:r>
        <w:rPr>
          <w:spacing w:val="-91"/>
        </w:rPr>
        <w:t> </w:t>
      </w:r>
      <w:r>
        <w:rPr>
          <w:spacing w:val="-91"/>
        </w:rPr>
      </w:r>
      <w:r>
        <w:rPr/>
        <w:t>资本公积中的股本溢价，资本公积中的股本溢价不足冲减的，调整留存收益。</w:t>
      </w:r>
    </w:p>
    <w:p>
      <w:pPr>
        <w:pStyle w:val="BodyText"/>
        <w:spacing w:line="350" w:lineRule="auto" w:before="36"/>
        <w:ind w:right="996" w:firstLine="480"/>
        <w:jc w:val="left"/>
      </w:pPr>
      <w:r>
        <w:rPr/>
        <w:t>如果存在或有对价并需要确认预计负债或资产，该预计负债或资产金额与后续或有对价 </w:t>
      </w:r>
      <w:r>
        <w:rPr>
          <w:spacing w:val="-3"/>
        </w:rPr>
        <w:t>结算金额的差额，调整资本公积（资本溢价或股本溢价），资本公积不足的，调整留存收益。</w:t>
      </w:r>
    </w:p>
    <w:p>
      <w:pPr>
        <w:pStyle w:val="BodyText"/>
        <w:spacing w:line="350" w:lineRule="auto" w:before="36"/>
        <w:ind w:right="996" w:firstLine="480"/>
        <w:jc w:val="left"/>
      </w:pPr>
      <w:r>
        <w:rPr/>
        <w:t>对于通过多次交易最终实现企业合并的，属于一揽子交易的，将各项交易作为一项取得 控制权的交易进行会计处理；不属于一揽子交易的，在取得控制权日，长期股权投资初始投</w:t>
      </w:r>
      <w:r>
        <w:rPr>
          <w:spacing w:val="-91"/>
        </w:rPr>
        <w:t> </w:t>
      </w:r>
      <w:r>
        <w:rPr>
          <w:spacing w:val="-91"/>
        </w:rPr>
      </w:r>
      <w:r>
        <w:rPr/>
        <w:t>资成本，与达到合并前的长期股权投资账面价值加上合并日进一步取得股份新支付对价的账</w:t>
      </w:r>
      <w:r>
        <w:rPr>
          <w:spacing w:val="-91"/>
        </w:rPr>
        <w:t> </w:t>
      </w:r>
      <w:r>
        <w:rPr>
          <w:spacing w:val="-91"/>
        </w:rPr>
      </w:r>
      <w:r>
        <w:rPr/>
        <w:t>面价值之和的差额，调整资本公积；资本公积不足冲减的，调整留存收益。对于合并日之前</w:t>
      </w:r>
      <w:r>
        <w:rPr>
          <w:spacing w:val="-91"/>
        </w:rPr>
        <w:t> </w:t>
      </w:r>
      <w:r>
        <w:rPr>
          <w:spacing w:val="-91"/>
        </w:rPr>
      </w:r>
      <w:r>
        <w:rPr>
          <w:spacing w:val="-2"/>
        </w:rPr>
        <w:t>持有的股权投资，因采用权益法核算或金融工具确认和计量准则核算而确认的其他综合收益，</w:t>
      </w:r>
      <w:r>
        <w:rPr/>
        <w:t> 暂不进行会计处理，直至处置该项投资时采用与被投资单位直接处置相关资产或负债相同的</w:t>
      </w:r>
      <w:r>
        <w:rPr>
          <w:spacing w:val="-90"/>
        </w:rPr>
        <w:t> </w:t>
      </w:r>
      <w:r>
        <w:rPr>
          <w:spacing w:val="-90"/>
        </w:rPr>
      </w:r>
      <w:r>
        <w:rPr/>
        <w:t>基础进行会计处理；因采用权益法核算而确认的被投资单位净资产中除净损益、其他综合收</w:t>
      </w:r>
      <w:r>
        <w:rPr>
          <w:spacing w:val="-91"/>
        </w:rPr>
        <w:t> </w:t>
      </w:r>
      <w:r>
        <w:rPr>
          <w:spacing w:val="-91"/>
        </w:rPr>
      </w:r>
      <w:r>
        <w:rPr/>
        <w:t>益和利润分配以外的所有者权益其他变动，暂不进行会计处理，直至处置该项投资时转入当</w:t>
      </w:r>
      <w:r>
        <w:rPr>
          <w:spacing w:val="-91"/>
        </w:rPr>
        <w:t> </w:t>
      </w:r>
      <w:r>
        <w:rPr>
          <w:spacing w:val="-91"/>
        </w:rPr>
      </w:r>
      <w:r>
        <w:rPr/>
        <w:t>期损益。</w:t>
      </w:r>
    </w:p>
    <w:p>
      <w:pPr>
        <w:pStyle w:val="BodyText"/>
        <w:spacing w:line="352" w:lineRule="auto" w:before="36"/>
        <w:ind w:left="633" w:right="996"/>
        <w:jc w:val="left"/>
      </w:pPr>
      <w:r>
        <w:rPr/>
        <w:t>（</w:t>
      </w:r>
      <w:r>
        <w:rPr>
          <w:rFonts w:ascii="宋体" w:hAnsi="宋体" w:cs="宋体" w:eastAsia="宋体" w:hint="default"/>
        </w:rPr>
        <w:t>3</w:t>
      </w:r>
      <w:r>
        <w:rPr/>
        <w:t>）非同一控制下的企业合并 购买日是指本公司实际取得对被购买方控制权的日期，即被购买方的净资产或生产经营</w:t>
      </w:r>
    </w:p>
    <w:p>
      <w:pPr>
        <w:pStyle w:val="BodyText"/>
        <w:spacing w:line="352" w:lineRule="auto" w:before="31"/>
        <w:ind w:right="996"/>
        <w:jc w:val="left"/>
      </w:pPr>
      <w:r>
        <w:rPr/>
        <w:t>决策的控制权转移给本公司的日期。同时满足下列条件时，本公司一般认为实现了控制权的</w:t>
      </w:r>
      <w:r>
        <w:rPr>
          <w:spacing w:val="-91"/>
        </w:rPr>
        <w:t> </w:t>
      </w:r>
      <w:r>
        <w:rPr>
          <w:spacing w:val="-91"/>
        </w:rPr>
      </w:r>
      <w:r>
        <w:rPr/>
        <w:t>转移：</w:t>
      </w:r>
    </w:p>
    <w:p>
      <w:pPr>
        <w:pStyle w:val="BodyText"/>
        <w:spacing w:line="240" w:lineRule="auto" w:before="34"/>
        <w:ind w:left="633" w:right="996"/>
        <w:jc w:val="left"/>
      </w:pPr>
      <w:r>
        <w:rPr/>
        <w:t>①企业合并合同或协议已获本公司内部权力机构通过。</w:t>
      </w:r>
    </w:p>
    <w:p>
      <w:pPr>
        <w:pStyle w:val="BodyText"/>
        <w:spacing w:line="240" w:lineRule="auto" w:before="144"/>
        <w:ind w:left="633" w:right="996"/>
        <w:jc w:val="left"/>
      </w:pPr>
      <w:r>
        <w:rPr/>
        <w:t>②企业合并事项需要经过国家有关主管部门审批的，已获得批准。</w:t>
      </w:r>
    </w:p>
    <w:p>
      <w:pPr>
        <w:pStyle w:val="BodyText"/>
        <w:spacing w:line="240" w:lineRule="auto" w:before="146"/>
        <w:ind w:left="633" w:right="996"/>
        <w:jc w:val="left"/>
      </w:pPr>
      <w:r>
        <w:rPr/>
        <w:t>③已办理了必要的财产权转移手续。</w:t>
      </w:r>
    </w:p>
    <w:p>
      <w:pPr>
        <w:pStyle w:val="BodyText"/>
        <w:spacing w:line="240" w:lineRule="auto" w:before="146"/>
        <w:ind w:left="633" w:right="996"/>
        <w:jc w:val="left"/>
      </w:pPr>
      <w:r>
        <w:rPr/>
        <w:t>④本公司已支付了合并价款的大部分，并且有能力、有计划支付剩余款项。</w:t>
      </w:r>
    </w:p>
    <w:p>
      <w:pPr>
        <w:pStyle w:val="BodyText"/>
        <w:spacing w:line="352" w:lineRule="auto" w:before="144"/>
        <w:ind w:right="996" w:firstLine="480"/>
        <w:jc w:val="left"/>
      </w:pPr>
      <w:r>
        <w:rPr/>
        <w:t>⑤本公司实际上已经控制了被购买方的财务和经营政策，并享有相应的利益、承担相应 的风险。</w:t>
      </w:r>
    </w:p>
    <w:p>
      <w:pPr>
        <w:pStyle w:val="BodyText"/>
        <w:spacing w:line="350" w:lineRule="auto" w:before="34"/>
        <w:ind w:right="996" w:firstLine="480"/>
        <w:jc w:val="left"/>
      </w:pPr>
      <w:r>
        <w:rPr>
          <w:spacing w:val="-3"/>
        </w:rPr>
        <w:t>本公司在购买日对作为企业合并对价付出的资产、发生或承担的负债按照公允价值计量，</w:t>
      </w:r>
      <w:r>
        <w:rPr/>
        <w:t> 公允价值与其账面价值的差额，计入当期损益。</w:t>
      </w:r>
    </w:p>
    <w:p>
      <w:pPr>
        <w:pStyle w:val="BodyText"/>
        <w:spacing w:line="350" w:lineRule="auto" w:before="36"/>
        <w:ind w:right="996" w:firstLine="480"/>
        <w:jc w:val="left"/>
      </w:pPr>
      <w:r>
        <w:rPr/>
        <w:t>本公司对合并成本大于合并中取得的被购买方可辨认净资产公允价值份额的差额，确认 </w:t>
      </w:r>
      <w:r>
        <w:rPr>
          <w:spacing w:val="-2"/>
        </w:rPr>
        <w:t>为商誉；合并成本小于合并中取得的被购买方可辨认净资产公允价值份额的差额，经复核后，</w:t>
      </w:r>
      <w:r>
        <w:rPr/>
        <w:t> 计入当期损益。</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6" w:firstLine="480"/>
        <w:jc w:val="both"/>
      </w:pPr>
      <w:r>
        <w:rPr/>
        <w:t>通过多次交换交易分步实现的非同一控制下企业合并，属于一揽子交易的，将各项交易 作为一项取得控制权的交易进行会计处理；不属于一揽子交易的，合并日之前持有的股权投</w:t>
      </w:r>
      <w:r>
        <w:rPr>
          <w:spacing w:val="-91"/>
        </w:rPr>
        <w:t> </w:t>
      </w:r>
      <w:r>
        <w:rPr>
          <w:spacing w:val="-91"/>
        </w:rPr>
      </w:r>
      <w:r>
        <w:rPr/>
        <w:t>资采用权益法核算的，以购买日之前所持被购买方的股权投资的账面价值与购买日新增投资</w:t>
      </w:r>
      <w:r>
        <w:rPr>
          <w:spacing w:val="-91"/>
        </w:rPr>
        <w:t> </w:t>
      </w:r>
      <w:r>
        <w:rPr>
          <w:spacing w:val="-91"/>
        </w:rPr>
      </w:r>
      <w:r>
        <w:rPr/>
        <w:t>成本之和，作为该项投资的初始投资成本；购买日之前持有的股权投资因采用权益法核算而</w:t>
      </w:r>
      <w:r>
        <w:rPr>
          <w:spacing w:val="-91"/>
        </w:rPr>
        <w:t> </w:t>
      </w:r>
      <w:r>
        <w:rPr>
          <w:spacing w:val="-91"/>
        </w:rPr>
      </w:r>
      <w:r>
        <w:rPr/>
        <w:t>确认的其他综合收益，在处置该项投资时采用与被投资单位直接处置相关资产或负债相同的</w:t>
      </w:r>
      <w:r>
        <w:rPr>
          <w:spacing w:val="-91"/>
        </w:rPr>
        <w:t> </w:t>
      </w:r>
      <w:r>
        <w:rPr>
          <w:spacing w:val="-91"/>
        </w:rPr>
      </w:r>
      <w:r>
        <w:rPr/>
        <w:t>基础进行会计处理。合并日之前持有的股权投资采用金融工具确认和计量准则核算的，以该</w:t>
      </w:r>
      <w:r>
        <w:rPr>
          <w:spacing w:val="-91"/>
        </w:rPr>
        <w:t> </w:t>
      </w:r>
      <w:r>
        <w:rPr>
          <w:spacing w:val="-91"/>
        </w:rPr>
      </w:r>
      <w:r>
        <w:rPr/>
        <w:t>股权投资在合并日的公允价值加上新增投资成本之和，作为合并日的初始投资成本。原持有</w:t>
      </w:r>
      <w:r>
        <w:rPr>
          <w:spacing w:val="-89"/>
        </w:rPr>
        <w:t> </w:t>
      </w:r>
      <w:r>
        <w:rPr>
          <w:spacing w:val="-89"/>
        </w:rPr>
      </w:r>
      <w:r>
        <w:rPr/>
        <w:t>股权的公允价值与账面价值之间的差额以及原计入其他综合收益的累计公允价值变动应全部</w:t>
      </w:r>
      <w:r>
        <w:rPr>
          <w:spacing w:val="-91"/>
        </w:rPr>
        <w:t> </w:t>
      </w:r>
      <w:r>
        <w:rPr>
          <w:spacing w:val="-91"/>
        </w:rPr>
      </w:r>
      <w:r>
        <w:rPr/>
        <w:t>转入合并日当期的投资收益。</w:t>
      </w:r>
    </w:p>
    <w:p>
      <w:pPr>
        <w:pStyle w:val="BodyText"/>
        <w:spacing w:line="352" w:lineRule="auto" w:before="36"/>
        <w:ind w:left="633" w:right="996"/>
        <w:jc w:val="left"/>
      </w:pPr>
      <w:r>
        <w:rPr/>
        <w:t>（</w:t>
      </w:r>
      <w:r>
        <w:rPr>
          <w:rFonts w:ascii="宋体" w:hAnsi="宋体" w:cs="宋体" w:eastAsia="宋体" w:hint="default"/>
        </w:rPr>
        <w:t>4</w:t>
      </w:r>
      <w:r>
        <w:rPr/>
        <w:t>）为合并发生的相关费用 为企业合并发生的审计、法律服务、评估咨询等中介费用以及其他直接相关费用，于发</w:t>
      </w:r>
    </w:p>
    <w:p>
      <w:pPr>
        <w:pStyle w:val="BodyText"/>
        <w:spacing w:line="352" w:lineRule="auto" w:before="31"/>
        <w:ind w:right="1139"/>
        <w:jc w:val="both"/>
      </w:pPr>
      <w:r>
        <w:rPr/>
        <w:t>生时计入当期损益；为企业合并而发行权益性证券的交易费用，可直接归属于权益性交易的</w:t>
      </w:r>
      <w:r>
        <w:rPr>
          <w:spacing w:val="-91"/>
        </w:rPr>
        <w:t> </w:t>
      </w:r>
      <w:r>
        <w:rPr>
          <w:spacing w:val="-91"/>
        </w:rPr>
      </w:r>
      <w:r>
        <w:rPr/>
        <w:t>从权益中扣减。</w:t>
      </w:r>
    </w:p>
    <w:p>
      <w:pPr>
        <w:spacing w:line="240" w:lineRule="auto" w:before="12"/>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bookmarkStart w:name="6、合并财务报表的编制方法" w:id="175"/>
      <w:bookmarkEnd w:id="17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left="633" w:right="996"/>
        <w:jc w:val="left"/>
      </w:pPr>
      <w:r>
        <w:rPr/>
        <w:t>（</w:t>
      </w:r>
      <w:r>
        <w:rPr>
          <w:rFonts w:ascii="宋体" w:hAnsi="宋体" w:cs="宋体" w:eastAsia="宋体" w:hint="default"/>
        </w:rPr>
        <w:t>1</w:t>
      </w:r>
      <w:r>
        <w:rPr/>
        <w:t>）合并范围 本公司合并财务报表的合并范围以控制为基础确定，所有子公司（包括本公司所控制的</w:t>
      </w:r>
    </w:p>
    <w:p>
      <w:pPr>
        <w:pStyle w:val="BodyText"/>
        <w:spacing w:line="240" w:lineRule="auto" w:before="34"/>
        <w:ind w:right="0"/>
        <w:jc w:val="both"/>
      </w:pPr>
      <w:r>
        <w:rPr/>
        <w:t>单独主体）均纳入合并财务报表。</w:t>
      </w:r>
    </w:p>
    <w:p>
      <w:pPr>
        <w:pStyle w:val="BodyText"/>
        <w:spacing w:line="352" w:lineRule="auto" w:before="144"/>
        <w:ind w:left="633" w:right="996"/>
        <w:jc w:val="left"/>
      </w:pPr>
      <w:r>
        <w:rPr/>
        <w:t>（</w:t>
      </w:r>
      <w:r>
        <w:rPr>
          <w:rFonts w:ascii="宋体" w:hAnsi="宋体" w:cs="宋体" w:eastAsia="宋体" w:hint="default"/>
        </w:rPr>
        <w:t>2</w:t>
      </w:r>
      <w:r>
        <w:rPr/>
        <w:t>）合并程序 本公司以自身和各子公司的财务报表为基础，根据其他有关资料，编制合并财务报表。</w:t>
      </w:r>
    </w:p>
    <w:p>
      <w:pPr>
        <w:pStyle w:val="BodyText"/>
        <w:spacing w:line="350" w:lineRule="auto" w:before="34"/>
        <w:ind w:right="1139"/>
        <w:jc w:val="both"/>
      </w:pPr>
      <w:r>
        <w:rPr/>
        <w:t>本公司编制合并财务报表，将整个企业集团视为一个会计主体，依据相关企业会计准则的确</w:t>
      </w:r>
      <w:r>
        <w:rPr>
          <w:spacing w:val="-91"/>
        </w:rPr>
        <w:t> </w:t>
      </w:r>
      <w:r>
        <w:rPr>
          <w:spacing w:val="-91"/>
        </w:rPr>
      </w:r>
      <w:r>
        <w:rPr/>
        <w:t>认、计量和列报要求，按照统一的会计政策，反映本企业集团整体财务状况、经营成果和现</w:t>
      </w:r>
      <w:r>
        <w:rPr>
          <w:spacing w:val="-91"/>
        </w:rPr>
        <w:t> </w:t>
      </w:r>
      <w:r>
        <w:rPr>
          <w:spacing w:val="-91"/>
        </w:rPr>
      </w:r>
      <w:r>
        <w:rPr/>
        <w:t>金流量。</w:t>
      </w:r>
    </w:p>
    <w:p>
      <w:pPr>
        <w:pStyle w:val="BodyText"/>
        <w:spacing w:line="350" w:lineRule="auto" w:before="36"/>
        <w:ind w:right="1139" w:firstLine="480"/>
        <w:jc w:val="both"/>
      </w:pPr>
      <w:r>
        <w:rPr/>
        <w:t>所有纳入合并财务报表合并范围的子公司所采用的会计政策、会计期间与本公司一致， 如子公司采用的会计政策、会计期间与本公司不一致的，在编制合并财务报表时，按本公司</w:t>
      </w:r>
      <w:r>
        <w:rPr>
          <w:spacing w:val="-91"/>
        </w:rPr>
        <w:t> </w:t>
      </w:r>
      <w:r>
        <w:rPr>
          <w:spacing w:val="-91"/>
        </w:rPr>
      </w:r>
      <w:r>
        <w:rPr/>
        <w:t>的会计政策、会计期间进行必要的调整。</w:t>
      </w:r>
    </w:p>
    <w:p>
      <w:pPr>
        <w:pStyle w:val="BodyText"/>
        <w:spacing w:line="350" w:lineRule="auto" w:before="36"/>
        <w:ind w:right="1136" w:firstLine="480"/>
        <w:jc w:val="both"/>
      </w:pPr>
      <w:r>
        <w:rPr/>
        <w:t>合并财务报表时抵销本公司与各子公司、各子公司相互之间发生的内部交易对合并资产 负债表、合并利润表、合并现金流量表、合并股东权益变动表的影响。如果站在企业集团合</w:t>
      </w:r>
      <w:r>
        <w:rPr>
          <w:spacing w:val="-91"/>
        </w:rPr>
        <w:t> </w:t>
      </w:r>
      <w:r>
        <w:rPr>
          <w:spacing w:val="-91"/>
        </w:rPr>
      </w:r>
      <w:r>
        <w:rPr/>
        <w:t>并财务报表角度与以本公司或子公司为会计主体对同一交易的认定不同时，从企业集团的角</w:t>
      </w:r>
      <w:r>
        <w:rPr>
          <w:spacing w:val="-91"/>
        </w:rPr>
        <w:t> </w:t>
      </w:r>
      <w:r>
        <w:rPr>
          <w:spacing w:val="-91"/>
        </w:rPr>
      </w:r>
      <w:r>
        <w:rPr/>
        <w:t>度对该交易予以调整。</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9" w:firstLine="480"/>
        <w:jc w:val="both"/>
      </w:pPr>
      <w:r>
        <w:rPr/>
        <w:t>子公司所有者权益、当期净损益和当期综合收益中属于少数股东的份额分别在合并资产 负债表中所有者权益项目下、合并利润表中净利润项目下和综合收益总额项目下单独列示。</w:t>
      </w:r>
      <w:r>
        <w:rPr>
          <w:spacing w:val="-91"/>
        </w:rPr>
        <w:t> </w:t>
      </w:r>
      <w:r>
        <w:rPr>
          <w:spacing w:val="-91"/>
        </w:rPr>
      </w:r>
      <w:r>
        <w:rPr/>
        <w:t>子公司少数股东分担的当期亏损超过了少数股东在该子公司期初所有者权益中所享有份额而</w:t>
      </w:r>
      <w:r>
        <w:rPr>
          <w:spacing w:val="-91"/>
        </w:rPr>
        <w:t> </w:t>
      </w:r>
      <w:r>
        <w:rPr>
          <w:spacing w:val="-91"/>
        </w:rPr>
      </w:r>
      <w:r>
        <w:rPr/>
        <w:t>形成的余额，冲减少数股东权益。</w:t>
      </w:r>
    </w:p>
    <w:p>
      <w:pPr>
        <w:pStyle w:val="BodyText"/>
        <w:spacing w:line="350" w:lineRule="auto" w:before="36"/>
        <w:ind w:right="1137" w:firstLine="480"/>
        <w:jc w:val="both"/>
      </w:pPr>
      <w:r>
        <w:rPr/>
        <w:t>对于同一控制下企业合并取得的子公司，以其资产、负债（包括最终控制方收购该子公 司而形成的商誉）在最终控制方财务报表中的账面价值为基础对其财务报表进行调整。</w:t>
      </w:r>
    </w:p>
    <w:p>
      <w:pPr>
        <w:pStyle w:val="BodyText"/>
        <w:spacing w:line="352" w:lineRule="auto" w:before="36"/>
        <w:ind w:right="1140" w:firstLine="480"/>
        <w:jc w:val="both"/>
      </w:pPr>
      <w:r>
        <w:rPr/>
        <w:t>对于非同一控制下企业合并取得的子公司，以购买日可辨认净资产公允价值为基础对其 财务报表进行调整</w:t>
      </w:r>
    </w:p>
    <w:p>
      <w:pPr>
        <w:pStyle w:val="BodyText"/>
        <w:spacing w:line="352" w:lineRule="auto" w:before="32"/>
        <w:ind w:left="633" w:right="996" w:firstLine="240"/>
        <w:jc w:val="left"/>
      </w:pPr>
      <w:r>
        <w:rPr/>
        <w:t>①增加子公司或业务 在报告期内，若因同一控制下企业合并增加子公司或业务的，则调整合并资产负债表的</w:t>
      </w:r>
    </w:p>
    <w:p>
      <w:pPr>
        <w:pStyle w:val="BodyText"/>
        <w:spacing w:line="350" w:lineRule="auto" w:before="34"/>
        <w:ind w:right="1139"/>
        <w:jc w:val="both"/>
      </w:pPr>
      <w:r>
        <w:rPr/>
        <w:t>期初数；将子公司或业务合并当期期初至报告期末的收入、费用、利润纳入合并利润表；将</w:t>
      </w:r>
      <w:r>
        <w:rPr>
          <w:spacing w:val="-91"/>
        </w:rPr>
        <w:t> </w:t>
      </w:r>
      <w:r>
        <w:rPr>
          <w:spacing w:val="-91"/>
        </w:rPr>
      </w:r>
      <w:r>
        <w:rPr/>
        <w:t>子公司或业务合并当期期初至报告期末的现金流量纳入合并现金流量表，同时对比较报表的</w:t>
      </w:r>
      <w:r>
        <w:rPr>
          <w:spacing w:val="-91"/>
        </w:rPr>
        <w:t> </w:t>
      </w:r>
      <w:r>
        <w:rPr>
          <w:spacing w:val="-91"/>
        </w:rPr>
      </w:r>
      <w:r>
        <w:rPr/>
        <w:t>相关项目进行调整，视同合并后的报告主体自最终控制方开始控制时点起一直存在。</w:t>
      </w:r>
    </w:p>
    <w:p>
      <w:pPr>
        <w:pStyle w:val="BodyText"/>
        <w:spacing w:line="350" w:lineRule="auto" w:before="36"/>
        <w:ind w:right="1139" w:firstLine="480"/>
        <w:jc w:val="both"/>
      </w:pPr>
      <w:r>
        <w:rPr/>
        <w:t>因追加投资等原因能够对同一控制下的被投资方实施控制的，视同参与合并的各方在最 终控制方开始控制时即以目前的状态存在进行调整。在取得被合并方控制权之前持有的股权</w:t>
      </w:r>
      <w:r>
        <w:rPr>
          <w:spacing w:val="-91"/>
        </w:rPr>
        <w:t> </w:t>
      </w:r>
      <w:r>
        <w:rPr>
          <w:spacing w:val="-91"/>
        </w:rPr>
      </w:r>
      <w:r>
        <w:rPr/>
        <w:t>投资，在取得原股权之日与合并方和被合并方同处于同一控制之日孰晚日起至合并日之间已</w:t>
      </w:r>
      <w:r>
        <w:rPr>
          <w:spacing w:val="-91"/>
        </w:rPr>
        <w:t> </w:t>
      </w:r>
      <w:r>
        <w:rPr>
          <w:spacing w:val="-91"/>
        </w:rPr>
      </w:r>
      <w:r>
        <w:rPr/>
        <w:t>确认有关损益、其他综合收益以及其他净资产变动，分别冲减比较报表期间的期初留存收益</w:t>
      </w:r>
      <w:r>
        <w:rPr>
          <w:spacing w:val="-91"/>
        </w:rPr>
        <w:t> </w:t>
      </w:r>
      <w:r>
        <w:rPr>
          <w:spacing w:val="-91"/>
        </w:rPr>
      </w:r>
      <w:r>
        <w:rPr/>
        <w:t>或当期损益。</w:t>
      </w:r>
    </w:p>
    <w:p>
      <w:pPr>
        <w:pStyle w:val="BodyText"/>
        <w:spacing w:line="350" w:lineRule="auto" w:before="36"/>
        <w:ind w:right="1139" w:firstLine="480"/>
        <w:jc w:val="both"/>
      </w:pPr>
      <w:r>
        <w:rPr/>
        <w:t>在报告期内，若因非同一控制下企业合并增加子公司或业务的，则不调整合并资产负债 表期初数；将该子公司或业务自购买日至报告期末的收入、费用、利润纳入合并利润表；该</w:t>
      </w:r>
      <w:r>
        <w:rPr>
          <w:spacing w:val="-91"/>
        </w:rPr>
        <w:t> </w:t>
      </w:r>
      <w:r>
        <w:rPr>
          <w:spacing w:val="-91"/>
        </w:rPr>
      </w:r>
      <w:r>
        <w:rPr/>
        <w:t>子公司或业务自购买日至报告期末的现金流量纳入合并现金流量表。</w:t>
      </w:r>
    </w:p>
    <w:p>
      <w:pPr>
        <w:pStyle w:val="BodyText"/>
        <w:spacing w:line="350" w:lineRule="auto" w:before="36"/>
        <w:ind w:right="1139" w:firstLine="480"/>
        <w:jc w:val="both"/>
      </w:pPr>
      <w:r>
        <w:rPr/>
        <w:t>因追加投资等原因能够对非同一控制下的被投资方实施控制的，对于购买日之前持有的 被购买方的股权，本公司按照该股权在购买日的公允价值进行重新计量，公允价值与其账面</w:t>
      </w:r>
      <w:r>
        <w:rPr>
          <w:spacing w:val="-91"/>
        </w:rPr>
        <w:t> </w:t>
      </w:r>
      <w:r>
        <w:rPr>
          <w:spacing w:val="-91"/>
        </w:rPr>
      </w:r>
      <w:r>
        <w:rPr/>
        <w:t>价值的差额计入当期投资收益。购买日之前持有的被购买方的股权涉及权益法核算下的其他</w:t>
      </w:r>
      <w:r>
        <w:rPr>
          <w:spacing w:val="-91"/>
        </w:rPr>
        <w:t> </w:t>
      </w:r>
      <w:r>
        <w:rPr>
          <w:spacing w:val="-91"/>
        </w:rPr>
      </w:r>
      <w:r>
        <w:rPr/>
        <w:t>综合收益以及除净损益、其他综合收益和利润分配之外的其他所有者权益变动的，与其相关</w:t>
      </w:r>
      <w:r>
        <w:rPr>
          <w:spacing w:val="-91"/>
        </w:rPr>
        <w:t> </w:t>
      </w:r>
      <w:r>
        <w:rPr>
          <w:spacing w:val="-91"/>
        </w:rPr>
      </w:r>
      <w:r>
        <w:rPr/>
        <w:t>的其他综合收益、其他所有者权益变动转为购买日所属当期投资收益，由于被投资方重新计</w:t>
      </w:r>
      <w:r>
        <w:rPr>
          <w:spacing w:val="-91"/>
        </w:rPr>
        <w:t> </w:t>
      </w:r>
      <w:r>
        <w:rPr>
          <w:spacing w:val="-91"/>
        </w:rPr>
      </w:r>
      <w:r>
        <w:rPr/>
        <w:t>量设定受益计划净负债或净资产变动而产生的其他综合收益除外</w:t>
      </w:r>
    </w:p>
    <w:p>
      <w:pPr>
        <w:pStyle w:val="BodyText"/>
        <w:spacing w:line="352" w:lineRule="auto" w:before="36"/>
        <w:ind w:left="633" w:right="7873" w:firstLine="240"/>
        <w:jc w:val="left"/>
      </w:pPr>
      <w:r>
        <w:rPr/>
        <w:t>②处置子公司或业务 </w:t>
      </w:r>
      <w:r>
        <w:rPr>
          <w:rFonts w:ascii="宋体" w:hAnsi="宋体" w:cs="宋体" w:eastAsia="宋体" w:hint="default"/>
        </w:rPr>
        <w:t>1</w:t>
      </w:r>
      <w:r>
        <w:rPr/>
        <w:t>）一般处理方法</w:t>
      </w:r>
    </w:p>
    <w:p>
      <w:pPr>
        <w:pStyle w:val="BodyText"/>
        <w:spacing w:line="240" w:lineRule="auto" w:before="31"/>
        <w:ind w:left="633" w:right="996"/>
        <w:jc w:val="left"/>
      </w:pPr>
      <w:r>
        <w:rPr>
          <w:spacing w:val="-3"/>
        </w:rPr>
        <w:t>在报告期内，本公司处置子公司或业务，则该子公司或业务期初至处置日的收入、费用、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996" w:hanging="481"/>
        <w:jc w:val="left"/>
      </w:pPr>
      <w:r>
        <w:rPr/>
        <w:t>利润纳入合并利润表；该子公司或业务期初至处置日的现金流量纳入合并现金流量表。 因处置部分股权投资或其他原因丧失了对被投资方控制权时，对于处置后的剩余股权投</w:t>
      </w:r>
    </w:p>
    <w:p>
      <w:pPr>
        <w:pStyle w:val="BodyText"/>
        <w:spacing w:line="352" w:lineRule="auto" w:before="31"/>
        <w:ind w:right="1133"/>
        <w:jc w:val="both"/>
      </w:pPr>
      <w:r>
        <w:rPr/>
        <w:t>资，本公司按照其在丧失控制权日的公允价值进行重新计量。处置股权取得的对价与剩余股</w:t>
      </w:r>
      <w:r>
        <w:rPr>
          <w:spacing w:val="-91"/>
        </w:rPr>
        <w:t> </w:t>
      </w:r>
      <w:r>
        <w:rPr>
          <w:spacing w:val="-91"/>
        </w:rPr>
      </w:r>
      <w:r>
        <w:rPr/>
        <w:t>权公允价值之和，减去按原持股比例计算应享有原有子公司自购买日或合并日开始持续计算</w:t>
      </w:r>
      <w:r>
        <w:rPr>
          <w:spacing w:val="-91"/>
        </w:rPr>
        <w:t> </w:t>
      </w:r>
      <w:r>
        <w:rPr>
          <w:spacing w:val="-91"/>
        </w:rPr>
      </w:r>
      <w:r>
        <w:rPr/>
        <w:t>的净资产的份额与商誉之和的差额，计入丧失控制权当期的投资收益。与原有子公司股权投</w:t>
      </w:r>
      <w:r>
        <w:rPr>
          <w:spacing w:val="-86"/>
        </w:rPr>
        <w:t> </w:t>
      </w:r>
      <w:r>
        <w:rPr>
          <w:spacing w:val="-86"/>
        </w:rPr>
      </w:r>
      <w:r>
        <w:rPr/>
        <w:t>资相关的其他综合收益或除净损益、其他综合收益及利润分配之外的其他所有者权益变动，</w:t>
      </w:r>
      <w:r>
        <w:rPr>
          <w:spacing w:val="-91"/>
        </w:rPr>
        <w:t> </w:t>
      </w:r>
      <w:r>
        <w:rPr>
          <w:spacing w:val="-91"/>
        </w:rPr>
      </w:r>
      <w:r>
        <w:rPr/>
        <w:t>在丧失控制权时转为当期投资收益，由于被投资方重新计量设定受益计划净负债或净资产变</w:t>
      </w:r>
      <w:r>
        <w:rPr>
          <w:spacing w:val="-91"/>
        </w:rPr>
        <w:t> </w:t>
      </w:r>
      <w:r>
        <w:rPr>
          <w:spacing w:val="-91"/>
        </w:rPr>
      </w:r>
      <w:r>
        <w:rPr/>
        <w:t>动而产生的其他综合收益除外。</w:t>
      </w:r>
    </w:p>
    <w:p>
      <w:pPr>
        <w:pStyle w:val="BodyText"/>
        <w:spacing w:line="352" w:lineRule="auto" w:before="32"/>
        <w:ind w:left="633" w:right="996"/>
        <w:jc w:val="left"/>
      </w:pPr>
      <w:r>
        <w:rPr>
          <w:rFonts w:ascii="宋体" w:hAnsi="宋体" w:cs="宋体" w:eastAsia="宋体" w:hint="default"/>
        </w:rPr>
        <w:t>2</w:t>
      </w:r>
      <w:r>
        <w:rPr/>
        <w:t>）分步处置子公司 通过多次交易分步处置对子公司股权投资直至丧失控制权的，处置对子公司股权投资的</w:t>
      </w:r>
    </w:p>
    <w:p>
      <w:pPr>
        <w:pStyle w:val="BodyText"/>
        <w:spacing w:line="350" w:lineRule="auto" w:before="34"/>
        <w:ind w:right="1139"/>
        <w:jc w:val="both"/>
      </w:pPr>
      <w:r>
        <w:rPr/>
        <w:t>各项交易的条款、条件以及经济影响符合以下一种或多种情况，通常表明应将多次交易事项</w:t>
      </w:r>
      <w:r>
        <w:rPr>
          <w:spacing w:val="-91"/>
        </w:rPr>
        <w:t> </w:t>
      </w:r>
      <w:r>
        <w:rPr>
          <w:spacing w:val="-91"/>
        </w:rPr>
      </w:r>
      <w:r>
        <w:rPr/>
        <w:t>作为一揽子交易进行会计处理：</w:t>
      </w:r>
    </w:p>
    <w:p>
      <w:pPr>
        <w:pStyle w:val="BodyText"/>
        <w:spacing w:line="352" w:lineRule="auto" w:before="36"/>
        <w:ind w:left="633" w:right="996"/>
        <w:jc w:val="left"/>
      </w:pP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 </w:t>
      </w:r>
      <w:r>
        <w:rPr>
          <w:rFonts w:ascii="宋体" w:hAnsi="宋体" w:cs="宋体" w:eastAsia="宋体" w:hint="default"/>
        </w:rPr>
        <w:t>D.</w:t>
      </w:r>
      <w:r>
        <w:rPr/>
        <w:t>一项交易单独看是不经济的，但是和其他交易一并考虑时是经济的。 处置对子公司股权投资直至丧失控制权的各项交易属于一揽子交易的，本公司将各项交</w:t>
      </w:r>
    </w:p>
    <w:p>
      <w:pPr>
        <w:pStyle w:val="BodyText"/>
        <w:spacing w:line="352" w:lineRule="auto" w:before="31"/>
        <w:ind w:right="1139"/>
        <w:jc w:val="both"/>
      </w:pPr>
      <w:r>
        <w:rPr/>
        <w:t>易作为一项处置子公司并丧失控制权的交易进行会计处理；但是，在丧失控制权之前每一次</w:t>
      </w:r>
      <w:r>
        <w:rPr>
          <w:spacing w:val="-91"/>
        </w:rPr>
        <w:t> </w:t>
      </w:r>
      <w:r>
        <w:rPr>
          <w:spacing w:val="-91"/>
        </w:rPr>
      </w:r>
      <w:r>
        <w:rPr/>
        <w:t>处置价款与处置投资对应的享有该子公司净资产份额的差额，在合并财务报表中确认为其他</w:t>
      </w:r>
      <w:r>
        <w:rPr>
          <w:spacing w:val="-91"/>
        </w:rPr>
        <w:t> </w:t>
      </w:r>
      <w:r>
        <w:rPr>
          <w:spacing w:val="-91"/>
        </w:rPr>
      </w:r>
      <w:r>
        <w:rPr/>
        <w:t>综合收益，在丧失控制权时一并转入丧失控制权当期的损益。</w:t>
      </w:r>
    </w:p>
    <w:p>
      <w:pPr>
        <w:pStyle w:val="BodyText"/>
        <w:spacing w:line="352" w:lineRule="auto" w:before="31"/>
        <w:ind w:right="1136" w:firstLine="480"/>
        <w:jc w:val="both"/>
      </w:pPr>
      <w:r>
        <w:rPr/>
        <w:t>③处置对子公司股权投资直至丧失控制权的各项交易不属于一揽子交易的，在丧失控制 权之前，按不丧失控制权的情况下部分处置对子公司的股权投资的相关政策进行会计处理；</w:t>
      </w:r>
      <w:r>
        <w:rPr>
          <w:spacing w:val="-89"/>
        </w:rPr>
        <w:t> </w:t>
      </w:r>
      <w:r>
        <w:rPr>
          <w:spacing w:val="-89"/>
        </w:rPr>
      </w:r>
      <w:r>
        <w:rPr/>
        <w:t>在丧失控制权时，按处置子公司一般处理方法进行会计处理。</w:t>
      </w:r>
    </w:p>
    <w:p>
      <w:pPr>
        <w:pStyle w:val="BodyText"/>
        <w:spacing w:line="240" w:lineRule="auto" w:before="31"/>
        <w:ind w:left="633" w:right="996"/>
        <w:jc w:val="left"/>
      </w:pPr>
      <w:r>
        <w:rPr/>
        <w:t>购买子公司少数股权</w:t>
      </w:r>
    </w:p>
    <w:p>
      <w:pPr>
        <w:pStyle w:val="BodyText"/>
        <w:spacing w:line="350" w:lineRule="auto" w:before="147"/>
        <w:ind w:right="1139" w:firstLine="480"/>
        <w:jc w:val="both"/>
      </w:pPr>
      <w:r>
        <w:rPr/>
        <w:t>④本公司因购买少数股权新取得的长期股权投资与按照新增持股比例计算应享有子公司 自购买日（或合并日）开始持续计算的净资产份额之间的差额，调整合并资产负债表中的资</w:t>
      </w:r>
      <w:r>
        <w:rPr>
          <w:spacing w:val="-91"/>
        </w:rPr>
        <w:t> </w:t>
      </w:r>
      <w:r>
        <w:rPr>
          <w:spacing w:val="-91"/>
        </w:rPr>
      </w:r>
      <w:r>
        <w:rPr/>
        <w:t>本公积中的股本溢价，资本公积中的股本溢价不足冲减的，调整留存收益。</w:t>
      </w:r>
    </w:p>
    <w:p>
      <w:pPr>
        <w:pStyle w:val="BodyText"/>
        <w:spacing w:line="352" w:lineRule="auto" w:before="36"/>
        <w:ind w:left="633" w:right="996"/>
        <w:jc w:val="left"/>
      </w:pPr>
      <w:r>
        <w:rPr/>
        <w:t>不丧失控制权的情况下部分处置对子公司的股权投资 在不丧失控制权的情况下因部分处置对子公司的长期股权投资而取得的处置价款与处置</w:t>
      </w:r>
    </w:p>
    <w:p>
      <w:pPr>
        <w:pStyle w:val="BodyText"/>
        <w:spacing w:line="240" w:lineRule="auto" w:before="31"/>
        <w:ind w:right="0"/>
        <w:jc w:val="both"/>
      </w:pPr>
      <w:r>
        <w:rPr/>
        <w:t>长期股权投资相对应享有子公司自购买日或合并日开始持续计算的净资产份额之间的差额，</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39"/>
        <w:jc w:val="both"/>
      </w:pPr>
      <w:r>
        <w:rPr/>
        <w:t>调整合并资产负债表中的资本公积中的股本溢价，资本公积中的股本溢价不足冲减的，调整</w:t>
      </w:r>
      <w:r>
        <w:rPr>
          <w:spacing w:val="-91"/>
        </w:rPr>
        <w:t> </w:t>
      </w:r>
      <w:r>
        <w:rPr>
          <w:spacing w:val="-91"/>
        </w:rPr>
      </w:r>
      <w:r>
        <w:rPr/>
        <w:t>留存收益。</w:t>
      </w:r>
    </w:p>
    <w:p>
      <w:pPr>
        <w:spacing w:line="240" w:lineRule="auto" w:before="10"/>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bookmarkStart w:name="7、合营安排分类及共同经营会计处理方法" w:id="176"/>
      <w:bookmarkEnd w:id="17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2" w:lineRule="auto"/>
        <w:ind w:left="633" w:right="996"/>
        <w:jc w:val="left"/>
      </w:pPr>
      <w:r>
        <w:rPr/>
        <w:t>（</w:t>
      </w:r>
      <w:r>
        <w:rPr>
          <w:rFonts w:ascii="宋体" w:hAnsi="宋体" w:cs="宋体" w:eastAsia="宋体" w:hint="default"/>
        </w:rPr>
        <w:t>1</w:t>
      </w:r>
      <w:r>
        <w:rPr/>
        <w:t>）合营安排的分类 本公司根据合营安排的结构、法律形式以及合营安排中约定的条款、其他相关事实和情</w:t>
      </w:r>
    </w:p>
    <w:p>
      <w:pPr>
        <w:pStyle w:val="BodyText"/>
        <w:spacing w:line="352" w:lineRule="auto" w:before="31"/>
        <w:ind w:left="633" w:right="996" w:hanging="481"/>
        <w:jc w:val="left"/>
      </w:pPr>
      <w:r>
        <w:rPr/>
        <w:t>况等因素，将合营安排分为共同经营和合营企业。 未通过单独主体达成的合营安排，划分为共同经营；通过单独主体达成的合营安排，通</w:t>
      </w:r>
    </w:p>
    <w:p>
      <w:pPr>
        <w:pStyle w:val="BodyText"/>
        <w:spacing w:line="350" w:lineRule="auto" w:before="34"/>
        <w:ind w:right="1139"/>
        <w:jc w:val="both"/>
      </w:pPr>
      <w:r>
        <w:rPr/>
        <w:t>常划分为合营企业；但有确凿证据表明满足下列任一条件并且符合相关法律法规规定的合营</w:t>
      </w:r>
      <w:r>
        <w:rPr>
          <w:spacing w:val="-91"/>
        </w:rPr>
        <w:t> </w:t>
      </w:r>
      <w:r>
        <w:rPr>
          <w:spacing w:val="-91"/>
        </w:rPr>
      </w:r>
      <w:r>
        <w:rPr/>
        <w:t>安排划分为共同经营：</w:t>
      </w:r>
    </w:p>
    <w:p>
      <w:pPr>
        <w:pStyle w:val="BodyText"/>
        <w:spacing w:line="352" w:lineRule="auto" w:before="36"/>
        <w:ind w:right="1132" w:firstLine="600"/>
        <w:jc w:val="both"/>
      </w:pPr>
      <w:r>
        <w:rPr>
          <w:spacing w:val="-3"/>
        </w:rPr>
        <w:t>①合营安排的法律形式表明，合营方对该安排中的相关资产和负债分别享有权利和承担</w:t>
      </w:r>
      <w:r>
        <w:rPr/>
        <w:t> 义务。</w:t>
      </w:r>
    </w:p>
    <w:p>
      <w:pPr>
        <w:pStyle w:val="BodyText"/>
        <w:spacing w:line="352" w:lineRule="auto" w:before="31"/>
        <w:ind w:right="1132" w:firstLine="600"/>
        <w:jc w:val="both"/>
      </w:pPr>
      <w:r>
        <w:rPr>
          <w:spacing w:val="-3"/>
        </w:rPr>
        <w:t>②合营安排的合同条款约定，合营方对该安排中的相关资产和负债分别享有权利和承担</w:t>
      </w:r>
      <w:r>
        <w:rPr/>
        <w:t> 义务。</w:t>
      </w:r>
    </w:p>
    <w:p>
      <w:pPr>
        <w:pStyle w:val="BodyText"/>
        <w:spacing w:line="350" w:lineRule="auto" w:before="34"/>
        <w:ind w:right="1132" w:firstLine="600"/>
        <w:jc w:val="both"/>
      </w:pPr>
      <w:r>
        <w:rPr>
          <w:spacing w:val="-3"/>
        </w:rPr>
        <w:t>③其他相关事实和情况表明，合营方对该安排中的相关资产和负债分别享有权利和承担</w:t>
      </w:r>
      <w:r>
        <w:rPr/>
        <w:t> 义务，如合营方享有与合营安排相关的几乎所有产出，并且该安排中负债的清偿持续依赖于</w:t>
      </w:r>
      <w:r>
        <w:rPr>
          <w:spacing w:val="-91"/>
        </w:rPr>
        <w:t> </w:t>
      </w:r>
      <w:r>
        <w:rPr>
          <w:spacing w:val="-91"/>
        </w:rPr>
      </w:r>
      <w:r>
        <w:rPr/>
        <w:t>合营方的支持。</w:t>
      </w:r>
    </w:p>
    <w:p>
      <w:pPr>
        <w:pStyle w:val="BodyText"/>
        <w:spacing w:line="350" w:lineRule="auto" w:before="36"/>
        <w:ind w:left="633" w:right="996"/>
        <w:jc w:val="left"/>
      </w:pPr>
      <w:r>
        <w:rPr/>
        <w:t>（</w:t>
      </w:r>
      <w:r>
        <w:rPr>
          <w:rFonts w:ascii="宋体" w:hAnsi="宋体" w:cs="宋体" w:eastAsia="宋体" w:hint="default"/>
        </w:rPr>
        <w:t>2</w:t>
      </w:r>
      <w:r>
        <w:rPr/>
        <w:t>）共同经营会计处理方法 本公司确认共同经营中利益份额中与本公司相关的下列项目，并按照相关企业会计准则</w:t>
      </w:r>
    </w:p>
    <w:p>
      <w:pPr>
        <w:pStyle w:val="BodyText"/>
        <w:spacing w:line="240" w:lineRule="auto" w:before="36"/>
        <w:ind w:right="0"/>
        <w:jc w:val="both"/>
      </w:pPr>
      <w:r>
        <w:rPr/>
        <w:t>的规定进行会计处理：</w:t>
      </w:r>
    </w:p>
    <w:p>
      <w:pPr>
        <w:pStyle w:val="BodyText"/>
        <w:spacing w:line="240" w:lineRule="auto" w:before="146"/>
        <w:ind w:left="873" w:right="996"/>
        <w:jc w:val="left"/>
      </w:pPr>
      <w:r>
        <w:rPr/>
        <w:t>①确认单独所持有的资产，以及按其份额确认共同持有的资产；</w:t>
      </w:r>
    </w:p>
    <w:p>
      <w:pPr>
        <w:pStyle w:val="BodyText"/>
        <w:spacing w:line="240" w:lineRule="auto" w:before="144"/>
        <w:ind w:left="873" w:right="996"/>
        <w:jc w:val="left"/>
      </w:pPr>
      <w:r>
        <w:rPr/>
        <w:t>②确认单独所承担的负债，以及按其份额确认共同承担的负债；</w:t>
      </w:r>
    </w:p>
    <w:p>
      <w:pPr>
        <w:pStyle w:val="BodyText"/>
        <w:spacing w:line="240" w:lineRule="auto" w:before="146"/>
        <w:ind w:left="873" w:right="996"/>
        <w:jc w:val="left"/>
      </w:pPr>
      <w:r>
        <w:rPr/>
        <w:t>③确认出售其享有的共同经营产出份额所产生的收入；</w:t>
      </w:r>
    </w:p>
    <w:p>
      <w:pPr>
        <w:pStyle w:val="BodyText"/>
        <w:spacing w:line="240" w:lineRule="auto" w:before="146"/>
        <w:ind w:left="873" w:right="996"/>
        <w:jc w:val="left"/>
      </w:pPr>
      <w:r>
        <w:rPr/>
        <w:t>④按其份额确认共同经营因出售产出所产生的收入；</w:t>
      </w:r>
    </w:p>
    <w:p>
      <w:pPr>
        <w:pStyle w:val="BodyText"/>
        <w:spacing w:line="352" w:lineRule="auto" w:before="145"/>
        <w:ind w:left="633" w:right="996" w:firstLine="240"/>
        <w:jc w:val="left"/>
      </w:pPr>
      <w:r>
        <w:rPr/>
        <w:t>⑤确认单独所发生的费用，以及按其份额确认共同经营发生的费用。 本公司向共同经营投出或出售资产等（该资产构成业务的除外），在该资产等由共同经</w:t>
      </w:r>
    </w:p>
    <w:p>
      <w:pPr>
        <w:pStyle w:val="BodyText"/>
        <w:spacing w:line="350" w:lineRule="auto" w:before="34"/>
        <w:ind w:right="1129"/>
        <w:jc w:val="both"/>
      </w:pPr>
      <w:r>
        <w:rPr/>
        <w:t>营出售给第三方之前，仅确认因该交易产生的损益中归属于共同经营其他参与方的部分。投</w:t>
      </w:r>
      <w:r>
        <w:rPr>
          <w:spacing w:val="-91"/>
        </w:rPr>
        <w:t> </w:t>
      </w:r>
      <w:r>
        <w:rPr>
          <w:spacing w:val="-91"/>
        </w:rPr>
      </w:r>
      <w:r>
        <w:rPr>
          <w:spacing w:val="-2"/>
        </w:rPr>
        <w:t>出或出售的资产发生符合《企业会计准则第</w:t>
      </w:r>
      <w:r>
        <w:rPr>
          <w:rFonts w:ascii="宋体" w:hAnsi="宋体" w:cs="宋体" w:eastAsia="宋体" w:hint="default"/>
          <w:spacing w:val="-2"/>
        </w:rPr>
        <w:t>8</w:t>
      </w:r>
      <w:r>
        <w:rPr>
          <w:spacing w:val="-2"/>
        </w:rPr>
        <w:t>号——资产减值》等规定的资产减值损失的，本</w:t>
      </w:r>
      <w:r>
        <w:rPr>
          <w:spacing w:val="-118"/>
        </w:rPr>
        <w:t> </w:t>
      </w:r>
      <w:r>
        <w:rPr>
          <w:spacing w:val="-118"/>
        </w:rPr>
      </w:r>
      <w:r>
        <w:rPr/>
        <w:t>公司全额确认该损失。</w:t>
      </w:r>
    </w:p>
    <w:p>
      <w:pPr>
        <w:pStyle w:val="BodyText"/>
        <w:spacing w:line="240" w:lineRule="auto" w:before="36"/>
        <w:ind w:left="633" w:right="996"/>
        <w:jc w:val="left"/>
      </w:pPr>
      <w:r>
        <w:rPr/>
        <w:t>本公司自共同经营购买资产等（该资产构成业务的除外），在将该资产等出售给第三方</w:t>
      </w:r>
    </w:p>
    <w:p>
      <w:pPr>
        <w:spacing w:after="0" w:line="240" w:lineRule="auto"/>
        <w:jc w:val="left"/>
        <w:sectPr>
          <w:footerReference w:type="default" r:id="rId15"/>
          <w:pgSz w:w="11910" w:h="16840"/>
          <w:pgMar w:footer="980" w:header="745"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29"/>
        <w:jc w:val="both"/>
      </w:pPr>
      <w:r>
        <w:rPr/>
        <w:t>之前，仅确认因该交易产生的损益中归属于共同经营其他参与方的部分。购入的资产发生符</w:t>
      </w:r>
      <w:r>
        <w:rPr>
          <w:spacing w:val="-91"/>
        </w:rPr>
        <w:t> </w:t>
      </w:r>
      <w:r>
        <w:rPr>
          <w:spacing w:val="-91"/>
        </w:rPr>
      </w:r>
      <w:r>
        <w:rPr>
          <w:spacing w:val="-2"/>
        </w:rPr>
        <w:t>合《企业会计准则第</w:t>
      </w:r>
      <w:r>
        <w:rPr>
          <w:rFonts w:ascii="宋体" w:hAnsi="宋体" w:cs="宋体" w:eastAsia="宋体" w:hint="default"/>
          <w:spacing w:val="-2"/>
        </w:rPr>
        <w:t>8</w:t>
      </w:r>
      <w:r>
        <w:rPr>
          <w:spacing w:val="-2"/>
        </w:rPr>
        <w:t>号——资产减值》等规定的资产减值损失的，本公司按承担的份额确认</w:t>
      </w:r>
      <w:r>
        <w:rPr/>
        <w:t> 该部分损失。</w:t>
      </w:r>
    </w:p>
    <w:p>
      <w:pPr>
        <w:pStyle w:val="BodyText"/>
        <w:spacing w:line="350" w:lineRule="auto" w:before="36"/>
        <w:ind w:right="1139" w:firstLine="480"/>
        <w:jc w:val="both"/>
      </w:pPr>
      <w:r>
        <w:rPr/>
        <w:t>本公司对共同经营不享有共同控制，如果本公司享有该共同经营相关资产且承担该共同 经营相关负债的，仍按上述原则进行会计处理，否则，应当按照相关企业会计准则的规定进</w:t>
      </w:r>
      <w:r>
        <w:rPr>
          <w:spacing w:val="-91"/>
        </w:rPr>
        <w:t> </w:t>
      </w:r>
      <w:r>
        <w:rPr>
          <w:spacing w:val="-91"/>
        </w:rPr>
      </w:r>
      <w:r>
        <w:rPr/>
        <w:t>行会计处理。</w:t>
      </w:r>
    </w:p>
    <w:p>
      <w:pPr>
        <w:spacing w:line="240" w:lineRule="auto" w:before="1"/>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8、现金及现金等价物的确定标准" w:id="177"/>
      <w:bookmarkEnd w:id="17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350" w:lineRule="auto"/>
        <w:ind w:right="996" w:firstLine="480"/>
        <w:jc w:val="left"/>
      </w:pPr>
      <w:r>
        <w:rPr/>
        <w:t>在编制现金流量表时，将本公司库存现金以及可以随时用于支付的存款确认为现金。将 </w:t>
      </w:r>
      <w:r>
        <w:rPr>
          <w:spacing w:val="-3"/>
        </w:rPr>
        <w:t>同时具备期限短（一般从购买日起三个月内到期）、流动性强、易于转换为已知金额的现金、</w:t>
      </w:r>
      <w:r>
        <w:rPr>
          <w:spacing w:val="-81"/>
        </w:rPr>
        <w:t> </w:t>
      </w:r>
      <w:r>
        <w:rPr>
          <w:spacing w:val="-81"/>
        </w:rPr>
      </w:r>
      <w:r>
        <w:rPr/>
        <w:t>价值变动风险很小四个条件的投资，确定为现金等价物。</w:t>
      </w:r>
    </w:p>
    <w:p>
      <w:pPr>
        <w:spacing w:line="240" w:lineRule="auto" w:before="1"/>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9、外币业务和外币报表折算" w:id="178"/>
      <w:bookmarkEnd w:id="17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10、金融工具" w:id="179"/>
      <w:bookmarkEnd w:id="179"/>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left="633" w:right="996"/>
        <w:jc w:val="left"/>
      </w:pPr>
      <w:r>
        <w:rPr/>
        <w:t>在本公司成为金融工具合同的一方时确认一项金融资产或金融负债。 实际利率法是指计算金融资产或金融负债的摊余成本以及将利息收入或利息费用分摊计</w:t>
      </w:r>
    </w:p>
    <w:p>
      <w:pPr>
        <w:pStyle w:val="BodyText"/>
        <w:spacing w:line="350" w:lineRule="auto" w:before="34"/>
        <w:ind w:left="633" w:right="996" w:hanging="481"/>
        <w:jc w:val="left"/>
      </w:pPr>
      <w:r>
        <w:rPr/>
        <w:t>入各会计期间的方法。 实际利率，是指将金融资产或金融负债在预计存续期的估计未来现金流量，折现为该金</w:t>
      </w:r>
    </w:p>
    <w:p>
      <w:pPr>
        <w:pStyle w:val="BodyText"/>
        <w:spacing w:line="350" w:lineRule="auto" w:before="36"/>
        <w:ind w:right="1131"/>
        <w:jc w:val="both"/>
      </w:pPr>
      <w:r>
        <w:rPr/>
        <w:t>融资产账面余额或该金融负债摊余成本所使用的利率。在确定实际利率时，在考虑金融资产</w:t>
      </w:r>
      <w:r>
        <w:rPr>
          <w:spacing w:val="-91"/>
        </w:rPr>
        <w:t> </w:t>
      </w:r>
      <w:r>
        <w:rPr>
          <w:spacing w:val="-91"/>
        </w:rPr>
      </w:r>
      <w:r>
        <w:rPr/>
        <w:t>或金融负债所有合同条款</w:t>
      </w:r>
      <w:r>
        <w:rPr>
          <w:rFonts w:ascii="宋体" w:hAnsi="宋体" w:cs="宋体" w:eastAsia="宋体" w:hint="default"/>
        </w:rPr>
        <w:t>(</w:t>
      </w:r>
      <w:r>
        <w:rPr/>
        <w:t>如提前还款、展期、看涨期权或其他类似期权等</w:t>
      </w:r>
      <w:r>
        <w:rPr>
          <w:rFonts w:ascii="宋体" w:hAnsi="宋体" w:cs="宋体" w:eastAsia="宋体" w:hint="default"/>
        </w:rPr>
        <w:t>)</w:t>
      </w:r>
      <w:r>
        <w:rPr/>
        <w:t>的基础上估计预</w:t>
      </w:r>
      <w:r>
        <w:rPr>
          <w:spacing w:val="-85"/>
        </w:rPr>
        <w:t> </w:t>
      </w:r>
      <w:r>
        <w:rPr>
          <w:spacing w:val="-85"/>
        </w:rPr>
      </w:r>
      <w:r>
        <w:rPr/>
        <w:t>期现金流量，但不考虑预期信用损失。</w:t>
      </w:r>
    </w:p>
    <w:p>
      <w:pPr>
        <w:pStyle w:val="BodyText"/>
        <w:spacing w:line="350" w:lineRule="auto" w:before="36"/>
        <w:ind w:right="1139" w:firstLine="480"/>
        <w:jc w:val="both"/>
      </w:pPr>
      <w:r>
        <w:rPr/>
        <w:t>金融资产或金融负债的摊余成本是以该金融资产或金融负债的初始确认金额扣除已偿还 的本金，加上或减去采用实际利率法将该初始确认金额与到期日金额之间的差额进行摊销形</w:t>
      </w:r>
      <w:r>
        <w:rPr>
          <w:spacing w:val="-91"/>
        </w:rPr>
        <w:t> </w:t>
      </w:r>
      <w:r>
        <w:rPr>
          <w:spacing w:val="-91"/>
        </w:rPr>
      </w:r>
      <w:r>
        <w:rPr/>
        <w:t>成的累计摊销额，再扣除累计计提的损失准备</w:t>
      </w:r>
      <w:r>
        <w:rPr>
          <w:rFonts w:ascii="宋体" w:hAnsi="宋体" w:cs="宋体" w:eastAsia="宋体" w:hint="default"/>
        </w:rPr>
        <w:t>(</w:t>
      </w:r>
      <w:r>
        <w:rPr/>
        <w:t>仅适用于金融资产</w:t>
      </w:r>
      <w:r>
        <w:rPr>
          <w:rFonts w:ascii="宋体" w:hAnsi="宋体" w:cs="宋体" w:eastAsia="宋体" w:hint="default"/>
        </w:rPr>
        <w:t>)</w:t>
      </w:r>
      <w:r>
        <w:rPr/>
        <w:t>。</w:t>
      </w:r>
    </w:p>
    <w:p>
      <w:pPr>
        <w:spacing w:line="352" w:lineRule="auto" w:before="36"/>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）金融资产分类和计量</w:t>
      </w:r>
      <w:r>
        <w:rPr>
          <w:rFonts w:ascii="宋体" w:hAnsi="宋体" w:cs="宋体" w:eastAsia="宋体" w:hint="default"/>
          <w:b/>
          <w:bCs/>
          <w:w w:val="99"/>
          <w:sz w:val="24"/>
          <w:szCs w:val="24"/>
        </w:rPr>
        <w:t> </w:t>
      </w:r>
      <w:r>
        <w:rPr>
          <w:rFonts w:ascii="宋体" w:hAnsi="宋体" w:cs="宋体" w:eastAsia="宋体" w:hint="default"/>
          <w:sz w:val="24"/>
          <w:szCs w:val="24"/>
        </w:rPr>
        <w:t>本公司根据所管理金融资产的业务模式和金融资产的合同现金流量特征，将金融资产划</w:t>
      </w:r>
    </w:p>
    <w:p>
      <w:pPr>
        <w:pStyle w:val="BodyText"/>
        <w:spacing w:line="240" w:lineRule="auto" w:before="31"/>
        <w:ind w:right="0"/>
        <w:jc w:val="both"/>
      </w:pPr>
      <w:r>
        <w:rPr/>
        <w:t>分为以下三类：</w:t>
      </w:r>
    </w:p>
    <w:p>
      <w:pPr>
        <w:pStyle w:val="BodyText"/>
        <w:spacing w:line="313" w:lineRule="exact" w:before="19"/>
        <w:ind w:left="633" w:right="996"/>
        <w:jc w:val="left"/>
      </w:pPr>
      <w:r>
        <w:rPr/>
        <w:t>①以摊余成本计量的金融资产。</w:t>
      </w:r>
    </w:p>
    <w:p>
      <w:pPr>
        <w:pStyle w:val="BodyText"/>
        <w:spacing w:line="313" w:lineRule="exact"/>
        <w:ind w:left="633" w:right="996"/>
        <w:jc w:val="left"/>
      </w:pPr>
      <w:r>
        <w:rPr/>
        <w:t>②以公允价值计量且其变动计入其他综合收益的金融资产。</w:t>
      </w:r>
    </w:p>
    <w:p>
      <w:pPr>
        <w:spacing w:after="0" w:line="313" w:lineRule="exact"/>
        <w:jc w:val="left"/>
        <w:sectPr>
          <w:footerReference w:type="default" r:id="rId16"/>
          <w:pgSz w:w="11910" w:h="16840"/>
          <w:pgMar w:footer="980" w:header="745" w:top="1060" w:bottom="1160" w:left="980" w:right="0"/>
          <w:pgNumType w:start="101"/>
        </w:sectPr>
      </w:pPr>
    </w:p>
    <w:p>
      <w:pPr>
        <w:spacing w:line="240" w:lineRule="auto" w:before="6"/>
        <w:rPr>
          <w:rFonts w:ascii="宋体" w:hAnsi="宋体" w:cs="宋体" w:eastAsia="宋体" w:hint="default"/>
          <w:sz w:val="23"/>
          <w:szCs w:val="23"/>
        </w:rPr>
      </w:pPr>
    </w:p>
    <w:p>
      <w:pPr>
        <w:pStyle w:val="BodyText"/>
        <w:spacing w:line="336" w:lineRule="auto" w:before="26"/>
        <w:ind w:left="633" w:right="996" w:firstLine="120"/>
        <w:jc w:val="left"/>
      </w:pPr>
      <w:r>
        <w:rPr/>
        <w:t>③以公允价值计量且其变动计入当期损益的金融资产。 金融资产在初始确认时以公允价值计量，但是因销售商品或提供服务等产生的应收账款</w:t>
      </w:r>
    </w:p>
    <w:p>
      <w:pPr>
        <w:pStyle w:val="BodyText"/>
        <w:spacing w:line="350" w:lineRule="auto" w:before="50"/>
        <w:ind w:right="1139"/>
        <w:jc w:val="both"/>
      </w:pPr>
      <w:r>
        <w:rPr/>
        <w:t>或应收票据未包含重大融资成分或不考虑不超过一年的融资成分的，按照交易价格进行初始</w:t>
      </w:r>
      <w:r>
        <w:rPr>
          <w:spacing w:val="-91"/>
        </w:rPr>
        <w:t> </w:t>
      </w:r>
      <w:r>
        <w:rPr>
          <w:spacing w:val="-91"/>
        </w:rPr>
      </w:r>
      <w:r>
        <w:rPr/>
        <w:t>计量。</w:t>
      </w:r>
    </w:p>
    <w:p>
      <w:pPr>
        <w:pStyle w:val="BodyText"/>
        <w:spacing w:line="352" w:lineRule="auto" w:before="36"/>
        <w:ind w:right="1140" w:firstLine="480"/>
        <w:jc w:val="both"/>
      </w:pPr>
      <w:r>
        <w:rPr/>
        <w:t>对于以公允价值计量且其变动计入当期损益的金融资产，相关交易费用直接计入当期损 益，其他类别的金融资产相关交易费用计入其初始确认金额。</w:t>
      </w:r>
    </w:p>
    <w:p>
      <w:pPr>
        <w:pStyle w:val="BodyText"/>
        <w:spacing w:line="352" w:lineRule="auto" w:before="31"/>
        <w:ind w:right="1140" w:firstLine="480"/>
        <w:jc w:val="both"/>
      </w:pPr>
      <w:r>
        <w:rPr/>
        <w:t>金融资产的后续计量取决于其分类，当且仅当本公司改变管理金融资产的业务模式时， 才对所有受影响的相关金融资产进行重分类。</w:t>
      </w:r>
    </w:p>
    <w:p>
      <w:pPr>
        <w:pStyle w:val="BodyText"/>
        <w:spacing w:line="350" w:lineRule="auto" w:before="34"/>
        <w:ind w:left="633" w:right="996" w:firstLine="120"/>
        <w:jc w:val="left"/>
      </w:pPr>
      <w:r>
        <w:rPr/>
        <w:t>①分类为以摊余成本计量的金融资产 金融资产的合同条款规定在特定日期产生的现金流量仅为对本金和以未偿付本金金额为</w:t>
      </w:r>
    </w:p>
    <w:p>
      <w:pPr>
        <w:pStyle w:val="BodyText"/>
        <w:spacing w:line="350" w:lineRule="auto" w:before="36"/>
        <w:ind w:right="1139"/>
        <w:jc w:val="both"/>
      </w:pPr>
      <w:r>
        <w:rPr/>
        <w:t>基础的利息的支付，且管理该金融资产的业务模式是以收取合同现金流量为目标，则本公司</w:t>
      </w:r>
      <w:r>
        <w:rPr>
          <w:spacing w:val="-91"/>
        </w:rPr>
        <w:t> </w:t>
      </w:r>
      <w:r>
        <w:rPr>
          <w:spacing w:val="-91"/>
        </w:rPr>
      </w:r>
      <w:r>
        <w:rPr/>
        <w:t>将该金融资产分类为以摊余成本计量的金融资产。本公司分类为以摊余成本计量的金融资产</w:t>
      </w:r>
      <w:r>
        <w:rPr>
          <w:spacing w:val="-91"/>
        </w:rPr>
        <w:t> </w:t>
      </w:r>
      <w:r>
        <w:rPr>
          <w:spacing w:val="-91"/>
        </w:rPr>
      </w:r>
      <w:r>
        <w:rPr/>
        <w:t>包括货币资金、应收票据、应收账款、其他应收款等。</w:t>
      </w:r>
    </w:p>
    <w:p>
      <w:pPr>
        <w:pStyle w:val="BodyText"/>
        <w:spacing w:line="350" w:lineRule="auto" w:before="36"/>
        <w:ind w:right="1139" w:firstLine="480"/>
        <w:jc w:val="both"/>
      </w:pPr>
      <w:r>
        <w:rPr/>
        <w:t>本公司对此类金融资产采用实际利率法确认利息收入，按摊余成本进行后续计量，其发 生减值时或终止确认、修改产生的利得或损失，计入当期损益。除下列情况外，本公司根据</w:t>
      </w:r>
      <w:r>
        <w:rPr>
          <w:spacing w:val="-91"/>
        </w:rPr>
        <w:t> </w:t>
      </w:r>
      <w:r>
        <w:rPr>
          <w:spacing w:val="-91"/>
        </w:rPr>
      </w:r>
      <w:r>
        <w:rPr/>
        <w:t>金融资产账面余额乘以实际利率计算确定利息收入：</w:t>
      </w:r>
    </w:p>
    <w:p>
      <w:pPr>
        <w:pStyle w:val="BodyText"/>
        <w:spacing w:line="352" w:lineRule="auto" w:before="36"/>
        <w:ind w:right="1130" w:firstLine="480"/>
        <w:jc w:val="both"/>
      </w:pPr>
      <w:r>
        <w:rPr>
          <w:rFonts w:ascii="宋体" w:hAnsi="宋体" w:cs="宋体" w:eastAsia="宋体" w:hint="default"/>
          <w:spacing w:val="-3"/>
        </w:rPr>
        <w:t>1</w:t>
      </w:r>
      <w:r>
        <w:rPr>
          <w:spacing w:val="-3"/>
        </w:rPr>
        <w:t>）对于购入或源生的已发生信用减值的金融资产，本公司自初始确认起，按照该金融资</w:t>
      </w:r>
      <w:r>
        <w:rPr/>
        <w:t> 产的摊余成本和经信用调整的实际利率计算确定其利息收入。</w:t>
      </w:r>
    </w:p>
    <w:p>
      <w:pPr>
        <w:pStyle w:val="BodyText"/>
        <w:spacing w:line="350" w:lineRule="auto" w:before="31"/>
        <w:ind w:right="1034" w:firstLine="480"/>
        <w:jc w:val="left"/>
      </w:pPr>
      <w:r>
        <w:rPr>
          <w:rFonts w:ascii="宋体" w:hAnsi="宋体" w:cs="宋体" w:eastAsia="宋体" w:hint="default"/>
        </w:rPr>
        <w:t>2</w:t>
      </w:r>
      <w:r>
        <w:rPr/>
        <w:t>）对于购入或源生的未发生信用减值、但在后续期间成为已发生信用减值的金融资产， 本公司在后续期间，按照该金融资产的摊余成本和实际利率计算确定其利息收入。若该金融</w:t>
      </w:r>
      <w:r>
        <w:rPr>
          <w:spacing w:val="-91"/>
        </w:rPr>
        <w:t> </w:t>
      </w:r>
      <w:r>
        <w:rPr>
          <w:spacing w:val="-91"/>
        </w:rPr>
      </w:r>
      <w:r>
        <w:rPr/>
        <w:t>工具在后续期间因其信用风险有所改善而不再存在信用减值，本公司转按实际利率乘以该金</w:t>
      </w:r>
      <w:r>
        <w:rPr>
          <w:spacing w:val="-91"/>
        </w:rPr>
        <w:t> </w:t>
      </w:r>
      <w:r>
        <w:rPr>
          <w:spacing w:val="-91"/>
        </w:rPr>
      </w:r>
      <w:r>
        <w:rPr/>
        <w:t>融资产账面余额来计算确定利息收入。</w:t>
      </w:r>
    </w:p>
    <w:p>
      <w:pPr>
        <w:pStyle w:val="BodyText"/>
        <w:spacing w:line="352" w:lineRule="auto" w:before="36"/>
        <w:ind w:left="633" w:right="996" w:firstLine="120"/>
        <w:jc w:val="left"/>
      </w:pPr>
      <w:r>
        <w:rPr/>
        <w:t>②分类为以公允价值计量且其变动计入其他综合收益的金融资产 金融资产的合同条款规定在特定日期产生的现金流量仅为对本金和以未偿付本金金额为</w:t>
      </w:r>
    </w:p>
    <w:p>
      <w:pPr>
        <w:pStyle w:val="BodyText"/>
        <w:spacing w:line="352" w:lineRule="auto" w:before="32"/>
        <w:ind w:right="1139"/>
        <w:jc w:val="both"/>
      </w:pPr>
      <w:r>
        <w:rPr/>
        <w:t>基础的利息的支付，且管理该金融资产的业务模式既以收取合同现金流量为目标又以出售该</w:t>
      </w:r>
      <w:r>
        <w:rPr>
          <w:spacing w:val="-91"/>
        </w:rPr>
        <w:t> </w:t>
      </w:r>
      <w:r>
        <w:rPr>
          <w:spacing w:val="-91"/>
        </w:rPr>
      </w:r>
      <w:r>
        <w:rPr/>
        <w:t>金融资产为目标，则本公司将该金融资产分类为以公允价值计量且其变动计入其他综合收益</w:t>
      </w:r>
      <w:r>
        <w:rPr>
          <w:spacing w:val="-91"/>
        </w:rPr>
        <w:t> </w:t>
      </w:r>
      <w:r>
        <w:rPr>
          <w:spacing w:val="-91"/>
        </w:rPr>
      </w:r>
      <w:r>
        <w:rPr/>
        <w:t>的金融资产。</w:t>
      </w:r>
    </w:p>
    <w:p>
      <w:pPr>
        <w:pStyle w:val="BodyText"/>
        <w:spacing w:line="352" w:lineRule="auto" w:before="31"/>
        <w:ind w:right="1139" w:firstLine="480"/>
        <w:jc w:val="both"/>
      </w:pPr>
      <w:r>
        <w:rPr/>
        <w:t>本公司对此类金融资产采用实际利率法确认利息收入。除利息收入、减值损失及汇兑差 额确认为当期损益外，其余公允价值变动计入其他综合收益。当该金融资产终止确认时，之</w:t>
      </w:r>
      <w:r>
        <w:rPr>
          <w:spacing w:val="-91"/>
        </w:rPr>
        <w:t> </w:t>
      </w:r>
      <w:r>
        <w:rPr>
          <w:spacing w:val="-91"/>
        </w:rPr>
      </w:r>
      <w:r>
        <w:rPr/>
        <w:t>前计入其他综合收益的累计利得或损失从其他综合收益中转出，计入当期损益。</w:t>
      </w:r>
    </w:p>
    <w:p>
      <w:pPr>
        <w:spacing w:after="0" w:line="352"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7" w:firstLine="480"/>
        <w:jc w:val="both"/>
      </w:pPr>
      <w:r>
        <w:rPr/>
        <w:t>以公允价值计量且变动计入其他综合收益的应收票据及应收账款列报为应收款项融资， 其他此类金融资产列报为其他债权投资，其中：自资产负债表日起一年内到期的其他债权投</w:t>
      </w:r>
      <w:r>
        <w:rPr>
          <w:spacing w:val="-90"/>
        </w:rPr>
        <w:t> </w:t>
      </w:r>
      <w:r>
        <w:rPr>
          <w:spacing w:val="-90"/>
        </w:rPr>
      </w:r>
      <w:r>
        <w:rPr/>
        <w:t>资列报为一年内到期的非流动资产，原到期日在一年以内的其他债权投资列报为其他流动资</w:t>
      </w:r>
      <w:r>
        <w:rPr>
          <w:spacing w:val="-91"/>
        </w:rPr>
        <w:t> </w:t>
      </w:r>
      <w:r>
        <w:rPr>
          <w:spacing w:val="-91"/>
        </w:rPr>
      </w:r>
      <w:r>
        <w:rPr/>
        <w:t>产。</w:t>
      </w:r>
    </w:p>
    <w:p>
      <w:pPr>
        <w:pStyle w:val="BodyText"/>
        <w:spacing w:line="350" w:lineRule="auto" w:before="36"/>
        <w:ind w:left="633" w:right="996" w:firstLine="120"/>
        <w:jc w:val="left"/>
      </w:pPr>
      <w:r>
        <w:rPr/>
        <w:t>③指定为以公允价值计量且其变动计入其他综合收益的金融资产 在初始确认时，本公司可以单项金融资产为基础不可撤销地将非交易性权益工具投资指</w:t>
      </w:r>
    </w:p>
    <w:p>
      <w:pPr>
        <w:pStyle w:val="BodyText"/>
        <w:spacing w:line="352" w:lineRule="auto" w:before="36"/>
        <w:ind w:left="633" w:right="996" w:hanging="481"/>
        <w:jc w:val="left"/>
      </w:pPr>
      <w:r>
        <w:rPr/>
        <w:t>定为以公允价值计量且其变动计入其他综合收益的金融资产。 此类金融资产的公允价值变动计入其他综合收益，不需计提减值准备。该金融资产终止</w:t>
      </w:r>
    </w:p>
    <w:p>
      <w:pPr>
        <w:pStyle w:val="BodyText"/>
        <w:spacing w:line="350" w:lineRule="auto" w:before="32"/>
        <w:ind w:right="1138"/>
        <w:jc w:val="both"/>
      </w:pPr>
      <w:r>
        <w:rPr/>
        <w:t>确认时，之前计入其他综合收益的累计利得或损失从其他综合收益中转出，计入留存收益。</w:t>
      </w:r>
      <w:r>
        <w:rPr>
          <w:spacing w:val="-91"/>
        </w:rPr>
        <w:t> </w:t>
      </w:r>
      <w:r>
        <w:rPr>
          <w:spacing w:val="-91"/>
        </w:rPr>
      </w:r>
      <w:r>
        <w:rPr/>
        <w:t>本公司持有该权益工具投资期间，在本公司收取股利的权利已经确立，与股利相关的经济利</w:t>
      </w:r>
      <w:r>
        <w:rPr>
          <w:spacing w:val="-90"/>
        </w:rPr>
        <w:t> </w:t>
      </w:r>
      <w:r>
        <w:rPr>
          <w:spacing w:val="-90"/>
        </w:rPr>
      </w:r>
      <w:r>
        <w:rPr/>
        <w:t>益很可能流入本公司，且股利的金额能够可靠计量时，确认股利收入并计入当期损益。本公</w:t>
      </w:r>
      <w:r>
        <w:rPr>
          <w:spacing w:val="-91"/>
        </w:rPr>
        <w:t> </w:t>
      </w:r>
      <w:r>
        <w:rPr>
          <w:spacing w:val="-91"/>
        </w:rPr>
      </w:r>
      <w:r>
        <w:rPr/>
        <w:t>司对此类金融资产在其他权益工具投资项目下列报。</w:t>
      </w:r>
    </w:p>
    <w:p>
      <w:pPr>
        <w:pStyle w:val="BodyText"/>
        <w:spacing w:line="350" w:lineRule="auto" w:before="36"/>
        <w:ind w:right="1139" w:firstLine="480"/>
        <w:jc w:val="both"/>
      </w:pPr>
      <w:r>
        <w:rPr/>
        <w:t>权益工具投资满足下列条件之一的，属于以公允价值计量且其变动计入当期损益的金融 资产：取得该金融资产的目的主要是为了近期出售；初始确认时属于集中管理的可辨认金融</w:t>
      </w:r>
      <w:r>
        <w:rPr>
          <w:spacing w:val="-91"/>
        </w:rPr>
        <w:t> </w:t>
      </w:r>
      <w:r>
        <w:rPr>
          <w:spacing w:val="-91"/>
        </w:rPr>
      </w:r>
      <w:r>
        <w:rPr/>
        <w:t>资产工具组合的一部分，且有客观证据表明近期实际存在短期获利模式；属于衍生工具（符</w:t>
      </w:r>
      <w:r>
        <w:rPr>
          <w:spacing w:val="-91"/>
        </w:rPr>
        <w:t> </w:t>
      </w:r>
      <w:r>
        <w:rPr>
          <w:spacing w:val="-91"/>
        </w:rPr>
      </w:r>
      <w:r>
        <w:rPr/>
        <w:t>合财务担保合同定义的以及被指定为有效套期工具的衍生工具除外）。</w:t>
      </w:r>
    </w:p>
    <w:p>
      <w:pPr>
        <w:pStyle w:val="BodyText"/>
        <w:spacing w:line="350" w:lineRule="auto" w:before="36"/>
        <w:ind w:left="633" w:right="996" w:firstLine="120"/>
        <w:jc w:val="left"/>
      </w:pPr>
      <w:r>
        <w:rPr/>
        <w:t>④分类为以公允价值计量且其变动计入当期损益的金融资产 不符合分类为以摊余成本计量或以公允价值计量且其变动计入其他综合收益的金融资产</w:t>
      </w:r>
    </w:p>
    <w:p>
      <w:pPr>
        <w:pStyle w:val="BodyText"/>
        <w:spacing w:line="352" w:lineRule="auto" w:before="36"/>
        <w:ind w:right="1139"/>
        <w:jc w:val="both"/>
      </w:pPr>
      <w:r>
        <w:rPr/>
        <w:t>条件、亦不指定为以公允价值计量且其变动计入其他综合收益的金融资产均分类为以公允价</w:t>
      </w:r>
      <w:r>
        <w:rPr>
          <w:spacing w:val="-91"/>
        </w:rPr>
        <w:t> </w:t>
      </w:r>
      <w:r>
        <w:rPr>
          <w:spacing w:val="-91"/>
        </w:rPr>
      </w:r>
      <w:r>
        <w:rPr/>
        <w:t>值计量且其变动计入当期损益的金融资产。</w:t>
      </w:r>
    </w:p>
    <w:p>
      <w:pPr>
        <w:pStyle w:val="BodyText"/>
        <w:spacing w:line="352" w:lineRule="auto" w:before="31"/>
        <w:ind w:right="1140" w:firstLine="480"/>
        <w:jc w:val="both"/>
      </w:pPr>
      <w:r>
        <w:rPr/>
        <w:t>本公司对此类金融资产采用公允价值进行后续计量，将公允价值变动形成的利得或损失 以及与此类金融资产相关的股利和利息收入计入当期损益。</w:t>
      </w:r>
    </w:p>
    <w:p>
      <w:pPr>
        <w:pStyle w:val="BodyText"/>
        <w:spacing w:line="240" w:lineRule="auto" w:before="34"/>
        <w:ind w:left="633" w:right="996"/>
        <w:jc w:val="left"/>
      </w:pPr>
      <w:r>
        <w:rPr>
          <w:spacing w:val="-3"/>
        </w:rPr>
        <w:t>本公司对此类金融资产根据其流动性在交易性金融资产、其他非流动金融资产项目列报。</w:t>
      </w:r>
    </w:p>
    <w:p>
      <w:pPr>
        <w:pStyle w:val="BodyText"/>
        <w:spacing w:line="352" w:lineRule="auto" w:before="144"/>
        <w:ind w:left="633" w:right="996" w:firstLine="120"/>
        <w:jc w:val="left"/>
      </w:pPr>
      <w:r>
        <w:rPr/>
        <w:t>⑤指定为以公允价值计量且其变动计入当期损益的金融资产 在初始确认时，本公司为了消除或显著减少会计错配，可以单项金融资产为基础不可撤</w:t>
      </w:r>
    </w:p>
    <w:p>
      <w:pPr>
        <w:pStyle w:val="BodyText"/>
        <w:spacing w:line="350" w:lineRule="auto" w:before="34"/>
        <w:ind w:left="633" w:right="996" w:hanging="481"/>
        <w:jc w:val="left"/>
      </w:pPr>
      <w:r>
        <w:rPr/>
        <w:t>销地将金融资产指定为以公允价值计量且其变动计入当期损益的金融资产。 混合合同包含一项或多项嵌入衍生工具，且其主合同不属于以上金融资产的，本公司可</w:t>
      </w:r>
    </w:p>
    <w:p>
      <w:pPr>
        <w:pStyle w:val="BodyText"/>
        <w:spacing w:line="352" w:lineRule="auto" w:before="36"/>
        <w:ind w:left="1113" w:right="1394" w:hanging="961"/>
        <w:jc w:val="left"/>
      </w:pPr>
      <w:r>
        <w:rPr/>
        <w:t>以将其整体指定为以公允价值计量且其变动计入当期损益的金融工具。但下列情况除外： </w:t>
      </w:r>
      <w:r>
        <w:rPr>
          <w:rFonts w:ascii="宋体" w:hAnsi="宋体" w:cs="宋体" w:eastAsia="宋体" w:hint="default"/>
        </w:rPr>
        <w:t>1</w:t>
      </w:r>
      <w:r>
        <w:rPr/>
        <w:t>）嵌入衍生工具不会对混合合同的现金流量产生重大改变。</w:t>
      </w:r>
    </w:p>
    <w:p>
      <w:pPr>
        <w:pStyle w:val="BodyText"/>
        <w:spacing w:line="240" w:lineRule="auto" w:before="31"/>
        <w:ind w:left="1113" w:right="996"/>
        <w:jc w:val="left"/>
      </w:pPr>
      <w:r>
        <w:rPr>
          <w:rFonts w:ascii="宋体" w:hAnsi="宋体" w:cs="宋体" w:eastAsia="宋体" w:hint="default"/>
          <w:spacing w:val="-3"/>
        </w:rPr>
        <w:t>2</w:t>
      </w:r>
      <w:r>
        <w:rPr>
          <w:spacing w:val="-3"/>
        </w:rPr>
        <w:t>）在初次确定类似的混合合同是否需要分拆时，几乎不需分析就能明确其包含的嵌</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996"/>
        <w:jc w:val="left"/>
      </w:pPr>
      <w:r>
        <w:rPr/>
        <w:t>入衍生工具不应分拆。如嵌入贷款的提前还款权，允许持有人以接近摊余成本的金额提前偿</w:t>
      </w:r>
      <w:r>
        <w:rPr>
          <w:spacing w:val="-91"/>
        </w:rPr>
        <w:t> </w:t>
      </w:r>
      <w:r>
        <w:rPr>
          <w:spacing w:val="-91"/>
        </w:rPr>
      </w:r>
      <w:r>
        <w:rPr/>
        <w:t>还贷款，该提前还款权不需要分拆。</w:t>
      </w:r>
    </w:p>
    <w:p>
      <w:pPr>
        <w:pStyle w:val="BodyText"/>
        <w:spacing w:line="352" w:lineRule="auto" w:before="31"/>
        <w:ind w:right="1140" w:firstLine="480"/>
        <w:jc w:val="both"/>
      </w:pPr>
      <w:r>
        <w:rPr/>
        <w:t>本公司对此类金融资产采用公允价值进行后续计量，将公允价值变动形成的利得或损失 以及与此类金融资产相关的股利和利息收入计入当期损益。</w:t>
      </w:r>
    </w:p>
    <w:p>
      <w:pPr>
        <w:pStyle w:val="BodyText"/>
        <w:spacing w:line="240" w:lineRule="auto" w:before="34"/>
        <w:ind w:left="633" w:right="996"/>
        <w:jc w:val="left"/>
      </w:pPr>
      <w:r>
        <w:rPr>
          <w:spacing w:val="-3"/>
        </w:rPr>
        <w:t>本公司对此类金融资产根据其流动性在交易性金融资产、其他非流动金融资产项目列报。</w:t>
      </w:r>
    </w:p>
    <w:p>
      <w:pPr>
        <w:spacing w:line="352" w:lineRule="auto" w:before="144"/>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）金融负债分类和计量</w:t>
      </w:r>
      <w:r>
        <w:rPr>
          <w:rFonts w:ascii="宋体" w:hAnsi="宋体" w:cs="宋体" w:eastAsia="宋体" w:hint="default"/>
          <w:b/>
          <w:bCs/>
          <w:w w:val="99"/>
          <w:sz w:val="24"/>
          <w:szCs w:val="24"/>
        </w:rPr>
        <w:t> </w:t>
      </w:r>
      <w:r>
        <w:rPr>
          <w:rFonts w:ascii="宋体" w:hAnsi="宋体" w:cs="宋体" w:eastAsia="宋体" w:hint="default"/>
          <w:sz w:val="24"/>
          <w:szCs w:val="24"/>
        </w:rPr>
        <w:t>本公司根据所发行金融工具的合同条款及其所反映的经济实质而非仅以法律形式，结合</w:t>
      </w:r>
    </w:p>
    <w:p>
      <w:pPr>
        <w:pStyle w:val="BodyText"/>
        <w:spacing w:line="350" w:lineRule="auto" w:before="34"/>
        <w:ind w:right="996"/>
        <w:jc w:val="left"/>
      </w:pPr>
      <w:r>
        <w:rPr/>
        <w:t>金融负债和权益工具的定义，在初始确认时将该金融工具或其组成部分分类为金融负债或权</w:t>
      </w:r>
      <w:r>
        <w:rPr>
          <w:spacing w:val="-91"/>
        </w:rPr>
        <w:t> </w:t>
      </w:r>
      <w:r>
        <w:rPr>
          <w:spacing w:val="-91"/>
        </w:rPr>
      </w:r>
      <w:r>
        <w:rPr>
          <w:spacing w:val="-2"/>
        </w:rPr>
        <w:t>益工具。金融负债在初始确认时分类为：以公允价值计量且其变动计入当期损益的金融负债、</w:t>
      </w:r>
      <w:r>
        <w:rPr/>
        <w:t> 其他金融负债、被指定为有效套期工具的衍生工具。</w:t>
      </w:r>
    </w:p>
    <w:p>
      <w:pPr>
        <w:pStyle w:val="BodyText"/>
        <w:spacing w:line="350" w:lineRule="auto" w:before="36"/>
        <w:ind w:right="1139" w:firstLine="480"/>
        <w:jc w:val="both"/>
      </w:pPr>
      <w:r>
        <w:rPr/>
        <w:t>金融负债在初始确认时以公允价值计量。对于以公允价值计量且其变动计入当期损益的 金融负债，相关的交易费用直接计入当期损益；对于其他类别的金融负债，相关交易费用计</w:t>
      </w:r>
      <w:r>
        <w:rPr>
          <w:spacing w:val="-91"/>
        </w:rPr>
        <w:t> </w:t>
      </w:r>
      <w:r>
        <w:rPr>
          <w:spacing w:val="-91"/>
        </w:rPr>
      </w:r>
      <w:r>
        <w:rPr/>
        <w:t>入初始确认金额。</w:t>
      </w:r>
    </w:p>
    <w:p>
      <w:pPr>
        <w:pStyle w:val="BodyText"/>
        <w:spacing w:line="240" w:lineRule="auto" w:before="36"/>
        <w:ind w:left="633" w:right="996"/>
        <w:jc w:val="left"/>
      </w:pPr>
      <w:r>
        <w:rPr/>
        <w:t>金融负债的后续计量取决于其分类：</w:t>
      </w:r>
    </w:p>
    <w:p>
      <w:pPr>
        <w:pStyle w:val="BodyText"/>
        <w:spacing w:line="352" w:lineRule="auto" w:before="144"/>
        <w:ind w:left="633" w:right="996" w:firstLine="120"/>
        <w:jc w:val="left"/>
      </w:pPr>
      <w:r>
        <w:rPr/>
        <w:t>①以公允价值计量且其变动计入当期损益的金融负债 此类金融负债包括交易性金融负债（含属于金融负债的衍生工具）和初始确认时指定为</w:t>
      </w:r>
    </w:p>
    <w:p>
      <w:pPr>
        <w:pStyle w:val="BodyText"/>
        <w:spacing w:line="350" w:lineRule="auto" w:before="34"/>
        <w:ind w:left="633" w:right="996" w:hanging="481"/>
        <w:jc w:val="left"/>
      </w:pPr>
      <w:r>
        <w:rPr/>
        <w:t>以公允价值计量且其变动计入当期损益的金融负债。 满足下列条件之一的，属于交易性金融负债：承担相关金融负债的目的主要是为了在近</w:t>
      </w:r>
    </w:p>
    <w:p>
      <w:pPr>
        <w:pStyle w:val="BodyText"/>
        <w:spacing w:line="350" w:lineRule="auto" w:before="36"/>
        <w:ind w:right="1138"/>
        <w:jc w:val="both"/>
      </w:pPr>
      <w:r>
        <w:rPr/>
        <w:t>期内出售或回购；属于集中管理的可辨认金融工具组合的一部分，且有客观证据表明企业近</w:t>
      </w:r>
      <w:r>
        <w:rPr>
          <w:spacing w:val="-90"/>
        </w:rPr>
        <w:t> </w:t>
      </w:r>
      <w:r>
        <w:rPr>
          <w:spacing w:val="-90"/>
        </w:rPr>
      </w:r>
      <w:r>
        <w:rPr/>
        <w:t>期采用短期获利方式模式；属于衍生工具，但是，被指定且为有效套期工具的衍生工具、符</w:t>
      </w:r>
      <w:r>
        <w:rPr>
          <w:spacing w:val="-91"/>
        </w:rPr>
        <w:t> </w:t>
      </w:r>
      <w:r>
        <w:rPr>
          <w:spacing w:val="-91"/>
        </w:rPr>
      </w:r>
      <w:r>
        <w:rPr/>
        <w:t>合财务担保合同的衍生工具除外。交易性金融负债（含属于金融负债的衍生工具），按照公</w:t>
      </w:r>
      <w:r>
        <w:rPr>
          <w:spacing w:val="-91"/>
        </w:rPr>
        <w:t> </w:t>
      </w:r>
      <w:r>
        <w:rPr>
          <w:spacing w:val="-91"/>
        </w:rPr>
      </w:r>
      <w:r>
        <w:rPr/>
        <w:t>允价值进行后续计量，除与套期会计有关外，所有公允价值变动均计入当期损益。</w:t>
      </w:r>
    </w:p>
    <w:p>
      <w:pPr>
        <w:pStyle w:val="BodyText"/>
        <w:spacing w:line="350" w:lineRule="auto" w:before="36"/>
        <w:ind w:right="1140" w:firstLine="480"/>
        <w:jc w:val="both"/>
      </w:pPr>
      <w:r>
        <w:rPr/>
        <w:t>在初始确认时，为了提供更相关的会计信息，本公司将满足下列条件之一的金融负债不 可撤销地指定为以公允价值计量且其变动计入当期损益的金融负债：</w:t>
      </w:r>
    </w:p>
    <w:p>
      <w:pPr>
        <w:pStyle w:val="BodyText"/>
        <w:spacing w:line="240" w:lineRule="auto" w:before="37"/>
        <w:ind w:left="753" w:right="996"/>
        <w:jc w:val="left"/>
      </w:pPr>
      <w:r>
        <w:rPr>
          <w:rFonts w:ascii="宋体" w:hAnsi="宋体" w:cs="宋体" w:eastAsia="宋体" w:hint="default"/>
        </w:rPr>
        <w:t>1</w:t>
      </w:r>
      <w:r>
        <w:rPr/>
        <w:t>）能够消除或显著减少会计错配。</w:t>
      </w:r>
    </w:p>
    <w:p>
      <w:pPr>
        <w:pStyle w:val="BodyText"/>
        <w:spacing w:line="350" w:lineRule="auto" w:before="146"/>
        <w:ind w:right="1138" w:firstLine="600"/>
        <w:jc w:val="both"/>
      </w:pPr>
      <w:r>
        <w:rPr>
          <w:rFonts w:ascii="宋体" w:hAnsi="宋体" w:cs="宋体" w:eastAsia="宋体" w:hint="default"/>
        </w:rPr>
        <w:t>2</w:t>
      </w:r>
      <w:r>
        <w:rPr/>
        <w:t>）根据正式书面文件载明的企业风险管理或投资策略，以公允价值为基础对金融负债 组合或金融资产和金融负债组合进行管理和业绩评价，并在企业内部以此为基础向关键管理</w:t>
      </w:r>
      <w:r>
        <w:rPr>
          <w:spacing w:val="-91"/>
        </w:rPr>
        <w:t> </w:t>
      </w:r>
      <w:r>
        <w:rPr>
          <w:spacing w:val="-91"/>
        </w:rPr>
      </w:r>
      <w:r>
        <w:rPr/>
        <w:t>人员报告。</w:t>
      </w:r>
    </w:p>
    <w:p>
      <w:pPr>
        <w:pStyle w:val="BodyText"/>
        <w:spacing w:line="350" w:lineRule="auto" w:before="36"/>
        <w:ind w:right="1139" w:firstLine="480"/>
        <w:jc w:val="both"/>
      </w:pPr>
      <w:r>
        <w:rPr/>
        <w:t>本公司对此类金融负债采用公允价值进行后续计量，除由本公司自身信用风险变动引起 的公允价值变动计入其他综合收益之外，其他公允价值变动计入当期损益。除非由本公司自</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60" w:lineRule="atLeast" w:before="52"/>
        <w:ind w:right="996"/>
        <w:jc w:val="left"/>
      </w:pPr>
      <w:r>
        <w:rPr/>
        <w:t>身信用风险变动引起的公允价值变动计入其他综合收益会造成或扩大损益中的会计错配，本</w:t>
      </w:r>
      <w:r>
        <w:rPr>
          <w:spacing w:val="-91"/>
        </w:rPr>
        <w:t> </w:t>
      </w:r>
      <w:r>
        <w:rPr>
          <w:spacing w:val="-91"/>
        </w:rPr>
      </w:r>
      <w:r>
        <w:rPr/>
        <w:t>公司将所有公允价值变动（包括自身信用风险变动的影响金额）计入当期损益。</w:t>
      </w:r>
    </w:p>
    <w:p>
      <w:pPr>
        <w:pStyle w:val="BodyText"/>
        <w:spacing w:line="336" w:lineRule="auto" w:before="17"/>
        <w:ind w:left="633" w:right="996" w:hanging="144"/>
        <w:jc w:val="left"/>
      </w:pPr>
      <w:r>
        <w:rPr/>
        <w:t>②</w:t>
      </w:r>
      <w:r>
        <w:rPr>
          <w:sz w:val="21"/>
          <w:szCs w:val="21"/>
        </w:rPr>
        <w:t>其他金融负债</w:t>
      </w:r>
      <w:r>
        <w:rPr>
          <w:w w:val="100"/>
          <w:sz w:val="21"/>
          <w:szCs w:val="21"/>
        </w:rPr>
        <w:t> </w:t>
      </w:r>
      <w:r>
        <w:rPr/>
        <w:t>除下列各项外，公司将金融负债分类为以摊余成本计量的金融负债，对此类金融负债采</w:t>
      </w:r>
    </w:p>
    <w:p>
      <w:pPr>
        <w:pStyle w:val="BodyText"/>
        <w:spacing w:line="352" w:lineRule="auto" w:before="50"/>
        <w:ind w:right="996"/>
        <w:jc w:val="left"/>
      </w:pPr>
      <w:r>
        <w:rPr/>
        <w:t>用实际利率法，按照摊余成本进行后续计量，终止确认或摊销产生的利得或损失计入当期损</w:t>
      </w:r>
      <w:r>
        <w:rPr>
          <w:spacing w:val="-91"/>
        </w:rPr>
        <w:t> </w:t>
      </w:r>
      <w:r>
        <w:rPr>
          <w:spacing w:val="-91"/>
        </w:rPr>
      </w:r>
      <w:r>
        <w:rPr/>
        <w:t>益：</w:t>
      </w:r>
    </w:p>
    <w:p>
      <w:pPr>
        <w:pStyle w:val="BodyText"/>
        <w:spacing w:line="240" w:lineRule="auto" w:before="31"/>
        <w:ind w:left="753" w:right="996"/>
        <w:jc w:val="left"/>
      </w:pPr>
      <w:r>
        <w:rPr>
          <w:rFonts w:ascii="宋体" w:hAnsi="宋体" w:cs="宋体" w:eastAsia="宋体" w:hint="default"/>
        </w:rPr>
        <w:t>1)</w:t>
      </w:r>
      <w:r>
        <w:rPr/>
        <w:t>以公允价值计量且其变动计入当期损益的金融负债。</w:t>
      </w:r>
    </w:p>
    <w:p>
      <w:pPr>
        <w:pStyle w:val="BodyText"/>
        <w:spacing w:line="240" w:lineRule="auto" w:before="146"/>
        <w:ind w:left="753" w:right="996"/>
        <w:jc w:val="left"/>
      </w:pPr>
      <w:r>
        <w:rPr>
          <w:rFonts w:ascii="宋体" w:hAnsi="宋体" w:cs="宋体" w:eastAsia="宋体" w:hint="default"/>
        </w:rPr>
        <w:t>2)</w:t>
      </w:r>
      <w:r>
        <w:rPr/>
        <w:t>金融资产转移不符合终止确认条件或继续涉入被转移金融资产所形成的金融负债。</w:t>
      </w:r>
    </w:p>
    <w:p>
      <w:pPr>
        <w:pStyle w:val="BodyText"/>
        <w:spacing w:line="350" w:lineRule="auto" w:before="146"/>
        <w:ind w:right="996" w:firstLine="600"/>
        <w:jc w:val="left"/>
      </w:pPr>
      <w:r>
        <w:rPr>
          <w:rFonts w:ascii="宋体" w:hAnsi="宋体" w:cs="宋体" w:eastAsia="宋体" w:hint="default"/>
        </w:rPr>
        <w:t>3)</w:t>
      </w:r>
      <w:r>
        <w:rPr/>
        <w:t>不属于本条前两类情形的财务担保合同，以及不属于本条第</w:t>
      </w:r>
      <w:r>
        <w:rPr>
          <w:rFonts w:ascii="宋体" w:hAnsi="宋体" w:cs="宋体" w:eastAsia="宋体" w:hint="default"/>
        </w:rPr>
        <w:t>1</w:t>
      </w:r>
      <w:r>
        <w:rPr/>
        <w:t>）类情形的以低于市场 利率贷款的贷款承诺。</w:t>
      </w:r>
    </w:p>
    <w:p>
      <w:pPr>
        <w:pStyle w:val="BodyText"/>
        <w:spacing w:line="350" w:lineRule="auto" w:before="36"/>
        <w:ind w:right="1138" w:firstLine="480"/>
        <w:jc w:val="both"/>
      </w:pPr>
      <w:r>
        <w:rPr>
          <w:spacing w:val="6"/>
        </w:rPr>
        <w:t>财务担保合同是指当特定债务人到期不能按照最初或修改后的债务工具条款偿付债务</w:t>
      </w:r>
      <w:r>
        <w:rPr/>
        <w:t> 时，要求发行方向蒙受损失的合同持有人赔付特定金额的合同。不属于指定为以公允价值计</w:t>
      </w:r>
      <w:r>
        <w:rPr>
          <w:spacing w:val="-91"/>
        </w:rPr>
        <w:t> </w:t>
      </w:r>
      <w:r>
        <w:rPr>
          <w:spacing w:val="-91"/>
        </w:rPr>
      </w:r>
      <w:r>
        <w:rPr/>
        <w:t>量且其变动计入当期损益的金融负债的财务担保合同，在初始确认后按照损失准备金额以及</w:t>
      </w:r>
      <w:r>
        <w:rPr>
          <w:spacing w:val="-91"/>
        </w:rPr>
        <w:t> </w:t>
      </w:r>
      <w:r>
        <w:rPr>
          <w:spacing w:val="-91"/>
        </w:rPr>
      </w:r>
      <w:r>
        <w:rPr/>
        <w:t>初始确认金额扣除担保期内的累计摊销额后的余额孰高进行计量。</w:t>
      </w:r>
    </w:p>
    <w:p>
      <w:pPr>
        <w:pStyle w:val="Heading2"/>
        <w:spacing w:line="240" w:lineRule="auto" w:before="36"/>
        <w:ind w:left="393" w:right="996"/>
        <w:jc w:val="left"/>
        <w:rPr>
          <w:b w:val="0"/>
          <w:bCs w:val="0"/>
        </w:rPr>
      </w:pPr>
      <w:r>
        <w:rPr/>
        <w:t>（</w:t>
      </w:r>
      <w:r>
        <w:rPr>
          <w:rFonts w:ascii="宋体" w:hAnsi="宋体" w:cs="宋体" w:eastAsia="宋体" w:hint="default"/>
        </w:rPr>
        <w:t>3</w:t>
      </w:r>
      <w:r>
        <w:rPr/>
        <w:t>）金融资产和金融负债的终止确认</w:t>
      </w:r>
      <w:r>
        <w:rPr>
          <w:b w:val="0"/>
          <w:bCs w:val="0"/>
        </w:rPr>
      </w:r>
    </w:p>
    <w:p>
      <w:pPr>
        <w:pStyle w:val="BodyText"/>
        <w:spacing w:line="352" w:lineRule="auto" w:before="144"/>
        <w:ind w:right="1140" w:firstLine="480"/>
        <w:jc w:val="both"/>
      </w:pPr>
      <w:r>
        <w:rPr/>
        <w:t>①金融资产满足下列条件之一的，终止确认金融资产，即从其账户和资产负债表内予以 转销：</w:t>
      </w:r>
    </w:p>
    <w:p>
      <w:pPr>
        <w:pStyle w:val="BodyText"/>
        <w:spacing w:line="240" w:lineRule="auto" w:before="34"/>
        <w:ind w:left="993" w:right="996"/>
        <w:jc w:val="left"/>
      </w:pPr>
      <w:r>
        <w:rPr>
          <w:rFonts w:ascii="宋体" w:hAnsi="宋体" w:cs="宋体" w:eastAsia="宋体" w:hint="default"/>
        </w:rPr>
        <w:t>1</w:t>
      </w:r>
      <w:r>
        <w:rPr/>
        <w:t>）收取该金融资产现金流量的合同权利终止。</w:t>
      </w:r>
    </w:p>
    <w:p>
      <w:pPr>
        <w:pStyle w:val="BodyText"/>
        <w:spacing w:line="240" w:lineRule="auto" w:before="144"/>
        <w:ind w:left="993" w:right="996"/>
        <w:jc w:val="left"/>
      </w:pPr>
      <w:r>
        <w:rPr>
          <w:rFonts w:ascii="宋体" w:hAnsi="宋体" w:cs="宋体" w:eastAsia="宋体" w:hint="default"/>
        </w:rPr>
        <w:t>2</w:t>
      </w:r>
      <w:r>
        <w:rPr/>
        <w:t>）该金融资产已转移，且该转移满足金融资产终止确认的规定。</w:t>
      </w:r>
    </w:p>
    <w:p>
      <w:pPr>
        <w:pStyle w:val="BodyText"/>
        <w:spacing w:line="352" w:lineRule="auto" w:before="146"/>
        <w:ind w:left="633" w:right="996"/>
        <w:jc w:val="left"/>
      </w:pPr>
      <w:r>
        <w:rPr/>
        <w:t>②金融负债终止确认条件 金融负债（或其一部分）的现时义务已经解除的，则终止确认该金融负债（或该部分金</w:t>
      </w:r>
    </w:p>
    <w:p>
      <w:pPr>
        <w:pStyle w:val="BodyText"/>
        <w:spacing w:line="240" w:lineRule="auto" w:before="31"/>
        <w:ind w:right="996"/>
        <w:jc w:val="left"/>
      </w:pPr>
      <w:r>
        <w:rPr/>
        <w:t>融负债）。</w:t>
      </w:r>
    </w:p>
    <w:p>
      <w:pPr>
        <w:pStyle w:val="BodyText"/>
        <w:spacing w:line="352" w:lineRule="auto" w:before="146"/>
        <w:ind w:right="1133" w:firstLine="480"/>
        <w:jc w:val="both"/>
      </w:pPr>
      <w:r>
        <w:rPr/>
        <w:t>本公司与借出方之间签订协议，以承担新金融负债方式替换原金融负债，且新金融负债 与原金融负债的合同条款实质上不同的，或对原金融负债（或其一部分）的合同条款做出实</w:t>
      </w:r>
      <w:r>
        <w:rPr>
          <w:spacing w:val="-91"/>
        </w:rPr>
        <w:t> </w:t>
      </w:r>
      <w:r>
        <w:rPr>
          <w:spacing w:val="-91"/>
        </w:rPr>
      </w:r>
      <w:r>
        <w:rPr>
          <w:spacing w:val="-5"/>
        </w:rPr>
        <w:t>质性修改的，则终止确认原金融负债，同时确认一项新金融负债，账面价值与支付的对价（包</w:t>
      </w:r>
      <w:r>
        <w:rPr/>
        <w:t> 括转出的非现金资产或承担的负债）之间的差额，计入当期损益。</w:t>
      </w:r>
    </w:p>
    <w:p>
      <w:pPr>
        <w:pStyle w:val="BodyText"/>
        <w:spacing w:line="350" w:lineRule="auto" w:before="34"/>
        <w:ind w:right="1139" w:firstLine="480"/>
        <w:jc w:val="both"/>
      </w:pPr>
      <w:r>
        <w:rPr/>
        <w:t>本公司回购金融负债一部分的，按照继续确认部分和终止确认部分在回购日各自的公允 价值占整体公允价值的比例，对该金融负债整体的账面价值进行分配。分配给终止确认部分</w:t>
      </w:r>
      <w:r>
        <w:rPr>
          <w:spacing w:val="-91"/>
        </w:rPr>
        <w:t> </w:t>
      </w:r>
      <w:r>
        <w:rPr>
          <w:spacing w:val="-91"/>
        </w:rPr>
      </w:r>
      <w:r>
        <w:rPr/>
        <w:t>的账面价值与支付的对价（包括转出的非现金资产或承担的负债）之间的差额，应当计入当</w:t>
      </w:r>
      <w:r>
        <w:rPr>
          <w:spacing w:val="-91"/>
        </w:rPr>
        <w:t> </w:t>
      </w:r>
      <w:r>
        <w:rPr>
          <w:spacing w:val="-91"/>
        </w:rPr>
      </w:r>
      <w:r>
        <w:rPr/>
        <w:t>期损益。</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352" w:lineRule="auto" w:before="198"/>
        <w:ind w:left="633" w:right="996" w:hanging="24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本公司在发生金融资产转移时，评估其保留金融资产所有权上的风险和报酬的程度，并</w:t>
      </w:r>
    </w:p>
    <w:p>
      <w:pPr>
        <w:pStyle w:val="BodyText"/>
        <w:spacing w:line="240" w:lineRule="auto" w:before="31"/>
        <w:ind w:right="996"/>
        <w:jc w:val="left"/>
      </w:pPr>
      <w:r>
        <w:rPr/>
        <w:t>分别下列情形处理：</w:t>
      </w:r>
    </w:p>
    <w:p>
      <w:pPr>
        <w:spacing w:line="259" w:lineRule="auto" w:before="19"/>
        <w:ind w:left="152" w:right="996" w:firstLine="348"/>
        <w:jc w:val="left"/>
        <w:rPr>
          <w:rFonts w:ascii="宋体" w:hAnsi="宋体" w:cs="宋体" w:eastAsia="宋体" w:hint="default"/>
          <w:sz w:val="21"/>
          <w:szCs w:val="21"/>
        </w:rPr>
      </w:pPr>
      <w:r>
        <w:rPr>
          <w:rFonts w:ascii="宋体" w:hAnsi="宋体" w:cs="宋体" w:eastAsia="宋体" w:hint="default"/>
          <w:spacing w:val="-1"/>
          <w:sz w:val="24"/>
          <w:szCs w:val="24"/>
        </w:rPr>
        <w:t>①</w:t>
      </w:r>
      <w:r>
        <w:rPr>
          <w:rFonts w:ascii="宋体" w:hAnsi="宋体" w:cs="宋体" w:eastAsia="宋体" w:hint="default"/>
          <w:spacing w:val="-1"/>
          <w:sz w:val="21"/>
          <w:szCs w:val="21"/>
        </w:rPr>
        <w:t>转移了金融资产所有权上几乎所有风险和报酬的，则终止确认该金融资产，并将转移中产生或保留</w:t>
      </w:r>
      <w:r>
        <w:rPr>
          <w:rFonts w:ascii="宋体" w:hAnsi="宋体" w:cs="宋体" w:eastAsia="宋体" w:hint="default"/>
          <w:w w:val="100"/>
          <w:sz w:val="21"/>
          <w:szCs w:val="21"/>
        </w:rPr>
        <w:t> </w:t>
      </w:r>
      <w:r>
        <w:rPr>
          <w:rFonts w:ascii="宋体" w:hAnsi="宋体" w:cs="宋体" w:eastAsia="宋体" w:hint="default"/>
          <w:sz w:val="21"/>
          <w:szCs w:val="21"/>
        </w:rPr>
        <w:t>的权利和义务单独确认为资产或负债。</w:t>
      </w:r>
    </w:p>
    <w:p>
      <w:pPr>
        <w:spacing w:line="306" w:lineRule="exact" w:before="0"/>
        <w:ind w:left="501" w:right="996" w:firstLine="0"/>
        <w:jc w:val="left"/>
        <w:rPr>
          <w:rFonts w:ascii="宋体" w:hAnsi="宋体" w:cs="宋体" w:eastAsia="宋体" w:hint="default"/>
          <w:sz w:val="21"/>
          <w:szCs w:val="21"/>
        </w:rPr>
      </w:pPr>
      <w:r>
        <w:rPr>
          <w:rFonts w:ascii="宋体" w:hAnsi="宋体" w:cs="宋体" w:eastAsia="宋体" w:hint="default"/>
          <w:sz w:val="24"/>
          <w:szCs w:val="24"/>
        </w:rPr>
        <w:t>②</w:t>
      </w:r>
      <w:r>
        <w:rPr>
          <w:rFonts w:ascii="宋体" w:hAnsi="宋体" w:cs="宋体" w:eastAsia="宋体" w:hint="default"/>
          <w:sz w:val="21"/>
          <w:szCs w:val="21"/>
        </w:rPr>
        <w:t>保留了金融资产所有权上几乎所有风险和报酬的，则继续确认该金融资产。</w:t>
      </w:r>
    </w:p>
    <w:p>
      <w:pPr>
        <w:spacing w:line="259" w:lineRule="auto" w:before="0"/>
        <w:ind w:left="152" w:right="996" w:firstLine="348"/>
        <w:jc w:val="left"/>
        <w:rPr>
          <w:rFonts w:ascii="宋体" w:hAnsi="宋体" w:cs="宋体" w:eastAsia="宋体" w:hint="default"/>
          <w:sz w:val="21"/>
          <w:szCs w:val="21"/>
        </w:rPr>
      </w:pPr>
      <w:r>
        <w:rPr>
          <w:rFonts w:ascii="宋体" w:hAnsi="宋体" w:cs="宋体" w:eastAsia="宋体" w:hint="default"/>
          <w:spacing w:val="-8"/>
          <w:w w:val="100"/>
          <w:sz w:val="24"/>
          <w:szCs w:val="24"/>
        </w:rPr>
        <w:t>③</w:t>
      </w:r>
      <w:r>
        <w:rPr>
          <w:rFonts w:ascii="宋体" w:hAnsi="宋体" w:cs="宋体" w:eastAsia="宋体" w:hint="default"/>
          <w:spacing w:val="-8"/>
          <w:w w:val="100"/>
          <w:sz w:val="21"/>
          <w:szCs w:val="21"/>
        </w:rPr>
        <w:t>既没有转移也没有保留金融资产所有权上几乎所有风险和报酬的（即除本条①、②之外的其他情形），</w:t>
      </w:r>
      <w:r>
        <w:rPr>
          <w:rFonts w:ascii="宋体" w:hAnsi="宋体" w:cs="宋体" w:eastAsia="宋体" w:hint="default"/>
          <w:w w:val="100"/>
          <w:sz w:val="21"/>
          <w:szCs w:val="21"/>
        </w:rPr>
        <w:t> </w:t>
      </w:r>
      <w:r>
        <w:rPr>
          <w:rFonts w:ascii="宋体" w:hAnsi="宋体" w:cs="宋体" w:eastAsia="宋体" w:hint="default"/>
          <w:sz w:val="21"/>
          <w:szCs w:val="21"/>
        </w:rPr>
        <w:t>则根据其是否保留了对金融资产的控制，分别下列情形处理：</w:t>
      </w:r>
    </w:p>
    <w:p>
      <w:pPr>
        <w:pStyle w:val="BodyText"/>
        <w:spacing w:line="352" w:lineRule="auto" w:before="119"/>
        <w:ind w:right="1140" w:firstLine="600"/>
        <w:jc w:val="both"/>
      </w:pPr>
      <w:r>
        <w:rPr>
          <w:rFonts w:ascii="宋体" w:hAnsi="宋体" w:cs="宋体" w:eastAsia="宋体" w:hint="default"/>
        </w:rPr>
        <w:t>1</w:t>
      </w:r>
      <w:r>
        <w:rPr/>
        <w:t>）未保留对该金融资产控制的，则终止确认该金融资产，并将转移中产生或保留的权 利和义务单独确认为资产或负债。</w:t>
      </w:r>
    </w:p>
    <w:p>
      <w:pPr>
        <w:pStyle w:val="BodyText"/>
        <w:spacing w:line="352" w:lineRule="auto" w:before="32"/>
        <w:ind w:right="1139" w:firstLine="600"/>
        <w:jc w:val="both"/>
      </w:pPr>
      <w:r>
        <w:rPr>
          <w:rFonts w:ascii="宋体" w:hAnsi="宋体" w:cs="宋体" w:eastAsia="宋体" w:hint="default"/>
        </w:rPr>
        <w:t>2</w:t>
      </w:r>
      <w:r>
        <w:rPr/>
        <w:t>）保留了对该金融资产控制的，则按照其继续涉入被转移金融资产的程度继续确认有 关金融资产，并相应确认相关负债。继续涉入被转移金融资产的程度，是指本公司承担的被</w:t>
      </w:r>
      <w:r>
        <w:rPr>
          <w:spacing w:val="-91"/>
        </w:rPr>
        <w:t> </w:t>
      </w:r>
      <w:r>
        <w:rPr>
          <w:spacing w:val="-91"/>
        </w:rPr>
      </w:r>
      <w:r>
        <w:rPr/>
        <w:t>转移金融资产价值变动风险或报酬的程度。</w:t>
      </w:r>
    </w:p>
    <w:p>
      <w:pPr>
        <w:pStyle w:val="BodyText"/>
        <w:spacing w:line="352" w:lineRule="auto" w:before="31"/>
        <w:ind w:right="996" w:firstLine="480"/>
        <w:jc w:val="left"/>
      </w:pPr>
      <w:r>
        <w:rPr>
          <w:spacing w:val="-3"/>
        </w:rPr>
        <w:t>在判断金融资产转移是否满足上述金融资产终止确认条件时，采用实质重于形式的原则。</w:t>
      </w:r>
      <w:r>
        <w:rPr/>
        <w:t> 公司将金融资产转移区分为金融资产整体转移和部分转移。</w:t>
      </w:r>
    </w:p>
    <w:p>
      <w:pPr>
        <w:pStyle w:val="BodyText"/>
        <w:spacing w:line="350" w:lineRule="auto" w:before="34"/>
        <w:ind w:left="993" w:right="1633" w:hanging="360"/>
        <w:jc w:val="left"/>
      </w:pPr>
      <w:r>
        <w:rPr/>
        <w:t>①金融资产整体转移满足终止确认条件的，将下列两项金额的差额计入当期损益： </w:t>
      </w:r>
      <w:r>
        <w:rPr>
          <w:rFonts w:ascii="宋体" w:hAnsi="宋体" w:cs="宋体" w:eastAsia="宋体" w:hint="default"/>
        </w:rPr>
        <w:t>1</w:t>
      </w:r>
      <w:r>
        <w:rPr/>
        <w:t>）被转移金融资产在终止确认日的账面价值。</w:t>
      </w:r>
    </w:p>
    <w:p>
      <w:pPr>
        <w:pStyle w:val="BodyText"/>
        <w:spacing w:line="350" w:lineRule="auto" w:before="36"/>
        <w:ind w:right="1139" w:firstLine="840"/>
        <w:jc w:val="both"/>
      </w:pPr>
      <w:r>
        <w:rPr>
          <w:rFonts w:ascii="宋体" w:hAnsi="宋体" w:cs="宋体" w:eastAsia="宋体" w:hint="default"/>
        </w:rPr>
        <w:t>2</w:t>
      </w:r>
      <w:r>
        <w:rPr/>
        <w:t>）因转移金融资产而收到的对价，与原直接计入其他综合收益的公允价值变动累计 额中对应终止确认部分的金额（涉及转移的金融资产为以公允价值计量且其变动计入其他综</w:t>
      </w:r>
      <w:r>
        <w:rPr>
          <w:spacing w:val="-91"/>
        </w:rPr>
        <w:t> </w:t>
      </w:r>
      <w:r>
        <w:rPr>
          <w:spacing w:val="-91"/>
        </w:rPr>
      </w:r>
      <w:r>
        <w:rPr/>
        <w:t>合收益的金融资产）之和。</w:t>
      </w:r>
    </w:p>
    <w:p>
      <w:pPr>
        <w:pStyle w:val="BodyText"/>
        <w:spacing w:line="350" w:lineRule="auto" w:before="36"/>
        <w:ind w:right="1139" w:firstLine="480"/>
        <w:jc w:val="both"/>
      </w:pPr>
      <w:r>
        <w:rPr/>
        <w:t>②金融资产部分转移且该被转移部分整体满足终止确认条件的，将转移前金融资产整体 的账面价值，在终止确认部分和继续确认部分（在此种情形下，所保留的服务资产应当视同</w:t>
      </w:r>
      <w:r>
        <w:rPr>
          <w:spacing w:val="-91"/>
        </w:rPr>
        <w:t> </w:t>
      </w:r>
      <w:r>
        <w:rPr>
          <w:spacing w:val="-91"/>
        </w:rPr>
      </w:r>
      <w:r>
        <w:rPr/>
        <w:t>继续确认金融资产的一部分）之间，按照转移日各自的相对公允价值进行分摊，并将下列两</w:t>
      </w:r>
      <w:r>
        <w:rPr>
          <w:spacing w:val="-91"/>
        </w:rPr>
        <w:t> </w:t>
      </w:r>
      <w:r>
        <w:rPr>
          <w:spacing w:val="-91"/>
        </w:rPr>
      </w:r>
      <w:r>
        <w:rPr/>
        <w:t>项金额的差额计入  当期损益：</w:t>
      </w:r>
    </w:p>
    <w:p>
      <w:pPr>
        <w:pStyle w:val="BodyText"/>
        <w:spacing w:line="240" w:lineRule="auto" w:before="36"/>
        <w:ind w:left="873" w:right="996"/>
        <w:jc w:val="left"/>
      </w:pPr>
      <w:r>
        <w:rPr>
          <w:rFonts w:ascii="宋体" w:hAnsi="宋体" w:cs="宋体" w:eastAsia="宋体" w:hint="default"/>
        </w:rPr>
        <w:t>1</w:t>
      </w:r>
      <w:r>
        <w:rPr/>
        <w:t>）终止确认部分在终止确认日的账面价值。</w:t>
      </w:r>
    </w:p>
    <w:p>
      <w:pPr>
        <w:pStyle w:val="BodyText"/>
        <w:spacing w:line="352" w:lineRule="auto" w:before="145"/>
        <w:ind w:right="1132" w:firstLine="720"/>
        <w:jc w:val="both"/>
      </w:pPr>
      <w:r>
        <w:rPr>
          <w:rFonts w:ascii="宋体" w:hAnsi="宋体" w:cs="宋体" w:eastAsia="宋体" w:hint="default"/>
          <w:spacing w:val="-3"/>
        </w:rPr>
        <w:t>2</w:t>
      </w:r>
      <w:r>
        <w:rPr>
          <w:spacing w:val="-3"/>
        </w:rPr>
        <w:t>）终止确认部分收到的对价，与原计入其他综合收益的公允价值变动累计额中对应终</w:t>
      </w:r>
      <w:r>
        <w:rPr/>
        <w:t> 止确认部分的金额（涉及转移的金融资产为以公允价值计量且其变动计入其他综合收益的金</w:t>
      </w:r>
      <w:r>
        <w:rPr>
          <w:spacing w:val="-91"/>
        </w:rPr>
        <w:t> </w:t>
      </w:r>
      <w:r>
        <w:rPr>
          <w:spacing w:val="-91"/>
        </w:rPr>
      </w:r>
      <w:r>
        <w:rPr/>
        <w:t>融资产）之和。</w:t>
      </w:r>
    </w:p>
    <w:p>
      <w:pPr>
        <w:pStyle w:val="BodyText"/>
        <w:spacing w:line="352" w:lineRule="auto" w:before="31"/>
        <w:ind w:right="1140" w:firstLine="480"/>
        <w:jc w:val="both"/>
      </w:pPr>
      <w:r>
        <w:rPr/>
        <w:t>金融资产转移不满足终止确认条件的，继续确认该金融资产，所收到的对价确认为一项 金融负债。</w:t>
      </w:r>
    </w:p>
    <w:p>
      <w:pPr>
        <w:pStyle w:val="Heading2"/>
        <w:spacing w:line="240" w:lineRule="auto" w:before="34"/>
        <w:ind w:left="393" w:right="996"/>
        <w:jc w:val="left"/>
        <w:rPr>
          <w:b w:val="0"/>
          <w:bCs w:val="0"/>
        </w:rPr>
      </w:pPr>
      <w:r>
        <w:rPr/>
        <w:t>（</w:t>
      </w:r>
      <w:r>
        <w:rPr>
          <w:rFonts w:ascii="宋体" w:hAnsi="宋体" w:cs="宋体" w:eastAsia="宋体" w:hint="default"/>
        </w:rPr>
        <w:t>5</w:t>
      </w:r>
      <w:r>
        <w:rPr/>
        <w:t>）金融资产和金融负债公允价值的确定方法</w:t>
      </w:r>
      <w:r>
        <w:rPr>
          <w:b w:val="0"/>
          <w:bCs w:val="0"/>
        </w:rPr>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pStyle w:val="BodyText"/>
        <w:spacing w:line="350" w:lineRule="auto" w:before="198"/>
        <w:ind w:right="996" w:firstLine="600"/>
        <w:jc w:val="left"/>
      </w:pPr>
      <w:r>
        <w:rPr>
          <w:spacing w:val="-3"/>
        </w:rPr>
        <w:t>在活跃市场的金融资产或金融负债，以活跃市场的报价确定其公允价值，除非该项金融</w:t>
      </w:r>
      <w:r>
        <w:rPr/>
        <w:t> 资产存在针对资产本身的限售期。对于针对资产本身的限售的金融资产，按照活跃市场的报</w:t>
      </w:r>
      <w:r>
        <w:rPr>
          <w:spacing w:val="-91"/>
        </w:rPr>
        <w:t> </w:t>
      </w:r>
      <w:r>
        <w:rPr>
          <w:spacing w:val="-91"/>
        </w:rPr>
      </w:r>
      <w:r>
        <w:rPr/>
        <w:t>价扣除市场参与者因承担指定期间内无法在公开市场上出售该金融资产的风险而要求获得的</w:t>
      </w:r>
      <w:r>
        <w:rPr>
          <w:spacing w:val="-90"/>
        </w:rPr>
        <w:t> </w:t>
      </w:r>
      <w:r>
        <w:rPr>
          <w:spacing w:val="-90"/>
        </w:rPr>
      </w:r>
      <w:r>
        <w:rPr>
          <w:spacing w:val="-2"/>
        </w:rPr>
        <w:t>补偿金额后确定。活跃市场的报价包括易于且可定期从交易所、交易商、经纪人、行业集团、</w:t>
      </w:r>
      <w:r>
        <w:rPr/>
        <w:t> 定价机构或监管机构等获得相关资产或负债的报价，且能代表在公平交易基础上实际并经常</w:t>
      </w:r>
      <w:r>
        <w:rPr>
          <w:spacing w:val="-91"/>
        </w:rPr>
        <w:t> </w:t>
      </w:r>
      <w:r>
        <w:rPr>
          <w:spacing w:val="-91"/>
        </w:rPr>
      </w:r>
      <w:r>
        <w:rPr/>
        <w:t>发生的市场交易。</w:t>
      </w:r>
    </w:p>
    <w:p>
      <w:pPr>
        <w:pStyle w:val="BodyText"/>
        <w:spacing w:line="352" w:lineRule="auto" w:before="36"/>
        <w:ind w:right="1140" w:firstLine="480"/>
        <w:jc w:val="both"/>
      </w:pPr>
      <w:r>
        <w:rPr/>
        <w:t>初始取得或衍生的金融资产或承担的金融负债，以市场交易价格作为确定其公允价值的 基础。</w:t>
      </w:r>
    </w:p>
    <w:p>
      <w:pPr>
        <w:pStyle w:val="BodyText"/>
        <w:spacing w:line="352" w:lineRule="auto" w:before="32"/>
        <w:ind w:right="1137" w:firstLine="480"/>
        <w:jc w:val="both"/>
      </w:pPr>
      <w:r>
        <w:rPr/>
        <w:t>不存在活跃市场的金融资产或金融负债，采用估值技术确定其公允价值。在估值时，本 公司采用在当前情况下适用并且有足够可利用数据和其他信息支持的估值技术，选择与市场</w:t>
      </w:r>
      <w:r>
        <w:rPr>
          <w:spacing w:val="-91"/>
        </w:rPr>
        <w:t> </w:t>
      </w:r>
      <w:r>
        <w:rPr>
          <w:spacing w:val="-91"/>
        </w:rPr>
      </w:r>
      <w:r>
        <w:rPr/>
        <w:t>参与者在相关资产或负债的交易中所考虑的资产或负债特征相一致的输入值，并尽可能优先</w:t>
      </w:r>
      <w:r>
        <w:rPr>
          <w:spacing w:val="-90"/>
        </w:rPr>
        <w:t> </w:t>
      </w:r>
      <w:r>
        <w:rPr>
          <w:spacing w:val="-90"/>
        </w:rPr>
      </w:r>
      <w:r>
        <w:rPr/>
        <w:t>使用相关可观察输入值。在相关可观察输入值无法取得或取得不切实可行的情况下，使用不</w:t>
      </w:r>
      <w:r>
        <w:rPr>
          <w:spacing w:val="-91"/>
        </w:rPr>
        <w:t> </w:t>
      </w:r>
      <w:r>
        <w:rPr>
          <w:spacing w:val="-91"/>
        </w:rPr>
      </w:r>
      <w:r>
        <w:rPr/>
        <w:t>可观察输入值。</w:t>
      </w:r>
    </w:p>
    <w:p>
      <w:pPr>
        <w:spacing w:line="350" w:lineRule="auto" w:before="34"/>
        <w:ind w:left="633" w:right="996" w:hanging="24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）金融工具减值</w:t>
      </w:r>
      <w:r>
        <w:rPr>
          <w:rFonts w:ascii="宋体" w:hAnsi="宋体" w:cs="宋体" w:eastAsia="宋体" w:hint="default"/>
          <w:b/>
          <w:bCs/>
          <w:w w:val="99"/>
          <w:sz w:val="24"/>
          <w:szCs w:val="24"/>
        </w:rPr>
        <w:t> </w:t>
      </w:r>
      <w:r>
        <w:rPr>
          <w:rFonts w:ascii="宋体" w:hAnsi="宋体" w:cs="宋体" w:eastAsia="宋体" w:hint="default"/>
          <w:sz w:val="24"/>
          <w:szCs w:val="24"/>
        </w:rPr>
        <w:t>本公司以预期信用损失为基础，对分类为以摊余成本计量的金融资产、分类为以公允价</w:t>
      </w:r>
    </w:p>
    <w:p>
      <w:pPr>
        <w:pStyle w:val="BodyText"/>
        <w:spacing w:line="352" w:lineRule="auto" w:before="36"/>
        <w:ind w:right="996"/>
        <w:jc w:val="left"/>
      </w:pPr>
      <w:r>
        <w:rPr/>
        <w:t>值计量且其变动计入其他综合收益的金融资产以及财务担保合同，进行减值会计处理并确认</w:t>
      </w:r>
      <w:r>
        <w:rPr>
          <w:spacing w:val="-91"/>
        </w:rPr>
        <w:t> </w:t>
      </w:r>
      <w:r>
        <w:rPr>
          <w:spacing w:val="-91"/>
        </w:rPr>
      </w:r>
      <w:r>
        <w:rPr/>
        <w:t>损失准备。</w:t>
      </w:r>
    </w:p>
    <w:p>
      <w:pPr>
        <w:pStyle w:val="BodyText"/>
        <w:spacing w:line="350" w:lineRule="auto" w:before="31"/>
        <w:ind w:right="1138" w:firstLine="480"/>
        <w:jc w:val="both"/>
      </w:pPr>
      <w:r>
        <w:rPr/>
        <w:t>预期信用损失，是指以发生违约的风险为权重的金融工具信用损失的加权平均值。信用 损失，是指本公司按照原实际利率折现的、根据合同应收的所有合同现金流量与预期收取的</w:t>
      </w:r>
      <w:r>
        <w:rPr>
          <w:spacing w:val="-91"/>
        </w:rPr>
        <w:t> </w:t>
      </w:r>
      <w:r>
        <w:rPr>
          <w:spacing w:val="-91"/>
        </w:rPr>
      </w:r>
      <w:r>
        <w:rPr/>
        <w:t>所有现金流量之间的差额，即全部现金短缺的现值。其中，对于本公司购买或源生的已发生</w:t>
      </w:r>
      <w:r>
        <w:rPr>
          <w:spacing w:val="-90"/>
        </w:rPr>
        <w:t> </w:t>
      </w:r>
      <w:r>
        <w:rPr>
          <w:spacing w:val="-90"/>
        </w:rPr>
      </w:r>
      <w:r>
        <w:rPr/>
        <w:t>信用减值的金融资产，应按照该金融资产经信用调整的实际利率折现。</w:t>
      </w:r>
    </w:p>
    <w:p>
      <w:pPr>
        <w:pStyle w:val="BodyText"/>
        <w:spacing w:line="352" w:lineRule="auto" w:before="36"/>
        <w:ind w:right="1140" w:firstLine="480"/>
        <w:jc w:val="both"/>
      </w:pPr>
      <w:r>
        <w:rPr/>
        <w:t>对由收入准则规范的交易形成的应收款项，本公司运用简化计量方法，按照相当于整个 存续期内预期信用损失的金额计量损失准备。</w:t>
      </w:r>
    </w:p>
    <w:p>
      <w:pPr>
        <w:pStyle w:val="BodyText"/>
        <w:spacing w:line="352" w:lineRule="auto" w:before="31"/>
        <w:ind w:right="1138" w:firstLine="480"/>
        <w:jc w:val="both"/>
      </w:pPr>
      <w:r>
        <w:rPr/>
        <w:t>对于购买或源生的已发生信用减值的金融资产，在资产负债表日仅将自初始确认后整个 存续期内预期信用损失的累计变动确认为损失准备。在每个资产负债表日，将整个存续期内</w:t>
      </w:r>
      <w:r>
        <w:rPr>
          <w:spacing w:val="-91"/>
        </w:rPr>
        <w:t> </w:t>
      </w:r>
      <w:r>
        <w:rPr>
          <w:spacing w:val="-91"/>
        </w:rPr>
      </w:r>
      <w:r>
        <w:rPr/>
        <w:t>预期信用损失的变动金额作为减值损失或利得计入当期损益。即使该资产负债表日确定的整</w:t>
      </w:r>
      <w:r>
        <w:rPr>
          <w:spacing w:val="-91"/>
        </w:rPr>
        <w:t> </w:t>
      </w:r>
      <w:r>
        <w:rPr>
          <w:spacing w:val="-91"/>
        </w:rPr>
      </w:r>
      <w:r>
        <w:rPr/>
        <w:t>个存续期内预期信用损失小于初始确认时估计现金流量所反映的预期信用损失的金额，也将</w:t>
      </w:r>
      <w:r>
        <w:rPr>
          <w:spacing w:val="-89"/>
        </w:rPr>
        <w:t> </w:t>
      </w:r>
      <w:r>
        <w:rPr>
          <w:spacing w:val="-89"/>
        </w:rPr>
      </w:r>
      <w:r>
        <w:rPr/>
        <w:t>预期信用损失的有利变动确认为减值利得。</w:t>
      </w:r>
    </w:p>
    <w:p>
      <w:pPr>
        <w:pStyle w:val="BodyText"/>
        <w:spacing w:line="350" w:lineRule="auto" w:before="34"/>
        <w:ind w:right="1139" w:firstLine="480"/>
        <w:jc w:val="both"/>
      </w:pPr>
      <w:r>
        <w:rPr/>
        <w:t>除上述采用简化计量方法和购买或源生的已发生信用减值以外的其他金融资产，本公司 在每个资产负债表日评估相关金融工具的信用风险自初始确认后是否已显著增加，并按照下</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列情形分别计量其损失准备、确认预期信用损失及其变动：</w:t>
      </w:r>
    </w:p>
    <w:p>
      <w:pPr>
        <w:pStyle w:val="BodyText"/>
        <w:spacing w:line="340" w:lineRule="auto" w:before="146"/>
        <w:ind w:right="1132" w:firstLine="384"/>
        <w:jc w:val="both"/>
      </w:pPr>
      <w:r>
        <w:rPr>
          <w:spacing w:val="-3"/>
        </w:rPr>
        <w:t>①如果该金融工具的信用风险自初始确认后并未显著增加，处于第一阶段，则按照相当于</w:t>
      </w:r>
      <w:r>
        <w:rPr/>
        <w:t> 该金融工具未来</w:t>
      </w:r>
      <w:r>
        <w:rPr>
          <w:spacing w:val="1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个月内预期信用损失的金额计量其损失准备，并按照账面余额和实际利</w:t>
      </w:r>
      <w:r>
        <w:rPr>
          <w:spacing w:val="-114"/>
        </w:rPr>
        <w:t> </w:t>
      </w:r>
      <w:r>
        <w:rPr>
          <w:spacing w:val="-114"/>
        </w:rPr>
      </w:r>
      <w:r>
        <w:rPr/>
        <w:t>率计算利息收入。</w:t>
      </w:r>
    </w:p>
    <w:p>
      <w:pPr>
        <w:pStyle w:val="BodyText"/>
        <w:spacing w:line="350" w:lineRule="auto" w:before="46"/>
        <w:ind w:right="1139" w:firstLine="408"/>
        <w:jc w:val="both"/>
      </w:pPr>
      <w:r>
        <w:rPr>
          <w:spacing w:val="2"/>
        </w:rPr>
        <w:t>②如果该金融工具的信用风险自初始确认后已显著增加但尚未发生信用减值的，处于第</w:t>
      </w:r>
      <w:r>
        <w:rPr/>
        <w:t> 二阶段，则按照相当于该金融工具整个存续期内预期信用损失的金额计量其损失准备，并按</w:t>
      </w:r>
      <w:r>
        <w:rPr>
          <w:spacing w:val="-91"/>
        </w:rPr>
        <w:t> </w:t>
      </w:r>
      <w:r>
        <w:rPr>
          <w:spacing w:val="-91"/>
        </w:rPr>
      </w:r>
      <w:r>
        <w:rPr/>
        <w:t>照账面余额和实际利率计算利息收入。</w:t>
      </w:r>
    </w:p>
    <w:p>
      <w:pPr>
        <w:pStyle w:val="BodyText"/>
        <w:spacing w:line="350" w:lineRule="auto" w:before="36"/>
        <w:ind w:right="1139" w:firstLine="408"/>
        <w:jc w:val="both"/>
      </w:pPr>
      <w:r>
        <w:rPr>
          <w:spacing w:val="2"/>
        </w:rPr>
        <w:t>③如果该金融工具自初始确认后已经发生信用减值的，处于第三阶段，本公司按照相当</w:t>
      </w:r>
      <w:r>
        <w:rPr/>
        <w:t> 于该金融工具整个存续期内预期信用损失的金额计量其损失准备，并按照摊余成本和实际利</w:t>
      </w:r>
      <w:r>
        <w:rPr>
          <w:spacing w:val="-91"/>
        </w:rPr>
        <w:t> </w:t>
      </w:r>
      <w:r>
        <w:rPr>
          <w:spacing w:val="-91"/>
        </w:rPr>
      </w:r>
      <w:r>
        <w:rPr/>
        <w:t>率计算利息收入。</w:t>
      </w:r>
    </w:p>
    <w:p>
      <w:pPr>
        <w:pStyle w:val="BodyText"/>
        <w:spacing w:line="350" w:lineRule="auto" w:before="36"/>
        <w:ind w:right="1133" w:firstLine="480"/>
        <w:jc w:val="both"/>
      </w:pPr>
      <w:r>
        <w:rPr/>
        <w:t>金融工具信用损失准备的增加或转回金额，作为减值损失或利得计入当期损益。除分类 为以公允价值计量且其变动计入其他综合收益的金融资产外，信用损失准备抵减金融资产的</w:t>
      </w:r>
      <w:r>
        <w:rPr>
          <w:spacing w:val="-86"/>
        </w:rPr>
        <w:t> </w:t>
      </w:r>
      <w:r>
        <w:rPr>
          <w:spacing w:val="-86"/>
        </w:rPr>
      </w:r>
      <w:r>
        <w:rPr/>
        <w:t>账面余额。对于分类为以公允价值计量且其变动计入其他综合收益的金融资产，本公司在其</w:t>
      </w:r>
      <w:r>
        <w:rPr>
          <w:spacing w:val="-91"/>
        </w:rPr>
        <w:t> </w:t>
      </w:r>
      <w:r>
        <w:rPr>
          <w:spacing w:val="-91"/>
        </w:rPr>
      </w:r>
      <w:r>
        <w:rPr/>
        <w:t>他综合收益中确认其信用损失准备，不减少该金融资产在资产负债表中列示的账面价值。</w:t>
      </w:r>
    </w:p>
    <w:p>
      <w:pPr>
        <w:pStyle w:val="BodyText"/>
        <w:spacing w:line="352" w:lineRule="auto" w:before="34"/>
        <w:ind w:right="1135" w:firstLine="480"/>
        <w:jc w:val="both"/>
      </w:pPr>
      <w:r>
        <w:rPr/>
        <w:t>本公司在前一会计期间已经按照相当于金融工具整个存续期内预期信用损失的金额计量 了损失准备，但在当期资产负债表日，该金融工具已不再属于自初始确认后信用风险显著增</w:t>
      </w:r>
      <w:r>
        <w:rPr>
          <w:spacing w:val="-91"/>
        </w:rPr>
        <w:t> </w:t>
      </w:r>
      <w:r>
        <w:rPr>
          <w:spacing w:val="-91"/>
        </w:rPr>
      </w:r>
      <w:r>
        <w:rPr/>
        <w:t>加的情形的，本公司在当期资产负债表日按照相当于未来</w:t>
      </w:r>
      <w:r>
        <w:rPr>
          <w:rFonts w:ascii="宋体" w:hAnsi="宋体" w:cs="宋体" w:eastAsia="宋体" w:hint="default"/>
        </w:rPr>
        <w:t>12</w:t>
      </w:r>
      <w:r>
        <w:rPr/>
        <w:t>个月内预期信用损失的金额计量</w:t>
      </w:r>
      <w:r>
        <w:rPr>
          <w:spacing w:val="-88"/>
        </w:rPr>
        <w:t> </w:t>
      </w:r>
      <w:r>
        <w:rPr>
          <w:spacing w:val="-88"/>
        </w:rPr>
      </w:r>
      <w:r>
        <w:rPr/>
        <w:t>该金融工具的损失准备，由此形成的损失准备的转回金额作为减值利得计入当期损益。</w:t>
      </w:r>
    </w:p>
    <w:p>
      <w:pPr>
        <w:spacing w:line="221" w:lineRule="exact" w:before="0"/>
        <w:ind w:left="489" w:right="996" w:firstLine="0"/>
        <w:jc w:val="left"/>
        <w:rPr>
          <w:rFonts w:ascii="宋体" w:hAnsi="宋体" w:cs="宋体" w:eastAsia="宋体" w:hint="default"/>
          <w:sz w:val="21"/>
          <w:szCs w:val="21"/>
        </w:rPr>
      </w:pPr>
      <w:r>
        <w:rPr>
          <w:rFonts w:ascii="宋体" w:hAnsi="宋体" w:cs="宋体" w:eastAsia="宋体" w:hint="default"/>
          <w:sz w:val="24"/>
          <w:szCs w:val="24"/>
        </w:rPr>
        <w:t>①</w:t>
      </w:r>
      <w:r>
        <w:rPr>
          <w:rFonts w:ascii="宋体" w:hAnsi="宋体" w:cs="宋体" w:eastAsia="宋体" w:hint="default"/>
          <w:sz w:val="21"/>
          <w:szCs w:val="21"/>
        </w:rPr>
        <w:t>信用风险显著增加</w:t>
      </w:r>
    </w:p>
    <w:p>
      <w:pPr>
        <w:pStyle w:val="BodyText"/>
        <w:spacing w:line="350" w:lineRule="auto" w:before="125"/>
        <w:ind w:right="1139" w:firstLine="480"/>
        <w:jc w:val="both"/>
      </w:pPr>
      <w:r>
        <w:rPr/>
        <w:t>本公司利用可获得的合理且有依据的前瞻性信息，通过比较金融工具在资产负债表日发 生违约的风险与在初始确认日发生违约的风险，以确定金融工具的信用风险自初始确认后是</w:t>
      </w:r>
      <w:r>
        <w:rPr>
          <w:spacing w:val="-91"/>
        </w:rPr>
        <w:t> </w:t>
      </w:r>
      <w:r>
        <w:rPr>
          <w:spacing w:val="-91"/>
        </w:rPr>
      </w:r>
      <w:r>
        <w:rPr/>
        <w:t>否已显著增加。对于财务担保合同，本公司在应用金融工具减值规定时，将本公司成为做出</w:t>
      </w:r>
      <w:r>
        <w:rPr>
          <w:spacing w:val="-91"/>
        </w:rPr>
        <w:t> </w:t>
      </w:r>
      <w:r>
        <w:rPr>
          <w:spacing w:val="-91"/>
        </w:rPr>
      </w:r>
      <w:r>
        <w:rPr/>
        <w:t>不可撤销承诺的一方之日作为初始确认日。</w:t>
      </w:r>
    </w:p>
    <w:p>
      <w:pPr>
        <w:pStyle w:val="BodyText"/>
        <w:spacing w:line="350" w:lineRule="auto" w:before="36"/>
        <w:ind w:left="1113" w:right="4273" w:hanging="480"/>
        <w:jc w:val="left"/>
      </w:pPr>
      <w:r>
        <w:rPr/>
        <w:t>本公司在评估信用风险是否显著增加时会考虑如下因素： </w:t>
      </w:r>
      <w:r>
        <w:rPr>
          <w:rFonts w:ascii="宋体" w:hAnsi="宋体" w:cs="宋体" w:eastAsia="宋体" w:hint="default"/>
        </w:rPr>
        <w:t>1</w:t>
      </w:r>
      <w:r>
        <w:rPr/>
        <w:t>）债务人经营成果实际或预期是否发生显著变化；</w:t>
      </w:r>
    </w:p>
    <w:p>
      <w:pPr>
        <w:pStyle w:val="BodyText"/>
        <w:spacing w:line="240" w:lineRule="auto" w:before="36"/>
        <w:ind w:left="1113" w:right="996"/>
        <w:jc w:val="left"/>
      </w:pPr>
      <w:r>
        <w:rPr>
          <w:rFonts w:ascii="宋体" w:hAnsi="宋体" w:cs="宋体" w:eastAsia="宋体" w:hint="default"/>
        </w:rPr>
        <w:t>2</w:t>
      </w:r>
      <w:r>
        <w:rPr/>
        <w:t>）债务人所处的监管、经济或技术环境是否发生显著不利变化；</w:t>
      </w:r>
    </w:p>
    <w:p>
      <w:pPr>
        <w:pStyle w:val="BodyText"/>
        <w:spacing w:line="350" w:lineRule="auto" w:before="146"/>
        <w:ind w:right="996" w:firstLine="960"/>
        <w:jc w:val="left"/>
      </w:pPr>
      <w:r>
        <w:rPr>
          <w:rFonts w:ascii="宋体" w:hAnsi="宋体" w:cs="宋体" w:eastAsia="宋体" w:hint="default"/>
          <w:spacing w:val="-3"/>
        </w:rPr>
        <w:t>3</w:t>
      </w:r>
      <w:r>
        <w:rPr>
          <w:spacing w:val="-3"/>
        </w:rPr>
        <w:t>）作为债务抵押的担保物价值或第三方提供的担保或信用增级质量是否发生显著变</w:t>
      </w:r>
      <w:r>
        <w:rPr/>
        <w:t> 化，这些变化预期将降低债务人按合同规定期限还款的经济动机或者影响违约概率；</w:t>
      </w:r>
    </w:p>
    <w:p>
      <w:pPr>
        <w:pStyle w:val="BodyText"/>
        <w:spacing w:line="240" w:lineRule="auto" w:before="36"/>
        <w:ind w:left="1113" w:right="996"/>
        <w:jc w:val="left"/>
      </w:pPr>
      <w:r>
        <w:rPr>
          <w:rFonts w:ascii="宋体" w:hAnsi="宋体" w:cs="宋体" w:eastAsia="宋体" w:hint="default"/>
        </w:rPr>
        <w:t>4</w:t>
      </w:r>
      <w:r>
        <w:rPr/>
        <w:t>）债务人预期表现和还款行为是否发生显著变化；</w:t>
      </w:r>
    </w:p>
    <w:p>
      <w:pPr>
        <w:pStyle w:val="BodyText"/>
        <w:spacing w:line="240" w:lineRule="auto" w:before="146"/>
        <w:ind w:left="1113" w:right="996"/>
        <w:jc w:val="left"/>
      </w:pPr>
      <w:r>
        <w:rPr>
          <w:rFonts w:ascii="宋体" w:hAnsi="宋体" w:cs="宋体" w:eastAsia="宋体" w:hint="default"/>
        </w:rPr>
        <w:t>5</w:t>
      </w:r>
      <w:r>
        <w:rPr/>
        <w:t>）本公司对金融工具信用管理方法是否发生变化等。</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4" w:firstLine="480"/>
        <w:jc w:val="both"/>
      </w:pPr>
      <w:r>
        <w:rPr/>
        <w:t>于资产负债表日，若本公司判断金融工具只具有较低的信用风险，则本公司假定该金融 工具的信用风险自初始确认后并未显著增加。如果金融工具的违约风险较低，借款人在短期</w:t>
      </w:r>
      <w:r>
        <w:rPr>
          <w:spacing w:val="-91"/>
        </w:rPr>
        <w:t> </w:t>
      </w:r>
      <w:r>
        <w:rPr>
          <w:spacing w:val="-91"/>
        </w:rPr>
      </w:r>
      <w:r>
        <w:rPr/>
        <w:t>内履行其合同现金流量义务的能力很强，并且即使较长时期内经济形势和经营环境存在不利</w:t>
      </w:r>
      <w:r>
        <w:rPr>
          <w:spacing w:val="-91"/>
        </w:rPr>
        <w:t> </w:t>
      </w:r>
      <w:r>
        <w:rPr>
          <w:spacing w:val="-91"/>
        </w:rPr>
      </w:r>
      <w:r>
        <w:rPr/>
        <w:t>变化，但未必一定降低借款人履行其合同现金流量义务的能力，则该金融工具被视为具有较</w:t>
      </w:r>
    </w:p>
    <w:p>
      <w:pPr>
        <w:pStyle w:val="BodyText"/>
        <w:spacing w:line="240" w:lineRule="auto" w:before="36"/>
        <w:ind w:right="0"/>
        <w:jc w:val="both"/>
      </w:pPr>
      <w:r>
        <w:rPr/>
        <w:t>低的信用风险。</w:t>
      </w:r>
    </w:p>
    <w:p>
      <w:pPr>
        <w:spacing w:line="336" w:lineRule="auto" w:before="17"/>
        <w:ind w:left="633" w:right="996" w:hanging="144"/>
        <w:jc w:val="left"/>
        <w:rPr>
          <w:rFonts w:ascii="宋体" w:hAnsi="宋体" w:cs="宋体" w:eastAsia="宋体" w:hint="default"/>
          <w:sz w:val="24"/>
          <w:szCs w:val="24"/>
        </w:rPr>
      </w:pPr>
      <w:r>
        <w:rPr>
          <w:rFonts w:ascii="宋体" w:hAnsi="宋体" w:cs="宋体" w:eastAsia="宋体" w:hint="default"/>
          <w:sz w:val="24"/>
          <w:szCs w:val="24"/>
        </w:rPr>
        <w:t>②</w:t>
      </w:r>
      <w:r>
        <w:rPr>
          <w:rFonts w:ascii="宋体" w:hAnsi="宋体" w:cs="宋体" w:eastAsia="宋体" w:hint="default"/>
          <w:sz w:val="21"/>
          <w:szCs w:val="21"/>
        </w:rPr>
        <w:t>已发生信用减值的金融资产</w:t>
      </w:r>
      <w:r>
        <w:rPr>
          <w:rFonts w:ascii="宋体" w:hAnsi="宋体" w:cs="宋体" w:eastAsia="宋体" w:hint="default"/>
          <w:w w:val="100"/>
          <w:sz w:val="21"/>
          <w:szCs w:val="21"/>
        </w:rPr>
        <w:t> </w:t>
      </w:r>
      <w:r>
        <w:rPr>
          <w:rFonts w:ascii="宋体" w:hAnsi="宋体" w:cs="宋体" w:eastAsia="宋体" w:hint="default"/>
          <w:sz w:val="24"/>
          <w:szCs w:val="24"/>
        </w:rPr>
        <w:t>当对金融资产预期未来现金流量具有不利影响的一项或多项事件发生时，该金融资产成</w:t>
      </w:r>
    </w:p>
    <w:p>
      <w:pPr>
        <w:pStyle w:val="BodyText"/>
        <w:spacing w:line="240" w:lineRule="auto" w:before="50"/>
        <w:ind w:right="0"/>
        <w:jc w:val="both"/>
      </w:pPr>
      <w:r>
        <w:rPr/>
        <w:t>为已发生信用减值的金融资产。金融资产已发生信用减值的证据包括下列可观察信息：</w:t>
      </w:r>
    </w:p>
    <w:p>
      <w:pPr>
        <w:pStyle w:val="BodyText"/>
        <w:spacing w:line="240" w:lineRule="auto" w:before="146"/>
        <w:ind w:left="537" w:right="996"/>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126"/>
        <w:ind w:left="561" w:right="996"/>
        <w:jc w:val="left"/>
      </w:pPr>
      <w:r>
        <w:rPr>
          <w:rFonts w:ascii="Times New Roman" w:hAnsi="Times New Roman" w:cs="Times New Roman" w:eastAsia="Times New Roman" w:hint="default"/>
        </w:rPr>
        <w:t>2</w:t>
      </w:r>
      <w:r>
        <w:rPr/>
        <w:t>）债务人违反合同，如偿付利息或本金违约或逾期等；</w:t>
      </w:r>
    </w:p>
    <w:p>
      <w:pPr>
        <w:pStyle w:val="BodyText"/>
        <w:spacing w:line="333" w:lineRule="auto" w:before="128"/>
        <w:ind w:right="1134" w:firstLine="384"/>
        <w:jc w:val="both"/>
      </w:pPr>
      <w:r>
        <w:rPr>
          <w:rFonts w:ascii="Times New Roman" w:hAnsi="Times New Roman" w:cs="Times New Roman" w:eastAsia="Times New Roman" w:hint="default"/>
        </w:rPr>
        <w:t>3</w:t>
      </w:r>
      <w:r>
        <w:rPr/>
        <w:t>）债权人出于与债务人财务困难有关的经济或合同考虑，给予债务人在任何其他情况下 都不会做出的让步；</w:t>
      </w:r>
    </w:p>
    <w:p>
      <w:pPr>
        <w:pStyle w:val="BodyText"/>
        <w:spacing w:line="240" w:lineRule="auto" w:before="50"/>
        <w:ind w:left="537" w:right="996"/>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128"/>
        <w:ind w:left="537" w:right="996"/>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331" w:lineRule="auto" w:before="128"/>
        <w:ind w:left="633" w:right="996" w:hanging="96"/>
        <w:jc w:val="left"/>
      </w:pP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w:t>
      </w:r>
    </w:p>
    <w:p>
      <w:pPr>
        <w:pStyle w:val="BodyText"/>
        <w:spacing w:line="240" w:lineRule="auto" w:before="56"/>
        <w:ind w:right="0"/>
        <w:jc w:val="both"/>
      </w:pPr>
      <w:r>
        <w:rPr/>
        <w:t>所致。</w:t>
      </w:r>
    </w:p>
    <w:p>
      <w:pPr>
        <w:pStyle w:val="BodyText"/>
        <w:spacing w:line="350" w:lineRule="auto" w:before="146"/>
        <w:ind w:left="633" w:right="996" w:hanging="120"/>
        <w:jc w:val="left"/>
      </w:pPr>
      <w:r>
        <w:rPr/>
        <w:t>③预期信用损失的确定 本公司基于单项和组合评估金融工具的预期信用损失，在评估预期信用损失时，考虑有</w:t>
      </w:r>
    </w:p>
    <w:p>
      <w:pPr>
        <w:pStyle w:val="BodyText"/>
        <w:spacing w:line="352" w:lineRule="auto" w:before="36"/>
        <w:ind w:left="633" w:right="996" w:hanging="481"/>
        <w:jc w:val="left"/>
      </w:pPr>
      <w:r>
        <w:rPr/>
        <w:t>关过去事项、当前状况以及未来经济状况预测的合理且有依据的信息。 本公司以共同信用风险特征为依据，将金融工具分为不同组合。本公司采用的共同信用</w:t>
      </w:r>
    </w:p>
    <w:p>
      <w:pPr>
        <w:pStyle w:val="BodyText"/>
        <w:spacing w:line="352" w:lineRule="auto" w:before="31"/>
        <w:ind w:right="1138"/>
        <w:jc w:val="both"/>
      </w:pPr>
      <w:r>
        <w:rPr/>
        <w:t>风险特征包括：金融工具类型、信用风险评级、账龄组合、逾期账龄组合、合同结算周期、</w:t>
      </w:r>
      <w:r>
        <w:rPr>
          <w:spacing w:val="-91"/>
        </w:rPr>
        <w:t> </w:t>
      </w:r>
      <w:r>
        <w:rPr>
          <w:spacing w:val="-91"/>
        </w:rPr>
      </w:r>
      <w:r>
        <w:rPr/>
        <w:t>债务人所处行业等。相关金融工具的单项评估标准和组合信用风险特征详见相关金融工具的</w:t>
      </w:r>
      <w:r>
        <w:rPr>
          <w:spacing w:val="-91"/>
        </w:rPr>
        <w:t> </w:t>
      </w:r>
      <w:r>
        <w:rPr>
          <w:spacing w:val="-91"/>
        </w:rPr>
      </w:r>
      <w:r>
        <w:rPr/>
        <w:t>会计政策。</w:t>
      </w:r>
    </w:p>
    <w:p>
      <w:pPr>
        <w:pStyle w:val="BodyText"/>
        <w:spacing w:line="352" w:lineRule="auto" w:before="32"/>
        <w:ind w:left="633" w:right="996"/>
        <w:jc w:val="left"/>
      </w:pPr>
      <w:r>
        <w:rPr/>
        <w:t>本公司按照下列方法确定相关金融工具的预期信用损失： </w:t>
      </w:r>
      <w:r>
        <w:rPr>
          <w:rFonts w:ascii="宋体" w:hAnsi="宋体" w:cs="宋体" w:eastAsia="宋体" w:hint="default"/>
          <w:spacing w:val="-3"/>
        </w:rPr>
        <w:t>1</w:t>
      </w:r>
      <w:r>
        <w:rPr>
          <w:spacing w:val="-3"/>
        </w:rPr>
        <w:t>）对于金融资产，信用损失为本公司应收取的合同现金流量与预期收取的现金流量之间</w:t>
      </w:r>
    </w:p>
    <w:p>
      <w:pPr>
        <w:pStyle w:val="BodyText"/>
        <w:spacing w:line="240" w:lineRule="auto" w:before="34"/>
        <w:ind w:right="0"/>
        <w:jc w:val="both"/>
      </w:pPr>
      <w:r>
        <w:rPr/>
        <w:t>差额的现值。</w:t>
      </w:r>
    </w:p>
    <w:p>
      <w:pPr>
        <w:pStyle w:val="BodyText"/>
        <w:spacing w:line="352" w:lineRule="auto" w:before="144"/>
        <w:ind w:right="1132" w:firstLine="480"/>
        <w:jc w:val="both"/>
      </w:pPr>
      <w:r>
        <w:rPr>
          <w:rFonts w:ascii="宋体" w:hAnsi="宋体" w:cs="宋体" w:eastAsia="宋体" w:hint="default"/>
          <w:spacing w:val="-3"/>
        </w:rPr>
        <w:t>2</w:t>
      </w:r>
      <w:r>
        <w:rPr>
          <w:spacing w:val="-3"/>
        </w:rPr>
        <w:t>）对于财务担保合同，信用损失为本公司就该合同持有人发生的信用损失向其做出赔付</w:t>
      </w:r>
      <w:r>
        <w:rPr/>
        <w:t> 的预计付款额，减去本公司预期向该合同持有人、债务人或任何其他方收取的金额之间差额</w:t>
      </w:r>
      <w:r>
        <w:rPr>
          <w:spacing w:val="-91"/>
        </w:rPr>
        <w:t> </w:t>
      </w:r>
      <w:r>
        <w:rPr>
          <w:spacing w:val="-91"/>
        </w:rPr>
      </w:r>
      <w:r>
        <w:rPr/>
        <w:t>的现值。</w:t>
      </w:r>
    </w:p>
    <w:p>
      <w:pPr>
        <w:spacing w:after="0" w:line="352"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2" w:firstLine="480"/>
        <w:jc w:val="right"/>
      </w:pPr>
      <w:r>
        <w:rPr>
          <w:rFonts w:ascii="宋体" w:hAnsi="宋体" w:cs="宋体" w:eastAsia="宋体" w:hint="default"/>
          <w:spacing w:val="-3"/>
        </w:rPr>
        <w:t>3</w:t>
      </w:r>
      <w:r>
        <w:rPr>
          <w:spacing w:val="-3"/>
        </w:rPr>
        <w:t>）对于资产负债表日已发生信用减值但并非购买或源生已发生信用减值的金融资产，信</w:t>
      </w:r>
      <w:r>
        <w:rPr/>
        <w:t> 用损失为该金融资产账面余额与按原实际利率折现的估计未来现金流量的现值之间的差额。 本公司计量金融工具预期信用损失的方法反映的因素包括：通过评价一系列可能的结果 而确定的无偏概率加权平均金额；货币时间价值；在资产负债表日无须付出不必要的额外成</w:t>
      </w:r>
    </w:p>
    <w:p>
      <w:pPr>
        <w:pStyle w:val="BodyText"/>
        <w:spacing w:line="240" w:lineRule="auto" w:before="36"/>
        <w:ind w:right="0"/>
        <w:jc w:val="left"/>
      </w:pPr>
      <w:r>
        <w:rPr/>
        <w:t>本或努力即可获得的有关过去事项、当前状况以及未来经济状况预测的合理且有依据的信息。</w:t>
      </w:r>
    </w:p>
    <w:p>
      <w:pPr>
        <w:pStyle w:val="BodyText"/>
        <w:spacing w:line="352" w:lineRule="auto" w:before="144"/>
        <w:ind w:left="633" w:right="996"/>
        <w:jc w:val="left"/>
      </w:pPr>
      <w:r>
        <w:rPr/>
        <w:t>④减记金融资产 当本公司不再合理预期金融资产合同现金流量能够全部或部分收回的，直接减记该金融</w:t>
      </w:r>
    </w:p>
    <w:p>
      <w:pPr>
        <w:pStyle w:val="BodyText"/>
        <w:spacing w:line="240" w:lineRule="auto" w:before="34"/>
        <w:ind w:right="996"/>
        <w:jc w:val="left"/>
      </w:pPr>
      <w:r>
        <w:rPr/>
        <w:t>资产的账面余额。这种减记构成相关金融资产的终止确认。</w:t>
      </w:r>
    </w:p>
    <w:p>
      <w:pPr>
        <w:spacing w:line="352" w:lineRule="auto" w:before="145"/>
        <w:ind w:left="633" w:right="996" w:hanging="24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7</w:t>
      </w:r>
      <w:r>
        <w:rPr>
          <w:rFonts w:ascii="宋体" w:hAnsi="宋体" w:cs="宋体" w:eastAsia="宋体" w:hint="default"/>
          <w:b/>
          <w:bCs/>
          <w:sz w:val="24"/>
          <w:szCs w:val="24"/>
        </w:rPr>
        <w:t>）金融资产及金融负债的抵销</w:t>
      </w:r>
      <w:r>
        <w:rPr>
          <w:rFonts w:ascii="宋体" w:hAnsi="宋体" w:cs="宋体" w:eastAsia="宋体" w:hint="default"/>
          <w:b/>
          <w:bCs/>
          <w:w w:val="99"/>
          <w:sz w:val="24"/>
          <w:szCs w:val="24"/>
        </w:rPr>
        <w:t> </w:t>
      </w:r>
      <w:r>
        <w:rPr>
          <w:rFonts w:ascii="宋体" w:hAnsi="宋体" w:cs="宋体" w:eastAsia="宋体" w:hint="default"/>
          <w:sz w:val="24"/>
          <w:szCs w:val="24"/>
        </w:rPr>
        <w:t>金融资产和金融负债在资产负债表内分别列示，没有相互抵销。但是，同时满足下列条</w:t>
      </w:r>
    </w:p>
    <w:p>
      <w:pPr>
        <w:pStyle w:val="BodyText"/>
        <w:spacing w:line="240" w:lineRule="auto" w:before="34"/>
        <w:ind w:right="996"/>
        <w:jc w:val="left"/>
      </w:pPr>
      <w:r>
        <w:rPr/>
        <w:t>件的，以相互抵销后的净额在资产负债表内列示：</w:t>
      </w:r>
    </w:p>
    <w:p>
      <w:pPr>
        <w:pStyle w:val="BodyText"/>
        <w:spacing w:line="240" w:lineRule="auto" w:before="144"/>
        <w:ind w:left="633" w:right="996"/>
        <w:jc w:val="left"/>
      </w:pPr>
      <w:r>
        <w:rPr/>
        <w:t>①本公司具有抵销已确认金额的法定权利，且该种法定权利是当前可执行的；</w:t>
      </w:r>
    </w:p>
    <w:p>
      <w:pPr>
        <w:pStyle w:val="BodyText"/>
        <w:spacing w:line="240" w:lineRule="auto" w:before="146"/>
        <w:ind w:left="633" w:right="996"/>
        <w:jc w:val="left"/>
      </w:pPr>
      <w:r>
        <w:rPr/>
        <w:t>②本公司计划以净额结算，或同时变现该金融资产和清偿该金融负债。</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1、应收票据" w:id="180"/>
      <w:bookmarkEnd w:id="180"/>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right="1136" w:firstLine="480"/>
        <w:jc w:val="both"/>
      </w:pPr>
      <w:r>
        <w:rPr/>
        <w:t>本公司对应收票据的预期信用损失的确定方法及会计处理方法详见本附注四／（八）</w:t>
      </w:r>
      <w:r>
        <w:rPr>
          <w:rFonts w:ascii="宋体" w:hAnsi="宋体" w:cs="宋体" w:eastAsia="宋体" w:hint="default"/>
        </w:rPr>
        <w:t>6. </w:t>
      </w:r>
      <w:r>
        <w:rPr/>
        <w:t>金融工具减值。</w:t>
      </w:r>
    </w:p>
    <w:p>
      <w:pPr>
        <w:pStyle w:val="BodyText"/>
        <w:spacing w:line="350" w:lineRule="auto" w:before="34"/>
        <w:ind w:right="1121" w:firstLine="480"/>
        <w:jc w:val="both"/>
      </w:pPr>
      <w:r>
        <w:rPr/>
        <w:pict>
          <v:shape style="position:absolute;margin-left:56.400002pt;margin-top:66.355576pt;width:482.75pt;height:114.1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1"/>
                    <w:gridCol w:w="4787"/>
                    <w:gridCol w:w="3543"/>
                  </w:tblGrid>
                  <w:tr>
                    <w:trPr>
                      <w:trHeight w:val="34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967"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7" w:right="1"/>
                          <w:jc w:val="left"/>
                          <w:rPr>
                            <w:rFonts w:ascii="宋体" w:hAnsi="宋体" w:cs="宋体" w:eastAsia="宋体" w:hint="default"/>
                            <w:sz w:val="21"/>
                            <w:szCs w:val="21"/>
                          </w:rPr>
                        </w:pPr>
                        <w:r>
                          <w:rPr>
                            <w:rFonts w:ascii="宋体" w:hAnsi="宋体" w:cs="宋体" w:eastAsia="宋体" w:hint="default"/>
                            <w:spacing w:val="2"/>
                            <w:sz w:val="21"/>
                            <w:szCs w:val="21"/>
                          </w:rPr>
                          <w:t>无风险银行承</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兑票据组合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3"/>
                            <w:sz w:val="21"/>
                            <w:szCs w:val="21"/>
                          </w:rPr>
                          <w:t>出票人具有较高的信用评级，历史上未发生票据违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约，信用损失风险极低，在短期内履行其支付合同现</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金流量义务的能力很强</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sz w:val="21"/>
                            <w:szCs w:val="21"/>
                          </w:rPr>
                          <w:t>以及对未来经济状况的预期计量坏账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准备</w:t>
                        </w:r>
                      </w:p>
                    </w:tc>
                  </w:tr>
                  <w:tr>
                    <w:trPr>
                      <w:trHeight w:val="96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参考历史信用损失经验，结合当前状况以及对未来经</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济状况的预测，通过违约风险</w:t>
                        </w:r>
                        <w:r>
                          <w:rPr>
                            <w:rFonts w:ascii="宋体" w:hAnsi="宋体" w:cs="宋体" w:eastAsia="宋体" w:hint="default"/>
                            <w:spacing w:val="31"/>
                            <w:sz w:val="21"/>
                            <w:szCs w:val="21"/>
                          </w:rPr>
                          <w:t> </w:t>
                        </w:r>
                        <w:r>
                          <w:rPr>
                            <w:rFonts w:ascii="宋体" w:hAnsi="宋体" w:cs="宋体" w:eastAsia="宋体" w:hint="default"/>
                            <w:sz w:val="21"/>
                            <w:szCs w:val="21"/>
                          </w:rPr>
                          <w:t>敞口和整个存续期预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期信用损失率，计算预期信用损失</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7" w:right="0"/>
                          <w:jc w:val="left"/>
                          <w:rPr>
                            <w:rFonts w:ascii="宋体" w:hAnsi="宋体" w:cs="宋体" w:eastAsia="宋体" w:hint="default"/>
                            <w:sz w:val="21"/>
                            <w:szCs w:val="21"/>
                          </w:rPr>
                        </w:pPr>
                        <w:r>
                          <w:rPr>
                            <w:rFonts w:ascii="宋体" w:hAnsi="宋体" w:cs="宋体" w:eastAsia="宋体" w:hint="default"/>
                            <w:spacing w:val="7"/>
                            <w:sz w:val="21"/>
                            <w:szCs w:val="21"/>
                          </w:rPr>
                          <w:t>以商业承兑汇票的账龄作为信用风险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特征计提坏账准备</w:t>
                        </w:r>
                      </w:p>
                    </w:tc>
                  </w:tr>
                </w:tbl>
                <w:p>
                  <w:pPr/>
                </w:p>
              </w:txbxContent>
            </v:textbox>
            <w10:wrap type="none"/>
          </v:shape>
        </w:pict>
      </w:r>
      <w:r>
        <w:rPr/>
        <w:t>当在单项工具层面无法以合理成本评估预期信用损失的充分证据时，本公司参考历史信 用损失经验，结合当前状况以及对未来经济状况的判断，依据信用风险特征将</w:t>
      </w:r>
      <w:r>
        <w:rPr>
          <w:spacing w:val="1"/>
        </w:rPr>
        <w:t> </w:t>
      </w:r>
      <w:r>
        <w:rPr>
          <w:spacing w:val="9"/>
        </w:rPr>
        <w:t>应收票据划</w:t>
      </w:r>
      <w:r>
        <w:rPr>
          <w:spacing w:val="9"/>
        </w:rPr>
        <w:t> </w:t>
      </w:r>
      <w:r>
        <w:rPr/>
        <w:t>分为若干组合，在组合基础上计算预期信用损失。确定组合的依据如下：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36"/>
        <w:ind w:left="152" w:right="996" w:firstLine="0"/>
        <w:jc w:val="left"/>
        <w:rPr>
          <w:rFonts w:ascii="宋体" w:hAnsi="宋体" w:cs="宋体" w:eastAsia="宋体" w:hint="default"/>
          <w:sz w:val="21"/>
          <w:szCs w:val="21"/>
        </w:rPr>
      </w:pPr>
      <w:bookmarkStart w:name="12、应收账款" w:id="181"/>
      <w:bookmarkEnd w:id="181"/>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0" w:lineRule="auto"/>
        <w:ind w:right="996" w:firstLine="480"/>
        <w:jc w:val="left"/>
      </w:pPr>
      <w:r>
        <w:rPr/>
        <w:t>本公司对应收账款的预期信用损失的确定方法及会计处理方法详见本附注四／（八）</w:t>
      </w:r>
      <w:r>
        <w:rPr>
          <w:rFonts w:ascii="宋体" w:hAnsi="宋体" w:cs="宋体" w:eastAsia="宋体" w:hint="default"/>
        </w:rPr>
        <w:t>6. </w:t>
      </w:r>
      <w:r>
        <w:rPr/>
        <w:t>金融工具减值。</w:t>
      </w:r>
    </w:p>
    <w:p>
      <w:pPr>
        <w:pStyle w:val="BodyText"/>
        <w:spacing w:line="240" w:lineRule="auto" w:before="36"/>
        <w:ind w:left="633" w:right="996"/>
        <w:jc w:val="left"/>
      </w:pPr>
      <w:r>
        <w:rPr/>
        <w:t>本公司对单项金额重大且在初始确认后已经发生信用减值的应收账款单独确定其信用损</w:t>
      </w:r>
    </w:p>
    <w:p>
      <w:pPr>
        <w:spacing w:after="0" w:line="240" w:lineRule="auto"/>
        <w:jc w:val="left"/>
        <w:sectPr>
          <w:footerReference w:type="default" r:id="rId17"/>
          <w:pgSz w:w="11910" w:h="16840"/>
          <w:pgMar w:footer="980" w:header="745" w:top="1060" w:bottom="1160" w:left="980" w:right="0"/>
          <w:pgNumType w:start="11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失。</w:t>
      </w:r>
    </w:p>
    <w:p>
      <w:pPr>
        <w:pStyle w:val="BodyText"/>
        <w:spacing w:line="240" w:lineRule="auto" w:before="146"/>
        <w:ind w:left="633" w:right="996"/>
        <w:jc w:val="left"/>
      </w:pPr>
      <w:r>
        <w:rPr/>
        <w:t>当在单项工具层面无法以合理成本评估预期信用损失的充分证据时，本公司参考历史信</w:t>
      </w:r>
    </w:p>
    <w:p>
      <w:pPr>
        <w:spacing w:line="240" w:lineRule="auto" w:before="1"/>
        <w:rPr>
          <w:rFonts w:ascii="宋体" w:hAnsi="宋体" w:cs="宋体" w:eastAsia="宋体" w:hint="default"/>
          <w:sz w:val="9"/>
          <w:szCs w:val="9"/>
        </w:rPr>
      </w:pPr>
    </w:p>
    <w:p>
      <w:pPr>
        <w:pStyle w:val="BodyText"/>
        <w:spacing w:line="352" w:lineRule="auto" w:before="26"/>
        <w:ind w:right="996"/>
        <w:jc w:val="left"/>
      </w:pPr>
      <w:r>
        <w:rPr/>
        <w:pict>
          <v:shape style="position:absolute;margin-left:56.400002pt;margin-top:43.035633pt;width:482.75pt;height:114.1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3"/>
                    <w:gridCol w:w="2362"/>
                    <w:gridCol w:w="5245"/>
                  </w:tblGrid>
                  <w:tr>
                    <w:trPr>
                      <w:trHeight w:val="34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9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41"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96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7" w:right="-2"/>
                          <w:jc w:val="left"/>
                          <w:rPr>
                            <w:rFonts w:ascii="宋体" w:hAnsi="宋体" w:cs="宋体" w:eastAsia="宋体" w:hint="default"/>
                            <w:sz w:val="21"/>
                            <w:szCs w:val="21"/>
                          </w:rPr>
                        </w:pPr>
                        <w:r>
                          <w:rPr>
                            <w:rFonts w:ascii="宋体" w:hAnsi="宋体" w:cs="宋体" w:eastAsia="宋体" w:hint="default"/>
                            <w:sz w:val="21"/>
                            <w:szCs w:val="21"/>
                          </w:rPr>
                          <w:t>应收款项具有类似的信用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风险特征</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both"/>
                          <w:rPr>
                            <w:rFonts w:ascii="宋体" w:hAnsi="宋体" w:cs="宋体" w:eastAsia="宋体" w:hint="default"/>
                            <w:sz w:val="21"/>
                            <w:szCs w:val="21"/>
                          </w:rPr>
                        </w:pPr>
                        <w:r>
                          <w:rPr>
                            <w:rFonts w:ascii="宋体" w:hAnsi="宋体" w:cs="宋体" w:eastAsia="宋体" w:hint="default"/>
                            <w:spacing w:val="2"/>
                            <w:sz w:val="21"/>
                            <w:szCs w:val="21"/>
                          </w:rPr>
                          <w:t>参考历史信用损失经验，结合当前状况以</w:t>
                        </w:r>
                        <w:r>
                          <w:rPr>
                            <w:rFonts w:ascii="宋体" w:hAnsi="宋体" w:cs="宋体" w:eastAsia="宋体" w:hint="default"/>
                            <w:spacing w:val="31"/>
                            <w:sz w:val="21"/>
                            <w:szCs w:val="21"/>
                          </w:rPr>
                          <w:t> </w:t>
                        </w:r>
                        <w:r>
                          <w:rPr>
                            <w:rFonts w:ascii="宋体" w:hAnsi="宋体" w:cs="宋体" w:eastAsia="宋体" w:hint="default"/>
                            <w:sz w:val="21"/>
                            <w:szCs w:val="21"/>
                          </w:rPr>
                          <w:t>及对未来经济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状况的预测，编制应收账款账龄与整个存续期预期信用损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失率对照表，计算预期信用损失</w:t>
                        </w:r>
                      </w:p>
                    </w:tc>
                  </w:tr>
                  <w:tr>
                    <w:trPr>
                      <w:trHeight w:val="96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参考历史信用损失经验，结合当前状况以及对未来经济状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况的预测，通过违约风险敞口和整个存续期预期信用损失</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率，该组合预期信用损失率为</w:t>
                        </w:r>
                        <w:r>
                          <w:rPr>
                            <w:rFonts w:ascii="Times New Roman" w:hAnsi="Times New Roman" w:cs="Times New Roman" w:eastAsia="Times New Roman" w:hint="default"/>
                            <w:sz w:val="21"/>
                            <w:szCs w:val="21"/>
                          </w:rPr>
                          <w:t>0%</w:t>
                        </w:r>
                      </w:p>
                    </w:tc>
                  </w:tr>
                </w:tbl>
                <w:p>
                  <w:pPr/>
                </w:p>
              </w:txbxContent>
            </v:textbox>
            <w10:wrap type="none"/>
          </v:shape>
        </w:pict>
      </w:r>
      <w:r>
        <w:rPr/>
        <w:t>用损失经验，结合当前状况以及对未来经济状况的判断，依据信用风险特征将应收账款划分</w:t>
      </w:r>
      <w:r>
        <w:rPr>
          <w:spacing w:val="-91"/>
        </w:rPr>
        <w:t> </w:t>
      </w:r>
      <w:r>
        <w:rPr>
          <w:spacing w:val="-91"/>
        </w:rPr>
      </w:r>
      <w:r>
        <w:rPr/>
        <w:t>为若干组合，在组合基础上计算预期信用损失。确定组合的依据如下：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52" w:lineRule="auto" w:before="26"/>
        <w:ind w:right="1139" w:firstLine="480"/>
        <w:jc w:val="both"/>
      </w:pPr>
      <w:r>
        <w:rPr/>
        <w:pict>
          <v:shape style="position:absolute;margin-left:83.903999pt;margin-top:65.95562pt;width:427.8pt;height:120.3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0"/>
                    <w:gridCol w:w="4271"/>
                  </w:tblGrid>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r>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30</w:t>
                        </w:r>
                      </w:p>
                    </w:tc>
                  </w:tr>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80</w:t>
                        </w:r>
                      </w:p>
                    </w:tc>
                  </w:tr>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t>对于划分为账龄组合的应收账款，本公司参考历史信用损失经验，结合当前状况以及对 未来经济状况的预测，编制应收款项账龄与整个存续期预期信用损失率对照表，计算预期信</w:t>
      </w:r>
      <w:r>
        <w:rPr>
          <w:spacing w:val="-91"/>
        </w:rPr>
        <w:t> </w:t>
      </w:r>
      <w:r>
        <w:rPr>
          <w:spacing w:val="-91"/>
        </w:rPr>
      </w:r>
      <w:r>
        <w:rPr/>
        <w:t>用损失。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36"/>
        <w:ind w:left="152" w:right="996" w:firstLine="0"/>
        <w:jc w:val="left"/>
        <w:rPr>
          <w:rFonts w:ascii="宋体" w:hAnsi="宋体" w:cs="宋体" w:eastAsia="宋体" w:hint="default"/>
          <w:sz w:val="21"/>
          <w:szCs w:val="21"/>
        </w:rPr>
      </w:pPr>
      <w:bookmarkStart w:name="13、应收款项融资" w:id="182"/>
      <w:bookmarkEnd w:id="18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4、其他应收款" w:id="183"/>
      <w:bookmarkEnd w:id="18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0" w:lineRule="auto"/>
        <w:ind w:left="633" w:right="996"/>
        <w:jc w:val="left"/>
      </w:pPr>
      <w:r>
        <w:rPr/>
        <w:t>其他应收款的预期信用损失的确定方法及会计处理方法 本公司对其他应收款的预期信用损失的确定方法及会计处理方法详见本附注四／（八）</w:t>
      </w:r>
    </w:p>
    <w:p>
      <w:pPr>
        <w:pStyle w:val="BodyText"/>
        <w:spacing w:line="352" w:lineRule="auto" w:before="37"/>
        <w:ind w:left="633" w:right="996" w:hanging="481"/>
        <w:jc w:val="left"/>
      </w:pPr>
      <w:r>
        <w:rPr>
          <w:rFonts w:ascii="宋体" w:hAnsi="宋体" w:cs="宋体" w:eastAsia="宋体" w:hint="default"/>
        </w:rPr>
        <w:t>6.</w:t>
      </w:r>
      <w:r>
        <w:rPr/>
        <w:t>金融工具减值。 本公司参考历史信用损失经验，结合当前状况以及对未来经济状况的判断，依据信用风</w:t>
      </w:r>
    </w:p>
    <w:p>
      <w:pPr>
        <w:pStyle w:val="BodyText"/>
        <w:spacing w:line="352" w:lineRule="auto" w:before="31"/>
        <w:ind w:right="996"/>
        <w:jc w:val="left"/>
      </w:pPr>
      <w:r>
        <w:rPr/>
        <w:pict>
          <v:shape style="position:absolute;margin-left:56.400002pt;margin-top:43.285645pt;width:489.85pt;height:34.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4"/>
                    <w:gridCol w:w="4110"/>
                    <w:gridCol w:w="4268"/>
                  </w:tblGrid>
                  <w:tr>
                    <w:trPr>
                      <w:trHeight w:val="34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4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14"/>
                            <w:sz w:val="21"/>
                            <w:szCs w:val="21"/>
                          </w:rPr>
                          <w:t>本组合为日常经常活动中应收取的各类押</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1"/>
                          <w:jc w:val="center"/>
                          <w:rPr>
                            <w:rFonts w:ascii="宋体" w:hAnsi="宋体" w:cs="宋体" w:eastAsia="宋体" w:hint="default"/>
                            <w:sz w:val="21"/>
                            <w:szCs w:val="21"/>
                          </w:rPr>
                        </w:pPr>
                        <w:r>
                          <w:rPr>
                            <w:rFonts w:ascii="宋体" w:hAnsi="宋体" w:cs="宋体" w:eastAsia="宋体" w:hint="default"/>
                            <w:spacing w:val="-4"/>
                            <w:sz w:val="21"/>
                            <w:szCs w:val="21"/>
                          </w:rPr>
                          <w:t>参考历史信用损失经验，结合当前状况以</w:t>
                        </w:r>
                        <w:r>
                          <w:rPr>
                            <w:rFonts w:ascii="宋体" w:hAnsi="宋体" w:cs="宋体" w:eastAsia="宋体" w:hint="default"/>
                            <w:spacing w:val="12"/>
                            <w:sz w:val="21"/>
                            <w:szCs w:val="21"/>
                          </w:rPr>
                          <w:t> </w:t>
                        </w:r>
                        <w:r>
                          <w:rPr>
                            <w:rFonts w:ascii="宋体" w:hAnsi="宋体" w:cs="宋体" w:eastAsia="宋体" w:hint="default"/>
                            <w:sz w:val="21"/>
                            <w:szCs w:val="21"/>
                          </w:rPr>
                          <w:t>及对</w:t>
                        </w:r>
                      </w:p>
                    </w:tc>
                  </w:tr>
                </w:tbl>
                <w:p>
                  <w:pPr/>
                </w:p>
              </w:txbxContent>
            </v:textbox>
            <w10:wrap type="none"/>
          </v:shape>
        </w:pict>
      </w:r>
      <w:r>
        <w:rPr/>
        <w:t>险特征将其他应收款划分为若干组合，在组合基础上计算预期信用损失。确定组合的依据如</w:t>
      </w:r>
      <w:r>
        <w:rPr>
          <w:spacing w:val="-91"/>
        </w:rPr>
        <w:t> </w:t>
      </w:r>
      <w:r>
        <w:rPr>
          <w:spacing w:val="-91"/>
        </w:rPr>
      </w:r>
      <w:r>
        <w:rPr/>
        <w:t>下：</w:t>
      </w:r>
    </w:p>
    <w:p>
      <w:pPr>
        <w:spacing w:after="0" w:line="352"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4"/>
        <w:gridCol w:w="4110"/>
        <w:gridCol w:w="4268"/>
      </w:tblGrid>
      <w:tr>
        <w:trPr>
          <w:trHeight w:val="965" w:hRule="exact"/>
        </w:trPr>
        <w:tc>
          <w:tcPr>
            <w:tcW w:w="1404"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
              <w:jc w:val="both"/>
              <w:rPr>
                <w:rFonts w:ascii="宋体" w:hAnsi="宋体" w:cs="宋体" w:eastAsia="宋体" w:hint="default"/>
                <w:sz w:val="21"/>
                <w:szCs w:val="21"/>
              </w:rPr>
            </w:pPr>
            <w:r>
              <w:rPr>
                <w:rFonts w:ascii="宋体" w:hAnsi="宋体" w:cs="宋体" w:eastAsia="宋体" w:hint="default"/>
                <w:spacing w:val="2"/>
                <w:sz w:val="21"/>
                <w:szCs w:val="21"/>
              </w:rPr>
              <w:t>金、代垫款、质保金等应收款项，在此基础</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上，参考其他应收款的账龄进行信用风险组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合分类</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both"/>
              <w:rPr>
                <w:rFonts w:ascii="宋体" w:hAnsi="宋体" w:cs="宋体" w:eastAsia="宋体" w:hint="default"/>
                <w:sz w:val="21"/>
                <w:szCs w:val="21"/>
              </w:rPr>
            </w:pPr>
            <w:r>
              <w:rPr>
                <w:rFonts w:ascii="宋体" w:hAnsi="宋体" w:cs="宋体" w:eastAsia="宋体" w:hint="default"/>
                <w:spacing w:val="-4"/>
                <w:sz w:val="21"/>
                <w:szCs w:val="21"/>
              </w:rPr>
              <w:t>未来经济状况的预测，编制应收账款 </w:t>
            </w:r>
            <w:r>
              <w:rPr>
                <w:rFonts w:ascii="宋体" w:hAnsi="宋体" w:cs="宋体" w:eastAsia="宋体" w:hint="default"/>
                <w:sz w:val="21"/>
                <w:szCs w:val="21"/>
              </w:rPr>
              <w:t>账龄与整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个存续期预期信用损失率对照表，计算预期信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用损失</w:t>
            </w:r>
          </w:p>
        </w:tc>
      </w:tr>
      <w:tr>
        <w:trPr>
          <w:trHeight w:val="127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无风险组合</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pacing w:val="2"/>
                <w:sz w:val="21"/>
                <w:szCs w:val="21"/>
              </w:rPr>
              <w:t>合并范围内关联方往来、代扣个人社保、履</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约保证金等应收款项</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both"/>
              <w:rPr>
                <w:rFonts w:ascii="Times New Roman" w:hAnsi="Times New Roman" w:cs="Times New Roman" w:eastAsia="Times New Roman" w:hint="default"/>
                <w:sz w:val="21"/>
                <w:szCs w:val="21"/>
              </w:rPr>
            </w:pPr>
            <w:r>
              <w:rPr>
                <w:rFonts w:ascii="宋体" w:hAnsi="宋体" w:cs="宋体" w:eastAsia="宋体" w:hint="default"/>
                <w:sz w:val="21"/>
                <w:szCs w:val="21"/>
              </w:rPr>
              <w:t>参考历史信用损失经验，结合当前状况以及对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未来经济状况的预测，通过违约风险敞口和整</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个存续期预期信用损失率，该组合预期信用损</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失率为</w:t>
            </w:r>
            <w:r>
              <w:rPr>
                <w:rFonts w:ascii="Times New Roman" w:hAnsi="Times New Roman" w:cs="Times New Roman" w:eastAsia="Times New Roman" w:hint="default"/>
                <w:sz w:val="21"/>
                <w:szCs w:val="21"/>
              </w:rPr>
              <w:t>0%</w:t>
            </w:r>
          </w:p>
        </w:tc>
      </w:tr>
    </w:tbl>
    <w:p>
      <w:pPr>
        <w:spacing w:line="240" w:lineRule="auto" w:before="9"/>
        <w:rPr>
          <w:rFonts w:ascii="宋体" w:hAnsi="宋体" w:cs="宋体" w:eastAsia="宋体" w:hint="default"/>
          <w:sz w:val="4"/>
          <w:szCs w:val="4"/>
        </w:rPr>
      </w:pPr>
    </w:p>
    <w:p>
      <w:pPr>
        <w:pStyle w:val="BodyText"/>
        <w:spacing w:line="350" w:lineRule="auto" w:before="26"/>
        <w:ind w:right="1135" w:firstLine="480"/>
        <w:jc w:val="both"/>
      </w:pPr>
      <w:r>
        <w:rPr/>
        <w:pict>
          <v:shape style="position:absolute;margin-left:83.903999pt;margin-top:65.955597pt;width:427.8pt;height:120.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70"/>
                    <w:gridCol w:w="4271"/>
                  </w:tblGrid>
                  <w:tr>
                    <w:trPr>
                      <w:trHeight w:val="344"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r>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30</w:t>
                        </w:r>
                      </w:p>
                    </w:tc>
                  </w:tr>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60</w:t>
                        </w:r>
                      </w:p>
                    </w:tc>
                  </w:tr>
                  <w:tr>
                    <w:trPr>
                      <w:trHeight w:val="34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80</w:t>
                        </w:r>
                      </w:p>
                    </w:tc>
                  </w:tr>
                  <w:tr>
                    <w:trPr>
                      <w:trHeight w:val="343"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100</w:t>
                        </w:r>
                      </w:p>
                    </w:tc>
                  </w:tr>
                </w:tbl>
                <w:p>
                  <w:pPr/>
                </w:p>
              </w:txbxContent>
            </v:textbox>
            <w10:wrap type="none"/>
          </v:shape>
        </w:pict>
      </w:r>
      <w:r>
        <w:rPr/>
        <w:t>对于划分为账龄组合的其他应收款，本公司参考历史信用损失经验，结合当前状况以及 对未来经济状况的预测，编制应收款项账龄与整个存续期预期信用损失率对照表，计算预期</w:t>
      </w:r>
      <w:r>
        <w:rPr>
          <w:spacing w:val="-88"/>
        </w:rPr>
        <w:t> </w:t>
      </w:r>
      <w:r>
        <w:rPr>
          <w:spacing w:val="-88"/>
        </w:rPr>
      </w:r>
      <w:r>
        <w:rPr/>
        <w:t>信用损失。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15、存货" w:id="184"/>
      <w:bookmarkEnd w:id="184"/>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left="633" w:right="996" w:hanging="24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3"/>
        </w:rPr>
        <w:t>存货是指本公司在日常活动中持有以备出售的产成品或商品、处在生产过程中的在产品、</w:t>
      </w:r>
    </w:p>
    <w:p>
      <w:pPr>
        <w:pStyle w:val="BodyText"/>
        <w:spacing w:line="350" w:lineRule="auto" w:before="34"/>
        <w:ind w:right="996"/>
        <w:jc w:val="left"/>
      </w:pPr>
      <w:r>
        <w:rPr/>
        <w:t>在生产过程或提供劳务过程中耗用的材料和物料等。主要包括原材料、委托加工物资、在产</w:t>
      </w:r>
      <w:r>
        <w:rPr>
          <w:spacing w:val="-91"/>
        </w:rPr>
        <w:t> </w:t>
      </w:r>
      <w:r>
        <w:rPr>
          <w:spacing w:val="-91"/>
        </w:rPr>
      </w:r>
      <w:r>
        <w:rPr/>
        <w:t>品、自制半成品、库存商品等。</w:t>
      </w:r>
    </w:p>
    <w:p>
      <w:pPr>
        <w:spacing w:line="352" w:lineRule="auto" w:before="36"/>
        <w:ind w:left="633" w:right="996" w:hanging="24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）存货的计价方法</w:t>
      </w:r>
      <w:r>
        <w:rPr>
          <w:rFonts w:ascii="宋体" w:hAnsi="宋体" w:cs="宋体" w:eastAsia="宋体" w:hint="default"/>
          <w:b/>
          <w:bCs/>
          <w:w w:val="99"/>
          <w:sz w:val="24"/>
          <w:szCs w:val="24"/>
        </w:rPr>
        <w:t> </w:t>
      </w:r>
      <w:r>
        <w:rPr>
          <w:rFonts w:ascii="宋体" w:hAnsi="宋体" w:cs="宋体" w:eastAsia="宋体" w:hint="default"/>
          <w:sz w:val="24"/>
          <w:szCs w:val="24"/>
        </w:rPr>
        <w:t>存货在取得时，按成本进行初始计量，包括采购成本、加工成本和其他成本。存货发出</w:t>
      </w:r>
    </w:p>
    <w:p>
      <w:pPr>
        <w:spacing w:line="352" w:lineRule="auto" w:before="31"/>
        <w:ind w:left="515" w:right="4246" w:hanging="363"/>
        <w:jc w:val="left"/>
        <w:rPr>
          <w:rFonts w:ascii="宋体" w:hAnsi="宋体" w:cs="宋体" w:eastAsia="宋体" w:hint="default"/>
          <w:sz w:val="24"/>
          <w:szCs w:val="24"/>
        </w:rPr>
      </w:pPr>
      <w:r>
        <w:rPr>
          <w:rFonts w:ascii="宋体" w:hAnsi="宋体" w:cs="宋体" w:eastAsia="宋体" w:hint="default"/>
          <w:sz w:val="24"/>
          <w:szCs w:val="24"/>
        </w:rPr>
        <w:t>时按月末一次加权平均法计价。 </w:t>
      </w:r>
      <w:r>
        <w:rPr>
          <w:rFonts w:ascii="宋体" w:hAnsi="宋体" w:cs="宋体" w:eastAsia="宋体" w:hint="default"/>
          <w:b/>
          <w:bCs/>
          <w:sz w:val="24"/>
          <w:szCs w:val="24"/>
        </w:rPr>
        <w:t>(3)</w:t>
      </w:r>
      <w:r>
        <w:rPr>
          <w:rFonts w:ascii="宋体" w:hAnsi="宋体" w:cs="宋体" w:eastAsia="宋体" w:hint="default"/>
          <w:b/>
          <w:bCs/>
          <w:sz w:val="24"/>
          <w:szCs w:val="24"/>
        </w:rPr>
        <w:t>存货可变现净值的确定依据及存货跌价准备的计提方法</w:t>
      </w:r>
      <w:r>
        <w:rPr>
          <w:rFonts w:ascii="宋体" w:hAnsi="宋体" w:cs="宋体" w:eastAsia="宋体" w:hint="default"/>
          <w:sz w:val="24"/>
          <w:szCs w:val="24"/>
        </w:rPr>
      </w:r>
    </w:p>
    <w:p>
      <w:pPr>
        <w:pStyle w:val="BodyText"/>
        <w:spacing w:line="350" w:lineRule="auto" w:before="34"/>
        <w:ind w:right="996" w:firstLine="480"/>
        <w:jc w:val="left"/>
      </w:pPr>
      <w:r>
        <w:rPr>
          <w:spacing w:val="-3"/>
        </w:rPr>
        <w:t>期末对存货进行全面清查后，按存货的成本与可变现净值孰低提取或调整存货跌价准备。</w:t>
      </w:r>
      <w:r>
        <w:rPr/>
        <w:t> 产成品、库存商品和用于出售的材料等直接用于出售的商品存货，在正常生产经营过程中，</w:t>
      </w:r>
      <w:r>
        <w:rPr>
          <w:spacing w:val="-91"/>
        </w:rPr>
        <w:t> </w:t>
      </w:r>
      <w:r>
        <w:rPr>
          <w:spacing w:val="-91"/>
        </w:rPr>
      </w:r>
      <w:r>
        <w:rPr/>
        <w:t>以该存货的估计售价减去估计的销售费用和相关税费后的金额，确定其可变现净值；需要经</w:t>
      </w:r>
      <w:r>
        <w:rPr>
          <w:spacing w:val="-91"/>
        </w:rPr>
        <w:t> </w:t>
      </w:r>
      <w:r>
        <w:rPr>
          <w:spacing w:val="-91"/>
        </w:rPr>
      </w:r>
      <w:r>
        <w:rPr/>
        <w:t>过加工的材料存货，在正常生产经营过程中，以所生产的产成品的估计售价减去至完工时估</w:t>
      </w:r>
      <w:r>
        <w:rPr>
          <w:spacing w:val="-91"/>
        </w:rPr>
        <w:t> </w:t>
      </w:r>
      <w:r>
        <w:rPr>
          <w:spacing w:val="-91"/>
        </w:rPr>
      </w:r>
      <w:r>
        <w:rPr/>
        <w:t>计将要发生的成本、估计的销售费用和相关税费后的金额，确定其可变现净值；为执行销售</w:t>
      </w:r>
      <w:r>
        <w:rPr>
          <w:spacing w:val="-91"/>
        </w:rPr>
        <w:t> </w:t>
      </w:r>
      <w:r>
        <w:rPr>
          <w:spacing w:val="-91"/>
        </w:rPr>
      </w:r>
      <w:r>
        <w:rPr/>
        <w:t>合同或者劳务合同而持有的存货，其可变现净值以合同价格为基础计算，若持有存货的数量</w:t>
      </w:r>
      <w:r>
        <w:rPr>
          <w:spacing w:val="-90"/>
        </w:rPr>
        <w:t> </w:t>
      </w:r>
      <w:r>
        <w:rPr>
          <w:spacing w:val="-90"/>
        </w:rPr>
      </w:r>
      <w:r>
        <w:rPr/>
        <w:t>多于销售合同订购数量的，超出部分的存货的可变现净值以一般销售价格为基础计算。</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9" w:firstLine="480"/>
        <w:jc w:val="both"/>
      </w:pPr>
      <w:r>
        <w:rPr/>
        <w:t>期末按照单个存货项目计提存货跌价准备；但对于数量繁多、单价较低的存货，按照存 货类别计提存货跌价准备；与在同一地区生产和销售的产品系列相关、具有相同或类似最终</w:t>
      </w:r>
      <w:r>
        <w:rPr>
          <w:spacing w:val="-91"/>
        </w:rPr>
        <w:t> </w:t>
      </w:r>
      <w:r>
        <w:rPr>
          <w:spacing w:val="-91"/>
        </w:rPr>
      </w:r>
      <w:r>
        <w:rPr/>
        <w:t>用途或目的，且难以与其他项目分开计量的存货，则合并计提存货跌价准备。</w:t>
      </w:r>
    </w:p>
    <w:p>
      <w:pPr>
        <w:pStyle w:val="BodyText"/>
        <w:spacing w:line="352" w:lineRule="auto" w:before="36"/>
        <w:ind w:right="1140" w:firstLine="480"/>
        <w:jc w:val="both"/>
      </w:pPr>
      <w:r>
        <w:rPr/>
        <w:t>以前减记存货价值的影响因素已经消失的，减记的金额予以恢复，并在原已计提的存货 跌价准备金额内转回，转回的金额计入当期损益。</w:t>
      </w:r>
    </w:p>
    <w:p>
      <w:pPr>
        <w:spacing w:line="352" w:lineRule="auto" w:before="31"/>
        <w:ind w:left="515" w:right="6655"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存货的盘存制度</w:t>
      </w:r>
      <w:r>
        <w:rPr>
          <w:rFonts w:ascii="宋体" w:hAnsi="宋体" w:cs="宋体" w:eastAsia="宋体" w:hint="default"/>
          <w:b/>
          <w:bCs/>
          <w:w w:val="99"/>
          <w:sz w:val="24"/>
          <w:szCs w:val="24"/>
        </w:rPr>
        <w:t> </w:t>
      </w:r>
      <w:r>
        <w:rPr>
          <w:rFonts w:ascii="宋体" w:hAnsi="宋体" w:cs="宋体" w:eastAsia="宋体" w:hint="default"/>
          <w:sz w:val="24"/>
          <w:szCs w:val="24"/>
        </w:rPr>
        <w:t>采用永续盘存制。 </w:t>
      </w:r>
      <w:r>
        <w:rPr>
          <w:rFonts w:ascii="宋体" w:hAnsi="宋体" w:cs="宋体" w:eastAsia="宋体" w:hint="default"/>
          <w:b/>
          <w:bCs/>
          <w:sz w:val="24"/>
          <w:szCs w:val="24"/>
        </w:rPr>
        <w:t>(5)</w:t>
      </w:r>
      <w:r>
        <w:rPr>
          <w:rFonts w:ascii="宋体" w:hAnsi="宋体" w:cs="宋体" w:eastAsia="宋体" w:hint="default"/>
          <w:b/>
          <w:bCs/>
          <w:sz w:val="24"/>
          <w:szCs w:val="24"/>
        </w:rPr>
        <w:t>低值易耗品和包装物的摊销方法</w:t>
      </w:r>
      <w:r>
        <w:rPr>
          <w:rFonts w:ascii="宋体" w:hAnsi="宋体" w:cs="宋体" w:eastAsia="宋体" w:hint="default"/>
          <w:sz w:val="24"/>
          <w:szCs w:val="24"/>
        </w:rPr>
      </w:r>
    </w:p>
    <w:p>
      <w:pPr>
        <w:pStyle w:val="BodyText"/>
        <w:spacing w:line="240" w:lineRule="auto" w:before="32"/>
        <w:ind w:left="753" w:right="996"/>
        <w:jc w:val="left"/>
      </w:pPr>
      <w:r>
        <w:rPr/>
        <w:t>①低值易耗品采用一次转销法。</w:t>
      </w:r>
    </w:p>
    <w:p>
      <w:pPr>
        <w:pStyle w:val="BodyText"/>
        <w:spacing w:line="240" w:lineRule="auto" w:before="146"/>
        <w:ind w:left="753" w:right="996"/>
        <w:jc w:val="left"/>
      </w:pPr>
      <w:r>
        <w:rPr/>
        <w:t>②包装物采用一次转销法。</w:t>
      </w:r>
    </w:p>
    <w:p>
      <w:pPr>
        <w:pStyle w:val="BodyText"/>
        <w:spacing w:line="240" w:lineRule="auto" w:before="146"/>
        <w:ind w:left="753" w:right="996"/>
        <w:jc w:val="left"/>
      </w:pPr>
      <w:r>
        <w:rPr/>
        <w:t>③其他周转材料采用一次转销法摊销。</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6、合同资产" w:id="185"/>
      <w:bookmarkEnd w:id="185"/>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7、合同成本" w:id="186"/>
      <w:bookmarkEnd w:id="186"/>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8、持有待售资产" w:id="187"/>
      <w:bookmarkEnd w:id="187"/>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spacing w:line="352" w:lineRule="auto" w:before="0"/>
        <w:ind w:left="633" w:right="2113" w:hanging="24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划分为持有待售确认标准</w:t>
      </w:r>
      <w:r>
        <w:rPr>
          <w:rFonts w:ascii="宋体" w:hAnsi="宋体" w:cs="宋体" w:eastAsia="宋体" w:hint="default"/>
          <w:b/>
          <w:bCs/>
          <w:w w:val="99"/>
          <w:sz w:val="24"/>
          <w:szCs w:val="24"/>
        </w:rPr>
        <w:t> </w:t>
      </w:r>
      <w:r>
        <w:rPr>
          <w:rFonts w:ascii="宋体" w:hAnsi="宋体" w:cs="宋体" w:eastAsia="宋体" w:hint="default"/>
          <w:sz w:val="24"/>
          <w:szCs w:val="24"/>
        </w:rPr>
        <w:t>本公司将同时满足下列条件的非流动资产或处置组确认为持有待售组成部分：</w:t>
      </w:r>
    </w:p>
    <w:p>
      <w:pPr>
        <w:pStyle w:val="BodyText"/>
        <w:spacing w:line="240" w:lineRule="auto" w:before="34"/>
        <w:ind w:left="633" w:right="996"/>
        <w:jc w:val="left"/>
      </w:pPr>
      <w:r>
        <w:rPr/>
        <w:t>①根据类似交易中出售此类资产或处置组的惯例，在当前状况下即可立即出售；</w:t>
      </w:r>
    </w:p>
    <w:p>
      <w:pPr>
        <w:pStyle w:val="BodyText"/>
        <w:spacing w:line="352" w:lineRule="auto" w:before="144"/>
        <w:ind w:right="1132" w:firstLine="480"/>
        <w:jc w:val="both"/>
      </w:pPr>
      <w:r>
        <w:rPr>
          <w:spacing w:val="-6"/>
        </w:rPr>
        <w:t>②出售极可能发生，即本公司已经就一项出售计划作出决议，并已获得监管部门批准（如</w:t>
      </w:r>
      <w:r>
        <w:rPr/>
        <w:t> 适用），且获得确定的购买承诺，预计出售将在一年内完成。</w:t>
      </w:r>
    </w:p>
    <w:p>
      <w:pPr>
        <w:pStyle w:val="BodyText"/>
        <w:spacing w:line="350" w:lineRule="auto" w:before="34"/>
        <w:ind w:right="1139" w:firstLine="480"/>
        <w:jc w:val="both"/>
      </w:pPr>
      <w:r>
        <w:rPr/>
        <w:t>确定的购买承诺，是指本公司与其他方签订的具有法律约束力的购买协议，该协议包含 交易价格、时间和足够严厉的违约惩罚等重要条款，使协议出现重大调整或者撤销的可能性</w:t>
      </w:r>
      <w:r>
        <w:rPr>
          <w:spacing w:val="-91"/>
        </w:rPr>
        <w:t> </w:t>
      </w:r>
      <w:r>
        <w:rPr>
          <w:spacing w:val="-91"/>
        </w:rPr>
      </w:r>
      <w:r>
        <w:rPr/>
        <w:t>极小。</w:t>
      </w:r>
    </w:p>
    <w:p>
      <w:pPr>
        <w:spacing w:line="350" w:lineRule="auto" w:before="36"/>
        <w:ind w:left="633" w:right="996" w:hanging="24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持有待售核算方法</w:t>
      </w:r>
      <w:r>
        <w:rPr>
          <w:rFonts w:ascii="宋体" w:hAnsi="宋体" w:cs="宋体" w:eastAsia="宋体" w:hint="default"/>
          <w:b/>
          <w:bCs/>
          <w:w w:val="99"/>
          <w:sz w:val="24"/>
          <w:szCs w:val="24"/>
        </w:rPr>
        <w:t> </w:t>
      </w:r>
      <w:r>
        <w:rPr>
          <w:rFonts w:ascii="宋体" w:hAnsi="宋体" w:cs="宋体" w:eastAsia="宋体" w:hint="default"/>
          <w:sz w:val="24"/>
          <w:szCs w:val="24"/>
        </w:rPr>
        <w:t>本公司对于持有待售的非流动资产或处置组不计提折旧或摊销，其账面价值高于公允价</w:t>
      </w:r>
    </w:p>
    <w:p>
      <w:pPr>
        <w:pStyle w:val="BodyText"/>
        <w:spacing w:line="240" w:lineRule="auto" w:before="36"/>
        <w:ind w:right="996"/>
        <w:jc w:val="left"/>
      </w:pPr>
      <w:r>
        <w:rPr/>
        <w:t>值减去出售费用后的净额的，应当将账面价值减记至公允价值减去出售费用后的净额，减记</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996" w:hanging="481"/>
        <w:jc w:val="left"/>
      </w:pPr>
      <w:r>
        <w:rPr/>
        <w:t>的金额确认为资产减值损失，计入当期损益，同时计提持有待售资产减值准备。 对于取得日划分为持有待售类别的非流动资产或处置组，在初始计量时比较假定其不划</w:t>
      </w:r>
    </w:p>
    <w:p>
      <w:pPr>
        <w:pStyle w:val="BodyText"/>
        <w:spacing w:line="352" w:lineRule="auto" w:before="31"/>
        <w:ind w:right="996"/>
        <w:jc w:val="left"/>
      </w:pPr>
      <w:r>
        <w:rPr/>
        <w:t>分为持有待售类别情况下的初始计量金额和公允价值减去出售费用后的净额，以两者孰低计</w:t>
      </w:r>
      <w:r>
        <w:rPr>
          <w:spacing w:val="-90"/>
        </w:rPr>
        <w:t> </w:t>
      </w:r>
      <w:r>
        <w:rPr>
          <w:spacing w:val="-90"/>
        </w:rPr>
      </w:r>
      <w:r>
        <w:rPr/>
        <w:t>量。</w:t>
      </w:r>
    </w:p>
    <w:p>
      <w:pPr>
        <w:pStyle w:val="BodyText"/>
        <w:spacing w:line="350" w:lineRule="auto" w:before="34"/>
        <w:ind w:right="1139" w:firstLine="480"/>
        <w:jc w:val="both"/>
      </w:pPr>
      <w:r>
        <w:rPr/>
        <w:t>上述原则适用于所有非流动资产，但不包括采用公允价值模式进行后续计量的投资性房 地产、采用公允价值减去出售费用后的净额计量的生物资产、职工薪酬形成的资产、递延所</w:t>
      </w:r>
      <w:r>
        <w:rPr>
          <w:spacing w:val="-91"/>
        </w:rPr>
        <w:t> </w:t>
      </w:r>
      <w:r>
        <w:rPr>
          <w:spacing w:val="-91"/>
        </w:rPr>
      </w:r>
      <w:r>
        <w:rPr/>
        <w:t>得税资产、由金融工具相关会计准则规范的金融资产、由保险合同相关会计准则规范的保险</w:t>
      </w:r>
      <w:r>
        <w:rPr>
          <w:spacing w:val="-91"/>
        </w:rPr>
        <w:t> </w:t>
      </w:r>
      <w:r>
        <w:rPr>
          <w:spacing w:val="-91"/>
        </w:rPr>
      </w:r>
      <w:r>
        <w:rPr/>
        <w:t>合同所产生的权利。</w:t>
      </w:r>
    </w:p>
    <w:p>
      <w:pPr>
        <w:spacing w:line="240" w:lineRule="auto" w:before="13"/>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19、债权投资" w:id="188"/>
      <w:bookmarkEnd w:id="188"/>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0、其他债权投资" w:id="189"/>
      <w:bookmarkEnd w:id="189"/>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1、长期应收款" w:id="190"/>
      <w:bookmarkEnd w:id="190"/>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2、长期股权投资" w:id="191"/>
      <w:bookmarkEnd w:id="19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Heading2"/>
        <w:spacing w:line="240" w:lineRule="auto" w:before="0"/>
        <w:ind w:left="393" w:right="996"/>
        <w:jc w:val="left"/>
        <w:rPr>
          <w:b w:val="0"/>
          <w:bCs w:val="0"/>
        </w:rPr>
      </w:pPr>
      <w:r>
        <w:rPr>
          <w:rFonts w:ascii="宋体" w:hAnsi="宋体" w:cs="宋体" w:eastAsia="宋体" w:hint="default"/>
        </w:rPr>
        <w:t>(1)</w:t>
      </w:r>
      <w:r>
        <w:rPr/>
        <w:t>初始投资成本的确定</w:t>
      </w:r>
      <w:r>
        <w:rPr>
          <w:b w:val="0"/>
          <w:bCs w:val="0"/>
        </w:rPr>
      </w:r>
    </w:p>
    <w:p>
      <w:pPr>
        <w:pStyle w:val="BodyText"/>
        <w:spacing w:line="352" w:lineRule="auto" w:before="146"/>
        <w:ind w:right="1136" w:firstLine="480"/>
        <w:jc w:val="both"/>
      </w:pPr>
      <w:r>
        <w:rPr/>
        <w:t>①企业合并形成的长期股权投资，具体会计政策详见本附注四／（四）同一控制下和非 同一控制下企业合并的会计处理方法。</w:t>
      </w:r>
    </w:p>
    <w:p>
      <w:pPr>
        <w:pStyle w:val="BodyText"/>
        <w:spacing w:line="352" w:lineRule="auto" w:before="31"/>
        <w:ind w:left="633" w:right="996"/>
        <w:jc w:val="left"/>
      </w:pPr>
      <w:r>
        <w:rPr/>
        <w:t>②其他方式取得的长期股权投资 以支付现金方式取得的长期股权投资，按照实际支付的购买价款作为初始投资成本。初</w:t>
      </w:r>
    </w:p>
    <w:p>
      <w:pPr>
        <w:pStyle w:val="BodyText"/>
        <w:spacing w:line="350" w:lineRule="auto" w:before="34"/>
        <w:ind w:left="633" w:right="996" w:hanging="481"/>
        <w:jc w:val="left"/>
      </w:pPr>
      <w:r>
        <w:rPr/>
        <w:t>始投资成本包括与取得长期股权投资直接相关的费用、税金及其他必要支出。 以发行权益性证券取得的长期股权投资，按照发行权益性证券的公允价值作为初始投资</w:t>
      </w:r>
    </w:p>
    <w:p>
      <w:pPr>
        <w:pStyle w:val="BodyText"/>
        <w:spacing w:line="352" w:lineRule="auto" w:before="36"/>
        <w:ind w:right="996"/>
        <w:jc w:val="left"/>
      </w:pPr>
      <w:r>
        <w:rPr/>
        <w:t>成本；发行或取得自身权益工具时发生的交易费用，可直接归属于权益性交易的从权益中扣</w:t>
      </w:r>
      <w:r>
        <w:rPr>
          <w:spacing w:val="-91"/>
        </w:rPr>
        <w:t> </w:t>
      </w:r>
      <w:r>
        <w:rPr>
          <w:spacing w:val="-91"/>
        </w:rPr>
      </w:r>
      <w:r>
        <w:rPr/>
        <w:t>减。</w:t>
      </w:r>
    </w:p>
    <w:p>
      <w:pPr>
        <w:pStyle w:val="BodyText"/>
        <w:spacing w:line="352" w:lineRule="auto" w:before="31"/>
        <w:ind w:right="996" w:firstLine="480"/>
        <w:jc w:val="left"/>
      </w:pPr>
      <w:r>
        <w:rPr/>
        <w:t>在非货币性资产交换具备商业实质和换入资产或换出资产的公允价值能够可靠计量的前 提下，非货币性资产交换换入的长期股权投资以换出资产的公允价值为基础确定其初始投资</w:t>
      </w:r>
    </w:p>
    <w:p>
      <w:pPr>
        <w:spacing w:after="0" w:line="35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996"/>
        <w:jc w:val="left"/>
      </w:pPr>
      <w:r>
        <w:rPr/>
        <w:t>成本，除非有确凿证据表明换入资产的公允价值更加可靠；不满足上述前提的非货币性资产</w:t>
      </w:r>
      <w:r>
        <w:rPr>
          <w:spacing w:val="-91"/>
        </w:rPr>
        <w:t> </w:t>
      </w:r>
      <w:r>
        <w:rPr>
          <w:spacing w:val="-91"/>
        </w:rPr>
      </w:r>
      <w:r>
        <w:rPr/>
        <w:t>交换，以换出资产的账面价值和应支付的相关税费作为换入长期股权投资的初始投资成本。</w:t>
      </w:r>
    </w:p>
    <w:p>
      <w:pPr>
        <w:spacing w:line="352" w:lineRule="auto" w:before="31"/>
        <w:ind w:left="393" w:right="1873" w:firstLine="240"/>
        <w:jc w:val="left"/>
        <w:rPr>
          <w:rFonts w:ascii="宋体" w:hAnsi="宋体" w:cs="宋体" w:eastAsia="宋体" w:hint="default"/>
          <w:sz w:val="24"/>
          <w:szCs w:val="24"/>
        </w:rPr>
      </w:pPr>
      <w:r>
        <w:rPr>
          <w:rFonts w:ascii="宋体" w:hAnsi="宋体" w:cs="宋体" w:eastAsia="宋体" w:hint="default"/>
          <w:sz w:val="24"/>
          <w:szCs w:val="24"/>
        </w:rPr>
        <w:t>通过债务重组取得的长期股权投资，其初始投资成本按照公允价值为基础确定。 </w:t>
      </w:r>
      <w:r>
        <w:rPr>
          <w:rFonts w:ascii="宋体" w:hAnsi="宋体" w:cs="宋体" w:eastAsia="宋体" w:hint="default"/>
          <w:b/>
          <w:bCs/>
          <w:sz w:val="24"/>
          <w:szCs w:val="24"/>
        </w:rPr>
        <w:t>(2)</w:t>
      </w:r>
      <w:r>
        <w:rPr>
          <w:rFonts w:ascii="宋体" w:hAnsi="宋体" w:cs="宋体" w:eastAsia="宋体" w:hint="default"/>
          <w:b/>
          <w:bCs/>
          <w:sz w:val="24"/>
          <w:szCs w:val="24"/>
        </w:rPr>
        <w:t>后续计量及损益确认</w:t>
      </w:r>
      <w:r>
        <w:rPr>
          <w:rFonts w:ascii="宋体" w:hAnsi="宋体" w:cs="宋体" w:eastAsia="宋体" w:hint="default"/>
          <w:sz w:val="24"/>
          <w:szCs w:val="24"/>
        </w:rPr>
      </w:r>
    </w:p>
    <w:p>
      <w:pPr>
        <w:pStyle w:val="BodyText"/>
        <w:spacing w:line="350" w:lineRule="auto" w:before="34"/>
        <w:ind w:left="633" w:right="996"/>
        <w:jc w:val="left"/>
      </w:pPr>
      <w:r>
        <w:rPr/>
        <w:t>①成本法 本公司能够对被投资单位实施控制的长期股权投资采用成本法核算，并按照初始投资成</w:t>
      </w:r>
    </w:p>
    <w:p>
      <w:pPr>
        <w:pStyle w:val="BodyText"/>
        <w:spacing w:line="352" w:lineRule="auto" w:before="36"/>
        <w:ind w:left="633" w:right="996" w:hanging="481"/>
        <w:jc w:val="left"/>
      </w:pPr>
      <w:r>
        <w:rPr/>
        <w:t>本计价，追加或收回投资调整长期股权投资的成本。 除取得投资时实际支付的价款或对价中包含的已宣告但尚未发放的现金股利或利润外，</w:t>
      </w:r>
    </w:p>
    <w:p>
      <w:pPr>
        <w:pStyle w:val="BodyText"/>
        <w:spacing w:line="240" w:lineRule="auto" w:before="32"/>
        <w:ind w:right="996"/>
        <w:jc w:val="left"/>
      </w:pPr>
      <w:r>
        <w:rPr/>
        <w:t>本公司按照享有被投资单位宣告分派的现金股利或利润确认为当期投资收益。</w:t>
      </w:r>
    </w:p>
    <w:p>
      <w:pPr>
        <w:pStyle w:val="BodyText"/>
        <w:spacing w:line="352" w:lineRule="auto" w:before="146"/>
        <w:ind w:left="633" w:right="996"/>
        <w:jc w:val="left"/>
      </w:pPr>
      <w:r>
        <w:rPr/>
        <w:t>②权益法 本公司对联营企业和合营企业的长期股权投资采用权益法核算；对于其中一部分通过风</w:t>
      </w:r>
    </w:p>
    <w:p>
      <w:pPr>
        <w:pStyle w:val="BodyText"/>
        <w:spacing w:line="352" w:lineRule="auto" w:before="31"/>
        <w:ind w:right="996"/>
        <w:jc w:val="left"/>
      </w:pPr>
      <w:r>
        <w:rPr/>
        <w:t>险投资机构、共同基金、信托公司或包括投连险基金在内的类似主体间接持有的联营企业的</w:t>
      </w:r>
      <w:r>
        <w:rPr>
          <w:spacing w:val="-91"/>
        </w:rPr>
        <w:t> </w:t>
      </w:r>
      <w:r>
        <w:rPr>
          <w:spacing w:val="-91"/>
        </w:rPr>
      </w:r>
      <w:r>
        <w:rPr/>
        <w:t>权益性投资，采用公允价值计量且其变动计入损益。</w:t>
      </w:r>
    </w:p>
    <w:p>
      <w:pPr>
        <w:pStyle w:val="BodyText"/>
        <w:spacing w:line="350" w:lineRule="auto" w:before="34"/>
        <w:ind w:right="1139" w:firstLine="480"/>
        <w:jc w:val="both"/>
      </w:pPr>
      <w:r>
        <w:rPr/>
        <w:t>长期股权投资的初始投资成本大于投资时应享有被投资单位可辨认净资产公允价值份额 的差额，不调整长期股权投资的初始投资成本；初始投资成本小于投资时应享有被投资单位</w:t>
      </w:r>
      <w:r>
        <w:rPr>
          <w:spacing w:val="-91"/>
        </w:rPr>
        <w:t> </w:t>
      </w:r>
      <w:r>
        <w:rPr>
          <w:spacing w:val="-91"/>
        </w:rPr>
      </w:r>
      <w:r>
        <w:rPr/>
        <w:t>可辨认净资产公允价值份额的差额，计入当期损益。</w:t>
      </w:r>
    </w:p>
    <w:p>
      <w:pPr>
        <w:pStyle w:val="BodyText"/>
        <w:spacing w:line="350" w:lineRule="auto" w:before="36"/>
        <w:ind w:right="1137" w:firstLine="480"/>
        <w:jc w:val="both"/>
      </w:pPr>
      <w:r>
        <w:rPr/>
        <w:t>本公司取得长期股权投资后，按照应享有或应分担的被投资单位实现的净损益和其他综 合收益的份额，分别确认投资收益和其他综合收益，同时调整长期股权投资的账面价值；并</w:t>
      </w:r>
      <w:r>
        <w:rPr>
          <w:spacing w:val="-91"/>
        </w:rPr>
        <w:t> </w:t>
      </w:r>
      <w:r>
        <w:rPr>
          <w:spacing w:val="-91"/>
        </w:rPr>
      </w:r>
      <w:r>
        <w:rPr/>
        <w:t>按照被投资单位宣告分派的利润或现金股利计算应享有的部分，相应减少长期股权投资的账</w:t>
      </w:r>
      <w:r>
        <w:rPr>
          <w:spacing w:val="-91"/>
        </w:rPr>
        <w:t> </w:t>
      </w:r>
      <w:r>
        <w:rPr>
          <w:spacing w:val="-91"/>
        </w:rPr>
      </w:r>
      <w:r>
        <w:rPr/>
        <w:t>面价值；对于被投资单位除净损益、其他综合收益和利润分配以外所有者权益的其他变动，</w:t>
      </w:r>
      <w:r>
        <w:rPr>
          <w:spacing w:val="-91"/>
        </w:rPr>
        <w:t> </w:t>
      </w:r>
      <w:r>
        <w:rPr>
          <w:spacing w:val="-91"/>
        </w:rPr>
      </w:r>
      <w:r>
        <w:rPr/>
        <w:t>调整长期股权投资的账面价值并计入所有者权益。</w:t>
      </w:r>
    </w:p>
    <w:p>
      <w:pPr>
        <w:pStyle w:val="BodyText"/>
        <w:spacing w:line="352" w:lineRule="auto" w:before="36"/>
        <w:ind w:right="1134" w:firstLine="480"/>
        <w:jc w:val="both"/>
      </w:pPr>
      <w:r>
        <w:rPr/>
        <w:t>本公司在确认应享有被投资单位净损益的份额时，以取得投资时被投资单位各项可辨认 资产等的公允价值为基础，对被投资单位的净利润进行调整后确认。本公司与联营企业、合</w:t>
      </w:r>
      <w:r>
        <w:rPr>
          <w:spacing w:val="-91"/>
        </w:rPr>
        <w:t> </w:t>
      </w:r>
      <w:r>
        <w:rPr>
          <w:spacing w:val="-91"/>
        </w:rPr>
      </w:r>
      <w:r>
        <w:rPr>
          <w:spacing w:val="6"/>
        </w:rPr>
        <w:t>营企业之间发生的未实现内部交易损益按照应享有的比例计算归属于本公司的部分予以抵</w:t>
      </w:r>
      <w:r>
        <w:rPr>
          <w:spacing w:val="-98"/>
        </w:rPr>
        <w:t> </w:t>
      </w:r>
      <w:r>
        <w:rPr>
          <w:spacing w:val="-98"/>
        </w:rPr>
      </w:r>
      <w:r>
        <w:rPr/>
        <w:t>销，在此基础上确认投资损益。</w:t>
      </w:r>
    </w:p>
    <w:p>
      <w:pPr>
        <w:pStyle w:val="BodyText"/>
        <w:spacing w:line="350" w:lineRule="auto" w:before="34"/>
        <w:ind w:right="1139" w:firstLine="480"/>
        <w:jc w:val="both"/>
      </w:pPr>
      <w:r>
        <w:rPr/>
        <w:t>本公司确认应分担被投资单位发生的亏损时，按照以下顺序进行处理：首先，冲减长期 股权投资的账面价值。其次，长期股权投资的账面价值不足以冲减的，以其他实质上构成对</w:t>
      </w:r>
      <w:r>
        <w:rPr>
          <w:spacing w:val="-91"/>
        </w:rPr>
        <w:t> </w:t>
      </w:r>
      <w:r>
        <w:rPr>
          <w:spacing w:val="-91"/>
        </w:rPr>
      </w:r>
      <w:r>
        <w:rPr/>
        <w:t>被投资单位净投资的长期权益账面价值为限继续确认投资损失，冲减长期应收项目等的账面</w:t>
      </w:r>
      <w:r>
        <w:rPr>
          <w:spacing w:val="-91"/>
        </w:rPr>
        <w:t> </w:t>
      </w:r>
      <w:r>
        <w:rPr>
          <w:spacing w:val="-91"/>
        </w:rPr>
      </w:r>
      <w:r>
        <w:rPr/>
        <w:t>价值。最后，经过上述处理，按照投资合同或协议约定企业仍承担额外义务的，按预计承担</w:t>
      </w:r>
      <w:r>
        <w:rPr>
          <w:spacing w:val="-91"/>
        </w:rPr>
        <w:t> </w:t>
      </w:r>
      <w:r>
        <w:rPr>
          <w:spacing w:val="-91"/>
        </w:rPr>
      </w:r>
      <w:r>
        <w:rPr/>
        <w:t>的义务确认预计负债，计入当期投资损失。</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8" w:firstLine="480"/>
        <w:jc w:val="both"/>
      </w:pPr>
      <w:r>
        <w:rPr/>
        <w:t>被投资单位以后期间实现盈利的，公司在扣除未确认的亏损分担额后，按与上述相反的 顺序处理，减记已确认预计负债的账面余额、恢复其他实质上构成对被投资单位净投资的长</w:t>
      </w:r>
      <w:r>
        <w:rPr>
          <w:spacing w:val="-90"/>
        </w:rPr>
        <w:t> </w:t>
      </w:r>
      <w:r>
        <w:rPr>
          <w:spacing w:val="-90"/>
        </w:rPr>
      </w:r>
      <w:r>
        <w:rPr/>
        <w:t>期权益及长期股权投资的账面价值后，恢复确认投资收益。</w:t>
      </w:r>
    </w:p>
    <w:p>
      <w:pPr>
        <w:pStyle w:val="Heading2"/>
        <w:spacing w:line="240" w:lineRule="auto" w:before="36"/>
        <w:ind w:left="635" w:right="996"/>
        <w:jc w:val="left"/>
        <w:rPr>
          <w:b w:val="0"/>
          <w:bCs w:val="0"/>
        </w:rPr>
      </w:pPr>
      <w:r>
        <w:rPr>
          <w:rFonts w:ascii="宋体" w:hAnsi="宋体" w:cs="宋体" w:eastAsia="宋体" w:hint="default"/>
        </w:rPr>
        <w:t>(3)</w:t>
      </w:r>
      <w:r>
        <w:rPr/>
        <w:t>长期股权投资核算方法的转换</w:t>
      </w:r>
      <w:r>
        <w:rPr>
          <w:b w:val="0"/>
          <w:bCs w:val="0"/>
        </w:rPr>
      </w:r>
    </w:p>
    <w:p>
      <w:pPr>
        <w:pStyle w:val="BodyText"/>
        <w:spacing w:line="350" w:lineRule="auto" w:before="146"/>
        <w:ind w:left="633" w:right="996" w:firstLine="479"/>
        <w:jc w:val="left"/>
      </w:pPr>
      <w:r>
        <w:rPr/>
        <w:t>①公允价值计量转权益法核算 本公司原持有的对被投资单位不具有控制、共同控制或重大影响的按金融工具确认和计</w:t>
      </w:r>
    </w:p>
    <w:p>
      <w:pPr>
        <w:pStyle w:val="BodyText"/>
        <w:spacing w:line="350" w:lineRule="auto" w:before="36"/>
        <w:ind w:right="1011"/>
        <w:jc w:val="both"/>
      </w:pPr>
      <w:r>
        <w:rPr/>
        <w:t>量准则进行会计处理的权益性投资，因追加投资等原因能够对被投资单位施加重大影响或实</w:t>
      </w:r>
      <w:r>
        <w:rPr>
          <w:spacing w:val="-91"/>
        </w:rPr>
        <w:t> </w:t>
      </w:r>
      <w:r>
        <w:rPr>
          <w:spacing w:val="-91"/>
        </w:rPr>
      </w:r>
      <w:r>
        <w:rPr/>
        <w:t>施共同控制但不构成控制的，按照《企业会计准则第</w:t>
      </w:r>
      <w:r>
        <w:rPr>
          <w:rFonts w:ascii="宋体" w:hAnsi="宋体" w:cs="宋体" w:eastAsia="宋体" w:hint="default"/>
        </w:rPr>
        <w:t>22</w:t>
      </w:r>
      <w:r>
        <w:rPr/>
        <w:t>号——金融工具确认和计量》确定的</w:t>
      </w:r>
      <w:r>
        <w:rPr>
          <w:spacing w:val="-88"/>
        </w:rPr>
        <w:t> </w:t>
      </w:r>
      <w:r>
        <w:rPr>
          <w:spacing w:val="-88"/>
        </w:rPr>
      </w:r>
      <w:r>
        <w:rPr>
          <w:spacing w:val="-2"/>
        </w:rPr>
        <w:t>原持有的股权投资的公允价值加上新增投资成本之和，作为改按权益法核算的初始投资成本。</w:t>
      </w:r>
    </w:p>
    <w:p>
      <w:pPr>
        <w:pStyle w:val="BodyText"/>
        <w:spacing w:line="352" w:lineRule="auto" w:before="36"/>
        <w:ind w:right="1140" w:firstLine="480"/>
        <w:jc w:val="both"/>
      </w:pPr>
      <w:r>
        <w:rPr/>
        <w:t>原持有的股权投资分类为可供出售金融资产的，其公允价值与账面价值之间的差额，以 及原计入其他综合收益的累计公允价值变动转入改按权益法核算的当期损益。</w:t>
      </w:r>
    </w:p>
    <w:p>
      <w:pPr>
        <w:pStyle w:val="BodyText"/>
        <w:spacing w:line="352" w:lineRule="auto" w:before="31"/>
        <w:ind w:right="1139" w:firstLine="480"/>
        <w:jc w:val="both"/>
      </w:pPr>
      <w:r>
        <w:rPr/>
        <w:t>按权益法核算的初始投资成本小于按照追加投资后全新的持股比例计算确定的应享有被 投资单位在追加投资日可辨认净资产公允价值份额之间的差额，调整长期股权投资的账面价</w:t>
      </w:r>
      <w:r>
        <w:rPr>
          <w:spacing w:val="-91"/>
        </w:rPr>
        <w:t> </w:t>
      </w:r>
      <w:r>
        <w:rPr>
          <w:spacing w:val="-91"/>
        </w:rPr>
      </w:r>
      <w:r>
        <w:rPr/>
        <w:t>值，并计入当期营业外收入。</w:t>
      </w:r>
    </w:p>
    <w:p>
      <w:pPr>
        <w:pStyle w:val="BodyText"/>
        <w:spacing w:line="352" w:lineRule="auto" w:before="31"/>
        <w:ind w:left="633" w:right="996" w:firstLine="479"/>
        <w:jc w:val="left"/>
      </w:pPr>
      <w:r>
        <w:rPr/>
        <w:t>②公允价值计量或权益法核算转成本法核算 本公司原持有的对被投资单位不具有控制、共同控制或重大影响的按金融工具确认和计</w:t>
      </w:r>
    </w:p>
    <w:p>
      <w:pPr>
        <w:pStyle w:val="BodyText"/>
        <w:spacing w:line="350" w:lineRule="auto" w:before="34"/>
        <w:ind w:left="0" w:right="1135"/>
        <w:jc w:val="right"/>
      </w:pPr>
      <w:r>
        <w:rPr/>
        <w:t>量准则进行会计处理的权益性投资，或原持有对联营企业、合营企业的长期股权投资，因追</w:t>
      </w:r>
      <w:r>
        <w:rPr>
          <w:spacing w:val="-98"/>
        </w:rPr>
        <w:t> </w:t>
      </w:r>
      <w:r>
        <w:rPr>
          <w:spacing w:val="-98"/>
        </w:rPr>
      </w:r>
      <w:r>
        <w:rPr/>
        <w:t>加投资等原因能够对非同一控制下的被投资单位实施控制的，在编制个别财务报表时，按照</w:t>
      </w:r>
      <w:r>
        <w:rPr>
          <w:spacing w:val="-104"/>
        </w:rPr>
        <w:t> </w:t>
      </w:r>
      <w:r>
        <w:rPr>
          <w:spacing w:val="-104"/>
        </w:rPr>
      </w:r>
      <w:r>
        <w:rPr/>
        <w:t>原持有的股权投资账面价值加上新增投资成本之和，作为改按成本法核算的初始投资成本。 购买日之前持有的股权投资因采用权益法核算而确认的其他综合收益，在处置该项投资</w:t>
      </w:r>
    </w:p>
    <w:p>
      <w:pPr>
        <w:pStyle w:val="BodyText"/>
        <w:spacing w:line="352" w:lineRule="auto" w:before="34"/>
        <w:ind w:left="633" w:right="996" w:hanging="481"/>
        <w:jc w:val="left"/>
      </w:pPr>
      <w:r>
        <w:rPr/>
        <w:t>时采用与被投资单位直接处置相关资产或负债相同的基础进行会计处理。 购买日之前持有的股权投资按照《企业会计准则第</w:t>
      </w:r>
      <w:r>
        <w:rPr>
          <w:rFonts w:ascii="宋体" w:hAnsi="宋体" w:cs="宋体" w:eastAsia="宋体" w:hint="default"/>
        </w:rPr>
        <w:t>22</w:t>
      </w:r>
      <w:r>
        <w:rPr/>
        <w:t>号——金融工具确认和计量》的有</w:t>
      </w:r>
    </w:p>
    <w:p>
      <w:pPr>
        <w:pStyle w:val="BodyText"/>
        <w:spacing w:line="350" w:lineRule="auto" w:before="34"/>
        <w:ind w:right="996"/>
        <w:jc w:val="left"/>
      </w:pPr>
      <w:r>
        <w:rPr/>
        <w:t>关规定进行会计处理的，原计入其他综合收益的累计公允价值变动在改按成本法核算时转入</w:t>
      </w:r>
      <w:r>
        <w:rPr>
          <w:spacing w:val="-91"/>
        </w:rPr>
        <w:t> </w:t>
      </w:r>
      <w:r>
        <w:rPr>
          <w:spacing w:val="-91"/>
        </w:rPr>
      </w:r>
      <w:r>
        <w:rPr/>
        <w:t>当期损益。</w:t>
      </w:r>
    </w:p>
    <w:p>
      <w:pPr>
        <w:pStyle w:val="BodyText"/>
        <w:spacing w:line="352" w:lineRule="auto" w:before="37"/>
        <w:ind w:left="633" w:right="996" w:firstLine="479"/>
        <w:jc w:val="left"/>
      </w:pPr>
      <w:r>
        <w:rPr/>
        <w:t>③权益法核算转公允价值计量 本公司因处置部分股权投资等原因丧失了对被投资单位的共同控制或重大影响的，处置</w:t>
      </w:r>
    </w:p>
    <w:p>
      <w:pPr>
        <w:pStyle w:val="BodyText"/>
        <w:spacing w:line="352" w:lineRule="auto" w:before="31"/>
        <w:ind w:right="996"/>
        <w:jc w:val="left"/>
      </w:pPr>
      <w:r>
        <w:rPr/>
        <w:t>后的剩余股权改按《企业会计准则第</w:t>
      </w:r>
      <w:r>
        <w:rPr>
          <w:rFonts w:ascii="宋体" w:hAnsi="宋体" w:cs="宋体" w:eastAsia="宋体" w:hint="default"/>
        </w:rPr>
        <w:t>22</w:t>
      </w:r>
      <w:r>
        <w:rPr/>
        <w:t>号——金融工具确认和计量》核算，其在丧失共同控</w:t>
      </w:r>
      <w:r>
        <w:rPr>
          <w:spacing w:val="-89"/>
        </w:rPr>
        <w:t> </w:t>
      </w:r>
      <w:r>
        <w:rPr>
          <w:spacing w:val="-89"/>
        </w:rPr>
      </w:r>
      <w:r>
        <w:rPr/>
        <w:t>制或重大影响之日的公允价值与账面价值之间的差额计入当期损益。</w:t>
      </w:r>
    </w:p>
    <w:p>
      <w:pPr>
        <w:pStyle w:val="BodyText"/>
        <w:spacing w:line="350" w:lineRule="auto" w:before="34"/>
        <w:ind w:right="1140" w:firstLine="480"/>
        <w:jc w:val="both"/>
      </w:pPr>
      <w:r>
        <w:rPr/>
        <w:t>原股权投资因采用权益法核算而确认的其他综合收益，在终止采用权益法核算时采用与 被投资单位直接处置相关资产或负债相同的基础进行会计处理。</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996" w:firstLine="479"/>
        <w:jc w:val="left"/>
      </w:pPr>
      <w:r>
        <w:rPr/>
        <w:t>④成本法转权益法 本公司因处置部分权益性投资等原因丧失了对被投资单位的控制的，在编制个别财务报</w:t>
      </w:r>
    </w:p>
    <w:p>
      <w:pPr>
        <w:pStyle w:val="BodyText"/>
        <w:spacing w:line="352" w:lineRule="auto" w:before="31"/>
        <w:ind w:right="1138"/>
        <w:jc w:val="both"/>
      </w:pPr>
      <w:r>
        <w:rPr/>
        <w:t>表时，处置后的剩余股权能够对被投资单位实施共同控制或施加重大影响的，改按权益法核</w:t>
      </w:r>
      <w:r>
        <w:rPr>
          <w:spacing w:val="-89"/>
        </w:rPr>
        <w:t> </w:t>
      </w:r>
      <w:r>
        <w:rPr>
          <w:spacing w:val="-89"/>
        </w:rPr>
      </w:r>
      <w:r>
        <w:rPr/>
        <w:t>算，并对该剩余股权视同自取得时即采用权益法核算进行调整。</w:t>
      </w:r>
    </w:p>
    <w:p>
      <w:pPr>
        <w:pStyle w:val="BodyText"/>
        <w:spacing w:line="350" w:lineRule="auto" w:before="34"/>
        <w:ind w:left="633" w:right="996" w:firstLine="479"/>
        <w:jc w:val="left"/>
      </w:pPr>
      <w:r>
        <w:rPr/>
        <w:t>⑤成本法转公允价值计量 本公司因处置部分权益性投资等原因丧失了对被投资单位的控制的，在编制个别财务报</w:t>
      </w:r>
    </w:p>
    <w:p>
      <w:pPr>
        <w:pStyle w:val="BodyText"/>
        <w:spacing w:line="350" w:lineRule="auto" w:before="36"/>
        <w:ind w:right="1138"/>
        <w:jc w:val="both"/>
      </w:pPr>
      <w:r>
        <w:rPr/>
        <w:t>表时，处置后的剩余股权不能对被投资单位实施共同控制或施加重大影响的，改按《企业会</w:t>
      </w:r>
      <w:r>
        <w:rPr>
          <w:spacing w:val="-91"/>
        </w:rPr>
        <w:t> </w:t>
      </w:r>
      <w:r>
        <w:rPr>
          <w:spacing w:val="-91"/>
        </w:rPr>
      </w:r>
      <w:r>
        <w:rPr/>
        <w:t>计准则第</w:t>
      </w:r>
      <w:r>
        <w:rPr>
          <w:rFonts w:ascii="宋体" w:hAnsi="宋体" w:cs="宋体" w:eastAsia="宋体" w:hint="default"/>
        </w:rPr>
        <w:t>22</w:t>
      </w:r>
      <w:r>
        <w:rPr/>
        <w:t>号——金融工具确认和计量》的有关规定进行会计处理，其在丧失控制之日的公</w:t>
      </w:r>
      <w:r>
        <w:rPr>
          <w:spacing w:val="-91"/>
        </w:rPr>
        <w:t> </w:t>
      </w:r>
      <w:r>
        <w:rPr>
          <w:spacing w:val="-91"/>
        </w:rPr>
      </w:r>
      <w:r>
        <w:rPr/>
        <w:t>允价值与账面价值间的差额计入当期损益。</w:t>
      </w:r>
    </w:p>
    <w:p>
      <w:pPr>
        <w:spacing w:line="352" w:lineRule="auto" w:before="36"/>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长期股权投资的处置</w:t>
      </w:r>
      <w:r>
        <w:rPr>
          <w:rFonts w:ascii="宋体" w:hAnsi="宋体" w:cs="宋体" w:eastAsia="宋体" w:hint="default"/>
          <w:b/>
          <w:bCs/>
          <w:w w:val="99"/>
          <w:sz w:val="24"/>
          <w:szCs w:val="24"/>
        </w:rPr>
        <w:t> </w:t>
      </w:r>
      <w:r>
        <w:rPr>
          <w:rFonts w:ascii="宋体" w:hAnsi="宋体" w:cs="宋体" w:eastAsia="宋体" w:hint="default"/>
          <w:sz w:val="24"/>
          <w:szCs w:val="24"/>
        </w:rPr>
        <w:t>处置长期股权投资，其账面价值与实际取得价款之间的差额，应当计入当期损益。采用</w:t>
      </w:r>
    </w:p>
    <w:p>
      <w:pPr>
        <w:pStyle w:val="BodyText"/>
        <w:spacing w:line="352" w:lineRule="auto" w:before="31"/>
        <w:ind w:right="1139"/>
        <w:jc w:val="both"/>
      </w:pPr>
      <w:r>
        <w:rPr/>
        <w:t>权益法核算的长期股权投资，在处置该项投资时，采用与被投资单位直接处置相关资产或负</w:t>
      </w:r>
      <w:r>
        <w:rPr>
          <w:spacing w:val="-91"/>
        </w:rPr>
        <w:t> </w:t>
      </w:r>
      <w:r>
        <w:rPr>
          <w:spacing w:val="-91"/>
        </w:rPr>
      </w:r>
      <w:r>
        <w:rPr/>
        <w:t>债相同的基础，按相应比例对原计入其他综合收益的部分进行会计处理。</w:t>
      </w:r>
    </w:p>
    <w:p>
      <w:pPr>
        <w:pStyle w:val="BodyText"/>
        <w:spacing w:line="350" w:lineRule="auto" w:before="34"/>
        <w:ind w:right="1012" w:firstLine="480"/>
        <w:jc w:val="both"/>
      </w:pPr>
      <w:r>
        <w:rPr>
          <w:spacing w:val="-3"/>
        </w:rPr>
        <w:t>处置对子公司股权投资的各项交易的条款、条件以及经济影响符合以下一种或多种情况，</w:t>
      </w:r>
      <w:r>
        <w:rPr/>
        <w:t> 将多次交易事项作为一揽子交易进行会计处理：</w:t>
      </w:r>
    </w:p>
    <w:p>
      <w:pPr>
        <w:pStyle w:val="BodyText"/>
        <w:spacing w:line="240" w:lineRule="auto" w:before="36"/>
        <w:ind w:left="1113" w:right="996"/>
        <w:jc w:val="left"/>
      </w:pPr>
      <w:r>
        <w:rPr/>
        <w:t>①这些交易是同时或者在考虑了彼此影响的情况下订立的；</w:t>
      </w:r>
    </w:p>
    <w:p>
      <w:pPr>
        <w:pStyle w:val="BodyText"/>
        <w:spacing w:line="240" w:lineRule="auto" w:before="147"/>
        <w:ind w:left="1113" w:right="996"/>
        <w:jc w:val="left"/>
      </w:pPr>
      <w:r>
        <w:rPr/>
        <w:t>②这些交易整体才能达成一项完整的商业结果；</w:t>
      </w:r>
    </w:p>
    <w:p>
      <w:pPr>
        <w:pStyle w:val="BodyText"/>
        <w:spacing w:line="240" w:lineRule="auto" w:before="144"/>
        <w:ind w:left="1113" w:right="996"/>
        <w:jc w:val="left"/>
      </w:pPr>
      <w:r>
        <w:rPr/>
        <w:t>③一项交易的发生取决于其他至少一项交易的发生；</w:t>
      </w:r>
    </w:p>
    <w:p>
      <w:pPr>
        <w:pStyle w:val="BodyText"/>
        <w:spacing w:line="352" w:lineRule="auto" w:before="146"/>
        <w:ind w:left="633" w:right="996" w:firstLine="479"/>
        <w:jc w:val="left"/>
      </w:pPr>
      <w:r>
        <w:rPr/>
        <w:t>④一项交易单独看是不经济的，但是和其他交易一并考虑时是经济的。 因处置部分股权投资或其他原因丧失了对原有子公司控制权的，不属于一揽子交易的，</w:t>
      </w:r>
    </w:p>
    <w:p>
      <w:pPr>
        <w:pStyle w:val="BodyText"/>
        <w:spacing w:line="240" w:lineRule="auto" w:before="31"/>
        <w:ind w:right="0"/>
        <w:jc w:val="both"/>
      </w:pPr>
      <w:r>
        <w:rPr/>
        <w:t>区分个别财务报表和合并财务报表进行相关会计处理：</w:t>
      </w:r>
    </w:p>
    <w:p>
      <w:pPr>
        <w:pStyle w:val="BodyText"/>
        <w:spacing w:line="350" w:lineRule="auto" w:before="146"/>
        <w:ind w:right="1135" w:firstLine="480"/>
        <w:jc w:val="both"/>
      </w:pPr>
      <w:r>
        <w:rPr/>
        <w:t>①在个别财务报表中，对于处置的股权，其账面价值与实际取得价款之间的差额计入当 期损益。处置后的剩余股权能够对被投资单位实施共同控制或施加重大影响的，改按权益法</w:t>
      </w:r>
      <w:r>
        <w:rPr>
          <w:spacing w:val="-91"/>
        </w:rPr>
        <w:t> </w:t>
      </w:r>
      <w:r>
        <w:rPr>
          <w:spacing w:val="-91"/>
        </w:rPr>
      </w:r>
      <w:r>
        <w:rPr/>
        <w:t>核算，并对该剩余股权视同自取得时即采用权益法核算进行调整；处置后的剩余股权不能对</w:t>
      </w:r>
      <w:r>
        <w:rPr>
          <w:spacing w:val="-91"/>
        </w:rPr>
        <w:t> </w:t>
      </w:r>
      <w:r>
        <w:rPr>
          <w:spacing w:val="-91"/>
        </w:rPr>
      </w:r>
      <w:r>
        <w:rPr/>
        <w:t>被投资单位实施共同控制或施加重大影响的，改按《企业会计准则第</w:t>
      </w:r>
      <w:r>
        <w:rPr>
          <w:rFonts w:ascii="宋体" w:hAnsi="宋体" w:cs="宋体" w:eastAsia="宋体" w:hint="default"/>
        </w:rPr>
        <w:t>22</w:t>
      </w:r>
      <w:r>
        <w:rPr/>
        <w:t>号——金融工具确认</w:t>
      </w:r>
      <w:r>
        <w:rPr>
          <w:spacing w:val="-89"/>
        </w:rPr>
        <w:t> </w:t>
      </w:r>
      <w:r>
        <w:rPr>
          <w:spacing w:val="-89"/>
        </w:rPr>
      </w:r>
      <w:r>
        <w:rPr/>
        <w:t>和计量》的有关规定进行会计处理，其在丧失控制之日的公允价值与账面价值间的差额计入</w:t>
      </w:r>
      <w:r>
        <w:rPr>
          <w:spacing w:val="-87"/>
        </w:rPr>
        <w:t> </w:t>
      </w:r>
      <w:r>
        <w:rPr>
          <w:spacing w:val="-87"/>
        </w:rPr>
      </w:r>
      <w:r>
        <w:rPr/>
        <w:t>当期损益。</w:t>
      </w:r>
    </w:p>
    <w:p>
      <w:pPr>
        <w:pStyle w:val="BodyText"/>
        <w:spacing w:line="350" w:lineRule="auto" w:before="36"/>
        <w:ind w:right="1015" w:firstLine="480"/>
        <w:jc w:val="both"/>
      </w:pPr>
      <w:r>
        <w:rPr/>
        <w:t>②在合并财务报表中，对于在丧失对子公司控制权以前的各项交易，处置价款与处置长 期股权投资相应对享有子公司自购买日或合并日开始持续计算的净资产份额之间的差额，调</w:t>
      </w:r>
      <w:r>
        <w:rPr>
          <w:spacing w:val="-91"/>
        </w:rPr>
        <w:t> </w:t>
      </w:r>
      <w:r>
        <w:rPr>
          <w:spacing w:val="-91"/>
        </w:rPr>
      </w:r>
      <w:r>
        <w:rPr>
          <w:spacing w:val="-3"/>
        </w:rPr>
        <w:t>整资本公积（股本溢价），资本公积不足冲减的，调整留存收益；在丧失对子公司控制权时，</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9"/>
        <w:jc w:val="both"/>
      </w:pPr>
      <w:r>
        <w:rPr/>
        <w:t>对于剩余股权，按照其在丧失控制权日的公允价值进行重新计量。处置股权取得的对价与剩</w:t>
      </w:r>
      <w:r>
        <w:rPr>
          <w:spacing w:val="-91"/>
        </w:rPr>
        <w:t> </w:t>
      </w:r>
      <w:r>
        <w:rPr>
          <w:spacing w:val="-91"/>
        </w:rPr>
      </w:r>
      <w:r>
        <w:rPr/>
        <w:t>余股权公允价值之和，减去按原持股比例计算应享有原有子公司自购买日开始持续计算的净</w:t>
      </w:r>
      <w:r>
        <w:rPr>
          <w:spacing w:val="-91"/>
        </w:rPr>
        <w:t> </w:t>
      </w:r>
      <w:r>
        <w:rPr>
          <w:spacing w:val="-91"/>
        </w:rPr>
      </w:r>
      <w:r>
        <w:rPr/>
        <w:t>资产的份额之间的差额，计入丧失控制权当期的投资收益，同时冲减商誉。与原有子公司股</w:t>
      </w:r>
      <w:r>
        <w:rPr>
          <w:spacing w:val="-91"/>
        </w:rPr>
        <w:t> </w:t>
      </w:r>
      <w:r>
        <w:rPr>
          <w:spacing w:val="-91"/>
        </w:rPr>
      </w:r>
      <w:r>
        <w:rPr/>
        <w:t>权投资相关的其他综合收益等，在丧失控制权时转为当期投资收益。</w:t>
      </w:r>
    </w:p>
    <w:p>
      <w:pPr>
        <w:pStyle w:val="BodyText"/>
        <w:spacing w:line="350" w:lineRule="auto" w:before="36"/>
        <w:ind w:right="1139" w:firstLine="480"/>
        <w:jc w:val="both"/>
      </w:pPr>
      <w:r>
        <w:rPr/>
        <w:t>处置对子公司股权投资直至丧失控制权的各项交易属于一揽子交易的，将各项交易作为 一项处置子公司股权投资并丧失控制权的交易进行会计处理，区分个别财务报表和合并财务</w:t>
      </w:r>
      <w:r>
        <w:rPr>
          <w:spacing w:val="-91"/>
        </w:rPr>
        <w:t> </w:t>
      </w:r>
      <w:r>
        <w:rPr>
          <w:spacing w:val="-91"/>
        </w:rPr>
      </w:r>
      <w:r>
        <w:rPr/>
        <w:t>报表进行相关会计处理：</w:t>
      </w:r>
    </w:p>
    <w:p>
      <w:pPr>
        <w:pStyle w:val="BodyText"/>
        <w:spacing w:line="350" w:lineRule="auto" w:before="36"/>
        <w:ind w:right="1139" w:firstLine="480"/>
        <w:jc w:val="both"/>
      </w:pPr>
      <w:r>
        <w:rPr/>
        <w:t>①在个别财务报表中，在丧失控制权之前每一次处置价款与处置的股权对应的长期股权 投资账面价值之间的差额，确认为其他综合收益，在丧失控制权时一并转入丧失控制权当期</w:t>
      </w:r>
      <w:r>
        <w:rPr>
          <w:spacing w:val="-91"/>
        </w:rPr>
        <w:t> </w:t>
      </w:r>
      <w:r>
        <w:rPr>
          <w:spacing w:val="-91"/>
        </w:rPr>
      </w:r>
      <w:r>
        <w:rPr/>
        <w:t>的损益。</w:t>
      </w:r>
    </w:p>
    <w:p>
      <w:pPr>
        <w:pStyle w:val="BodyText"/>
        <w:spacing w:line="350" w:lineRule="auto" w:before="36"/>
        <w:ind w:right="1138" w:firstLine="480"/>
        <w:jc w:val="both"/>
      </w:pPr>
      <w:r>
        <w:rPr/>
        <w:t>②在合并财务报表中，在丧失控制权之前每一次处置价款与处置投资对应的享有该子公 司净资产份额的差额，确认为其他综合收益，在丧失控制权时一并转入丧失控制权当期的损</w:t>
      </w:r>
      <w:r>
        <w:rPr>
          <w:spacing w:val="-89"/>
        </w:rPr>
        <w:t> </w:t>
      </w:r>
      <w:r>
        <w:rPr>
          <w:spacing w:val="-89"/>
        </w:rPr>
      </w:r>
      <w:r>
        <w:rPr/>
        <w:t>益。</w:t>
      </w:r>
    </w:p>
    <w:p>
      <w:pPr>
        <w:spacing w:line="350" w:lineRule="auto" w:before="36"/>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共同控制、重大影响的判断标准</w:t>
      </w:r>
      <w:r>
        <w:rPr>
          <w:rFonts w:ascii="宋体" w:hAnsi="宋体" w:cs="宋体" w:eastAsia="宋体" w:hint="default"/>
          <w:b/>
          <w:bCs/>
          <w:w w:val="99"/>
          <w:sz w:val="24"/>
          <w:szCs w:val="24"/>
        </w:rPr>
        <w:t> </w:t>
      </w:r>
      <w:r>
        <w:rPr>
          <w:rFonts w:ascii="宋体" w:hAnsi="宋体" w:cs="宋体" w:eastAsia="宋体" w:hint="default"/>
          <w:sz w:val="24"/>
          <w:szCs w:val="24"/>
        </w:rPr>
        <w:t>如果本公司按照相关约定与其他参与方集体控制某项安排，并且对该安排回报具有重大</w:t>
      </w:r>
    </w:p>
    <w:p>
      <w:pPr>
        <w:pStyle w:val="BodyText"/>
        <w:spacing w:line="352" w:lineRule="auto" w:before="36"/>
        <w:ind w:right="996"/>
        <w:jc w:val="left"/>
      </w:pPr>
      <w:r>
        <w:rPr/>
        <w:t>影响的活动决策，需要经过分享控制权的参与方一致同意时才存在，则视为本公司与其他参</w:t>
      </w:r>
      <w:r>
        <w:rPr>
          <w:spacing w:val="-91"/>
        </w:rPr>
        <w:t> </w:t>
      </w:r>
      <w:r>
        <w:rPr>
          <w:spacing w:val="-91"/>
        </w:rPr>
      </w:r>
      <w:r>
        <w:rPr/>
        <w:t>与方共同控制某项安排，该安排即属于合营安排。</w:t>
      </w:r>
    </w:p>
    <w:p>
      <w:pPr>
        <w:pStyle w:val="BodyText"/>
        <w:spacing w:line="350" w:lineRule="auto" w:before="31"/>
        <w:ind w:right="1135" w:firstLine="480"/>
        <w:jc w:val="both"/>
      </w:pPr>
      <w:r>
        <w:rPr/>
        <w:t>合营安排通过单独主体达成的，根据相关约定判断本公司对该单独主体的净资产享有权 利时，将该单独主体作为合营企业，采用权益法核算。若根据相关约定判断本公司并非对该</w:t>
      </w:r>
      <w:r>
        <w:rPr>
          <w:spacing w:val="-91"/>
        </w:rPr>
        <w:t> </w:t>
      </w:r>
      <w:r>
        <w:rPr>
          <w:spacing w:val="-91"/>
        </w:rPr>
      </w:r>
      <w:r>
        <w:rPr/>
        <w:t>单独主体的净资产享有权利时，该单独主体作为共同经营，本公司确认与共同经营利益份额</w:t>
      </w:r>
      <w:r>
        <w:rPr>
          <w:spacing w:val="-87"/>
        </w:rPr>
        <w:t> </w:t>
      </w:r>
      <w:r>
        <w:rPr>
          <w:spacing w:val="-87"/>
        </w:rPr>
      </w:r>
      <w:r>
        <w:rPr/>
        <w:t>相关的项目，并按照相关企业会计准则的规定进行会计处理。</w:t>
      </w:r>
    </w:p>
    <w:p>
      <w:pPr>
        <w:pStyle w:val="BodyText"/>
        <w:spacing w:line="352" w:lineRule="auto" w:before="36"/>
        <w:ind w:right="1132" w:firstLine="480"/>
        <w:jc w:val="both"/>
      </w:pPr>
      <w:r>
        <w:rPr/>
        <w:t>重大影响，是指投资方对被投资单位的财务和经营政策有参与决策的权力，但并不能够 控制或者与其他方一起共同控制这些政策的制定。本公司通过以下一种或多种情形，并综合</w:t>
      </w:r>
      <w:r>
        <w:rPr>
          <w:spacing w:val="-91"/>
        </w:rPr>
        <w:t> </w:t>
      </w:r>
      <w:r>
        <w:rPr>
          <w:spacing w:val="-91"/>
        </w:rPr>
      </w:r>
      <w:r>
        <w:rPr/>
        <w:t>考虑所有事实和情况后，判断对被投资单位具有重大影响：①在被投资单位的董事会或类似</w:t>
      </w:r>
      <w:r>
        <w:rPr>
          <w:spacing w:val="-91"/>
        </w:rPr>
        <w:t> </w:t>
      </w:r>
      <w:r>
        <w:rPr>
          <w:spacing w:val="-91"/>
        </w:rPr>
      </w:r>
      <w:r>
        <w:rPr>
          <w:spacing w:val="-2"/>
        </w:rPr>
        <w:t>权力机构中派有代表</w:t>
      </w:r>
      <w:r>
        <w:rPr>
          <w:rFonts w:ascii="宋体" w:hAnsi="宋体" w:cs="宋体" w:eastAsia="宋体" w:hint="default"/>
          <w:spacing w:val="-2"/>
        </w:rPr>
        <w:t>:</w:t>
      </w:r>
      <w:r>
        <w:rPr>
          <w:spacing w:val="-2"/>
        </w:rPr>
        <w:t>②参与被投资单位财务和经营政策制定过程；③与被投资单位之间发生</w:t>
      </w:r>
      <w:r>
        <w:rPr/>
        <w:t> 重要交易；④向被投资单位派出管理人员；⑤向被投资单位提供关键技术资料。</w:t>
      </w:r>
    </w:p>
    <w:p>
      <w:pPr>
        <w:spacing w:line="240" w:lineRule="auto" w:before="10"/>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23、投资性房地产" w:id="192"/>
      <w:bookmarkEnd w:id="19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2" w:lineRule="auto"/>
        <w:ind w:left="633" w:right="7873"/>
        <w:jc w:val="left"/>
      </w:pPr>
      <w:r>
        <w:rPr/>
        <w:t>投资性房地产计量模式 不适用</w:t>
      </w:r>
    </w:p>
    <w:p>
      <w:pPr>
        <w:spacing w:after="0" w:line="352"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24、固定资产" w:id="193"/>
      <w:bookmarkEnd w:id="19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Heading2"/>
        <w:spacing w:line="240" w:lineRule="auto" w:before="0"/>
        <w:ind w:right="996"/>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pStyle w:val="BodyText"/>
        <w:spacing w:line="352" w:lineRule="auto" w:before="126"/>
        <w:ind w:right="996" w:firstLine="480"/>
        <w:jc w:val="left"/>
      </w:pPr>
      <w:r>
        <w:rPr/>
        <w:t>固定资产指为生产商品、提供劳务、出租或经营管理而持有，并且使用寿命超过一个会 计年度的有形资产。固定资产在同时满足下列条件时予以确认：</w:t>
      </w:r>
    </w:p>
    <w:p>
      <w:pPr>
        <w:pStyle w:val="BodyText"/>
        <w:spacing w:line="240" w:lineRule="auto" w:before="34"/>
        <w:ind w:left="753" w:right="996"/>
        <w:jc w:val="left"/>
      </w:pPr>
      <w:r>
        <w:rPr/>
        <w:t>①</w:t>
      </w:r>
      <w:r>
        <w:rPr>
          <w:spacing w:val="-1"/>
        </w:rPr>
        <w:t> </w:t>
      </w:r>
      <w:r>
        <w:rPr/>
        <w:t>该固定资产有关的经济利益很可能流入企业；</w:t>
      </w:r>
    </w:p>
    <w:p>
      <w:pPr>
        <w:pStyle w:val="BodyText"/>
        <w:spacing w:line="240" w:lineRule="auto" w:before="144"/>
        <w:ind w:left="753" w:right="996"/>
        <w:jc w:val="left"/>
      </w:pPr>
      <w:r>
        <w:rPr/>
        <w:t>②</w:t>
      </w:r>
      <w:r>
        <w:rPr>
          <w:spacing w:val="-1"/>
        </w:rPr>
        <w:t> </w:t>
      </w:r>
      <w:r>
        <w:rPr/>
        <w:t>该固定资产的成本能够可靠地计量。</w:t>
      </w:r>
    </w:p>
    <w:p>
      <w:pPr>
        <w:spacing w:line="240" w:lineRule="auto" w:before="2"/>
        <w:rPr>
          <w:rFonts w:ascii="宋体" w:hAnsi="宋体" w:cs="宋体" w:eastAsia="宋体" w:hint="default"/>
          <w:sz w:val="23"/>
          <w:szCs w:val="23"/>
        </w:rPr>
      </w:pPr>
    </w:p>
    <w:p>
      <w:pPr>
        <w:pStyle w:val="Heading2"/>
        <w:spacing w:line="240" w:lineRule="auto" w:before="0"/>
        <w:ind w:right="996"/>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6.47</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2.77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24.25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16.17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19.40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16.17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32.33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19.40</w:t>
            </w:r>
          </w:p>
        </w:tc>
      </w:tr>
    </w:tbl>
    <w:p>
      <w:pPr>
        <w:spacing w:line="240" w:lineRule="auto" w:before="8"/>
        <w:rPr>
          <w:rFonts w:ascii="宋体" w:hAnsi="宋体" w:cs="宋体" w:eastAsia="宋体" w:hint="default"/>
          <w:b/>
          <w:bCs/>
          <w:sz w:val="16"/>
          <w:szCs w:val="16"/>
        </w:rPr>
      </w:pPr>
    </w:p>
    <w:p>
      <w:pPr>
        <w:spacing w:line="333" w:lineRule="auto" w:before="26"/>
        <w:ind w:left="633" w:right="996" w:hanging="481"/>
        <w:jc w:val="left"/>
        <w:rPr>
          <w:rFonts w:ascii="宋体" w:hAnsi="宋体" w:cs="宋体" w:eastAsia="宋体" w:hint="default"/>
          <w:sz w:val="24"/>
          <w:szCs w:val="24"/>
        </w:rPr>
      </w:pPr>
      <w:bookmarkStart w:name="（3）融资租入固定资产的认定依据、计价和折旧方法" w:id="196"/>
      <w:bookmarkEnd w:id="196"/>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）融资租入固定资产的认定依据、计价和折旧方法</w:t>
      </w:r>
      <w:r>
        <w:rPr>
          <w:rFonts w:ascii="宋体" w:hAnsi="宋体" w:cs="宋体" w:eastAsia="宋体" w:hint="default"/>
          <w:b/>
          <w:bCs/>
          <w:w w:val="99"/>
          <w:sz w:val="24"/>
          <w:szCs w:val="24"/>
        </w:rPr>
        <w:t> </w:t>
      </w:r>
      <w:r>
        <w:rPr>
          <w:rFonts w:ascii="宋体" w:hAnsi="宋体" w:cs="宋体" w:eastAsia="宋体" w:hint="default"/>
          <w:spacing w:val="14"/>
          <w:sz w:val="24"/>
          <w:szCs w:val="24"/>
        </w:rPr>
        <w:t>当本公司租入的固定资产符合下列一项或数项标准时，确认为融资租入固定资产：</w:t>
      </w:r>
      <w:r>
        <w:rPr>
          <w:rFonts w:ascii="宋体" w:hAnsi="宋体" w:cs="宋体" w:eastAsia="宋体" w:hint="default"/>
          <w:sz w:val="24"/>
          <w:szCs w:val="24"/>
        </w:rPr>
      </w:r>
    </w:p>
    <w:p>
      <w:pPr>
        <w:pStyle w:val="BodyText"/>
        <w:spacing w:line="350" w:lineRule="auto" w:before="53"/>
        <w:ind w:right="1134"/>
        <w:jc w:val="both"/>
      </w:pPr>
      <w:r>
        <w:rPr/>
        <w:t>①在租赁期届满时，租赁资产的所有权转移给本公司。②本公司有购买租赁资产的选择权，</w:t>
      </w:r>
      <w:r>
        <w:rPr>
          <w:spacing w:val="-91"/>
        </w:rPr>
        <w:t> </w:t>
      </w:r>
      <w:r>
        <w:rPr>
          <w:spacing w:val="-91"/>
        </w:rPr>
      </w:r>
      <w:r>
        <w:rPr/>
        <w:t>所订立的购买价款预计将远低于行使选择权时租赁资产的公允价值，因而在租赁开始日就可</w:t>
      </w:r>
      <w:r>
        <w:rPr>
          <w:spacing w:val="-91"/>
        </w:rPr>
        <w:t> </w:t>
      </w:r>
      <w:r>
        <w:rPr>
          <w:spacing w:val="-91"/>
        </w:rPr>
      </w:r>
      <w:r>
        <w:rPr/>
        <w:t>以合理确定本公司将会行使这种选择权。③即使资产的所有权不转移，但租赁期占租赁资产</w:t>
      </w:r>
      <w:r>
        <w:rPr>
          <w:spacing w:val="-91"/>
        </w:rPr>
        <w:t> </w:t>
      </w:r>
      <w:r>
        <w:rPr>
          <w:spacing w:val="-91"/>
        </w:rPr>
      </w:r>
      <w:r>
        <w:rPr/>
        <w:t>使用寿命的大部分。④本公司在租赁开始日的最低租赁付款额现值，几乎相当于租赁开始日</w:t>
      </w:r>
      <w:r>
        <w:rPr>
          <w:spacing w:val="-87"/>
        </w:rPr>
        <w:t> </w:t>
      </w:r>
      <w:r>
        <w:rPr>
          <w:spacing w:val="-87"/>
        </w:rPr>
      </w:r>
      <w:r>
        <w:rPr/>
        <w:t>租赁资产公允价值。⑤租赁资产性质特殊，如果不作较大改造，只有本公司才能使用。</w:t>
      </w:r>
    </w:p>
    <w:p>
      <w:pPr>
        <w:pStyle w:val="BodyText"/>
        <w:spacing w:line="352" w:lineRule="auto" w:before="36"/>
        <w:ind w:right="1139" w:firstLine="480"/>
        <w:jc w:val="both"/>
      </w:pPr>
      <w:r>
        <w:rPr/>
        <w:t>融资租赁租入的固定资产，按租赁开始日租赁资产公允价值与最低租赁付款额的现值两 者中较低者，作为入账价值。最低租赁付款额作为长期应付款的入账价值，其差额作为未确</w:t>
      </w:r>
      <w:r>
        <w:rPr>
          <w:spacing w:val="-91"/>
        </w:rPr>
        <w:t> </w:t>
      </w:r>
      <w:r>
        <w:rPr>
          <w:spacing w:val="-91"/>
        </w:rPr>
      </w:r>
      <w:r>
        <w:rPr/>
        <w:t>认融资费用。在租赁谈判和签订租赁合同过程中发生的，可归属于租赁项目的手续费、律师</w:t>
      </w:r>
      <w:r>
        <w:rPr>
          <w:spacing w:val="-91"/>
        </w:rPr>
        <w:t> </w:t>
      </w:r>
      <w:r>
        <w:rPr>
          <w:spacing w:val="-91"/>
        </w:rPr>
      </w:r>
      <w:r>
        <w:rPr/>
        <w:t>费、差旅费、印花税等初始直接费用，计入租入资产价值。未确认融资费用在租赁期内各个</w:t>
      </w:r>
      <w:r>
        <w:rPr>
          <w:spacing w:val="-91"/>
        </w:rPr>
        <w:t> </w:t>
      </w:r>
      <w:r>
        <w:rPr>
          <w:spacing w:val="-91"/>
        </w:rPr>
      </w:r>
      <w:r>
        <w:rPr/>
        <w:t>期间采用实际利率法进行分摊。</w:t>
      </w:r>
    </w:p>
    <w:p>
      <w:pPr>
        <w:pStyle w:val="BodyText"/>
        <w:spacing w:line="350" w:lineRule="auto" w:before="31"/>
        <w:ind w:right="1136" w:firstLine="480"/>
        <w:jc w:val="both"/>
      </w:pPr>
      <w:r>
        <w:rPr/>
        <w:t>本公司采用与自有固定资产相一致的折旧政策计提融资租入固定资产折旧。能够合理确 定租赁期届满时取得租赁资产所有权的，在租赁资产使用寿命内计提折旧。无法合理确定租</w:t>
      </w:r>
      <w:r>
        <w:rPr>
          <w:spacing w:val="-91"/>
        </w:rPr>
        <w:t> </w:t>
      </w:r>
      <w:r>
        <w:rPr>
          <w:spacing w:val="-91"/>
        </w:rPr>
      </w:r>
      <w:r>
        <w:rPr/>
        <w:t>赁期届满时能够取得租赁资产所有权的，在租赁期与租赁资产使用寿命两者中较短的期间内</w:t>
      </w:r>
      <w:r>
        <w:rPr>
          <w:spacing w:val="-91"/>
        </w:rPr>
        <w:t> </w:t>
      </w:r>
      <w:r>
        <w:rPr>
          <w:spacing w:val="-91"/>
        </w:rPr>
      </w:r>
      <w:r>
        <w:rPr/>
        <w:t>计提折旧。</w:t>
      </w:r>
    </w:p>
    <w:p>
      <w:pPr>
        <w:spacing w:after="0" w:line="35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25、在建工程" w:id="197"/>
      <w:bookmarkEnd w:id="197"/>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spacing w:line="350" w:lineRule="auto" w:before="0"/>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在建工程初始计量</w:t>
      </w:r>
      <w:r>
        <w:rPr>
          <w:rFonts w:ascii="宋体" w:hAnsi="宋体" w:cs="宋体" w:eastAsia="宋体" w:hint="default"/>
          <w:b/>
          <w:bCs/>
          <w:w w:val="99"/>
          <w:sz w:val="24"/>
          <w:szCs w:val="24"/>
        </w:rPr>
        <w:t> </w:t>
      </w:r>
      <w:r>
        <w:rPr>
          <w:rFonts w:ascii="宋体" w:hAnsi="宋体" w:cs="宋体" w:eastAsia="宋体" w:hint="default"/>
          <w:sz w:val="24"/>
          <w:szCs w:val="24"/>
        </w:rPr>
        <w:t>本公司自行建造的在建工程按实际成本计价，实际成本由建造该项资产达到预定可使用</w:t>
      </w:r>
    </w:p>
    <w:p>
      <w:pPr>
        <w:pStyle w:val="BodyText"/>
        <w:spacing w:line="352" w:lineRule="auto" w:before="36"/>
        <w:ind w:right="1139"/>
        <w:jc w:val="both"/>
      </w:pPr>
      <w:r>
        <w:rPr/>
        <w:t>状态前所发生的必要支出构成，包括工程用物资成本、人工成本、交纳的相关税费、应予资</w:t>
      </w:r>
      <w:r>
        <w:rPr>
          <w:spacing w:val="-91"/>
        </w:rPr>
        <w:t> </w:t>
      </w:r>
      <w:r>
        <w:rPr>
          <w:spacing w:val="-91"/>
        </w:rPr>
      </w:r>
      <w:r>
        <w:rPr/>
        <w:t>本化的借款费用以及应分摊的间接费用等。</w:t>
      </w:r>
    </w:p>
    <w:p>
      <w:pPr>
        <w:spacing w:line="352" w:lineRule="auto" w:before="31"/>
        <w:ind w:left="753" w:right="996" w:hanging="11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在建工程结转为固定资产的标准和时点</w:t>
      </w:r>
      <w:r>
        <w:rPr>
          <w:rFonts w:ascii="宋体" w:hAnsi="宋体" w:cs="宋体" w:eastAsia="宋体" w:hint="default"/>
          <w:b/>
          <w:bCs/>
          <w:w w:val="99"/>
          <w:sz w:val="24"/>
          <w:szCs w:val="24"/>
        </w:rPr>
        <w:t> </w:t>
      </w:r>
      <w:r>
        <w:rPr>
          <w:rFonts w:ascii="宋体" w:hAnsi="宋体" w:cs="宋体" w:eastAsia="宋体" w:hint="default"/>
          <w:spacing w:val="-3"/>
          <w:sz w:val="24"/>
          <w:szCs w:val="24"/>
        </w:rPr>
        <w:t>在建工程项目按建造该项资产达到预定可使用状态前所发生的全部支出，作为固定资产</w:t>
      </w:r>
    </w:p>
    <w:p>
      <w:pPr>
        <w:pStyle w:val="BodyText"/>
        <w:spacing w:line="352" w:lineRule="auto" w:before="34"/>
        <w:ind w:right="1139"/>
        <w:jc w:val="both"/>
      </w:pPr>
      <w:r>
        <w:rPr/>
        <w:t>的入账价值。所建造的在建工程已达到预定可使用状态，但尚未办理竣工决算的，自达到预</w:t>
      </w:r>
      <w:r>
        <w:rPr>
          <w:spacing w:val="-91"/>
        </w:rPr>
        <w:t> </w:t>
      </w:r>
      <w:r>
        <w:rPr>
          <w:spacing w:val="-91"/>
        </w:rPr>
      </w:r>
      <w:r>
        <w:rPr/>
        <w:t>定可使用状态之日起，根据工程预算、造价或者工程实际成本等，按估计的价值转入固定资</w:t>
      </w:r>
      <w:r>
        <w:rPr>
          <w:spacing w:val="-91"/>
        </w:rPr>
        <w:t> </w:t>
      </w:r>
      <w:r>
        <w:rPr>
          <w:spacing w:val="-91"/>
        </w:rPr>
      </w:r>
      <w:r>
        <w:rPr/>
        <w:t>产，并按本公司固定资产折旧政策计提固定资产的折旧，待办理竣工决算后，再按实际成本</w:t>
      </w:r>
      <w:r>
        <w:rPr>
          <w:spacing w:val="-91"/>
        </w:rPr>
        <w:t> </w:t>
      </w:r>
      <w:r>
        <w:rPr>
          <w:spacing w:val="-91"/>
        </w:rPr>
      </w:r>
      <w:r>
        <w:rPr/>
        <w:t>调整原来的暂估价值，但不调整原已计提的折旧额。</w:t>
      </w:r>
    </w:p>
    <w:p>
      <w:pPr>
        <w:spacing w:line="240" w:lineRule="auto" w:before="10"/>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bookmarkStart w:name="26、借款费用" w:id="198"/>
      <w:bookmarkEnd w:id="198"/>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spacing w:line="350" w:lineRule="auto" w:before="0"/>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借款费用资本化的确认原则</w:t>
      </w:r>
      <w:r>
        <w:rPr>
          <w:rFonts w:ascii="宋体" w:hAnsi="宋体" w:cs="宋体" w:eastAsia="宋体" w:hint="default"/>
          <w:b/>
          <w:bCs/>
          <w:w w:val="99"/>
          <w:sz w:val="24"/>
          <w:szCs w:val="24"/>
        </w:rPr>
        <w:t> </w:t>
      </w:r>
      <w:r>
        <w:rPr>
          <w:rFonts w:ascii="宋体" w:hAnsi="宋体" w:cs="宋体" w:eastAsia="宋体" w:hint="default"/>
          <w:sz w:val="24"/>
          <w:szCs w:val="24"/>
        </w:rPr>
        <w:t>本公司发生的借款费用，可直接归属于符合资本化条件的资产的购建或者生产的，予以</w:t>
      </w:r>
    </w:p>
    <w:p>
      <w:pPr>
        <w:pStyle w:val="BodyText"/>
        <w:spacing w:line="352" w:lineRule="auto" w:before="36"/>
        <w:ind w:right="1139"/>
        <w:jc w:val="both"/>
      </w:pPr>
      <w:r>
        <w:rPr/>
        <w:t>资本化，计入相关资产成本；其他借款费用，在发生时根据其发生额确认为费用，计入当期</w:t>
      </w:r>
      <w:r>
        <w:rPr>
          <w:spacing w:val="-91"/>
        </w:rPr>
        <w:t> </w:t>
      </w:r>
      <w:r>
        <w:rPr>
          <w:spacing w:val="-91"/>
        </w:rPr>
      </w:r>
      <w:r>
        <w:rPr/>
        <w:t>损益。</w:t>
      </w:r>
    </w:p>
    <w:p>
      <w:pPr>
        <w:pStyle w:val="BodyText"/>
        <w:spacing w:line="352" w:lineRule="auto" w:before="31"/>
        <w:ind w:right="996" w:firstLine="480"/>
        <w:jc w:val="left"/>
      </w:pPr>
      <w:r>
        <w:rPr/>
        <w:t>符合资本化条件的资产，是指需要经过相当长时间的购建或者生产活动才能达到预定可 使用或者可销售状态的固定资产、投资性房地产和存货等资产。</w:t>
      </w:r>
    </w:p>
    <w:p>
      <w:pPr>
        <w:pStyle w:val="BodyText"/>
        <w:spacing w:line="240" w:lineRule="auto" w:before="34"/>
        <w:ind w:left="633" w:right="996"/>
        <w:jc w:val="left"/>
      </w:pPr>
      <w:r>
        <w:rPr/>
        <w:t>借款费用同时满足下列条件时开始资本化：</w:t>
      </w:r>
    </w:p>
    <w:p>
      <w:pPr>
        <w:pStyle w:val="BodyText"/>
        <w:spacing w:line="352" w:lineRule="auto" w:before="144"/>
        <w:ind w:right="996" w:firstLine="480"/>
        <w:jc w:val="left"/>
      </w:pPr>
      <w:r>
        <w:rPr/>
        <w:t>①资产支出已经发生，资产支出包括为购建或者生产符合资本化条件的资产而以支付现 金、转移非现金资产或者承担带息债务形式发生的支出；</w:t>
      </w:r>
    </w:p>
    <w:p>
      <w:pPr>
        <w:pStyle w:val="BodyText"/>
        <w:spacing w:line="240" w:lineRule="auto" w:before="34"/>
        <w:ind w:left="633" w:right="996"/>
        <w:jc w:val="left"/>
      </w:pPr>
      <w:r>
        <w:rPr/>
        <w:t>②借款费用已经发生；</w:t>
      </w:r>
    </w:p>
    <w:p>
      <w:pPr>
        <w:pStyle w:val="BodyText"/>
        <w:spacing w:line="352" w:lineRule="auto" w:before="145"/>
        <w:ind w:left="633" w:right="996"/>
        <w:jc w:val="left"/>
      </w:pPr>
      <w:r>
        <w:rPr/>
        <w:t>③为使资产达到预定可使用或者可销售状态所必要的购建或者生产活动已经开始。 </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w:t>
      </w:r>
    </w:p>
    <w:p>
      <w:pPr>
        <w:pStyle w:val="BodyText"/>
        <w:spacing w:line="352" w:lineRule="auto" w:before="31"/>
        <w:ind w:left="633" w:right="996" w:hanging="481"/>
        <w:jc w:val="left"/>
      </w:pPr>
      <w:r>
        <w:rPr/>
        <w:t>本化的期间不包括在内。 当购建或者生产符合资本化条件的资产达到预定可使用或者可销售状态时，借款费用停</w:t>
      </w:r>
    </w:p>
    <w:p>
      <w:pPr>
        <w:pStyle w:val="BodyText"/>
        <w:spacing w:line="240" w:lineRule="auto" w:before="34"/>
        <w:ind w:right="0"/>
        <w:jc w:val="both"/>
      </w:pPr>
      <w:r>
        <w:rPr/>
        <w:t>止资本化。</w:t>
      </w:r>
    </w:p>
    <w:p>
      <w:pPr>
        <w:pStyle w:val="BodyText"/>
        <w:spacing w:line="240" w:lineRule="auto" w:before="144"/>
        <w:ind w:left="633" w:right="996"/>
        <w:jc w:val="left"/>
      </w:pPr>
      <w:r>
        <w:rPr/>
        <w:t>当购建或者生产符合资本化条件的资产中部分项目分别完工且可单独使用时，该部分资</w:t>
      </w:r>
    </w:p>
    <w:p>
      <w:pPr>
        <w:spacing w:after="0" w:line="240" w:lineRule="auto"/>
        <w:jc w:val="left"/>
        <w:sectPr>
          <w:footerReference w:type="default" r:id="rId18"/>
          <w:pgSz w:w="11910" w:h="16840"/>
          <w:pgMar w:footer="980" w:header="745" w:top="1060" w:bottom="1160" w:left="980" w:right="0"/>
          <w:pgNumType w:start="120"/>
        </w:sectPr>
      </w:pPr>
    </w:p>
    <w:p>
      <w:pPr>
        <w:spacing w:line="240" w:lineRule="auto" w:before="0"/>
        <w:rPr>
          <w:rFonts w:ascii="宋体" w:hAnsi="宋体" w:cs="宋体" w:eastAsia="宋体" w:hint="default"/>
          <w:sz w:val="20"/>
          <w:szCs w:val="20"/>
        </w:rPr>
      </w:pPr>
    </w:p>
    <w:p>
      <w:pPr>
        <w:pStyle w:val="BodyText"/>
        <w:spacing w:line="352" w:lineRule="auto" w:before="198"/>
        <w:ind w:left="633" w:right="996" w:hanging="481"/>
        <w:jc w:val="left"/>
      </w:pPr>
      <w:r>
        <w:rPr/>
        <w:t>产借款费用停止资本化。 购建或者生产的资产的各部分分别完工，但必须等到整体完工后才可使用或可对外销售</w:t>
      </w:r>
    </w:p>
    <w:p>
      <w:pPr>
        <w:spacing w:line="352" w:lineRule="auto" w:before="31"/>
        <w:ind w:left="635" w:right="5714" w:hanging="483"/>
        <w:jc w:val="left"/>
        <w:rPr>
          <w:rFonts w:ascii="宋体" w:hAnsi="宋体" w:cs="宋体" w:eastAsia="宋体" w:hint="default"/>
          <w:sz w:val="24"/>
          <w:szCs w:val="24"/>
        </w:rPr>
      </w:pPr>
      <w:r>
        <w:rPr>
          <w:rFonts w:ascii="宋体" w:hAnsi="宋体" w:cs="宋体" w:eastAsia="宋体" w:hint="default"/>
          <w:sz w:val="24"/>
          <w:szCs w:val="24"/>
        </w:rPr>
        <w:t>的，在该资产整体完工时停止借款费用资本化。 </w:t>
      </w:r>
      <w:r>
        <w:rPr>
          <w:rFonts w:ascii="宋体" w:hAnsi="宋体" w:cs="宋体" w:eastAsia="宋体" w:hint="default"/>
          <w:b/>
          <w:bCs/>
          <w:sz w:val="24"/>
          <w:szCs w:val="24"/>
        </w:rPr>
        <w:t>(3)</w:t>
      </w:r>
      <w:r>
        <w:rPr>
          <w:rFonts w:ascii="宋体" w:hAnsi="宋体" w:cs="宋体" w:eastAsia="宋体" w:hint="default"/>
          <w:b/>
          <w:bCs/>
          <w:sz w:val="24"/>
          <w:szCs w:val="24"/>
        </w:rPr>
        <w:t>暂停资本化期间</w:t>
      </w:r>
      <w:r>
        <w:rPr>
          <w:rFonts w:ascii="宋体" w:hAnsi="宋体" w:cs="宋体" w:eastAsia="宋体" w:hint="default"/>
          <w:sz w:val="24"/>
          <w:szCs w:val="24"/>
        </w:rPr>
      </w:r>
    </w:p>
    <w:p>
      <w:pPr>
        <w:pStyle w:val="BodyText"/>
        <w:spacing w:line="350" w:lineRule="auto" w:before="34"/>
        <w:ind w:right="1126" w:firstLine="480"/>
        <w:jc w:val="both"/>
      </w:pPr>
      <w:r>
        <w:rPr>
          <w:spacing w:val="3"/>
        </w:rPr>
        <w:t>符合资本化条件的资产在购建或生产过程中发生的非正常中断、且中断时间连续超过</w:t>
      </w:r>
      <w:r>
        <w:rPr>
          <w:rFonts w:ascii="宋体" w:hAnsi="宋体" w:cs="宋体" w:eastAsia="宋体" w:hint="default"/>
          <w:spacing w:val="3"/>
        </w:rPr>
        <w:t>3</w:t>
      </w:r>
      <w:r>
        <w:rPr>
          <w:rFonts w:ascii="宋体" w:hAnsi="宋体" w:cs="宋体" w:eastAsia="宋体" w:hint="default"/>
        </w:rPr>
        <w:t> </w:t>
      </w:r>
      <w:r>
        <w:rPr/>
        <w:t>个月的，则借款费用暂停资本化；该项中断如是所购建或生产的符合资本化条件的资产达到</w:t>
      </w:r>
      <w:r>
        <w:rPr>
          <w:spacing w:val="-91"/>
        </w:rPr>
        <w:t> </w:t>
      </w:r>
      <w:r>
        <w:rPr>
          <w:spacing w:val="-91"/>
        </w:rPr>
      </w:r>
      <w:r>
        <w:rPr/>
        <w:t>预定可使用状态或者可销售状态必要的程序，则借款费用继续资本化。在中断期间发生的借</w:t>
      </w:r>
      <w:r>
        <w:rPr>
          <w:spacing w:val="-91"/>
        </w:rPr>
        <w:t> </w:t>
      </w:r>
      <w:r>
        <w:rPr>
          <w:spacing w:val="-91"/>
        </w:rPr>
      </w:r>
      <w:r>
        <w:rPr/>
        <w:t>款费用确认为当期损益，直至资产的购建或者生产活动重新开始后借款费用继续资本化。</w:t>
      </w:r>
    </w:p>
    <w:p>
      <w:pPr>
        <w:spacing w:line="352" w:lineRule="auto" w:before="34"/>
        <w:ind w:left="633" w:right="996"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借款费用资本化金额的计算方法</w:t>
      </w:r>
      <w:r>
        <w:rPr>
          <w:rFonts w:ascii="宋体" w:hAnsi="宋体" w:cs="宋体" w:eastAsia="宋体" w:hint="default"/>
          <w:b/>
          <w:bCs/>
          <w:w w:val="99"/>
          <w:sz w:val="24"/>
          <w:szCs w:val="24"/>
        </w:rPr>
        <w:t> </w:t>
      </w:r>
      <w:r>
        <w:rPr>
          <w:rFonts w:ascii="宋体" w:hAnsi="宋体" w:cs="宋体" w:eastAsia="宋体" w:hint="default"/>
          <w:sz w:val="24"/>
          <w:szCs w:val="24"/>
        </w:rPr>
        <w:t>专门借款的利息费用（扣除尚未动用的借款资金存入银行取得的利息收入或者进行暂时</w:t>
      </w:r>
    </w:p>
    <w:p>
      <w:pPr>
        <w:pStyle w:val="BodyText"/>
        <w:spacing w:line="350" w:lineRule="auto" w:before="34"/>
        <w:ind w:right="996"/>
        <w:jc w:val="left"/>
      </w:pPr>
      <w:r>
        <w:rPr/>
        <w:t>性投资取得的投资收益）及其辅助费用在所购建或者生产的符合资本化条件的资产达到预定</w:t>
      </w:r>
      <w:r>
        <w:rPr>
          <w:spacing w:val="-91"/>
        </w:rPr>
        <w:t> </w:t>
      </w:r>
      <w:r>
        <w:rPr>
          <w:spacing w:val="-91"/>
        </w:rPr>
      </w:r>
      <w:r>
        <w:rPr/>
        <w:t>可使用或者可销售状态前，予以资本化。</w:t>
      </w:r>
    </w:p>
    <w:p>
      <w:pPr>
        <w:pStyle w:val="BodyText"/>
        <w:spacing w:line="350" w:lineRule="auto" w:before="36"/>
        <w:ind w:right="1135" w:firstLine="480"/>
        <w:jc w:val="both"/>
      </w:pPr>
      <w:r>
        <w:rPr/>
        <w:t>根据累计资产支出超过专门借款部分的资产支出加权平均数乘以所占用一般借款的资本 化率，计算确定一般借款应予资本化的利息金额。资本化率根据一般借款加权平均利率计算</w:t>
      </w:r>
      <w:r>
        <w:rPr>
          <w:spacing w:val="-88"/>
        </w:rPr>
        <w:t> </w:t>
      </w:r>
      <w:r>
        <w:rPr>
          <w:spacing w:val="-88"/>
        </w:rPr>
      </w:r>
      <w:r>
        <w:rPr/>
        <w:t>确定。</w:t>
      </w:r>
    </w:p>
    <w:p>
      <w:pPr>
        <w:pStyle w:val="BodyText"/>
        <w:spacing w:line="352" w:lineRule="auto" w:before="36"/>
        <w:ind w:right="1140" w:firstLine="480"/>
        <w:jc w:val="both"/>
      </w:pPr>
      <w:r>
        <w:rPr/>
        <w:t>借款存在折价或者溢价的，按照实际利率法确定每一会计期间应摊销的折价或者溢价金 额，调整每期利息金额。</w:t>
      </w:r>
    </w:p>
    <w:p>
      <w:pPr>
        <w:spacing w:line="240" w:lineRule="auto" w:before="10"/>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27、生物资产" w:id="199"/>
      <w:bookmarkEnd w:id="199"/>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8、油气资产" w:id="200"/>
      <w:bookmarkEnd w:id="200"/>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8"/>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9、使用权资产" w:id="201"/>
      <w:bookmarkEnd w:id="201"/>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0、无形资产" w:id="202"/>
      <w:bookmarkEnd w:id="202"/>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spacing w:line="333" w:lineRule="auto" w:before="0"/>
        <w:ind w:left="633" w:right="996" w:hanging="481"/>
        <w:jc w:val="left"/>
        <w:rPr>
          <w:rFonts w:ascii="宋体" w:hAnsi="宋体" w:cs="宋体" w:eastAsia="宋体" w:hint="default"/>
          <w:sz w:val="24"/>
          <w:szCs w:val="24"/>
        </w:rPr>
      </w:pPr>
      <w:bookmarkStart w:name="（1）计价方法、使用寿命、减值测试" w:id="203"/>
      <w:bookmarkEnd w:id="203"/>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）计价方法、使用寿命、减值测试</w:t>
      </w:r>
      <w:r>
        <w:rPr>
          <w:rFonts w:ascii="宋体" w:hAnsi="宋体" w:cs="宋体" w:eastAsia="宋体" w:hint="default"/>
          <w:b/>
          <w:bCs/>
          <w:w w:val="99"/>
          <w:sz w:val="24"/>
          <w:szCs w:val="24"/>
        </w:rPr>
        <w:t> </w:t>
      </w:r>
      <w:r>
        <w:rPr>
          <w:rFonts w:ascii="宋体" w:hAnsi="宋体" w:cs="宋体" w:eastAsia="宋体" w:hint="default"/>
          <w:sz w:val="24"/>
          <w:szCs w:val="24"/>
        </w:rPr>
        <w:t>无形资产是指本公司拥有或者控制的没有实物形态的可辨认非货币性资产，包括土地使</w:t>
      </w:r>
    </w:p>
    <w:p>
      <w:pPr>
        <w:spacing w:after="0" w:line="333" w:lineRule="auto"/>
        <w:jc w:val="left"/>
        <w:rPr>
          <w:rFonts w:ascii="宋体" w:hAnsi="宋体" w:cs="宋体" w:eastAsia="宋体" w:hint="default"/>
          <w:sz w:val="24"/>
          <w:szCs w:val="24"/>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用权、软件、发明专利及非专利技术等。</w:t>
      </w:r>
    </w:p>
    <w:p>
      <w:pPr>
        <w:spacing w:line="350" w:lineRule="auto" w:before="146"/>
        <w:ind w:left="633" w:right="996" w:hanging="118"/>
        <w:jc w:val="left"/>
        <w:rPr>
          <w:rFonts w:ascii="宋体" w:hAnsi="宋体" w:cs="宋体" w:eastAsia="宋体" w:hint="default"/>
          <w:sz w:val="24"/>
          <w:szCs w:val="24"/>
        </w:rPr>
      </w:pPr>
      <w:r>
        <w:rPr>
          <w:rFonts w:ascii="宋体" w:hAnsi="宋体" w:cs="宋体" w:eastAsia="宋体" w:hint="default"/>
          <w:b/>
          <w:bCs/>
          <w:sz w:val="24"/>
          <w:szCs w:val="24"/>
        </w:rPr>
        <w:t>①无形资产的初始计量</w:t>
      </w:r>
      <w:r>
        <w:rPr>
          <w:rFonts w:ascii="宋体" w:hAnsi="宋体" w:cs="宋体" w:eastAsia="宋体" w:hint="default"/>
          <w:b/>
          <w:bCs/>
          <w:w w:val="99"/>
          <w:sz w:val="24"/>
          <w:szCs w:val="24"/>
        </w:rPr>
        <w:t> </w:t>
      </w:r>
      <w:r>
        <w:rPr>
          <w:rFonts w:ascii="宋体" w:hAnsi="宋体" w:cs="宋体" w:eastAsia="宋体" w:hint="default"/>
          <w:sz w:val="24"/>
          <w:szCs w:val="24"/>
        </w:rPr>
        <w:t>外购无形资产的成本，包括购买价款、相关税费以及直接归属于使该项资产达到预定用</w:t>
      </w:r>
    </w:p>
    <w:p>
      <w:pPr>
        <w:pStyle w:val="BodyText"/>
        <w:spacing w:line="352" w:lineRule="auto" w:before="36"/>
        <w:ind w:right="996"/>
        <w:jc w:val="left"/>
      </w:pPr>
      <w:r>
        <w:rPr/>
        <w:t>途所发生的其他支出。购买无形资产的价款超过正常信用条件延期支付，实质上具有融资性</w:t>
      </w:r>
      <w:r>
        <w:rPr>
          <w:spacing w:val="-88"/>
        </w:rPr>
        <w:t> </w:t>
      </w:r>
      <w:r>
        <w:rPr>
          <w:spacing w:val="-88"/>
        </w:rPr>
      </w:r>
      <w:r>
        <w:rPr/>
        <w:t>质的，无形资产的成本以购买价款的现值为基础确定。</w:t>
      </w:r>
    </w:p>
    <w:p>
      <w:pPr>
        <w:pStyle w:val="BodyText"/>
        <w:spacing w:line="352" w:lineRule="auto" w:before="31"/>
        <w:ind w:right="1139" w:firstLine="480"/>
        <w:jc w:val="both"/>
      </w:pPr>
      <w:r>
        <w:rPr/>
        <w:t>债务重组取得债务人用以抵债的无形资产，以该无形资产的公允价值为基础确定其入账 价值，并将重组债务的账面价值与该用以抵债的无形资产公允价值之间的差额，计入当期损</w:t>
      </w:r>
      <w:r>
        <w:rPr>
          <w:spacing w:val="-91"/>
        </w:rPr>
        <w:t> </w:t>
      </w:r>
      <w:r>
        <w:rPr>
          <w:spacing w:val="-91"/>
        </w:rPr>
      </w:r>
      <w:r>
        <w:rPr/>
        <w:t>益。</w:t>
      </w:r>
    </w:p>
    <w:p>
      <w:pPr>
        <w:pStyle w:val="BodyText"/>
        <w:spacing w:line="350" w:lineRule="auto" w:before="32"/>
        <w:ind w:right="1139" w:firstLine="480"/>
        <w:jc w:val="both"/>
      </w:pPr>
      <w:r>
        <w:rPr/>
        <w:t>在非货币性资产交换具备商业实质且换入资产或换出资产的公允价值能够可靠计量的前 提下，非货币性资产交换换入的无形资产以换出资产的公允价值为基础确定其入账价值，除</w:t>
      </w:r>
      <w:r>
        <w:rPr>
          <w:spacing w:val="-91"/>
        </w:rPr>
        <w:t> </w:t>
      </w:r>
      <w:r>
        <w:rPr>
          <w:spacing w:val="-91"/>
        </w:rPr>
      </w:r>
      <w:r>
        <w:rPr/>
        <w:t>非有确凿证据表明换入资产的公允价值更加可靠；不满足上述前提的非货币性资产交换，以</w:t>
      </w:r>
      <w:r>
        <w:rPr>
          <w:spacing w:val="-91"/>
        </w:rPr>
        <w:t> </w:t>
      </w:r>
      <w:r>
        <w:rPr>
          <w:spacing w:val="-91"/>
        </w:rPr>
      </w:r>
      <w:r>
        <w:rPr/>
        <w:t>换出资产的账面价值和应支付的相关税费作为换入无形资产的成本，不确认损益。</w:t>
      </w:r>
    </w:p>
    <w:p>
      <w:pPr>
        <w:pStyle w:val="BodyText"/>
        <w:spacing w:line="352" w:lineRule="auto" w:before="36"/>
        <w:ind w:right="1140" w:firstLine="480"/>
        <w:jc w:val="both"/>
      </w:pPr>
      <w:r>
        <w:rPr/>
        <w:t>以同一控制下的企业吸收合并方式取得的无形资产按被合并方的账面价值确定其入账价 值；以非同一控制下的企业吸收合并方式取得的无形资产按公允价值确定其入账价值。</w:t>
      </w:r>
    </w:p>
    <w:p>
      <w:pPr>
        <w:pStyle w:val="BodyText"/>
        <w:spacing w:line="352" w:lineRule="auto" w:before="31"/>
        <w:ind w:right="1139" w:firstLine="480"/>
        <w:jc w:val="both"/>
      </w:pPr>
      <w:r>
        <w:rPr/>
        <w:t>内部自行开发的无形资产，其成本包括：开发该无形资产时耗用的材料、劳务成本、注 册费、在开发过程中使用的其他专利权和特许权的摊销以及满足资本化条件的利息费用，以</w:t>
      </w:r>
      <w:r>
        <w:rPr>
          <w:spacing w:val="-91"/>
        </w:rPr>
        <w:t> </w:t>
      </w:r>
      <w:r>
        <w:rPr>
          <w:spacing w:val="-91"/>
        </w:rPr>
      </w:r>
      <w:r>
        <w:rPr/>
        <w:t>及为使该无形资产达到预定用途前所发生的其他直接费用。</w:t>
      </w:r>
    </w:p>
    <w:p>
      <w:pPr>
        <w:spacing w:line="352" w:lineRule="auto" w:before="31"/>
        <w:ind w:left="633" w:right="996" w:hanging="118"/>
        <w:jc w:val="left"/>
        <w:rPr>
          <w:rFonts w:ascii="宋体" w:hAnsi="宋体" w:cs="宋体" w:eastAsia="宋体" w:hint="default"/>
          <w:sz w:val="24"/>
          <w:szCs w:val="24"/>
        </w:rPr>
      </w:pPr>
      <w:r>
        <w:rPr>
          <w:rFonts w:ascii="宋体" w:hAnsi="宋体" w:cs="宋体" w:eastAsia="宋体" w:hint="default"/>
          <w:b/>
          <w:bCs/>
          <w:sz w:val="24"/>
          <w:szCs w:val="24"/>
        </w:rPr>
        <w:t>②无形资产的后续计量</w:t>
      </w:r>
      <w:r>
        <w:rPr>
          <w:rFonts w:ascii="宋体" w:hAnsi="宋体" w:cs="宋体" w:eastAsia="宋体" w:hint="default"/>
          <w:b/>
          <w:bCs/>
          <w:w w:val="99"/>
          <w:sz w:val="24"/>
          <w:szCs w:val="24"/>
        </w:rPr>
        <w:t> </w:t>
      </w:r>
      <w:r>
        <w:rPr>
          <w:rFonts w:ascii="宋体" w:hAnsi="宋体" w:cs="宋体" w:eastAsia="宋体" w:hint="default"/>
          <w:sz w:val="24"/>
          <w:szCs w:val="24"/>
        </w:rPr>
        <w:t>本公司在取得无形资产时分析判断其使用寿命，划分为使用寿命有限和使用寿命不确定</w:t>
      </w:r>
    </w:p>
    <w:p>
      <w:pPr>
        <w:pStyle w:val="BodyText"/>
        <w:spacing w:line="240" w:lineRule="auto" w:before="34"/>
        <w:ind w:right="996"/>
        <w:jc w:val="left"/>
      </w:pPr>
      <w:r>
        <w:rPr/>
        <w:t>的无形资产。</w:t>
      </w:r>
    </w:p>
    <w:p>
      <w:pPr>
        <w:pStyle w:val="BodyText"/>
        <w:spacing w:line="352" w:lineRule="auto" w:before="144"/>
        <w:ind w:left="633" w:right="996"/>
        <w:jc w:val="left"/>
      </w:pPr>
      <w:r>
        <w:rPr>
          <w:rFonts w:ascii="宋体" w:hAnsi="宋体" w:cs="宋体" w:eastAsia="宋体" w:hint="default"/>
        </w:rPr>
        <w:t>1</w:t>
      </w:r>
      <w:r>
        <w:rPr/>
        <w:t>）使用寿命有限的无形资产 对于使用寿命有限的无形资产，在为企业带来经济利益的期限内按直线法摊销。使用寿</w:t>
      </w:r>
    </w:p>
    <w:p>
      <w:pPr>
        <w:pStyle w:val="BodyText"/>
        <w:spacing w:line="240" w:lineRule="auto" w:before="34"/>
        <w:ind w:right="996"/>
        <w:jc w:val="left"/>
      </w:pPr>
      <w:r>
        <w:rPr/>
        <w:t>命有限的无形资产预计寿命及依据如下：</w:t>
      </w:r>
    </w:p>
    <w:p>
      <w:pPr>
        <w:spacing w:line="240" w:lineRule="auto" w:before="5"/>
        <w:rPr>
          <w:rFonts w:ascii="宋体" w:hAnsi="宋体" w:cs="宋体" w:eastAsia="宋体" w:hint="default"/>
          <w:sz w:val="4"/>
          <w:szCs w:val="4"/>
        </w:rPr>
      </w:pPr>
    </w:p>
    <w:tbl>
      <w:tblPr>
        <w:tblW w:w="0" w:type="auto"/>
        <w:jc w:val="left"/>
        <w:tblInd w:w="755" w:type="dxa"/>
        <w:tblLayout w:type="fixed"/>
        <w:tblCellMar>
          <w:top w:w="0" w:type="dxa"/>
          <w:left w:w="0" w:type="dxa"/>
          <w:bottom w:w="0" w:type="dxa"/>
          <w:right w:w="0" w:type="dxa"/>
        </w:tblCellMar>
        <w:tblLook w:val="01E0"/>
      </w:tblPr>
      <w:tblGrid>
        <w:gridCol w:w="2806"/>
        <w:gridCol w:w="1872"/>
        <w:gridCol w:w="3742"/>
      </w:tblGrid>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46"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证件所载年限</w:t>
            </w:r>
          </w:p>
        </w:tc>
      </w:tr>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实际使用年限</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证件所载年限</w:t>
            </w:r>
          </w:p>
        </w:tc>
      </w:tr>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预计使用年限</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46"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c>
          <w:tcPr>
            <w:tcW w:w="37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bl>
    <w:p>
      <w:pPr>
        <w:spacing w:line="240" w:lineRule="auto" w:before="9"/>
        <w:rPr>
          <w:rFonts w:ascii="宋体" w:hAnsi="宋体" w:cs="宋体" w:eastAsia="宋体" w:hint="default"/>
          <w:sz w:val="4"/>
          <w:szCs w:val="4"/>
        </w:rPr>
      </w:pPr>
    </w:p>
    <w:p>
      <w:pPr>
        <w:pStyle w:val="BodyText"/>
        <w:spacing w:line="352" w:lineRule="auto" w:before="26"/>
        <w:ind w:right="996" w:firstLine="480"/>
        <w:jc w:val="left"/>
      </w:pPr>
      <w:r>
        <w:rPr/>
        <w:t>每期末，对使用寿命有限的无形资产的使用寿命及摊销方法进行复核，如与原先估计数 存在差异的，进行相应的调整。</w:t>
      </w:r>
    </w:p>
    <w:p>
      <w:pPr>
        <w:pStyle w:val="BodyText"/>
        <w:spacing w:line="240" w:lineRule="auto" w:before="34"/>
        <w:ind w:left="633" w:right="996"/>
        <w:jc w:val="left"/>
      </w:pPr>
      <w:r>
        <w:rPr/>
        <w:t>经复核，本期期末无形资产的使用寿命及摊销方法与以前估计未有不同。</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left="633" w:right="996" w:firstLine="120"/>
        <w:jc w:val="left"/>
      </w:pPr>
      <w:r>
        <w:rPr>
          <w:rFonts w:ascii="宋体" w:hAnsi="宋体" w:cs="宋体" w:eastAsia="宋体" w:hint="default"/>
        </w:rPr>
        <w:t>2</w:t>
      </w:r>
      <w:r>
        <w:rPr/>
        <w:t>）使用寿命不确定的无形资产 无法预见无形资产为企业带来经济利益期限的，视为使用寿命不确定的无形资产。 对于使用寿命不确定的无形资产，在持有期间内不摊销，每期末对无形资产的寿命进行</w:t>
      </w:r>
    </w:p>
    <w:p>
      <w:pPr>
        <w:pStyle w:val="BodyText"/>
        <w:spacing w:line="240" w:lineRule="auto" w:before="36"/>
        <w:ind w:right="996"/>
        <w:jc w:val="left"/>
      </w:pPr>
      <w:r>
        <w:rPr/>
        <w:t>复核。如果期末重新复核后仍为不确定的，在每个会计期间继续进行减值测试。</w:t>
      </w:r>
    </w:p>
    <w:p>
      <w:pPr>
        <w:spacing w:line="350" w:lineRule="auto" w:before="146"/>
        <w:ind w:left="633" w:right="996" w:firstLine="124"/>
        <w:jc w:val="left"/>
        <w:rPr>
          <w:rFonts w:ascii="宋体" w:hAnsi="宋体" w:cs="宋体" w:eastAsia="宋体" w:hint="default"/>
          <w:sz w:val="24"/>
          <w:szCs w:val="24"/>
        </w:rPr>
      </w:pPr>
      <w:r>
        <w:rPr>
          <w:rFonts w:ascii="宋体" w:hAnsi="宋体" w:cs="宋体" w:eastAsia="宋体" w:hint="default"/>
          <w:b/>
          <w:bCs/>
          <w:sz w:val="24"/>
          <w:szCs w:val="24"/>
        </w:rPr>
        <w:t>③划分公司内部研究开发项目的研究阶段和开发阶段具体标准</w:t>
      </w:r>
      <w:r>
        <w:rPr>
          <w:rFonts w:ascii="宋体" w:hAnsi="宋体" w:cs="宋体" w:eastAsia="宋体" w:hint="default"/>
          <w:b/>
          <w:bCs/>
          <w:w w:val="99"/>
          <w:sz w:val="24"/>
          <w:szCs w:val="24"/>
        </w:rPr>
        <w:t> </w:t>
      </w:r>
      <w:r>
        <w:rPr>
          <w:rFonts w:ascii="宋体" w:hAnsi="宋体" w:cs="宋体" w:eastAsia="宋体" w:hint="default"/>
          <w:sz w:val="24"/>
          <w:szCs w:val="24"/>
        </w:rPr>
        <w:t>研究阶段：为获取并理解新的科学或技术知识等而进行的独创性的有计划调查、研究活</w:t>
      </w:r>
    </w:p>
    <w:p>
      <w:pPr>
        <w:pStyle w:val="BodyText"/>
        <w:spacing w:line="240" w:lineRule="auto" w:before="36"/>
        <w:ind w:right="996"/>
        <w:jc w:val="left"/>
      </w:pPr>
      <w:r>
        <w:rPr/>
        <w:t>动的阶段。</w:t>
      </w:r>
    </w:p>
    <w:p>
      <w:pPr>
        <w:pStyle w:val="BodyText"/>
        <w:spacing w:line="350" w:lineRule="auto" w:before="146"/>
        <w:ind w:right="996" w:firstLine="480"/>
        <w:jc w:val="left"/>
      </w:pPr>
      <w:r>
        <w:rPr>
          <w:spacing w:val="-3"/>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before="36"/>
        <w:ind w:left="633" w:right="996"/>
        <w:jc w:val="left"/>
      </w:pPr>
      <w:r>
        <w:rPr/>
        <w:t>内部研究开发项目研究阶段的支出，在发生时计入当期损益。</w:t>
      </w:r>
    </w:p>
    <w:p>
      <w:pPr>
        <w:spacing w:line="350" w:lineRule="auto" w:before="146"/>
        <w:ind w:left="633" w:right="2353" w:firstLine="208"/>
        <w:jc w:val="left"/>
        <w:rPr>
          <w:rFonts w:ascii="宋体" w:hAnsi="宋体" w:cs="宋体" w:eastAsia="宋体" w:hint="default"/>
          <w:sz w:val="24"/>
          <w:szCs w:val="24"/>
        </w:rPr>
      </w:pPr>
      <w:r>
        <w:rPr>
          <w:rFonts w:ascii="宋体" w:hAnsi="宋体" w:cs="宋体" w:eastAsia="宋体" w:hint="default"/>
          <w:b/>
          <w:bCs/>
          <w:sz w:val="24"/>
          <w:szCs w:val="24"/>
        </w:rPr>
        <w:t>④</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z w:val="24"/>
          <w:szCs w:val="24"/>
        </w:rPr>
        <w:t>内部研究开发项目开发阶段的支出，同时满足下列条件时确认为无形资产： </w:t>
      </w:r>
      <w:r>
        <w:rPr>
          <w:rFonts w:ascii="宋体" w:hAnsi="宋体" w:cs="宋体" w:eastAsia="宋体" w:hint="default"/>
          <w:sz w:val="24"/>
          <w:szCs w:val="24"/>
        </w:rPr>
        <w:t>1</w:t>
      </w:r>
      <w:r>
        <w:rPr>
          <w:rFonts w:ascii="宋体" w:hAnsi="宋体" w:cs="宋体" w:eastAsia="宋体" w:hint="default"/>
          <w:sz w:val="24"/>
          <w:szCs w:val="24"/>
        </w:rPr>
        <w:t>）完成该无形资产以使其能够使用或出售在技术上具有可行性；</w:t>
      </w:r>
    </w:p>
    <w:p>
      <w:pPr>
        <w:pStyle w:val="BodyText"/>
        <w:spacing w:line="240" w:lineRule="auto" w:before="36"/>
        <w:ind w:left="753" w:right="996"/>
        <w:jc w:val="left"/>
      </w:pPr>
      <w:r>
        <w:rPr>
          <w:rFonts w:ascii="宋体" w:hAnsi="宋体" w:cs="宋体" w:eastAsia="宋体" w:hint="default"/>
        </w:rPr>
        <w:t>2</w:t>
      </w:r>
      <w:r>
        <w:rPr/>
        <w:t>）具有完成该无形资产并使用或出售的意图；</w:t>
      </w:r>
    </w:p>
    <w:p>
      <w:pPr>
        <w:pStyle w:val="BodyText"/>
        <w:spacing w:line="352" w:lineRule="auto" w:before="144"/>
        <w:ind w:right="996" w:firstLine="600"/>
        <w:jc w:val="left"/>
      </w:pPr>
      <w:r>
        <w:rPr>
          <w:rFonts w:ascii="宋体" w:hAnsi="宋体" w:cs="宋体" w:eastAsia="宋体" w:hint="default"/>
        </w:rPr>
        <w:t>3</w:t>
      </w:r>
      <w:r>
        <w:rPr/>
        <w:t>）无形资产产生经济利益的方式，包括能够证明运用该无形资产生产的产品存在市场 或无形资产自身存在市场，无形资产将在内部使用的，能够证明其有用性；</w:t>
      </w:r>
    </w:p>
    <w:p>
      <w:pPr>
        <w:pStyle w:val="BodyText"/>
        <w:spacing w:line="350" w:lineRule="auto" w:before="34"/>
        <w:ind w:right="996" w:firstLine="600"/>
        <w:jc w:val="left"/>
      </w:pPr>
      <w:r>
        <w:rPr>
          <w:rFonts w:ascii="宋体" w:hAnsi="宋体" w:cs="宋体" w:eastAsia="宋体" w:hint="default"/>
        </w:rPr>
        <w:t>4</w:t>
      </w:r>
      <w:r>
        <w:rPr/>
        <w:t>）有足够的技术、财务资源和其他资源支持，以完成该无形资产的开发，并有能力使 用或出售该无形资产；</w:t>
      </w:r>
    </w:p>
    <w:p>
      <w:pPr>
        <w:pStyle w:val="BodyText"/>
        <w:spacing w:line="352" w:lineRule="auto" w:before="36"/>
        <w:ind w:left="633" w:right="996" w:firstLine="120"/>
        <w:jc w:val="left"/>
      </w:pPr>
      <w:r>
        <w:rPr>
          <w:rFonts w:ascii="宋体" w:hAnsi="宋体" w:cs="宋体" w:eastAsia="宋体" w:hint="default"/>
        </w:rPr>
        <w:t>5</w:t>
      </w:r>
      <w:r>
        <w:rPr/>
        <w:t>）归属于该无形资产开发阶段的支出能够可靠地计量。 不满足上述条件的开发阶段的支出，于发生时计入当期损益。以前期间已计入损益的开</w:t>
      </w:r>
    </w:p>
    <w:p>
      <w:pPr>
        <w:pStyle w:val="BodyText"/>
        <w:spacing w:line="352" w:lineRule="auto" w:before="31"/>
        <w:ind w:right="996"/>
        <w:jc w:val="left"/>
      </w:pPr>
      <w:r>
        <w:rPr/>
        <w:t>发支出不在以后期间重新确认为资产。已资本化的开发阶段的支出在资产负债表上列示为开</w:t>
      </w:r>
      <w:r>
        <w:rPr>
          <w:spacing w:val="-91"/>
        </w:rPr>
        <w:t> </w:t>
      </w:r>
      <w:r>
        <w:rPr>
          <w:spacing w:val="-91"/>
        </w:rPr>
      </w:r>
      <w:r>
        <w:rPr/>
        <w:t>发支出，自该项目达到预定用途之日起转为无形资产。</w:t>
      </w:r>
    </w:p>
    <w:p>
      <w:pPr>
        <w:spacing w:line="331" w:lineRule="auto" w:before="154"/>
        <w:ind w:left="633" w:right="996" w:hanging="481"/>
        <w:jc w:val="left"/>
        <w:rPr>
          <w:rFonts w:ascii="宋体" w:hAnsi="宋体" w:cs="宋体" w:eastAsia="宋体" w:hint="default"/>
          <w:sz w:val="24"/>
          <w:szCs w:val="24"/>
        </w:rPr>
      </w:pPr>
      <w:bookmarkStart w:name="（2）内部研究开发支出会计政策" w:id="204"/>
      <w:bookmarkEnd w:id="204"/>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z w:val="24"/>
          <w:szCs w:val="24"/>
        </w:rPr>
        <w:t>研究阶段：为获取并理解新的科学或技术知识等而进行的独创性的有计划调查、研究活</w:t>
      </w:r>
    </w:p>
    <w:p>
      <w:pPr>
        <w:pStyle w:val="BodyText"/>
        <w:spacing w:line="240" w:lineRule="auto" w:before="55"/>
        <w:ind w:right="996"/>
        <w:jc w:val="left"/>
      </w:pPr>
      <w:r>
        <w:rPr/>
        <w:t>动的阶段。</w:t>
      </w:r>
    </w:p>
    <w:p>
      <w:pPr>
        <w:pStyle w:val="BodyText"/>
        <w:spacing w:line="350" w:lineRule="auto" w:before="146"/>
        <w:ind w:right="996" w:firstLine="480"/>
        <w:jc w:val="left"/>
      </w:pPr>
      <w:r>
        <w:rPr>
          <w:spacing w:val="-3"/>
        </w:rPr>
        <w:t>开发阶段：在进行商业性生产或使用前，将研究成果或其他知识应用于某项计划或设计，</w:t>
      </w:r>
      <w:r>
        <w:rPr/>
        <w:t> 以生产出新的或具有实质性改进的材料、装置、产品等活动的阶段。</w:t>
      </w:r>
    </w:p>
    <w:p>
      <w:pPr>
        <w:pStyle w:val="BodyText"/>
        <w:spacing w:line="240" w:lineRule="auto" w:before="36"/>
        <w:ind w:left="633" w:right="996"/>
        <w:jc w:val="left"/>
      </w:pPr>
      <w:r>
        <w:rPr/>
        <w:t>内部研究开发项目研究阶段的支出，在发生时计入当期损益。</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31、长期资产减值" w:id="205"/>
      <w:bookmarkEnd w:id="205"/>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350" w:lineRule="auto"/>
        <w:ind w:right="1139" w:firstLine="480"/>
        <w:jc w:val="both"/>
      </w:pPr>
      <w:r>
        <w:rPr/>
        <w:t>本公司在资产负债表日判断长期资产是否存在可能发生减值的迹象。如果长期资产存在 减值迹象的，以单项资产为基础估计其可收回金额；难以对单项资产的可收回金额进行估计</w:t>
      </w:r>
      <w:r>
        <w:rPr>
          <w:spacing w:val="-91"/>
        </w:rPr>
        <w:t> </w:t>
      </w:r>
      <w:r>
        <w:rPr>
          <w:spacing w:val="-91"/>
        </w:rPr>
      </w:r>
      <w:r>
        <w:rPr/>
        <w:t>的，以该资产所属的资产组为基础确定资产组的可收回金额。</w:t>
      </w:r>
    </w:p>
    <w:p>
      <w:pPr>
        <w:pStyle w:val="BodyText"/>
        <w:spacing w:line="350" w:lineRule="auto" w:before="36"/>
        <w:ind w:right="1140" w:firstLine="480"/>
        <w:jc w:val="both"/>
      </w:pPr>
      <w:r>
        <w:rPr/>
        <w:t>资产可收回金额的估计，根据其公允价值减去处置费用后的净额与资产预计未来现金流 量的现值两者之间较高者确定。</w:t>
      </w:r>
    </w:p>
    <w:p>
      <w:pPr>
        <w:pStyle w:val="BodyText"/>
        <w:spacing w:line="350" w:lineRule="auto" w:before="36"/>
        <w:ind w:right="1138" w:firstLine="480"/>
        <w:jc w:val="both"/>
      </w:pPr>
      <w:r>
        <w:rPr/>
        <w:t>可收回金额的计量结果表明，长期资产的可收回金额低于其账面价值的，将长期资产的 账面价值减记至可收回金额，减记的金额确认为资产减值损失，计入当期损益，同时计提相</w:t>
      </w:r>
      <w:r>
        <w:rPr>
          <w:spacing w:val="-91"/>
        </w:rPr>
        <w:t> </w:t>
      </w:r>
      <w:r>
        <w:rPr>
          <w:spacing w:val="-91"/>
        </w:rPr>
      </w:r>
      <w:r>
        <w:rPr/>
        <w:t>应的资产减值准备。资产减值损失一经确认，在以后会计期间不得转回。</w:t>
      </w:r>
    </w:p>
    <w:p>
      <w:pPr>
        <w:pStyle w:val="BodyText"/>
        <w:spacing w:line="352" w:lineRule="auto" w:before="36"/>
        <w:ind w:right="1140" w:firstLine="480"/>
        <w:jc w:val="both"/>
      </w:pPr>
      <w:r>
        <w:rPr/>
        <w:t>资产减值损失确认后，减值资产的折旧或者摊销费用在未来期间作相应调整，以使该资 产在剩余使用寿命内，系统地分摊调整后的资产账面价值（扣除预计净残值）。</w:t>
      </w:r>
    </w:p>
    <w:p>
      <w:pPr>
        <w:pStyle w:val="BodyText"/>
        <w:spacing w:line="352" w:lineRule="auto" w:before="31"/>
        <w:ind w:right="1140" w:firstLine="480"/>
        <w:jc w:val="both"/>
      </w:pPr>
      <w:r>
        <w:rPr/>
        <w:t>因企业合并所形成的商誉和使用寿命不确定的无形资产，无论是否存在减值迹象，每年 都进行减值测试。</w:t>
      </w:r>
    </w:p>
    <w:p>
      <w:pPr>
        <w:pStyle w:val="BodyText"/>
        <w:spacing w:line="350" w:lineRule="auto" w:before="34"/>
        <w:ind w:right="1135" w:firstLine="480"/>
        <w:jc w:val="both"/>
      </w:pPr>
      <w:r>
        <w:rPr/>
        <w:t>在对商誉进行减值测试时，将商誉的账面价值分摊至预期从企业合并的协同效应中受益 的资产组或资产组组合。在对包含商誉的相关资产组或者资产组组合进行减值测试时，如与</w:t>
      </w:r>
      <w:r>
        <w:rPr>
          <w:spacing w:val="-87"/>
        </w:rPr>
        <w:t> </w:t>
      </w:r>
      <w:r>
        <w:rPr>
          <w:spacing w:val="-87"/>
        </w:rPr>
      </w:r>
      <w:r>
        <w:rPr/>
        <w:t>商誉相关的资产组或者资产组组合存在减值迹象的，先对不包含商誉的资产组或者资产组组</w:t>
      </w:r>
      <w:r>
        <w:rPr>
          <w:spacing w:val="-91"/>
        </w:rPr>
        <w:t> </w:t>
      </w:r>
      <w:r>
        <w:rPr>
          <w:spacing w:val="-91"/>
        </w:rPr>
      </w:r>
      <w:r>
        <w:rPr/>
        <w:t>合进行减值测试，计算可收回金额，并与相关账面价值相比较，确认相应的减值损失。再对</w:t>
      </w:r>
      <w:r>
        <w:rPr>
          <w:spacing w:val="-91"/>
        </w:rPr>
        <w:t> </w:t>
      </w:r>
      <w:r>
        <w:rPr>
          <w:spacing w:val="-91"/>
        </w:rPr>
      </w:r>
      <w:r>
        <w:rPr/>
        <w:t>包含商誉的资产组或者资产组组合进行减值测试，比较这些相关资产组或者资产组组合的账</w:t>
      </w:r>
      <w:r>
        <w:rPr>
          <w:spacing w:val="-91"/>
        </w:rPr>
        <w:t> </w:t>
      </w:r>
      <w:r>
        <w:rPr>
          <w:spacing w:val="-91"/>
        </w:rPr>
      </w:r>
      <w:r>
        <w:rPr/>
        <w:t>面价值（包括所分摊的商誉的账面价值部分）与其可收回金额，如相关资产组或者资产组组</w:t>
      </w:r>
      <w:r>
        <w:rPr>
          <w:spacing w:val="-91"/>
        </w:rPr>
        <w:t> </w:t>
      </w:r>
      <w:r>
        <w:rPr>
          <w:spacing w:val="-91"/>
        </w:rPr>
      </w:r>
      <w:r>
        <w:rPr/>
        <w:t>合的可收回金额低于其账面价值的，确认商誉的减值损失。</w:t>
      </w:r>
    </w:p>
    <w:p>
      <w:pPr>
        <w:spacing w:line="240" w:lineRule="auto" w:before="12"/>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32、长期待摊费用" w:id="206"/>
      <w:bookmarkEnd w:id="206"/>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0" w:lineRule="auto"/>
        <w:ind w:left="633" w:right="996"/>
        <w:jc w:val="left"/>
      </w:pPr>
      <w:r>
        <w:rPr>
          <w:rFonts w:ascii="宋体" w:hAnsi="宋体" w:cs="宋体" w:eastAsia="宋体" w:hint="default"/>
        </w:rPr>
        <w:t>(1)</w:t>
      </w:r>
      <w:r>
        <w:rPr/>
        <w:t>摊销方法 </w:t>
      </w:r>
      <w:r>
        <w:rPr>
          <w:spacing w:val="-3"/>
        </w:rPr>
        <w:t>长期待摊费用，是指本公司已经发生但应由本期和以后各期负担的分摊期限在</w:t>
      </w:r>
      <w:r>
        <w:rPr>
          <w:rFonts w:ascii="宋体" w:hAnsi="宋体" w:cs="宋体" w:eastAsia="宋体" w:hint="default"/>
          <w:spacing w:val="-3"/>
        </w:rPr>
        <w:t>1</w:t>
      </w:r>
      <w:r>
        <w:rPr>
          <w:spacing w:val="-3"/>
        </w:rPr>
        <w:t>年以上的</w:t>
      </w:r>
    </w:p>
    <w:p>
      <w:pPr>
        <w:pStyle w:val="BodyText"/>
        <w:spacing w:line="352" w:lineRule="auto" w:before="36"/>
        <w:ind w:left="1113" w:right="4754" w:hanging="961"/>
        <w:jc w:val="left"/>
      </w:pPr>
      <w:r>
        <w:rPr/>
        <w:pict>
          <v:shape style="position:absolute;margin-left:84.143997pt;margin-top:43.415585pt;width:427.3pt;height:81.6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2"/>
                    <w:gridCol w:w="2844"/>
                    <w:gridCol w:w="2845"/>
                  </w:tblGrid>
                  <w:tr>
                    <w:trPr>
                      <w:trHeight w:val="34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27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广告经营权费</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 w:right="0"/>
                          <w:jc w:val="left"/>
                          <w:rPr>
                            <w:rFonts w:ascii="Times New Roman" w:hAnsi="Times New Roman" w:cs="Times New Roman" w:eastAsia="Times New Roman" w:hint="default"/>
                            <w:sz w:val="21"/>
                            <w:szCs w:val="21"/>
                          </w:rPr>
                        </w:pPr>
                        <w:r>
                          <w:rPr>
                            <w:rFonts w:ascii="Times New Roman"/>
                            <w:w w:val="100"/>
                            <w:sz w:val="21"/>
                          </w:rPr>
                          <w:t>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7" w:right="-1"/>
                          <w:jc w:val="both"/>
                          <w:rPr>
                            <w:rFonts w:ascii="宋体" w:hAnsi="宋体" w:cs="宋体" w:eastAsia="宋体" w:hint="default"/>
                            <w:sz w:val="21"/>
                            <w:szCs w:val="21"/>
                          </w:rPr>
                        </w:pPr>
                        <w:r>
                          <w:rPr>
                            <w:rFonts w:ascii="宋体" w:hAnsi="宋体" w:cs="宋体" w:eastAsia="宋体" w:hint="default"/>
                            <w:spacing w:val="4"/>
                            <w:sz w:val="21"/>
                            <w:szCs w:val="21"/>
                          </w:rPr>
                          <w:t>上海申通地铁资产经营管理有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限公司</w:t>
                        </w:r>
                        <w:r>
                          <w:rPr>
                            <w:rFonts w:ascii="Times New Roman" w:hAnsi="Times New Roman" w:cs="Times New Roman" w:eastAsia="Times New Roman" w:hint="default"/>
                            <w:spacing w:val="4"/>
                            <w:sz w:val="21"/>
                            <w:szCs w:val="21"/>
                          </w:rPr>
                          <w:t>16</w:t>
                        </w:r>
                        <w:r>
                          <w:rPr>
                            <w:rFonts w:ascii="宋体" w:hAnsi="宋体" w:cs="宋体" w:eastAsia="宋体" w:hint="default"/>
                            <w:spacing w:val="4"/>
                            <w:sz w:val="21"/>
                            <w:szCs w:val="21"/>
                          </w:rPr>
                          <w:t>号线与上海申通德高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地铁广告有限公司上海地铁</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号线广告经营权费用</w:t>
                        </w:r>
                      </w:p>
                    </w:tc>
                  </w:tr>
                </w:tbl>
                <w:p>
                  <w:pPr/>
                </w:p>
              </w:txbxContent>
            </v:textbox>
            <w10:wrap type="none"/>
          </v:shape>
        </w:pict>
      </w:r>
      <w:r>
        <w:rPr/>
        <w:t>各项费用。长期待摊费用在受益期内按直线法分期摊销。 </w:t>
      </w:r>
      <w:r>
        <w:rPr>
          <w:rFonts w:ascii="宋体" w:hAnsi="宋体" w:cs="宋体" w:eastAsia="宋体" w:hint="default"/>
        </w:rPr>
        <w:t>(2)</w:t>
      </w:r>
      <w:r>
        <w:rPr/>
        <w:t>摊销年限</w:t>
      </w:r>
    </w:p>
    <w:p>
      <w:pPr>
        <w:spacing w:after="0" w:line="352"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2" w:right="996" w:firstLine="0"/>
        <w:jc w:val="left"/>
        <w:rPr>
          <w:rFonts w:ascii="宋体" w:hAnsi="宋体" w:cs="宋体" w:eastAsia="宋体" w:hint="default"/>
          <w:sz w:val="21"/>
          <w:szCs w:val="21"/>
        </w:rPr>
      </w:pPr>
      <w:bookmarkStart w:name="33、合同负债" w:id="207"/>
      <w:bookmarkEnd w:id="207"/>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4、职工薪酬" w:id="208"/>
      <w:bookmarkEnd w:id="20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spacing w:line="417" w:lineRule="auto" w:before="0"/>
        <w:ind w:left="633" w:right="996" w:hanging="481"/>
        <w:jc w:val="left"/>
        <w:rPr>
          <w:rFonts w:ascii="宋体" w:hAnsi="宋体" w:cs="宋体" w:eastAsia="宋体" w:hint="default"/>
          <w:sz w:val="24"/>
          <w:szCs w:val="24"/>
        </w:rPr>
      </w:pPr>
      <w:bookmarkStart w:name="（1）短期薪酬的会计处理方法" w:id="209"/>
      <w:bookmarkEnd w:id="209"/>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w w:val="99"/>
          <w:sz w:val="24"/>
          <w:szCs w:val="24"/>
        </w:rPr>
        <w:t> </w:t>
      </w:r>
      <w:r>
        <w:rPr>
          <w:rFonts w:ascii="宋体" w:hAnsi="宋体" w:cs="宋体" w:eastAsia="宋体" w:hint="default"/>
          <w:sz w:val="24"/>
          <w:szCs w:val="24"/>
        </w:rPr>
        <w:t>短期薪酬是指本公司在职工提供相关服务的年度报告期间结束后十二个月内需要全部予</w:t>
      </w:r>
    </w:p>
    <w:p>
      <w:pPr>
        <w:pStyle w:val="BodyText"/>
        <w:spacing w:line="284" w:lineRule="exact"/>
        <w:ind w:right="996"/>
        <w:jc w:val="left"/>
      </w:pPr>
      <w:r>
        <w:rPr/>
        <w:t>以支付的职工薪酬，离职后福利和辞退福利除外。本公司在职工提供服务的会计期间，将应</w:t>
      </w:r>
    </w:p>
    <w:p>
      <w:pPr>
        <w:pStyle w:val="BodyText"/>
        <w:spacing w:line="240" w:lineRule="auto" w:before="146"/>
        <w:ind w:right="996"/>
        <w:jc w:val="left"/>
      </w:pPr>
      <w:r>
        <w:rPr/>
        <w:t>付的短期薪酬确认为负债，并根据职工提供服务的受益对象计入相关资产成本和费用。</w:t>
      </w:r>
    </w:p>
    <w:p>
      <w:pPr>
        <w:spacing w:line="420" w:lineRule="auto" w:before="144"/>
        <w:ind w:left="633" w:right="996" w:hanging="481"/>
        <w:jc w:val="left"/>
        <w:rPr>
          <w:rFonts w:ascii="宋体" w:hAnsi="宋体" w:cs="宋体" w:eastAsia="宋体" w:hint="default"/>
          <w:sz w:val="24"/>
          <w:szCs w:val="24"/>
        </w:rPr>
      </w:pPr>
      <w:bookmarkStart w:name="（2）离职后福利的会计处理方法" w:id="210"/>
      <w:bookmarkEnd w:id="210"/>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离职后福利是指本公司为获得职工提供的服务而在职工退休或与企业解除劳动关系后，</w:t>
      </w:r>
    </w:p>
    <w:p>
      <w:pPr>
        <w:pStyle w:val="BodyText"/>
        <w:spacing w:line="281" w:lineRule="exact"/>
        <w:ind w:right="996"/>
        <w:jc w:val="left"/>
      </w:pPr>
      <w:r>
        <w:rPr/>
        <w:t>提供的各种形式的报酬和福利，短期薪酬和辞退福利除外。</w:t>
      </w:r>
    </w:p>
    <w:p>
      <w:pPr>
        <w:pStyle w:val="BodyText"/>
        <w:spacing w:line="352" w:lineRule="auto" w:before="144"/>
        <w:ind w:right="1139" w:firstLine="480"/>
        <w:jc w:val="both"/>
      </w:pPr>
      <w:r>
        <w:rPr/>
        <w:t>本公司的离职后福利计划分类为设定提存计划和设定受益计划。离职后福利设定提存计 划主要为参加由各地劳动及社会保障机构组织实施的社会基本养老保险、失业保险等；在职</w:t>
      </w:r>
      <w:r>
        <w:rPr>
          <w:spacing w:val="-91"/>
        </w:rPr>
        <w:t> </w:t>
      </w:r>
      <w:r>
        <w:rPr>
          <w:spacing w:val="-91"/>
        </w:rPr>
      </w:r>
      <w:r>
        <w:rPr/>
        <w:t>工为本公司提供服务的会计期间，将根据设定提存计划计算的应缴存金额确认为负债，并计</w:t>
      </w:r>
      <w:r>
        <w:rPr>
          <w:spacing w:val="-91"/>
        </w:rPr>
        <w:t> </w:t>
      </w:r>
      <w:r>
        <w:rPr>
          <w:spacing w:val="-91"/>
        </w:rPr>
      </w:r>
      <w:r>
        <w:rPr/>
        <w:t>入当期损益或相关资产成本。</w:t>
      </w:r>
    </w:p>
    <w:p>
      <w:pPr>
        <w:pStyle w:val="BodyText"/>
        <w:spacing w:line="240" w:lineRule="auto" w:before="34"/>
        <w:ind w:left="633" w:right="996"/>
        <w:jc w:val="left"/>
      </w:pPr>
      <w:r>
        <w:rPr/>
        <w:t>本公司按照国家规定的标准定期缴付上述款项后，不再有其他的支付义务。</w:t>
      </w:r>
    </w:p>
    <w:p>
      <w:pPr>
        <w:spacing w:line="417" w:lineRule="auto" w:before="146"/>
        <w:ind w:left="633" w:right="996" w:hanging="481"/>
        <w:jc w:val="left"/>
        <w:rPr>
          <w:rFonts w:ascii="宋体" w:hAnsi="宋体" w:cs="宋体" w:eastAsia="宋体" w:hint="default"/>
          <w:sz w:val="24"/>
          <w:szCs w:val="24"/>
        </w:rPr>
      </w:pPr>
      <w:bookmarkStart w:name="（3）辞退福利的会计处理方法" w:id="211"/>
      <w:bookmarkEnd w:id="211"/>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辞退福利是指本公司在职工劳动合同到期之前解除与职工的劳动关系，或者为鼓励职工</w:t>
      </w:r>
    </w:p>
    <w:p>
      <w:pPr>
        <w:pStyle w:val="BodyText"/>
        <w:spacing w:line="283" w:lineRule="exact"/>
        <w:ind w:right="996"/>
        <w:jc w:val="left"/>
      </w:pPr>
      <w:r>
        <w:rPr/>
        <w:t>自愿接受裁减而给予职工的补偿，在本公司不能单方面撤回解除劳动关系计划或裁减建议时</w:t>
      </w:r>
    </w:p>
    <w:p>
      <w:pPr>
        <w:pStyle w:val="BodyText"/>
        <w:spacing w:line="350" w:lineRule="auto" w:before="146"/>
        <w:ind w:right="996"/>
        <w:jc w:val="left"/>
      </w:pPr>
      <w:r>
        <w:rPr/>
        <w:t>和确认与涉及支付辞退福利的重组相关的成本费用时两者孰早日，确认因解除与职工的劳动</w:t>
      </w:r>
      <w:r>
        <w:rPr>
          <w:spacing w:val="-91"/>
        </w:rPr>
        <w:t> </w:t>
      </w:r>
      <w:r>
        <w:rPr>
          <w:spacing w:val="-91"/>
        </w:rPr>
      </w:r>
      <w:r>
        <w:rPr/>
        <w:t>关系给予补偿而产生的负债，同时计入当期损益。</w:t>
      </w:r>
    </w:p>
    <w:p>
      <w:pPr>
        <w:pStyle w:val="BodyText"/>
        <w:spacing w:line="350" w:lineRule="auto" w:before="37"/>
        <w:ind w:right="1135" w:firstLine="480"/>
        <w:jc w:val="both"/>
      </w:pPr>
      <w:r>
        <w:rPr/>
        <w:t>本公司向接受内部退休安排的职工提供内退福利。内退福利是指，向未达到国家规定的 退休年龄、经本公司管理层批准自愿退出工作岗位的职工支付的工资及为其缴纳的社会保险</w:t>
      </w:r>
      <w:r>
        <w:rPr>
          <w:spacing w:val="-91"/>
        </w:rPr>
        <w:t> </w:t>
      </w:r>
      <w:r>
        <w:rPr>
          <w:spacing w:val="-91"/>
        </w:rPr>
      </w:r>
      <w:r>
        <w:rPr/>
        <w:t>费等。本公司自内部退休安排开始之日起至职工达到正常退休年龄止，向内退职工支付内部</w:t>
      </w:r>
      <w:r>
        <w:rPr>
          <w:spacing w:val="-88"/>
        </w:rPr>
        <w:t> </w:t>
      </w:r>
      <w:r>
        <w:rPr>
          <w:spacing w:val="-88"/>
        </w:rPr>
      </w:r>
      <w:r>
        <w:rPr/>
        <w:t>退养福利。对于内退福利，本公司比照辞退福利进行会计处理，在符合辞退福利相关确认条</w:t>
      </w:r>
      <w:r>
        <w:rPr>
          <w:spacing w:val="-91"/>
        </w:rPr>
        <w:t> </w:t>
      </w:r>
      <w:r>
        <w:rPr>
          <w:spacing w:val="-91"/>
        </w:rPr>
      </w:r>
      <w:r>
        <w:rPr/>
        <w:t>件时，将自职工停止提供服务日至正常退休日期间拟支付的内退职工工资和缴纳的社会保险</w:t>
      </w:r>
      <w:r>
        <w:rPr>
          <w:spacing w:val="-91"/>
        </w:rPr>
        <w:t> </w:t>
      </w:r>
      <w:r>
        <w:rPr>
          <w:spacing w:val="-91"/>
        </w:rPr>
      </w:r>
      <w:r>
        <w:rPr/>
        <w:t>费等，确认为负债，一次性计入当期损益。内退福利的精算假设变化及福利标准调整引起的</w:t>
      </w:r>
    </w:p>
    <w:p>
      <w:pPr>
        <w:spacing w:after="0" w:line="35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差异于发生时计入当期损益。</w:t>
      </w:r>
    </w:p>
    <w:p>
      <w:pPr>
        <w:spacing w:line="417" w:lineRule="auto" w:before="146"/>
        <w:ind w:left="633" w:right="1153" w:hanging="481"/>
        <w:jc w:val="left"/>
        <w:rPr>
          <w:rFonts w:ascii="宋体" w:hAnsi="宋体" w:cs="宋体" w:eastAsia="宋体" w:hint="default"/>
          <w:sz w:val="24"/>
          <w:szCs w:val="24"/>
        </w:rPr>
      </w:pPr>
      <w:bookmarkStart w:name="（4）其他长期职工福利的会计处理方法" w:id="212"/>
      <w:bookmarkEnd w:id="212"/>
      <w:r>
        <w:rPr/>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其他长期职工福利是指除短期薪酬、离职后福利、辞退福利之外的其他所有职工福利。</w:t>
      </w:r>
    </w:p>
    <w:p>
      <w:pPr>
        <w:spacing w:before="169"/>
        <w:ind w:left="152" w:right="996" w:firstLine="0"/>
        <w:jc w:val="left"/>
        <w:rPr>
          <w:rFonts w:ascii="宋体" w:hAnsi="宋体" w:cs="宋体" w:eastAsia="宋体" w:hint="default"/>
          <w:sz w:val="21"/>
          <w:szCs w:val="21"/>
        </w:rPr>
      </w:pPr>
      <w:bookmarkStart w:name="35、租赁负债" w:id="213"/>
      <w:bookmarkEnd w:id="213"/>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6、预计负债" w:id="214"/>
      <w:bookmarkEnd w:id="214"/>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350" w:lineRule="auto"/>
        <w:ind w:left="633" w:right="2833"/>
        <w:jc w:val="left"/>
      </w:pPr>
      <w:r>
        <w:rPr>
          <w:rFonts w:ascii="宋体" w:hAnsi="宋体" w:cs="宋体" w:eastAsia="宋体"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50" w:lineRule="auto" w:before="36"/>
        <w:ind w:left="633" w:right="996"/>
        <w:jc w:val="left"/>
      </w:pPr>
      <w:r>
        <w:rPr>
          <w:rFonts w:ascii="宋体" w:hAnsi="宋体" w:cs="宋体" w:eastAsia="宋体" w:hint="default"/>
        </w:rPr>
        <w:t>(2)</w:t>
      </w:r>
      <w:r>
        <w:rPr/>
        <w:t>预计负债的计量方法 本公司预计负债按履行相关现时义务所需的支出的最佳估计数进行初始计量。 本公司在确定最佳估计数时，综合考虑与或有事项有关的风险、不确定性和货币时间价</w:t>
      </w:r>
    </w:p>
    <w:p>
      <w:pPr>
        <w:pStyle w:val="BodyText"/>
        <w:spacing w:line="352" w:lineRule="auto" w:before="36"/>
        <w:ind w:right="996"/>
        <w:jc w:val="left"/>
      </w:pPr>
      <w:r>
        <w:rPr/>
        <w:t>值等因素。对于货币时间价值影响重大的，通过对相关未来现金流出进行折现后确定最佳估</w:t>
      </w:r>
      <w:r>
        <w:rPr>
          <w:spacing w:val="-91"/>
        </w:rPr>
        <w:t> </w:t>
      </w:r>
      <w:r>
        <w:rPr>
          <w:spacing w:val="-91"/>
        </w:rPr>
      </w:r>
      <w:r>
        <w:rPr/>
        <w:t>计数。</w:t>
      </w:r>
    </w:p>
    <w:p>
      <w:pPr>
        <w:pStyle w:val="BodyText"/>
        <w:spacing w:line="352" w:lineRule="auto" w:before="31"/>
        <w:ind w:left="633" w:right="996"/>
        <w:jc w:val="left"/>
      </w:pPr>
      <w:r>
        <w:rPr/>
        <w:t>最佳估计数分别以下情况处理： 所需支出存在一个连续范围（或区间），且该范围内各种结果发生的可能性相同的，则</w:t>
      </w:r>
    </w:p>
    <w:p>
      <w:pPr>
        <w:pStyle w:val="BodyText"/>
        <w:spacing w:line="350" w:lineRule="auto" w:before="34"/>
        <w:ind w:left="633" w:right="996" w:hanging="481"/>
        <w:jc w:val="left"/>
      </w:pPr>
      <w:r>
        <w:rPr/>
        <w:t>最佳估计数按照该范围的中间值即上下限金额的平均数确定。 所需支出不存在一个连续范围（或区间），或虽然存在一个连续范围但该范围内各种结</w:t>
      </w:r>
    </w:p>
    <w:p>
      <w:pPr>
        <w:pStyle w:val="BodyText"/>
        <w:spacing w:line="352" w:lineRule="auto" w:before="36"/>
        <w:ind w:right="996"/>
        <w:jc w:val="left"/>
      </w:pPr>
      <w:r>
        <w:rPr/>
        <w:t>果发生的可能性不相同的，如或有事项涉及单个项目的，则最佳估计数按照最可能发生金额</w:t>
      </w:r>
      <w:r>
        <w:rPr>
          <w:spacing w:val="-91"/>
        </w:rPr>
        <w:t> </w:t>
      </w:r>
      <w:r>
        <w:rPr>
          <w:spacing w:val="-91"/>
        </w:rPr>
      </w:r>
      <w:r>
        <w:rPr/>
        <w:t>确定；如或有事项涉及多个项目的，则最佳估计数按各种可能结果及相关概率计算确定。</w:t>
      </w:r>
    </w:p>
    <w:p>
      <w:pPr>
        <w:pStyle w:val="BodyText"/>
        <w:spacing w:line="352" w:lineRule="auto" w:before="31"/>
        <w:ind w:right="996" w:firstLine="480"/>
        <w:jc w:val="left"/>
      </w:pPr>
      <w:r>
        <w:rPr/>
        <w:t>本公司清偿预计负债所需支出全部或部分预期由第三方补偿的，补偿金额在基本确定能 够收到时，作为资产单独确认，确认的补偿金额不超过预计负债的账面价值。</w:t>
      </w:r>
    </w:p>
    <w:p>
      <w:pPr>
        <w:spacing w:line="240" w:lineRule="auto" w:before="12"/>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37、股份支付" w:id="215"/>
      <w:bookmarkEnd w:id="215"/>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38、优先股、永续债等其他金融工具" w:id="216"/>
      <w:bookmarkEnd w:id="216"/>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39、收入" w:id="217"/>
      <w:bookmarkEnd w:id="217"/>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0" w:lineRule="auto"/>
        <w:ind w:right="996" w:firstLine="480"/>
        <w:jc w:val="left"/>
      </w:pPr>
      <w:r>
        <w:rPr/>
        <w:t>公司需遵守《深圳证券交易所行业信息披露指引第</w:t>
      </w:r>
      <w:r>
        <w:rPr>
          <w:rFonts w:ascii="宋体" w:hAnsi="宋体" w:cs="宋体" w:eastAsia="宋体" w:hint="default"/>
        </w:rPr>
        <w:t>12</w:t>
      </w:r>
      <w:r>
        <w:rPr/>
        <w:t>号——上市公司从事软件与信息技 术服务业务》的披露要求</w:t>
      </w:r>
    </w:p>
    <w:p>
      <w:pPr>
        <w:pStyle w:val="BodyText"/>
        <w:spacing w:line="352" w:lineRule="auto" w:before="36"/>
        <w:ind w:left="633" w:right="996"/>
        <w:jc w:val="left"/>
      </w:pPr>
      <w:r>
        <w:rPr>
          <w:rFonts w:ascii="宋体" w:hAnsi="宋体" w:cs="宋体" w:eastAsia="宋体" w:hint="default"/>
        </w:rPr>
        <w:t>(1)</w:t>
      </w:r>
      <w:r>
        <w:rPr/>
        <w:t>销售商品收入确认时间的具体判断标准 公司已将商品所有权上的主要风险和报酬转移给购买方；公司既没有保留与所有权相联</w:t>
      </w:r>
    </w:p>
    <w:p>
      <w:pPr>
        <w:pStyle w:val="BodyText"/>
        <w:spacing w:line="352" w:lineRule="auto" w:before="32"/>
        <w:ind w:right="1139"/>
        <w:jc w:val="both"/>
      </w:pPr>
      <w:r>
        <w:rPr/>
        <w:t>系的继续管理权，也没有对已售出的商品实施有效控制；收入的金额能够可靠地计量；相关</w:t>
      </w:r>
      <w:r>
        <w:rPr>
          <w:spacing w:val="-91"/>
        </w:rPr>
        <w:t> </w:t>
      </w:r>
      <w:r>
        <w:rPr>
          <w:spacing w:val="-91"/>
        </w:rPr>
      </w:r>
      <w:r>
        <w:rPr/>
        <w:t>的经济利益很可能流入企业；相关的已发生或将发生的成本能够可靠地计量时，确认商品销</w:t>
      </w:r>
      <w:r>
        <w:rPr>
          <w:spacing w:val="-91"/>
        </w:rPr>
        <w:t> </w:t>
      </w:r>
      <w:r>
        <w:rPr>
          <w:spacing w:val="-91"/>
        </w:rPr>
      </w:r>
      <w:r>
        <w:rPr/>
        <w:t>售收入实现。</w:t>
      </w:r>
    </w:p>
    <w:p>
      <w:pPr>
        <w:pStyle w:val="BodyText"/>
        <w:spacing w:line="350" w:lineRule="auto" w:before="31"/>
        <w:ind w:right="996" w:firstLine="480"/>
        <w:jc w:val="left"/>
      </w:pPr>
      <w:r>
        <w:rPr/>
        <w:t>公司的主要产品为铁路通信信号和铁路运输调度指挥管理领域的软件和系统集成产品， 具体为：设备监测类产品：包括信号集中监测及子系统、融雪系统、信号维护支持系统、道</w:t>
      </w:r>
      <w:r>
        <w:rPr>
          <w:spacing w:val="-87"/>
        </w:rPr>
        <w:t> </w:t>
      </w:r>
      <w:r>
        <w:rPr>
          <w:spacing w:val="-87"/>
        </w:rPr>
      </w:r>
      <w:r>
        <w:rPr/>
        <w:t>岔缺口监测、道岔综合监测、电务设备动态监测分析系统等；安防类产品：包括铁路防灾安</w:t>
      </w:r>
      <w:r>
        <w:rPr>
          <w:spacing w:val="-91"/>
        </w:rPr>
        <w:t> </w:t>
      </w:r>
      <w:r>
        <w:rPr>
          <w:spacing w:val="-91"/>
        </w:rPr>
      </w:r>
      <w:r>
        <w:rPr/>
        <w:t>全监控系统、铁路综合视频监控系统、城轨综合监控系统、动力环境监控等；生产指挥及运</w:t>
      </w:r>
      <w:r>
        <w:rPr>
          <w:spacing w:val="-91"/>
        </w:rPr>
        <w:t> </w:t>
      </w:r>
      <w:r>
        <w:rPr>
          <w:spacing w:val="-91"/>
        </w:rPr>
      </w:r>
      <w:r>
        <w:rPr>
          <w:spacing w:val="-2"/>
        </w:rPr>
        <w:t>输调度信息化类产品：包括电务生产指挥、铁路安全生产指挥综合系统等；信号控制类产品：</w:t>
      </w:r>
      <w:r>
        <w:rPr/>
        <w:t> 包括无线调车机车信号和监控系统等；电源类设备产品：包括电源屏设备及子系统；信号设</w:t>
      </w:r>
      <w:r>
        <w:rPr>
          <w:spacing w:val="-91"/>
        </w:rPr>
        <w:t> </w:t>
      </w:r>
      <w:r>
        <w:rPr>
          <w:spacing w:val="-91"/>
        </w:rPr>
      </w:r>
      <w:r>
        <w:rPr/>
        <w:t>备及器材产品：包括信号设备及器材、转辙机、水冲洗设备产品等。公司采取以销定产的经</w:t>
      </w:r>
      <w:r>
        <w:rPr>
          <w:spacing w:val="-91"/>
        </w:rPr>
        <w:t> </w:t>
      </w:r>
      <w:r>
        <w:rPr>
          <w:spacing w:val="-91"/>
        </w:rPr>
      </w:r>
      <w:r>
        <w:rPr/>
        <w:t>营模式，销售业务主要通过参与客户招标取得。公司中标后，与客户洽谈合同的具体条款并</w:t>
      </w:r>
      <w:r>
        <w:rPr>
          <w:spacing w:val="-91"/>
        </w:rPr>
        <w:t> </w:t>
      </w:r>
      <w:r>
        <w:rPr>
          <w:spacing w:val="-91"/>
        </w:rPr>
      </w:r>
      <w:r>
        <w:rPr/>
        <w:t>最终签定合同。公司产品定价主要依据铁路总公司的指导价，最终销售价格则由招标确定。</w:t>
      </w:r>
      <w:r>
        <w:rPr>
          <w:spacing w:val="-91"/>
        </w:rPr>
        <w:t> </w:t>
      </w:r>
      <w:r>
        <w:rPr>
          <w:spacing w:val="-91"/>
        </w:rPr>
      </w:r>
      <w:r>
        <w:rPr/>
        <w:t>其主要业务模式、结算方式和收入确认方法具体如下：</w:t>
      </w:r>
    </w:p>
    <w:p>
      <w:pPr>
        <w:pStyle w:val="BodyText"/>
        <w:spacing w:line="352" w:lineRule="auto" w:before="36"/>
        <w:ind w:right="996" w:firstLine="480"/>
        <w:jc w:val="left"/>
      </w:pPr>
      <w:r>
        <w:rPr/>
        <w:t>①对于不需要安装调试的铁路方面产品、电源维护测试产品和其它产品按普通商品销售 原则核算，于客户收到发出产品且公司取得收款的权利时确认收入。</w:t>
      </w:r>
    </w:p>
    <w:p>
      <w:pPr>
        <w:pStyle w:val="BodyText"/>
        <w:spacing w:line="352" w:lineRule="auto" w:before="32"/>
        <w:ind w:right="996" w:firstLine="480"/>
        <w:jc w:val="left"/>
      </w:pPr>
      <w:r>
        <w:rPr/>
        <w:t>②对于铁路通信信号和铁路运输调度指挥管理领域的集成产品，公司销售环节和业务流 程主要为：签订销售合同－组织设计生产－产品发送到现场并经委托方验收－进行配线安装</w:t>
      </w:r>
    </w:p>
    <w:p>
      <w:pPr>
        <w:pStyle w:val="BodyText"/>
        <w:spacing w:line="350" w:lineRule="auto" w:before="34"/>
        <w:ind w:right="1133"/>
        <w:jc w:val="both"/>
      </w:pPr>
      <w:r>
        <w:rPr/>
        <w:t>－进行站机调试并经委托方验收合格。该类产品在同时具备以下条件时确认收入：</w:t>
      </w:r>
      <w:r>
        <w:rPr>
          <w:rFonts w:ascii="宋体" w:hAnsi="宋体" w:cs="宋体" w:eastAsia="宋体" w:hint="default"/>
        </w:rPr>
        <w:t>1)</w:t>
      </w:r>
      <w:r>
        <w:rPr/>
        <w:t>已与委</w:t>
      </w:r>
      <w:r>
        <w:rPr>
          <w:spacing w:val="-86"/>
        </w:rPr>
        <w:t> </w:t>
      </w:r>
      <w:r>
        <w:rPr>
          <w:spacing w:val="-86"/>
        </w:rPr>
      </w:r>
      <w:r>
        <w:rPr/>
        <w:t>托方签订销售合同；</w:t>
      </w:r>
      <w:r>
        <w:rPr>
          <w:rFonts w:ascii="宋体" w:hAnsi="宋体" w:cs="宋体" w:eastAsia="宋体" w:hint="default"/>
        </w:rPr>
        <w:t>2)</w:t>
      </w:r>
      <w:r>
        <w:rPr/>
        <w:t>站机调试完成并经委托方验收合格；</w:t>
      </w:r>
      <w:r>
        <w:rPr>
          <w:rFonts w:ascii="宋体" w:hAnsi="宋体" w:cs="宋体" w:eastAsia="宋体" w:hint="default"/>
        </w:rPr>
        <w:t>3)</w:t>
      </w:r>
      <w:r>
        <w:rPr/>
        <w:t>销售发票已开具给委托方；</w:t>
      </w:r>
      <w:r>
        <w:rPr>
          <w:rFonts w:ascii="宋体" w:hAnsi="宋体" w:cs="宋体" w:eastAsia="宋体" w:hint="default"/>
        </w:rPr>
        <w:t>4)</w:t>
      </w:r>
      <w:r>
        <w:rPr>
          <w:rFonts w:ascii="宋体" w:hAnsi="宋体" w:cs="宋体" w:eastAsia="宋体" w:hint="default"/>
          <w:spacing w:val="-87"/>
        </w:rPr>
        <w:t> </w:t>
      </w:r>
      <w:r>
        <w:rPr/>
        <w:t>收到全部合同价款或已收到部分价款但已约定剩余款项的付款计划。</w:t>
      </w:r>
    </w:p>
    <w:p>
      <w:pPr>
        <w:pStyle w:val="BodyText"/>
        <w:spacing w:line="350" w:lineRule="auto" w:before="36"/>
        <w:ind w:right="996" w:firstLine="480"/>
        <w:jc w:val="left"/>
      </w:pPr>
      <w:r>
        <w:rPr/>
        <w:t>③对于软件产品，如果属于集成产品的组成部分，软件产品随同集成产品确认收入；如 果属于客户单独购买的软件，于软件发出给客户经验收合格并取得收取货款的权利时确认收</w:t>
      </w:r>
    </w:p>
    <w:p>
      <w:pPr>
        <w:spacing w:after="0" w:line="350" w:lineRule="auto"/>
        <w:jc w:val="left"/>
        <w:sectPr>
          <w:footerReference w:type="default" r:id="rId19"/>
          <w:pgSz w:w="11910" w:h="16840"/>
          <w:pgMar w:footer="980" w:header="745" w:top="1060" w:bottom="1160" w:left="980" w:right="0"/>
          <w:pgNumType w:start="127"/>
        </w:sectPr>
      </w:pPr>
    </w:p>
    <w:p>
      <w:pPr>
        <w:spacing w:line="240" w:lineRule="auto" w:before="0"/>
        <w:rPr>
          <w:rFonts w:ascii="宋体" w:hAnsi="宋体" w:cs="宋体" w:eastAsia="宋体" w:hint="default"/>
          <w:sz w:val="20"/>
          <w:szCs w:val="20"/>
        </w:rPr>
      </w:pPr>
    </w:p>
    <w:p>
      <w:pPr>
        <w:pStyle w:val="BodyText"/>
        <w:spacing w:line="240" w:lineRule="auto" w:before="198"/>
        <w:ind w:right="996"/>
        <w:jc w:val="left"/>
      </w:pPr>
      <w:r>
        <w:rPr/>
        <w:t>入。</w:t>
      </w:r>
    </w:p>
    <w:p>
      <w:pPr>
        <w:pStyle w:val="BodyText"/>
        <w:spacing w:line="240" w:lineRule="auto" w:before="146"/>
        <w:ind w:left="633" w:right="996"/>
        <w:jc w:val="left"/>
      </w:pPr>
      <w:r>
        <w:rPr/>
        <w:t>合同或协议价款的收取采用递延方式，实质上具有融资性质的，按照应收的合同或协议</w:t>
      </w:r>
    </w:p>
    <w:p>
      <w:pPr>
        <w:spacing w:line="240" w:lineRule="auto" w:before="1"/>
        <w:rPr>
          <w:rFonts w:ascii="宋体" w:hAnsi="宋体" w:cs="宋体" w:eastAsia="宋体" w:hint="default"/>
          <w:sz w:val="9"/>
          <w:szCs w:val="9"/>
        </w:rPr>
      </w:pPr>
    </w:p>
    <w:p>
      <w:pPr>
        <w:pStyle w:val="BodyText"/>
        <w:spacing w:line="352" w:lineRule="auto" w:before="26"/>
        <w:ind w:left="633" w:right="6434" w:hanging="481"/>
        <w:jc w:val="left"/>
      </w:pPr>
      <w:r>
        <w:rPr/>
        <w:t>价款的公允价值确定销售商品收入金额。 </w:t>
      </w:r>
      <w:r>
        <w:rPr>
          <w:rFonts w:ascii="宋体" w:hAnsi="宋体" w:cs="宋体" w:eastAsia="宋体" w:hint="default"/>
        </w:rPr>
        <w:t>(2)</w:t>
      </w:r>
      <w:r>
        <w:rPr/>
        <w:t>确认让渡资产使用权收入的依据</w:t>
      </w:r>
    </w:p>
    <w:p>
      <w:pPr>
        <w:pStyle w:val="BodyText"/>
        <w:spacing w:line="350" w:lineRule="auto" w:before="34"/>
        <w:ind w:right="996" w:firstLine="480"/>
        <w:jc w:val="left"/>
      </w:pPr>
      <w:r>
        <w:rPr/>
        <w:t>与交易相关的经济利益很可能流入企业，收入的金额能够可靠地计量时，分别下列情况 确定让渡资产使用权收入金额：</w:t>
      </w:r>
    </w:p>
    <w:p>
      <w:pPr>
        <w:pStyle w:val="BodyText"/>
        <w:spacing w:line="240" w:lineRule="auto" w:before="36"/>
        <w:ind w:left="633" w:right="996"/>
        <w:jc w:val="left"/>
      </w:pPr>
      <w:r>
        <w:rPr/>
        <w:t>①利息收入金额，按照他人使用本企业货币资金的时间和实际利率计算确定。</w:t>
      </w:r>
    </w:p>
    <w:p>
      <w:pPr>
        <w:pStyle w:val="BodyText"/>
        <w:spacing w:line="350" w:lineRule="auto" w:before="146"/>
        <w:ind w:left="633" w:right="996"/>
        <w:jc w:val="left"/>
      </w:pPr>
      <w:r>
        <w:rPr/>
        <w:t>②使用费收入金额，按照有关合同或协议约定的收费时间和方法计算确定。 </w:t>
      </w:r>
      <w:r>
        <w:rPr>
          <w:rFonts w:ascii="宋体" w:hAnsi="宋体" w:cs="宋体" w:eastAsia="宋体" w:hint="default"/>
        </w:rPr>
        <w:t>(3)</w:t>
      </w:r>
      <w:r>
        <w:rPr/>
        <w:t>提供劳务收入的确认依据和方法 在资产负债表日提供劳务交易的结果能够可靠估计的，采用完工百分比法确认提供劳务</w:t>
      </w:r>
    </w:p>
    <w:p>
      <w:pPr>
        <w:pStyle w:val="BodyText"/>
        <w:spacing w:line="350" w:lineRule="auto" w:before="36"/>
        <w:ind w:left="633" w:right="3793" w:hanging="481"/>
        <w:jc w:val="left"/>
      </w:pPr>
      <w:r>
        <w:rPr/>
        <w:t>收入。提供劳务交易的完工进度，依据已完工作的测量确定。 提供劳务交易的结果能够可靠估计，是指同时满足下列条件：</w:t>
      </w:r>
    </w:p>
    <w:p>
      <w:pPr>
        <w:pStyle w:val="BodyText"/>
        <w:spacing w:line="240" w:lineRule="auto" w:before="36"/>
        <w:ind w:left="633" w:right="996"/>
        <w:jc w:val="left"/>
      </w:pPr>
      <w:r>
        <w:rPr/>
        <w:t>①收入的金额能够可靠地计量；</w:t>
      </w:r>
    </w:p>
    <w:p>
      <w:pPr>
        <w:pStyle w:val="BodyText"/>
        <w:spacing w:line="240" w:lineRule="auto" w:before="146"/>
        <w:ind w:left="633" w:right="996"/>
        <w:jc w:val="left"/>
      </w:pPr>
      <w:r>
        <w:rPr/>
        <w:t>②相关的经济利益很可能流入企业；</w:t>
      </w:r>
    </w:p>
    <w:p>
      <w:pPr>
        <w:pStyle w:val="BodyText"/>
        <w:spacing w:line="240" w:lineRule="auto" w:before="144"/>
        <w:ind w:left="633" w:right="996"/>
        <w:jc w:val="left"/>
      </w:pPr>
      <w:r>
        <w:rPr/>
        <w:t>③交易的完工进度能够可靠地确定；</w:t>
      </w:r>
    </w:p>
    <w:p>
      <w:pPr>
        <w:pStyle w:val="BodyText"/>
        <w:spacing w:line="352" w:lineRule="auto" w:before="146"/>
        <w:ind w:left="633" w:right="996"/>
        <w:jc w:val="left"/>
      </w:pPr>
      <w:r>
        <w:rPr/>
        <w:t>④交易中已发生和将发生的成本能够可靠地计量。 按照已收或应收的合同或协议价款确定提供劳务收入总额，但已收或应收的合同或协议</w:t>
      </w:r>
    </w:p>
    <w:p>
      <w:pPr>
        <w:pStyle w:val="BodyText"/>
        <w:spacing w:line="352" w:lineRule="auto" w:before="31"/>
        <w:ind w:right="1139"/>
        <w:jc w:val="both"/>
      </w:pPr>
      <w:r>
        <w:rPr/>
        <w:t>价款不公允的除外。资产负债表日按照提供劳务收入总额乘以完工进度扣除以前会计期间累</w:t>
      </w:r>
      <w:r>
        <w:rPr>
          <w:spacing w:val="-91"/>
        </w:rPr>
        <w:t> </w:t>
      </w:r>
      <w:r>
        <w:rPr>
          <w:spacing w:val="-91"/>
        </w:rPr>
      </w:r>
      <w:r>
        <w:rPr/>
        <w:t>计已确认提供劳务收入后的金额，确认当期提供劳务收入；同时，按照提供劳务估计总成本</w:t>
      </w:r>
      <w:r>
        <w:rPr>
          <w:spacing w:val="-91"/>
        </w:rPr>
        <w:t> </w:t>
      </w:r>
      <w:r>
        <w:rPr>
          <w:spacing w:val="-91"/>
        </w:rPr>
      </w:r>
      <w:r>
        <w:rPr/>
        <w:t>乘以完工进度扣除以前会计期间累计已确认劳务成本后的金额，结转当期劳务成本。</w:t>
      </w:r>
    </w:p>
    <w:p>
      <w:pPr>
        <w:pStyle w:val="BodyText"/>
        <w:spacing w:line="240" w:lineRule="auto" w:before="31"/>
        <w:ind w:left="633" w:right="996"/>
        <w:jc w:val="left"/>
      </w:pPr>
      <w:r>
        <w:rPr/>
        <w:t>在资产负债表日提供劳务交易结果不能够可靠估计的，分别下列情况处理：</w:t>
      </w:r>
    </w:p>
    <w:p>
      <w:pPr>
        <w:pStyle w:val="BodyText"/>
        <w:spacing w:line="352" w:lineRule="auto" w:before="146"/>
        <w:ind w:right="996" w:firstLine="480"/>
        <w:jc w:val="left"/>
      </w:pPr>
      <w:r>
        <w:rPr/>
        <w:t>①已经发生的劳务成本预计能够得到补偿的，按照已经发生的劳务成本金额确认提供劳 务收入，并按相同金额结转劳务成本。</w:t>
      </w:r>
    </w:p>
    <w:p>
      <w:pPr>
        <w:pStyle w:val="BodyText"/>
        <w:spacing w:line="352" w:lineRule="auto" w:before="31"/>
        <w:ind w:right="996" w:firstLine="480"/>
        <w:jc w:val="left"/>
      </w:pPr>
      <w:r>
        <w:rPr/>
        <w:t>②已经发生的劳务成本预计不能够得到补偿的，将已经发生的劳务成本计入当期损益， 不确认提供劳务收入。</w:t>
      </w:r>
    </w:p>
    <w:p>
      <w:pPr>
        <w:pStyle w:val="BodyText"/>
        <w:spacing w:line="350" w:lineRule="auto" w:before="34"/>
        <w:ind w:right="1139" w:firstLine="480"/>
        <w:jc w:val="both"/>
      </w:pPr>
      <w:r>
        <w:rPr/>
        <w:t>本公司与其他企业签订的合同或协议包括销售商品和提供劳务时，销售商品部分和提供 劳务部分能够区分且能够单独计量的，将销售商品的部分作为销售商品处理，将提供劳务的</w:t>
      </w:r>
      <w:r>
        <w:rPr>
          <w:spacing w:val="-91"/>
        </w:rPr>
        <w:t> </w:t>
      </w:r>
      <w:r>
        <w:rPr>
          <w:spacing w:val="-91"/>
        </w:rPr>
      </w:r>
      <w:r>
        <w:rPr/>
        <w:t>部分作为提供劳务处理。销售商品部分和提供劳务部分不能够区分，或虽能区分但不能够单</w:t>
      </w:r>
      <w:r>
        <w:rPr>
          <w:spacing w:val="-91"/>
        </w:rPr>
        <w:t> </w:t>
      </w:r>
      <w:r>
        <w:rPr>
          <w:spacing w:val="-91"/>
        </w:rPr>
      </w:r>
      <w:r>
        <w:rPr/>
        <w:t>独计量的，将销售商品部分和提供劳务部分全部作为销售商品处理。</w:t>
      </w:r>
    </w:p>
    <w:p>
      <w:pPr>
        <w:pStyle w:val="BodyText"/>
        <w:spacing w:line="240" w:lineRule="auto" w:before="34"/>
        <w:ind w:left="633" w:right="996"/>
        <w:jc w:val="left"/>
      </w:pPr>
      <w:r>
        <w:rPr>
          <w:rFonts w:ascii="宋体" w:hAnsi="宋体" w:cs="宋体" w:eastAsia="宋体" w:hint="default"/>
        </w:rPr>
        <w:t>(4)</w:t>
      </w:r>
      <w:r>
        <w:rPr/>
        <w:t>建造合同收入的确认依据和方法</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1" w:firstLine="840"/>
        <w:jc w:val="both"/>
      </w:pPr>
      <w:r>
        <w:rPr>
          <w:spacing w:val="-3"/>
        </w:rPr>
        <w:t>①当建造合同的结果能够可靠地估计时，与其相关的合同收入和合同费用在资产负债</w:t>
      </w:r>
      <w:r>
        <w:rPr/>
        <w:t> 表日按完工百分比法予以确认。完工百分比法，是指根据合同完工进度确认合同收入和合同</w:t>
      </w:r>
      <w:r>
        <w:rPr>
          <w:spacing w:val="-91"/>
        </w:rPr>
        <w:t> </w:t>
      </w:r>
      <w:r>
        <w:rPr>
          <w:spacing w:val="-91"/>
        </w:rPr>
      </w:r>
      <w:r>
        <w:rPr/>
        <w:t>费用的方法。合同完工进度按照累计实际发生的合同费用占合同预计总成本的比例确定。</w:t>
      </w:r>
    </w:p>
    <w:p>
      <w:pPr>
        <w:pStyle w:val="BodyText"/>
        <w:spacing w:line="352" w:lineRule="auto" w:before="36"/>
        <w:ind w:left="1233" w:right="3793" w:hanging="600"/>
        <w:jc w:val="left"/>
      </w:pPr>
      <w:r>
        <w:rPr/>
        <w:t>固定造价合同的结果能够可靠估计，是指同时满足下列条件： </w:t>
      </w:r>
      <w:r>
        <w:rPr>
          <w:rFonts w:ascii="宋体" w:hAnsi="宋体" w:cs="宋体" w:eastAsia="宋体" w:hint="default"/>
        </w:rPr>
        <w:t>1</w:t>
      </w:r>
      <w:r>
        <w:rPr/>
        <w:t>）合同总收入能够可靠地计量；</w:t>
      </w:r>
    </w:p>
    <w:p>
      <w:pPr>
        <w:pStyle w:val="BodyText"/>
        <w:spacing w:line="240" w:lineRule="auto" w:before="31"/>
        <w:ind w:left="1233" w:right="996"/>
        <w:jc w:val="left"/>
      </w:pPr>
      <w:r>
        <w:rPr>
          <w:rFonts w:ascii="宋体" w:hAnsi="宋体" w:cs="宋体" w:eastAsia="宋体" w:hint="default"/>
        </w:rPr>
        <w:t>2</w:t>
      </w:r>
      <w:r>
        <w:rPr/>
        <w:t>）与合同相关的经济利益很可能流入企业；</w:t>
      </w:r>
    </w:p>
    <w:p>
      <w:pPr>
        <w:pStyle w:val="BodyText"/>
        <w:spacing w:line="240" w:lineRule="auto" w:before="146"/>
        <w:ind w:left="1228" w:right="996"/>
        <w:jc w:val="left"/>
      </w:pPr>
      <w:r>
        <w:rPr>
          <w:rFonts w:ascii="宋体" w:hAnsi="宋体" w:cs="宋体" w:eastAsia="宋体" w:hint="default"/>
        </w:rPr>
        <w:t>3</w:t>
      </w:r>
      <w:r>
        <w:rPr/>
        <w:t>）实际发生的合同成本能够清楚地区分和可靠地计量；</w:t>
      </w:r>
    </w:p>
    <w:p>
      <w:pPr>
        <w:pStyle w:val="BodyText"/>
        <w:spacing w:line="350" w:lineRule="auto" w:before="146"/>
        <w:ind w:left="633" w:right="2834" w:firstLine="599"/>
        <w:jc w:val="left"/>
      </w:pPr>
      <w:r>
        <w:rPr>
          <w:rFonts w:ascii="宋体" w:hAnsi="宋体" w:cs="宋体" w:eastAsia="宋体" w:hint="default"/>
        </w:rPr>
        <w:t>4</w:t>
      </w:r>
      <w:r>
        <w:rPr/>
        <w:t>）合同完工进度和为完成合同尚需发生的成本能够可靠地确定。 成本加成合同的结果能够可靠估计，是指同时满足下列条件：</w:t>
      </w:r>
    </w:p>
    <w:p>
      <w:pPr>
        <w:pStyle w:val="BodyText"/>
        <w:spacing w:line="240" w:lineRule="auto" w:before="36"/>
        <w:ind w:left="1233" w:right="996"/>
        <w:jc w:val="left"/>
      </w:pPr>
      <w:r>
        <w:rPr>
          <w:rFonts w:ascii="宋体" w:hAnsi="宋体" w:cs="宋体" w:eastAsia="宋体" w:hint="default"/>
        </w:rPr>
        <w:t>1</w:t>
      </w:r>
      <w:r>
        <w:rPr/>
        <w:t>）与合同相关的经济利益很可能流入企业；</w:t>
      </w:r>
    </w:p>
    <w:p>
      <w:pPr>
        <w:pStyle w:val="BodyText"/>
        <w:spacing w:line="350" w:lineRule="auto" w:before="146"/>
        <w:ind w:left="633" w:right="996" w:firstLine="599"/>
        <w:jc w:val="left"/>
      </w:pPr>
      <w:r>
        <w:rPr>
          <w:rFonts w:ascii="宋体" w:hAnsi="宋体" w:cs="宋体" w:eastAsia="宋体" w:hint="default"/>
        </w:rPr>
        <w:t>2</w:t>
      </w:r>
      <w:r>
        <w:rPr/>
        <w:t>）实际发生的合同成本能够清楚地区分和可靠地计量。 在资产负债表日，按照合同总收入乘以完工进度扣除以前会计期间累计已确认收入后的</w:t>
      </w:r>
    </w:p>
    <w:p>
      <w:pPr>
        <w:pStyle w:val="BodyText"/>
        <w:spacing w:line="350" w:lineRule="auto" w:before="36"/>
        <w:ind w:right="1139"/>
        <w:jc w:val="both"/>
        <w:rPr>
          <w:sz w:val="21"/>
          <w:szCs w:val="21"/>
        </w:rPr>
      </w:pPr>
      <w:r>
        <w:rPr/>
        <w:t>金额，确认为当期合同收入；同时，按照合同预计总成本乘以完工进度扣除以前会计期间累</w:t>
      </w:r>
      <w:r>
        <w:rPr>
          <w:spacing w:val="-91"/>
        </w:rPr>
        <w:t> </w:t>
      </w:r>
      <w:r>
        <w:rPr>
          <w:spacing w:val="-91"/>
        </w:rPr>
      </w:r>
      <w:r>
        <w:rPr/>
        <w:t>计已确认费用后的金额，确认为当期合同费用。合同工程的变动、索赔及奖金以可能带来收</w:t>
      </w:r>
      <w:r>
        <w:rPr>
          <w:spacing w:val="-91"/>
        </w:rPr>
        <w:t> </w:t>
      </w:r>
      <w:r>
        <w:rPr>
          <w:spacing w:val="-91"/>
        </w:rPr>
      </w:r>
      <w:r>
        <w:rPr/>
        <w:t>入并能可靠计算的数额为限计入合同总收入</w:t>
      </w:r>
      <w:r>
        <w:rPr>
          <w:sz w:val="21"/>
          <w:szCs w:val="21"/>
        </w:rPr>
        <w:t>。</w:t>
      </w:r>
    </w:p>
    <w:p>
      <w:pPr>
        <w:pStyle w:val="BodyText"/>
        <w:spacing w:line="352" w:lineRule="auto" w:before="36"/>
        <w:ind w:left="1113" w:right="996" w:hanging="120"/>
        <w:jc w:val="left"/>
      </w:pPr>
      <w:r>
        <w:rPr/>
        <w:t>②建造合同的结果不能可靠估计的，分别下列情况处理： </w:t>
      </w:r>
      <w:r>
        <w:rPr>
          <w:rFonts w:ascii="宋体" w:hAnsi="宋体" w:cs="宋体" w:eastAsia="宋体" w:hint="default"/>
          <w:spacing w:val="-3"/>
        </w:rPr>
        <w:t>1</w:t>
      </w:r>
      <w:r>
        <w:rPr>
          <w:spacing w:val="-3"/>
        </w:rPr>
        <w:t>）合同成本能够收回的，合同收入根据能够收回的实际合同成本予以确认，合同成</w:t>
      </w:r>
    </w:p>
    <w:p>
      <w:pPr>
        <w:pStyle w:val="BodyText"/>
        <w:spacing w:line="352" w:lineRule="auto" w:before="31"/>
        <w:ind w:left="1113" w:right="1513" w:hanging="961"/>
        <w:jc w:val="left"/>
      </w:pPr>
      <w:r>
        <w:rPr/>
        <w:t>本在其发生的当期确认为合同费用。 </w:t>
      </w:r>
      <w:r>
        <w:rPr>
          <w:rFonts w:ascii="宋体" w:hAnsi="宋体" w:cs="宋体" w:eastAsia="宋体" w:hint="default"/>
        </w:rPr>
        <w:t>2</w:t>
      </w:r>
      <w:r>
        <w:rPr/>
        <w:t>）合同成本不可能收回的，在发生时立即确认为合同费用，不确认合同收入。</w:t>
      </w:r>
    </w:p>
    <w:p>
      <w:pPr>
        <w:spacing w:line="350" w:lineRule="auto" w:before="34"/>
        <w:ind w:left="633" w:right="996" w:firstLine="192"/>
        <w:jc w:val="left"/>
        <w:rPr>
          <w:rFonts w:ascii="宋体" w:hAnsi="宋体" w:cs="宋体" w:eastAsia="宋体" w:hint="default"/>
          <w:sz w:val="24"/>
          <w:szCs w:val="24"/>
        </w:rPr>
      </w:pPr>
      <w:r>
        <w:rPr>
          <w:rFonts w:ascii="宋体" w:hAnsi="宋体" w:cs="宋体" w:eastAsia="宋体" w:hint="default"/>
          <w:sz w:val="24"/>
          <w:szCs w:val="24"/>
        </w:rPr>
        <w:t>③</w:t>
      </w:r>
      <w:r>
        <w:rPr>
          <w:rFonts w:ascii="宋体" w:hAnsi="宋体" w:cs="宋体" w:eastAsia="宋体" w:hint="default"/>
          <w:sz w:val="21"/>
          <w:szCs w:val="21"/>
        </w:rPr>
        <w:t>如果合同总成本很可能超过合同总收入，则预期损失立即确认为费用。</w:t>
      </w:r>
      <w:r>
        <w:rPr>
          <w:rFonts w:ascii="宋体" w:hAnsi="宋体" w:cs="宋体" w:eastAsia="宋体" w:hint="default"/>
          <w:w w:val="100"/>
          <w:sz w:val="21"/>
          <w:szCs w:val="21"/>
        </w:rPr>
        <w:t> </w:t>
      </w:r>
      <w:r>
        <w:rPr>
          <w:rFonts w:ascii="宋体" w:hAnsi="宋体" w:cs="宋体" w:eastAsia="宋体" w:hint="default"/>
          <w:sz w:val="24"/>
          <w:szCs w:val="24"/>
        </w:rPr>
        <w:t>(5)</w:t>
      </w:r>
      <w:r>
        <w:rPr>
          <w:rFonts w:ascii="宋体" w:hAnsi="宋体" w:cs="宋体" w:eastAsia="宋体" w:hint="default"/>
          <w:sz w:val="24"/>
          <w:szCs w:val="24"/>
        </w:rPr>
        <w:t>附回购条件的资产转让 公司销售产品或转让其他资产时，与购买方签订了所销售的产品或转让资产回购协议，</w:t>
      </w:r>
    </w:p>
    <w:p>
      <w:pPr>
        <w:pStyle w:val="BodyText"/>
        <w:spacing w:line="350" w:lineRule="auto" w:before="36"/>
        <w:ind w:right="1139"/>
        <w:jc w:val="both"/>
      </w:pPr>
      <w:r>
        <w:rPr/>
        <w:t>根据协议条款判断销售商品是否满足收入确认条件。如售后回购属于融资交易，则在交付产</w:t>
      </w:r>
      <w:r>
        <w:rPr>
          <w:spacing w:val="-91"/>
        </w:rPr>
        <w:t> </w:t>
      </w:r>
      <w:r>
        <w:rPr>
          <w:spacing w:val="-91"/>
        </w:rPr>
      </w:r>
      <w:r>
        <w:rPr/>
        <w:t>品或资产时，本公司不确认销售收入。回购价款大于销售价款的差额，在回购期间按期计提</w:t>
      </w:r>
      <w:r>
        <w:rPr>
          <w:spacing w:val="-91"/>
        </w:rPr>
        <w:t> </w:t>
      </w:r>
      <w:r>
        <w:rPr>
          <w:spacing w:val="-91"/>
        </w:rPr>
      </w:r>
      <w:r>
        <w:rPr/>
        <w:t>利息，计入财务费用。</w:t>
      </w:r>
    </w:p>
    <w:p>
      <w:pPr>
        <w:spacing w:line="240" w:lineRule="auto" w:before="1"/>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40、政府补助" w:id="218"/>
      <w:bookmarkEnd w:id="218"/>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left="633" w:right="996"/>
        <w:jc w:val="left"/>
      </w:pPr>
      <w:r>
        <w:rPr>
          <w:rFonts w:ascii="宋体" w:hAnsi="宋体" w:cs="宋体" w:eastAsia="宋体" w:hint="default"/>
        </w:rPr>
        <w:t>(1)</w:t>
      </w:r>
      <w:r>
        <w:rPr/>
        <w:t>类型 政府补助，是本公司从政府无偿取得的货币性资产与非货币性资产。根据相关政府文件</w:t>
      </w:r>
    </w:p>
    <w:p>
      <w:pPr>
        <w:pStyle w:val="BodyText"/>
        <w:spacing w:line="240" w:lineRule="auto" w:before="34"/>
        <w:ind w:right="0"/>
        <w:jc w:val="both"/>
      </w:pPr>
      <w:r>
        <w:rPr/>
        <w:t>规定的补助对象，将政府补助划分为与资产相关的政府补助和与收益相关的政府补助。</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40" w:firstLine="480"/>
        <w:jc w:val="both"/>
      </w:pPr>
      <w:r>
        <w:rPr/>
        <w:t>与资产相关的政府补助，是指本公司取得的、用于购建或以其他方式形成长期资产的政 府补助。与收益相关的政府补助，是指除与资产相关的政府补助之外的政府补助。</w:t>
      </w:r>
    </w:p>
    <w:p>
      <w:pPr>
        <w:pStyle w:val="BodyText"/>
        <w:spacing w:line="352" w:lineRule="auto" w:before="31"/>
        <w:ind w:left="753" w:right="996" w:hanging="120"/>
        <w:jc w:val="left"/>
      </w:pPr>
      <w:r>
        <w:rPr>
          <w:rFonts w:ascii="宋体" w:hAnsi="宋体" w:cs="宋体" w:eastAsia="宋体" w:hint="default"/>
        </w:rPr>
        <w:t>(2)</w:t>
      </w:r>
      <w:r>
        <w:rPr/>
        <w:t>政府补助的确认 </w:t>
      </w:r>
      <w:r>
        <w:rPr>
          <w:spacing w:val="3"/>
        </w:rPr>
        <w:t>对期末有证据表明公司能够符合财政扶持政策规定的相关条件且预计能够收到财政扶</w:t>
      </w:r>
      <w:r>
        <w:rPr/>
      </w:r>
    </w:p>
    <w:p>
      <w:pPr>
        <w:pStyle w:val="BodyText"/>
        <w:spacing w:line="350" w:lineRule="auto" w:before="34"/>
        <w:ind w:left="633" w:right="996" w:hanging="481"/>
        <w:jc w:val="left"/>
      </w:pPr>
      <w:r>
        <w:rPr/>
        <w:t>持资金的，按应收金额确认政府补助。除此之外，政府补助均在实际收到时确认。 政府补助为货币性资产的，按照收到或应收的金额计量。政府补助为非货币性资产的，</w:t>
      </w:r>
    </w:p>
    <w:p>
      <w:pPr>
        <w:pStyle w:val="BodyText"/>
        <w:spacing w:line="352" w:lineRule="auto" w:before="36"/>
        <w:ind w:right="996"/>
        <w:jc w:val="left"/>
      </w:pPr>
      <w:r>
        <w:rPr>
          <w:spacing w:val="-3"/>
        </w:rPr>
        <w:t>按照公允价值计量；公允价值不能够可靠取得的，按照名义金额（人民币</w:t>
      </w:r>
      <w:r>
        <w:rPr>
          <w:rFonts w:ascii="宋体" w:hAnsi="宋体" w:cs="宋体" w:eastAsia="宋体" w:hint="default"/>
          <w:spacing w:val="-3"/>
        </w:rPr>
        <w:t>1</w:t>
      </w:r>
      <w:r>
        <w:rPr>
          <w:spacing w:val="-3"/>
        </w:rPr>
        <w:t>元）计量。按照名</w:t>
      </w:r>
      <w:r>
        <w:rPr>
          <w:spacing w:val="-81"/>
        </w:rPr>
        <w:t> </w:t>
      </w:r>
      <w:r>
        <w:rPr>
          <w:spacing w:val="-81"/>
        </w:rPr>
      </w:r>
      <w:r>
        <w:rPr/>
        <w:t>义金额计量的政府补助，直接计入当期损益。</w:t>
      </w:r>
    </w:p>
    <w:p>
      <w:pPr>
        <w:pStyle w:val="BodyText"/>
        <w:spacing w:line="352" w:lineRule="auto" w:before="32"/>
        <w:ind w:left="633" w:right="996"/>
        <w:jc w:val="left"/>
      </w:pPr>
      <w:r>
        <w:rPr>
          <w:rFonts w:ascii="宋体" w:hAnsi="宋体" w:cs="宋体" w:eastAsia="宋体" w:hint="default"/>
        </w:rPr>
        <w:t>(3)</w:t>
      </w:r>
      <w:r>
        <w:rPr/>
        <w:t>会计处理方法 本公司根据经济业务的实质，确定某一类政府补助业务应当采用总额法还是净额法进行</w:t>
      </w:r>
    </w:p>
    <w:p>
      <w:pPr>
        <w:pStyle w:val="BodyText"/>
        <w:spacing w:line="350" w:lineRule="auto" w:before="34"/>
        <w:ind w:right="996"/>
        <w:jc w:val="left"/>
      </w:pPr>
      <w:r>
        <w:rPr/>
        <w:t>会计处理。通常情况下，本公司对于同类或类似政府补助业务只选用一种方法，且对该业务</w:t>
      </w:r>
      <w:r>
        <w:rPr>
          <w:spacing w:val="-91"/>
        </w:rPr>
        <w:t> </w:t>
      </w:r>
      <w:r>
        <w:rPr>
          <w:spacing w:val="-91"/>
        </w:rPr>
      </w:r>
      <w:r>
        <w:rPr/>
        <w:t>一贯地运用该方法。</w:t>
      </w:r>
    </w:p>
    <w:p>
      <w:pPr>
        <w:pStyle w:val="BodyText"/>
        <w:spacing w:line="352" w:lineRule="auto" w:before="36"/>
        <w:ind w:right="1140" w:firstLine="480"/>
        <w:jc w:val="both"/>
      </w:pPr>
      <w:r>
        <w:rPr/>
        <w:t>与资产相关的政府补助确认为递延收益的，在所建造或购买资产使用寿命内按照合理、 系统的方法分期计入损益。</w:t>
      </w:r>
    </w:p>
    <w:p>
      <w:pPr>
        <w:pStyle w:val="BodyText"/>
        <w:spacing w:line="352" w:lineRule="auto" w:before="31"/>
        <w:ind w:right="996" w:firstLine="480"/>
        <w:jc w:val="left"/>
      </w:pPr>
      <w:r>
        <w:rPr>
          <w:spacing w:val="-3"/>
        </w:rPr>
        <w:t>与收益相关的政府补助，用于补偿企业以后期间的相关费用或损失的，确认为递延收益，</w:t>
      </w:r>
      <w:r>
        <w:rPr/>
        <w:t> 在确认相关费用或损失的期间计入当期损益；用于补偿企业已发生的相关费用或损失的，取</w:t>
      </w:r>
      <w:r>
        <w:rPr>
          <w:spacing w:val="-91"/>
        </w:rPr>
        <w:t> </w:t>
      </w:r>
      <w:r>
        <w:rPr>
          <w:spacing w:val="-91"/>
        </w:rPr>
      </w:r>
      <w:r>
        <w:rPr/>
        <w:t>得时直接计入当期损益。</w:t>
      </w:r>
    </w:p>
    <w:p>
      <w:pPr>
        <w:pStyle w:val="BodyText"/>
        <w:spacing w:line="352" w:lineRule="auto" w:before="31"/>
        <w:ind w:right="1140" w:firstLine="480"/>
        <w:jc w:val="both"/>
      </w:pPr>
      <w:r>
        <w:rPr/>
        <w:t>与企业日常活动相关的政府补助计入其他收益或冲减相关成本费用；与企业日常活动无 关的政府补助计入营业外收支。</w:t>
      </w:r>
    </w:p>
    <w:p>
      <w:pPr>
        <w:pStyle w:val="BodyText"/>
        <w:spacing w:line="350" w:lineRule="auto" w:before="34"/>
        <w:ind w:right="1139" w:firstLine="480"/>
        <w:jc w:val="both"/>
      </w:pPr>
      <w:r>
        <w:rPr/>
        <w:t>收到与政策性优惠贷款贴息相关的政府补助冲减相关借款费用；取得贷款银行提供的政 策性优惠利率贷款的，以实际收到的借款金额作为借款的入账价值，按照借款本金和该政策</w:t>
      </w:r>
      <w:r>
        <w:rPr>
          <w:spacing w:val="-91"/>
        </w:rPr>
        <w:t> </w:t>
      </w:r>
      <w:r>
        <w:rPr>
          <w:spacing w:val="-91"/>
        </w:rPr>
      </w:r>
      <w:r>
        <w:rPr/>
        <w:t>性优惠利率计算相关借款费用。</w:t>
      </w:r>
    </w:p>
    <w:p>
      <w:pPr>
        <w:pStyle w:val="BodyText"/>
        <w:spacing w:line="350" w:lineRule="auto" w:before="36"/>
        <w:ind w:right="1138" w:firstLine="480"/>
        <w:jc w:val="both"/>
      </w:pPr>
      <w:r>
        <w:rPr/>
        <w:t>已确认的政府补助需要返还时，初始确认时冲减相关资产账面价值的，调整资产账面价 值；存在相关递延收益余额的，冲减相关递延收益账面余额，超出部分计入当期损益；不存</w:t>
      </w:r>
      <w:r>
        <w:rPr>
          <w:spacing w:val="-91"/>
        </w:rPr>
        <w:t> </w:t>
      </w:r>
      <w:r>
        <w:rPr>
          <w:spacing w:val="-91"/>
        </w:rPr>
      </w:r>
      <w:r>
        <w:rPr/>
        <w:t>在相关递延收益的，直接计入当期损益。</w:t>
      </w:r>
    </w:p>
    <w:p>
      <w:pPr>
        <w:spacing w:line="240" w:lineRule="auto" w:before="1"/>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41、递延所得税资产/递延所得税负债" w:id="219"/>
      <w:bookmarkEnd w:id="219"/>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right="1128" w:firstLine="480"/>
        <w:jc w:val="both"/>
      </w:pPr>
      <w:r>
        <w:rPr>
          <w:spacing w:val="3"/>
        </w:rPr>
        <w:t>递延所得税资产和递延所得税负债根据资产和负债的计税基础与其账面价值的差额</w:t>
      </w:r>
      <w:r>
        <w:rPr>
          <w:rFonts w:ascii="宋体" w:hAnsi="宋体" w:cs="宋体" w:eastAsia="宋体" w:hint="default"/>
          <w:spacing w:val="3"/>
        </w:rPr>
        <w:t>(</w:t>
      </w:r>
      <w:r>
        <w:rPr>
          <w:spacing w:val="3"/>
        </w:rPr>
        <w:t>暂</w:t>
      </w:r>
      <w:r>
        <w:rPr/>
        <w:t> </w:t>
      </w:r>
      <w:r>
        <w:rPr>
          <w:spacing w:val="-2"/>
        </w:rPr>
        <w:t>时性差异</w:t>
      </w:r>
      <w:r>
        <w:rPr>
          <w:rFonts w:ascii="宋体" w:hAnsi="宋体" w:cs="宋体" w:eastAsia="宋体" w:hint="default"/>
          <w:spacing w:val="-2"/>
        </w:rPr>
        <w:t>)</w:t>
      </w:r>
      <w:r>
        <w:rPr>
          <w:spacing w:val="-2"/>
        </w:rPr>
        <w:t>计算确认。于资产负债表日，递延所得税资产和递延所得税负债，按照预期收回该</w:t>
      </w:r>
      <w:r>
        <w:rPr/>
        <w:t> 资产或清偿该负债期间的适用税率计量。</w:t>
      </w:r>
    </w:p>
    <w:p>
      <w:pPr>
        <w:spacing w:after="0" w:line="352"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left="633" w:right="996"/>
        <w:jc w:val="left"/>
      </w:pPr>
      <w:r>
        <w:rPr>
          <w:rFonts w:ascii="宋体" w:hAnsi="宋体" w:cs="宋体" w:eastAsia="宋体" w:hint="default"/>
        </w:rPr>
        <w:t>(1)</w:t>
      </w:r>
      <w:r>
        <w:rPr/>
        <w:t>确认递延所得税资产的依据 本公司以很可能取得用来抵扣可抵扣暂时性差异、能够结转以后年度的可抵扣亏损和税</w:t>
      </w:r>
    </w:p>
    <w:p>
      <w:pPr>
        <w:pStyle w:val="BodyText"/>
        <w:spacing w:line="352" w:lineRule="auto" w:before="31"/>
        <w:ind w:right="1133"/>
        <w:jc w:val="both"/>
      </w:pPr>
      <w:r>
        <w:rPr/>
        <w:t>款抵减的应纳税所得额为限，确认由可抵扣暂时性差异产生的递延所得税资产。但是，同时</w:t>
      </w:r>
      <w:r>
        <w:rPr>
          <w:spacing w:val="-87"/>
        </w:rPr>
        <w:t> </w:t>
      </w:r>
      <w:r>
        <w:rPr>
          <w:spacing w:val="-87"/>
        </w:rPr>
      </w:r>
      <w:r>
        <w:rPr/>
        <w:t>具有下列特征的交易中因资产或负债的初始确认所产生的递延所得税资产不予确认：①该交</w:t>
      </w:r>
      <w:r>
        <w:rPr>
          <w:spacing w:val="-86"/>
        </w:rPr>
        <w:t> </w:t>
      </w:r>
      <w:r>
        <w:rPr>
          <w:spacing w:val="-86"/>
        </w:rPr>
      </w:r>
      <w:r>
        <w:rPr/>
        <w:t>易不是企业合并；②交易发生时既不影响会计利润也不影响应纳税所得额或可抵扣亏损。</w:t>
      </w:r>
    </w:p>
    <w:p>
      <w:pPr>
        <w:pStyle w:val="BodyText"/>
        <w:spacing w:line="352" w:lineRule="auto" w:before="31"/>
        <w:ind w:right="1139" w:firstLine="480"/>
        <w:jc w:val="both"/>
      </w:pPr>
      <w:r>
        <w:rPr/>
        <w:t>对于与联营企业投资相关的可抵扣暂时性差异，同时满足下列条件的，确认相应的递延 所得税资产：暂时性差异在可预见的未来很可能转回，且未来很可能获得用来抵扣可抵扣暂</w:t>
      </w:r>
      <w:r>
        <w:rPr>
          <w:spacing w:val="-91"/>
        </w:rPr>
        <w:t> </w:t>
      </w:r>
      <w:r>
        <w:rPr>
          <w:spacing w:val="-91"/>
        </w:rPr>
      </w:r>
      <w:r>
        <w:rPr/>
        <w:t>时性差异的应纳税所得额。</w:t>
      </w:r>
    </w:p>
    <w:p>
      <w:pPr>
        <w:pStyle w:val="BodyText"/>
        <w:spacing w:line="352" w:lineRule="auto" w:before="32"/>
        <w:ind w:left="633" w:right="996"/>
        <w:jc w:val="left"/>
      </w:pPr>
      <w:r>
        <w:rPr>
          <w:rFonts w:ascii="宋体" w:hAnsi="宋体" w:cs="宋体" w:eastAsia="宋体" w:hint="default"/>
        </w:rPr>
        <w:t>(2)</w:t>
      </w:r>
      <w:r>
        <w:rPr/>
        <w:t>确认递延所得税负债的依据 </w:t>
      </w:r>
      <w:r>
        <w:rPr>
          <w:spacing w:val="-3"/>
        </w:rPr>
        <w:t>公司将当期与以前期间应交未交的应纳税暂时性差异确认为递延所得税负债。但不包括：</w:t>
      </w:r>
    </w:p>
    <w:p>
      <w:pPr>
        <w:pStyle w:val="BodyText"/>
        <w:spacing w:line="240" w:lineRule="auto" w:before="34"/>
        <w:ind w:left="633" w:right="996"/>
        <w:jc w:val="left"/>
      </w:pPr>
      <w:r>
        <w:rPr/>
        <w:t>①商誉的初始确认所形成的暂时性差异；</w:t>
      </w:r>
    </w:p>
    <w:p>
      <w:pPr>
        <w:pStyle w:val="BodyText"/>
        <w:spacing w:line="352" w:lineRule="auto" w:before="144"/>
        <w:ind w:right="1140" w:firstLine="480"/>
        <w:jc w:val="both"/>
      </w:pPr>
      <w:r>
        <w:rPr/>
        <w:t>②非企业合并形成的交易或事项，且该交易或事项发生时既不影响会计利润，也不影响 应纳税所得额（或可抵扣亏损）所形成的暂时性差异；</w:t>
      </w:r>
    </w:p>
    <w:p>
      <w:pPr>
        <w:pStyle w:val="BodyText"/>
        <w:spacing w:line="350" w:lineRule="auto" w:before="34"/>
        <w:ind w:right="1140" w:firstLine="480"/>
        <w:jc w:val="both"/>
      </w:pPr>
      <w:r>
        <w:rPr/>
        <w:t>③对于与子公司、联营企业投资相关的应纳税暂时性差异，该暂时性差异转回的时间能 够控制并且该暂时性差异在可预见的未来很可能不会转回。</w:t>
      </w:r>
    </w:p>
    <w:p>
      <w:pPr>
        <w:spacing w:line="240" w:lineRule="auto" w:before="1"/>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42、租赁" w:id="220"/>
      <w:bookmarkEnd w:id="220"/>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Heading2"/>
        <w:spacing w:line="240" w:lineRule="auto" w:before="0"/>
        <w:ind w:right="0"/>
        <w:jc w:val="both"/>
        <w:rPr>
          <w:b w:val="0"/>
          <w:bCs w:val="0"/>
        </w:rPr>
      </w:pPr>
      <w:bookmarkStart w:name="（1）经营租赁的会计处理方法" w:id="221"/>
      <w:bookmarkEnd w:id="22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352" w:lineRule="auto" w:before="126"/>
        <w:ind w:left="633" w:right="996"/>
        <w:jc w:val="left"/>
      </w:pPr>
      <w:r>
        <w:rPr/>
        <w:t>①经营租入资产 公司租入资产所支付的租赁费，在不扣除免租期的整个租赁期内，按直线法进行分摊，</w:t>
      </w:r>
    </w:p>
    <w:p>
      <w:pPr>
        <w:pStyle w:val="BodyText"/>
        <w:spacing w:line="350" w:lineRule="auto" w:before="34"/>
        <w:ind w:left="633" w:right="996" w:hanging="481"/>
        <w:jc w:val="left"/>
      </w:pPr>
      <w:r>
        <w:rPr/>
        <w:t>计入当期费用。公司支付的与租赁交易相关的初始直接费用，计入当期费用。 资产出租方承担了应由公司承担的与租赁相关的费用时，公司将该部分费用从租金总额</w:t>
      </w:r>
    </w:p>
    <w:p>
      <w:pPr>
        <w:pStyle w:val="BodyText"/>
        <w:spacing w:line="240" w:lineRule="auto" w:before="36"/>
        <w:ind w:right="0"/>
        <w:jc w:val="both"/>
      </w:pPr>
      <w:r>
        <w:rPr/>
        <w:t>中扣除，按扣除后的租金费用在租赁期内分摊，计入当期费用。</w:t>
      </w:r>
    </w:p>
    <w:p>
      <w:pPr>
        <w:pStyle w:val="BodyText"/>
        <w:spacing w:line="350" w:lineRule="auto" w:before="146"/>
        <w:ind w:left="633" w:right="996"/>
        <w:jc w:val="left"/>
      </w:pPr>
      <w:r>
        <w:rPr/>
        <w:t>②经营租出资产 公司出租资产所收取的租赁费，在不扣除免租期的整个租赁期内，按直线法进行分摊，</w:t>
      </w:r>
    </w:p>
    <w:p>
      <w:pPr>
        <w:pStyle w:val="BodyText"/>
        <w:spacing w:line="350" w:lineRule="auto" w:before="36"/>
        <w:ind w:left="0" w:right="1139"/>
        <w:jc w:val="right"/>
      </w:pPr>
      <w:r>
        <w:rPr/>
        <w:t>确认为租赁收入。公司支付的与租赁交易相关的初始直接费用，计入当期费用；如金额较大</w:t>
      </w:r>
      <w:r>
        <w:rPr>
          <w:spacing w:val="-100"/>
        </w:rPr>
        <w:t> </w:t>
      </w:r>
      <w:r>
        <w:rPr>
          <w:spacing w:val="-100"/>
        </w:rPr>
      </w:r>
      <w:r>
        <w:rPr/>
        <w:t>的，则予以资本化，在整个租赁期间内按照与租赁收入确认相同的基础分期计入当期收益。 公司承担了应由承租方承担的与租赁相关的费用时，公司将该部分费用从租金收入总额</w:t>
      </w:r>
    </w:p>
    <w:p>
      <w:pPr>
        <w:pStyle w:val="BodyText"/>
        <w:spacing w:line="240" w:lineRule="auto" w:before="36"/>
        <w:ind w:right="0"/>
        <w:jc w:val="both"/>
      </w:pPr>
      <w:r>
        <w:rPr/>
        <w:t>中扣除，按扣除后的租金费用在租赁期内分配。</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Heading2"/>
        <w:spacing w:line="240" w:lineRule="auto" w:before="198"/>
        <w:ind w:right="996"/>
        <w:jc w:val="left"/>
        <w:rPr>
          <w:b w:val="0"/>
          <w:bCs w:val="0"/>
        </w:rPr>
      </w:pPr>
      <w:bookmarkStart w:name="（2）融资租赁的会计处理方法" w:id="222"/>
      <w:bookmarkEnd w:id="22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50" w:lineRule="auto" w:before="128"/>
        <w:ind w:right="1134" w:firstLine="480"/>
        <w:jc w:val="both"/>
      </w:pPr>
      <w:r>
        <w:rPr/>
        <w:t>①融资租入资产：公司在承租开始日，将租赁资产公允价值与最低租赁付款额现值两者 中较低者作为租入资产的入账价值，将最低租赁付款额作为长期应付款的入账价值，其差额</w:t>
      </w:r>
      <w:r>
        <w:rPr>
          <w:spacing w:val="-91"/>
        </w:rPr>
        <w:t> </w:t>
      </w:r>
      <w:r>
        <w:rPr>
          <w:spacing w:val="-91"/>
        </w:rPr>
      </w:r>
      <w:r>
        <w:rPr/>
        <w:t>作为未确认的融资费用。</w:t>
      </w:r>
      <w:r>
        <w:rPr>
          <w:spacing w:val="37"/>
        </w:rPr>
        <w:t> </w:t>
      </w:r>
      <w:r>
        <w:rPr/>
        <w:t>融资租入资产的认定依据、计价和折旧方法详见本附注四／（十</w:t>
      </w:r>
      <w:r>
        <w:rPr/>
        <w:t> 五）固定资产。</w:t>
      </w:r>
    </w:p>
    <w:p>
      <w:pPr>
        <w:pStyle w:val="BodyText"/>
        <w:spacing w:line="240" w:lineRule="auto" w:before="34"/>
        <w:ind w:left="633" w:right="996"/>
        <w:jc w:val="left"/>
      </w:pPr>
      <w:r>
        <w:rPr/>
        <w:t>公司采用实际利率法对未确认的融资费用，在资产租赁期间内摊销，计入财务费用。</w:t>
      </w:r>
    </w:p>
    <w:p>
      <w:pPr>
        <w:pStyle w:val="BodyText"/>
        <w:spacing w:line="352" w:lineRule="auto" w:before="146"/>
        <w:ind w:right="1135" w:firstLine="480"/>
        <w:jc w:val="both"/>
      </w:pPr>
      <w:r>
        <w:rPr/>
        <w:t>②融资租出资产：公司在租赁开始日，将应收融资租赁款，未担保余值之和与其现值的 差额确认为未实现融资收益，在将来收到租金的各期间内确认为租赁收入，公司发生的与出</w:t>
      </w:r>
      <w:r>
        <w:rPr>
          <w:spacing w:val="-91"/>
        </w:rPr>
        <w:t> </w:t>
      </w:r>
      <w:r>
        <w:rPr>
          <w:spacing w:val="-91"/>
        </w:rPr>
      </w:r>
      <w:r>
        <w:rPr/>
        <w:t>租交易相关的初始直接费用，计入应收融资租赁款的初始计量中，并减少租赁期内确认的收</w:t>
      </w:r>
      <w:r>
        <w:rPr>
          <w:spacing w:val="-88"/>
        </w:rPr>
        <w:t> </w:t>
      </w:r>
      <w:r>
        <w:rPr>
          <w:spacing w:val="-88"/>
        </w:rPr>
      </w:r>
      <w:r>
        <w:rPr/>
        <w:t>益金额。</w:t>
      </w:r>
    </w:p>
    <w:p>
      <w:pPr>
        <w:spacing w:line="240" w:lineRule="auto" w:before="12"/>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43、其他重要的会计政策和会计估计" w:id="223"/>
      <w:bookmarkEnd w:id="223"/>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right="1140" w:firstLine="480"/>
        <w:jc w:val="both"/>
      </w:pPr>
      <w:r>
        <w:rPr/>
        <w:t>本公司将满足下列条件之一的，且该组成部分已经处置或划归为持有待售类别的、能够 单独区分的组成部分确认为终止经营组成部分：</w:t>
      </w:r>
    </w:p>
    <w:p>
      <w:pPr>
        <w:pStyle w:val="BodyText"/>
        <w:spacing w:line="240" w:lineRule="auto" w:before="34"/>
        <w:ind w:left="633" w:right="996"/>
        <w:jc w:val="left"/>
      </w:pPr>
      <w:r>
        <w:rPr/>
        <w:t>（</w:t>
      </w:r>
      <w:r>
        <w:rPr>
          <w:rFonts w:ascii="宋体" w:hAnsi="宋体" w:cs="宋体" w:eastAsia="宋体" w:hint="default"/>
        </w:rPr>
        <w:t>1</w:t>
      </w:r>
      <w:r>
        <w:rPr/>
        <w:t>）该组成部分代表一项独立的主要业务或一个单独的主要经营地区。</w:t>
      </w:r>
    </w:p>
    <w:p>
      <w:pPr>
        <w:pStyle w:val="BodyText"/>
        <w:spacing w:line="352" w:lineRule="auto" w:before="144"/>
        <w:ind w:right="1132" w:firstLine="480"/>
        <w:jc w:val="both"/>
      </w:pPr>
      <w:r>
        <w:rPr>
          <w:spacing w:val="-3"/>
        </w:rPr>
        <w:t>（</w:t>
      </w:r>
      <w:r>
        <w:rPr>
          <w:rFonts w:ascii="宋体" w:hAnsi="宋体" w:cs="宋体" w:eastAsia="宋体" w:hint="default"/>
          <w:spacing w:val="-3"/>
        </w:rPr>
        <w:t>2</w:t>
      </w:r>
      <w:r>
        <w:rPr>
          <w:spacing w:val="-3"/>
        </w:rPr>
        <w:t>）该组成部分是拟对一项独立的主要业务或一个单独的主要经营地区进行处置的一项</w:t>
      </w:r>
      <w:r>
        <w:rPr/>
        <w:t> 相关联计划的一部分。</w:t>
      </w:r>
    </w:p>
    <w:p>
      <w:pPr>
        <w:pStyle w:val="BodyText"/>
        <w:spacing w:line="350" w:lineRule="auto" w:before="34"/>
        <w:ind w:left="633" w:right="996"/>
        <w:jc w:val="left"/>
      </w:pPr>
      <w:r>
        <w:rPr/>
        <w:t>（</w:t>
      </w:r>
      <w:r>
        <w:rPr>
          <w:rFonts w:ascii="宋体" w:hAnsi="宋体" w:cs="宋体" w:eastAsia="宋体" w:hint="default"/>
        </w:rPr>
        <w:t>3</w:t>
      </w:r>
      <w:r>
        <w:rPr/>
        <w:t>）该组成部分是专为转售而取得的子公司。 终止经营的减值损失和转回金额等经营损益及处置损益作为终止经营损益在利润表中列</w:t>
      </w:r>
    </w:p>
    <w:p>
      <w:pPr>
        <w:pStyle w:val="BodyText"/>
        <w:spacing w:line="240" w:lineRule="auto" w:before="36"/>
        <w:ind w:right="996"/>
        <w:jc w:val="left"/>
      </w:pPr>
      <w:r>
        <w:rPr/>
        <w:t>示。</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4、重要会计政策和会计估计变更" w:id="224"/>
      <w:bookmarkEnd w:id="224"/>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重要会计政策变更"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5956"/>
        <w:gridCol w:w="1844"/>
        <w:gridCol w:w="1771"/>
      </w:tblGrid>
      <w:tr>
        <w:trPr>
          <w:trHeight w:val="401"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339"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日起执行财政部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年修订的《企业会</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计准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确认</w:t>
            </w:r>
            <w:r>
              <w:rPr>
                <w:rFonts w:ascii="宋体" w:hAnsi="宋体" w:cs="宋体" w:eastAsia="宋体" w:hint="default"/>
                <w:spacing w:val="-3"/>
                <w:w w:val="100"/>
                <w:sz w:val="21"/>
                <w:szCs w:val="21"/>
              </w:rPr>
              <w:t>和</w:t>
            </w:r>
            <w:r>
              <w:rPr>
                <w:rFonts w:ascii="宋体" w:hAnsi="宋体" w:cs="宋体" w:eastAsia="宋体" w:hint="default"/>
                <w:w w:val="100"/>
                <w:sz w:val="21"/>
                <w:szCs w:val="21"/>
              </w:rPr>
              <w:t>计</w:t>
            </w:r>
            <w:r>
              <w:rPr>
                <w:rFonts w:ascii="宋体" w:hAnsi="宋体" w:cs="宋体" w:eastAsia="宋体" w:hint="default"/>
                <w:spacing w:val="-3"/>
                <w:w w:val="100"/>
                <w:sz w:val="21"/>
                <w:szCs w:val="21"/>
              </w:rPr>
              <w:t>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w w:val="100"/>
                <w:sz w:val="21"/>
                <w:szCs w:val="21"/>
              </w:rPr>
              <w:t>-</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金融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转</w:t>
            </w:r>
            <w:r>
              <w:rPr>
                <w:rFonts w:ascii="宋体" w:hAnsi="宋体" w:cs="宋体" w:eastAsia="宋体" w:hint="default"/>
                <w:w w:val="100"/>
                <w:sz w:val="21"/>
                <w:szCs w:val="21"/>
              </w:rPr>
              <w:t>移</w:t>
            </w:r>
            <w:r>
              <w:rPr>
                <w:rFonts w:ascii="宋体" w:hAnsi="宋体" w:cs="宋体" w:eastAsia="宋体" w:hint="default"/>
                <w:spacing w:val="-3"/>
                <w:w w:val="100"/>
                <w:sz w:val="21"/>
                <w:szCs w:val="21"/>
              </w:rPr>
              <w:t>》</w:t>
            </w:r>
            <w:r>
              <w:rPr>
                <w:rFonts w:ascii="宋体" w:hAnsi="宋体" w:cs="宋体" w:eastAsia="宋体" w:hint="default"/>
                <w:w w:val="100"/>
                <w:sz w:val="21"/>
                <w:szCs w:val="21"/>
              </w:rPr>
              <w:t>和</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准则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套期</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计准则第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37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z w:val="21"/>
                <w:szCs w:val="21"/>
              </w:rPr>
              <w:t>第六届董事会第十</w:t>
            </w:r>
            <w:r>
              <w:rPr>
                <w:rFonts w:ascii="宋体" w:hAnsi="宋体" w:cs="宋体" w:eastAsia="宋体" w:hint="default"/>
                <w:w w:val="100"/>
                <w:sz w:val="21"/>
                <w:szCs w:val="21"/>
              </w:rPr>
              <w:t> </w:t>
            </w:r>
            <w:r>
              <w:rPr>
                <w:rFonts w:ascii="宋体" w:hAnsi="宋体" w:cs="宋体" w:eastAsia="宋体" w:hint="default"/>
                <w:sz w:val="21"/>
                <w:szCs w:val="21"/>
              </w:rPr>
              <w:t>七次会议</w:t>
            </w:r>
          </w:p>
        </w:tc>
      </w:tr>
    </w:tbl>
    <w:p>
      <w:pPr>
        <w:spacing w:after="0" w:line="273"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5956"/>
        <w:gridCol w:w="1844"/>
        <w:gridCol w:w="1771"/>
      </w:tblGrid>
      <w:tr>
        <w:trPr>
          <w:trHeight w:val="2276" w:hRule="exact"/>
        </w:trPr>
        <w:tc>
          <w:tcPr>
            <w:tcW w:w="59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7"/>
              <w:jc w:val="both"/>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日发</w:t>
            </w:r>
            <w:r>
              <w:rPr>
                <w:rFonts w:ascii="宋体" w:hAnsi="宋体" w:cs="宋体" w:eastAsia="宋体" w:hint="default"/>
                <w:spacing w:val="-89"/>
                <w:w w:val="100"/>
                <w:sz w:val="21"/>
                <w:szCs w:val="21"/>
              </w:rPr>
              <w:t>布</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印发</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一</w:t>
            </w:r>
            <w:r>
              <w:rPr>
                <w:rFonts w:ascii="宋体" w:hAnsi="宋体" w:cs="宋体" w:eastAsia="宋体" w:hint="default"/>
                <w:spacing w:val="-3"/>
                <w:w w:val="100"/>
                <w:sz w:val="21"/>
                <w:szCs w:val="21"/>
              </w:rPr>
              <w:t>般</w:t>
            </w:r>
            <w:r>
              <w:rPr>
                <w:rFonts w:ascii="宋体" w:hAnsi="宋体" w:cs="宋体" w:eastAsia="宋体" w:hint="default"/>
                <w:w w:val="100"/>
                <w:sz w:val="21"/>
                <w:szCs w:val="21"/>
              </w:rPr>
              <w:t>企</w:t>
            </w:r>
            <w:r>
              <w:rPr>
                <w:rFonts w:ascii="宋体" w:hAnsi="宋体" w:cs="宋体" w:eastAsia="宋体" w:hint="default"/>
                <w:w w:val="100"/>
                <w:sz w:val="21"/>
                <w:szCs w:val="21"/>
              </w:rPr>
              <w:t> 业财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w w:val="100"/>
                <w:sz w:val="21"/>
                <w:szCs w:val="21"/>
              </w:rPr>
              <w:t>格</w:t>
            </w:r>
            <w:r>
              <w:rPr>
                <w:rFonts w:ascii="宋体" w:hAnsi="宋体" w:cs="宋体" w:eastAsia="宋体" w:hint="default"/>
                <w:spacing w:val="-3"/>
                <w:w w:val="100"/>
                <w:sz w:val="21"/>
                <w:szCs w:val="21"/>
              </w:rPr>
              <w:t>式</w:t>
            </w:r>
            <w:r>
              <w:rPr>
                <w:rFonts w:ascii="宋体" w:hAnsi="宋体" w:cs="宋体" w:eastAsia="宋体" w:hint="default"/>
                <w:w w:val="100"/>
                <w:sz w:val="21"/>
                <w:szCs w:val="21"/>
              </w:rPr>
              <w:t>的</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14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财会</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spacing w:val="-34"/>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一</w:t>
            </w:r>
            <w:r>
              <w:rPr>
                <w:rFonts w:ascii="宋体" w:hAnsi="宋体" w:cs="宋体" w:eastAsia="宋体" w:hint="default"/>
                <w:spacing w:val="-3"/>
                <w:w w:val="100"/>
                <w:sz w:val="21"/>
                <w:szCs w:val="21"/>
              </w:rPr>
              <w:t>般</w:t>
            </w:r>
            <w:r>
              <w:rPr>
                <w:rFonts w:ascii="宋体" w:hAnsi="宋体" w:cs="宋体" w:eastAsia="宋体" w:hint="default"/>
                <w:w w:val="100"/>
                <w:sz w:val="21"/>
                <w:szCs w:val="21"/>
              </w:rPr>
              <w:t>企业</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w:t>
            </w:r>
            <w:r>
              <w:rPr>
                <w:rFonts w:ascii="宋体" w:hAnsi="宋体" w:cs="宋体" w:eastAsia="宋体" w:hint="default"/>
                <w:w w:val="100"/>
                <w:sz w:val="21"/>
                <w:szCs w:val="21"/>
              </w:rPr>
              <w:t> 格式</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了</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spacing w:val="-89"/>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在</w:t>
            </w:r>
            <w:r>
              <w:rPr>
                <w:rFonts w:ascii="宋体" w:hAnsi="宋体" w:cs="宋体" w:eastAsia="宋体" w:hint="default"/>
                <w:spacing w:val="-3"/>
                <w:w w:val="100"/>
                <w:sz w:val="21"/>
                <w:szCs w:val="21"/>
              </w:rPr>
              <w:t>编</w:t>
            </w:r>
            <w:r>
              <w:rPr>
                <w:rFonts w:ascii="宋体" w:hAnsi="宋体" w:cs="宋体" w:eastAsia="宋体" w:hint="default"/>
                <w:w w:val="100"/>
                <w:sz w:val="21"/>
                <w:szCs w:val="21"/>
              </w:rPr>
              <w:t>制</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中</w:t>
            </w:r>
            <w:r>
              <w:rPr>
                <w:rFonts w:ascii="宋体" w:hAnsi="宋体" w:cs="宋体" w:eastAsia="宋体" w:hint="default"/>
                <w:w w:val="100"/>
                <w:sz w:val="21"/>
                <w:szCs w:val="21"/>
              </w:rPr>
              <w:t>期</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报表</w:t>
            </w:r>
            <w:r>
              <w:rPr>
                <w:rFonts w:ascii="宋体" w:hAnsi="宋体" w:cs="宋体" w:eastAsia="宋体" w:hint="default"/>
                <w:w w:val="100"/>
                <w:sz w:val="21"/>
                <w:szCs w:val="21"/>
              </w:rPr>
              <w:t>及以</w:t>
            </w:r>
            <w:r>
              <w:rPr>
                <w:rFonts w:ascii="宋体" w:hAnsi="宋体" w:cs="宋体" w:eastAsia="宋体" w:hint="default"/>
                <w:spacing w:val="-3"/>
                <w:w w:val="100"/>
                <w:sz w:val="21"/>
                <w:szCs w:val="21"/>
              </w:rPr>
              <w:t>后</w:t>
            </w:r>
            <w:r>
              <w:rPr>
                <w:rFonts w:ascii="宋体" w:hAnsi="宋体" w:cs="宋体" w:eastAsia="宋体" w:hint="default"/>
                <w:w w:val="100"/>
                <w:sz w:val="21"/>
                <w:szCs w:val="21"/>
              </w:rPr>
              <w:t>期间</w:t>
            </w:r>
          </w:p>
          <w:p>
            <w:pPr>
              <w:pStyle w:val="TableParagraph"/>
              <w:spacing w:line="240" w:lineRule="auto" w:before="5"/>
              <w:ind w:left="24" w:right="0"/>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的财务报表时，执行新财务报表格式。本公司自</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10</w:t>
            </w:r>
            <w:r>
              <w:rPr>
                <w:rFonts w:ascii="Times New Roman" w:hAnsi="Times New Roman" w:cs="Times New Roman" w:eastAsia="Times New Roman" w:hint="default"/>
                <w:sz w:val="21"/>
                <w:szCs w:val="21"/>
              </w:rPr>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日起执行财政部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年修订的《企业会计准则第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非货</w:t>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w w:val="100"/>
                <w:sz w:val="21"/>
                <w:szCs w:val="21"/>
              </w:rPr>
              <w:t>币性</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交</w:t>
            </w:r>
            <w:r>
              <w:rPr>
                <w:rFonts w:ascii="宋体" w:hAnsi="宋体" w:cs="宋体" w:eastAsia="宋体" w:hint="default"/>
                <w:w w:val="100"/>
                <w:sz w:val="21"/>
                <w:szCs w:val="21"/>
              </w:rPr>
              <w:t>换</w:t>
            </w:r>
            <w:r>
              <w:rPr>
                <w:rFonts w:ascii="宋体" w:hAnsi="宋体" w:cs="宋体" w:eastAsia="宋体" w:hint="default"/>
                <w:spacing w:val="-108"/>
                <w:w w:val="100"/>
                <w:sz w:val="21"/>
                <w:szCs w:val="21"/>
              </w:rPr>
              <w:t>》</w:t>
            </w:r>
            <w:r>
              <w:rPr>
                <w:rFonts w:ascii="宋体" w:hAnsi="宋体" w:cs="宋体" w:eastAsia="宋体" w:hint="default"/>
                <w:w w:val="100"/>
                <w:sz w:val="21"/>
                <w:szCs w:val="21"/>
              </w:rPr>
              <w:t>，自</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起</w:t>
            </w:r>
            <w:r>
              <w:rPr>
                <w:rFonts w:ascii="宋体" w:hAnsi="宋体" w:cs="宋体" w:eastAsia="宋体" w:hint="default"/>
                <w:w w:val="100"/>
                <w:sz w:val="21"/>
                <w:szCs w:val="21"/>
              </w:rPr>
              <w:t>执</w:t>
            </w:r>
            <w:r>
              <w:rPr>
                <w:rFonts w:ascii="宋体" w:hAnsi="宋体" w:cs="宋体" w:eastAsia="宋体" w:hint="default"/>
                <w:spacing w:val="-3"/>
                <w:w w:val="100"/>
                <w:sz w:val="21"/>
                <w:szCs w:val="21"/>
              </w:rPr>
              <w:t>行</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年修</w:t>
            </w:r>
            <w:r>
              <w:rPr>
                <w:rFonts w:ascii="宋体" w:hAnsi="宋体" w:cs="宋体" w:eastAsia="宋体" w:hint="default"/>
                <w:w w:val="100"/>
                <w:sz w:val="21"/>
                <w:szCs w:val="21"/>
              </w:rPr>
            </w:r>
          </w:p>
          <w:p>
            <w:pPr>
              <w:pStyle w:val="TableParagraph"/>
              <w:spacing w:line="240" w:lineRule="auto" w:before="21"/>
              <w:ind w:left="24" w:right="0"/>
              <w:jc w:val="both"/>
              <w:rPr>
                <w:rFonts w:ascii="宋体" w:hAnsi="宋体" w:cs="宋体" w:eastAsia="宋体" w:hint="default"/>
                <w:sz w:val="21"/>
                <w:szCs w:val="21"/>
              </w:rPr>
            </w:pPr>
            <w:r>
              <w:rPr>
                <w:rFonts w:ascii="宋体" w:hAnsi="宋体" w:cs="宋体" w:eastAsia="宋体" w:hint="default"/>
                <w:sz w:val="21"/>
                <w:szCs w:val="21"/>
              </w:rPr>
              <w:t>订的《企业会计准则第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债务重组》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24"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23" w:right="52"/>
              <w:jc w:val="left"/>
              <w:rPr>
                <w:rFonts w:ascii="宋体" w:hAnsi="宋体" w:cs="宋体" w:eastAsia="宋体" w:hint="default"/>
                <w:sz w:val="21"/>
                <w:szCs w:val="21"/>
              </w:rPr>
            </w:pPr>
            <w:r>
              <w:rPr>
                <w:rFonts w:ascii="宋体" w:hAnsi="宋体" w:cs="宋体" w:eastAsia="宋体" w:hint="default"/>
                <w:sz w:val="21"/>
                <w:szCs w:val="21"/>
              </w:rPr>
              <w:t>第六届董事会第十</w:t>
            </w:r>
            <w:r>
              <w:rPr>
                <w:rFonts w:ascii="宋体" w:hAnsi="宋体" w:cs="宋体" w:eastAsia="宋体" w:hint="default"/>
                <w:w w:val="100"/>
                <w:sz w:val="21"/>
                <w:szCs w:val="21"/>
              </w:rPr>
              <w:t> </w:t>
            </w:r>
            <w:r>
              <w:rPr>
                <w:rFonts w:ascii="宋体" w:hAnsi="宋体" w:cs="宋体" w:eastAsia="宋体" w:hint="default"/>
                <w:sz w:val="21"/>
                <w:szCs w:val="21"/>
              </w:rPr>
              <w:t>九次会议</w:t>
            </w:r>
          </w:p>
        </w:tc>
      </w:tr>
    </w:tbl>
    <w:p>
      <w:pPr>
        <w:spacing w:line="240" w:lineRule="auto" w:before="9"/>
        <w:rPr>
          <w:rFonts w:ascii="宋体" w:hAnsi="宋体" w:cs="宋体" w:eastAsia="宋体" w:hint="default"/>
          <w:b/>
          <w:bCs/>
          <w:sz w:val="4"/>
          <w:szCs w:val="4"/>
        </w:rPr>
      </w:pPr>
    </w:p>
    <w:p>
      <w:pPr>
        <w:pStyle w:val="BodyText"/>
        <w:spacing w:line="240" w:lineRule="auto" w:before="26"/>
        <w:ind w:left="633" w:right="996"/>
        <w:jc w:val="left"/>
      </w:pPr>
      <w:r>
        <w:rPr/>
        <w:t>会计政策变更说明：</w:t>
      </w:r>
    </w:p>
    <w:p>
      <w:pPr>
        <w:pStyle w:val="BodyText"/>
        <w:spacing w:line="352" w:lineRule="auto" w:before="144"/>
        <w:ind w:right="1011" w:firstLine="600"/>
        <w:jc w:val="left"/>
      </w:pPr>
      <w:r>
        <w:rPr/>
        <w:t>①本公司自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w:t>
      </w:r>
      <w:r>
        <w:rPr>
          <w:rFonts w:ascii="宋体" w:hAnsi="宋体" w:cs="宋体" w:eastAsia="宋体" w:hint="default"/>
        </w:rPr>
        <w:t>2017</w:t>
      </w:r>
      <w:r>
        <w:rPr/>
        <w:t>年修订的</w:t>
      </w:r>
      <w:r>
        <w:rPr>
          <w:spacing w:val="-83"/>
        </w:rPr>
        <w:t> </w:t>
      </w:r>
      <w:r>
        <w:rPr/>
        <w:t>《企业会计准则第</w:t>
      </w:r>
      <w:r>
        <w:rPr>
          <w:rFonts w:ascii="宋体" w:hAnsi="宋体" w:cs="宋体" w:eastAsia="宋体" w:hint="default"/>
        </w:rPr>
        <w:t>22</w:t>
      </w:r>
      <w:r>
        <w:rPr/>
        <w:t>号</w:t>
      </w:r>
      <w:r>
        <w:rPr>
          <w:rFonts w:ascii="宋体" w:hAnsi="宋体" w:cs="宋体" w:eastAsia="宋体" w:hint="default"/>
        </w:rPr>
        <w:t>-</w:t>
      </w:r>
      <w:r>
        <w:rPr/>
        <w:t>金融工具 </w:t>
      </w:r>
      <w:r>
        <w:rPr>
          <w:spacing w:val="-8"/>
        </w:rPr>
        <w:t>确认和计量》、《企业会计准则第</w:t>
      </w:r>
      <w:r>
        <w:rPr>
          <w:rFonts w:ascii="宋体" w:hAnsi="宋体" w:cs="宋体" w:eastAsia="宋体" w:hint="default"/>
          <w:spacing w:val="-8"/>
        </w:rPr>
        <w:t>23</w:t>
      </w:r>
      <w:r>
        <w:rPr>
          <w:spacing w:val="-8"/>
        </w:rPr>
        <w:t>号</w:t>
      </w:r>
      <w:r>
        <w:rPr>
          <w:rFonts w:ascii="宋体" w:hAnsi="宋体" w:cs="宋体" w:eastAsia="宋体" w:hint="default"/>
          <w:spacing w:val="-8"/>
        </w:rPr>
        <w:t>-</w:t>
      </w:r>
      <w:r>
        <w:rPr>
          <w:spacing w:val="-8"/>
        </w:rPr>
        <w:t>金融资产转移》和《企业会计准则第</w:t>
      </w:r>
      <w:r>
        <w:rPr>
          <w:rFonts w:ascii="宋体" w:hAnsi="宋体" w:cs="宋体" w:eastAsia="宋体" w:hint="default"/>
          <w:spacing w:val="-8"/>
        </w:rPr>
        <w:t>24</w:t>
      </w:r>
      <w:r>
        <w:rPr>
          <w:spacing w:val="-8"/>
        </w:rPr>
        <w:t>号</w:t>
      </w:r>
      <w:r>
        <w:rPr>
          <w:rFonts w:ascii="宋体" w:hAnsi="宋体" w:cs="宋体" w:eastAsia="宋体" w:hint="default"/>
          <w:spacing w:val="-8"/>
        </w:rPr>
        <w:t>-</w:t>
      </w:r>
      <w:r>
        <w:rPr>
          <w:spacing w:val="-8"/>
        </w:rPr>
        <w:t>套期会计》、</w:t>
      </w:r>
    </w:p>
    <w:p>
      <w:pPr>
        <w:pStyle w:val="BodyText"/>
        <w:spacing w:line="350" w:lineRule="auto" w:before="34"/>
        <w:ind w:right="1131"/>
        <w:jc w:val="both"/>
      </w:pPr>
      <w:r>
        <w:rPr>
          <w:spacing w:val="-2"/>
        </w:rPr>
        <w:t>《企业会计准则第</w:t>
      </w:r>
      <w:r>
        <w:rPr>
          <w:rFonts w:ascii="宋体" w:hAnsi="宋体" w:cs="宋体" w:eastAsia="宋体" w:hint="default"/>
          <w:spacing w:val="-2"/>
        </w:rPr>
        <w:t>37</w:t>
      </w:r>
      <w:r>
        <w:rPr>
          <w:spacing w:val="-2"/>
        </w:rPr>
        <w:t>号</w:t>
      </w:r>
      <w:r>
        <w:rPr>
          <w:rFonts w:ascii="宋体" w:hAnsi="宋体" w:cs="宋体" w:eastAsia="宋体" w:hint="default"/>
          <w:spacing w:val="-2"/>
        </w:rPr>
        <w:t>-</w:t>
      </w:r>
      <w:r>
        <w:rPr>
          <w:spacing w:val="-2"/>
        </w:rPr>
        <w:t>金融工具列报》（以上四项统称</w:t>
      </w:r>
      <w:r>
        <w:rPr>
          <w:rFonts w:ascii="宋体" w:hAnsi="宋体" w:cs="宋体" w:eastAsia="宋体" w:hint="default"/>
          <w:spacing w:val="-2"/>
        </w:rPr>
        <w:t>&lt;</w:t>
      </w:r>
      <w:r>
        <w:rPr>
          <w:spacing w:val="-2"/>
        </w:rPr>
        <w:t>新金融工具准则</w:t>
      </w:r>
      <w:r>
        <w:rPr>
          <w:rFonts w:ascii="宋体" w:hAnsi="宋体" w:cs="宋体" w:eastAsia="宋体" w:hint="default"/>
          <w:spacing w:val="-2"/>
        </w:rPr>
        <w:t>&gt;</w:t>
      </w:r>
      <w:r>
        <w:rPr>
          <w:spacing w:val="-2"/>
        </w:rPr>
        <w:t>），变更后的会计</w:t>
      </w:r>
      <w:r>
        <w:rPr>
          <w:spacing w:val="-117"/>
        </w:rPr>
        <w:t> </w:t>
      </w:r>
      <w:r>
        <w:rPr>
          <w:spacing w:val="-117"/>
        </w:rPr>
      </w:r>
      <w:r>
        <w:rPr/>
        <w:t>政策详见附注四。</w:t>
      </w:r>
    </w:p>
    <w:p>
      <w:pPr>
        <w:pStyle w:val="BodyText"/>
        <w:spacing w:line="352" w:lineRule="auto" w:before="36"/>
        <w:ind w:right="1131" w:firstLine="600"/>
        <w:jc w:val="both"/>
      </w:pPr>
      <w:r>
        <w:rPr/>
        <w:t>②本公司自</w:t>
      </w:r>
      <w:r>
        <w:rPr>
          <w:rFonts w:ascii="宋体" w:hAnsi="宋体" w:cs="宋体" w:eastAsia="宋体" w:hint="default"/>
        </w:rPr>
        <w:t>2019 </w:t>
      </w:r>
      <w:r>
        <w:rPr/>
        <w:t>年</w:t>
      </w:r>
      <w:r>
        <w:rPr>
          <w:rFonts w:ascii="宋体" w:hAnsi="宋体" w:cs="宋体" w:eastAsia="宋体" w:hint="default"/>
        </w:rPr>
        <w:t>6 </w:t>
      </w:r>
      <w:r>
        <w:rPr/>
        <w:t>月</w:t>
      </w:r>
      <w:r>
        <w:rPr>
          <w:rFonts w:ascii="宋体" w:hAnsi="宋体" w:cs="宋体" w:eastAsia="宋体" w:hint="default"/>
        </w:rPr>
        <w:t>10 </w:t>
      </w:r>
      <w:r>
        <w:rPr/>
        <w:t>日起执行经财政部修订的《企业会计准则第</w:t>
      </w:r>
      <w:r>
        <w:rPr>
          <w:rFonts w:ascii="宋体" w:hAnsi="宋体" w:cs="宋体" w:eastAsia="宋体" w:hint="default"/>
        </w:rPr>
        <w:t>7</w:t>
      </w:r>
      <w:r>
        <w:rPr>
          <w:rFonts w:ascii="宋体" w:hAnsi="宋体" w:cs="宋体" w:eastAsia="宋体" w:hint="default"/>
          <w:spacing w:val="35"/>
        </w:rPr>
        <w:t> </w:t>
      </w:r>
      <w:r>
        <w:rPr/>
        <w:t>号</w:t>
      </w:r>
      <w:r>
        <w:rPr>
          <w:rFonts w:ascii="宋体" w:hAnsi="宋体" w:cs="宋体" w:eastAsia="宋体" w:hint="default"/>
        </w:rPr>
        <w:t>-</w:t>
      </w:r>
      <w:r>
        <w:rPr/>
        <w:t>非货币性 资产交换》，自</w:t>
      </w:r>
      <w:r>
        <w:rPr>
          <w:rFonts w:ascii="宋体" w:hAnsi="宋体" w:cs="宋体" w:eastAsia="宋体" w:hint="default"/>
        </w:rPr>
        <w:t>2019 </w:t>
      </w:r>
      <w:r>
        <w:rPr/>
        <w:t>年</w:t>
      </w:r>
      <w:r>
        <w:rPr>
          <w:rFonts w:ascii="宋体" w:hAnsi="宋体" w:cs="宋体" w:eastAsia="宋体" w:hint="default"/>
        </w:rPr>
        <w:t>6 </w:t>
      </w:r>
      <w:r>
        <w:rPr/>
        <w:t>月</w:t>
      </w:r>
      <w:r>
        <w:rPr>
          <w:rFonts w:ascii="宋体" w:hAnsi="宋体" w:cs="宋体" w:eastAsia="宋体" w:hint="default"/>
        </w:rPr>
        <w:t>17</w:t>
      </w:r>
      <w:r>
        <w:rPr>
          <w:rFonts w:ascii="宋体" w:hAnsi="宋体" w:cs="宋体" w:eastAsia="宋体" w:hint="default"/>
          <w:spacing w:val="32"/>
        </w:rPr>
        <w:t> </w:t>
      </w:r>
      <w:r>
        <w:rPr/>
        <w:t>日起执行经财政部修订的《企业会计准则第</w:t>
      </w:r>
      <w:r>
        <w:rPr>
          <w:rFonts w:ascii="宋体" w:hAnsi="宋体" w:cs="宋体" w:eastAsia="宋体" w:hint="default"/>
        </w:rPr>
        <w:t>12</w:t>
      </w:r>
      <w:r>
        <w:rPr/>
        <w:t>号——债务重 组》。该项会计政策变更采用未来适用法处理，并根据准则的规定对于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日至准则</w:t>
      </w:r>
      <w:r>
        <w:rPr>
          <w:spacing w:val="-87"/>
        </w:rPr>
        <w:t> </w:t>
      </w:r>
      <w:r>
        <w:rPr>
          <w:spacing w:val="-87"/>
        </w:rPr>
      </w:r>
      <w:r>
        <w:rPr/>
        <w:t>实施日之间发生的非货币性资产交换和债务重组进行调整。本公司首次执行该准则对财务报</w:t>
      </w:r>
      <w:r>
        <w:rPr>
          <w:spacing w:val="-91"/>
        </w:rPr>
        <w:t> </w:t>
      </w:r>
      <w:r>
        <w:rPr>
          <w:spacing w:val="-91"/>
        </w:rPr>
      </w:r>
      <w:r>
        <w:rPr/>
        <w:t>表无影响。</w:t>
      </w:r>
    </w:p>
    <w:p>
      <w:pPr>
        <w:pStyle w:val="BodyText"/>
        <w:spacing w:line="352" w:lineRule="auto" w:before="31"/>
        <w:ind w:left="633" w:right="996" w:firstLine="240"/>
        <w:jc w:val="left"/>
      </w:pPr>
      <w:r>
        <w:rPr/>
        <w:t>③执行新金融工具准则对本公司的影响 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日之前的金融工具确认和计量与新金融工具准则要求不一致的，本公司按</w:t>
      </w:r>
    </w:p>
    <w:p>
      <w:pPr>
        <w:pStyle w:val="BodyText"/>
        <w:spacing w:line="350" w:lineRule="auto" w:before="34"/>
        <w:ind w:right="1139"/>
        <w:jc w:val="both"/>
      </w:pPr>
      <w:r>
        <w:rPr/>
        <w:t>照新金融工具准则的要求进行衔接调整。涉及前期比较财务报表数据与新金融工具准则要求</w:t>
      </w:r>
      <w:r>
        <w:rPr>
          <w:spacing w:val="-91"/>
        </w:rPr>
        <w:t> </w:t>
      </w:r>
      <w:r>
        <w:rPr>
          <w:spacing w:val="-91"/>
        </w:rPr>
      </w:r>
      <w:r>
        <w:rPr/>
        <w:t>不一致的，本公司未调整可比期间信息。金融工具原账面价值和新金融工具准则施行日的新</w:t>
      </w:r>
      <w:r>
        <w:rPr>
          <w:spacing w:val="-91"/>
        </w:rPr>
        <w:t> </w:t>
      </w:r>
      <w:r>
        <w:rPr>
          <w:spacing w:val="-91"/>
        </w:rPr>
      </w:r>
      <w:r>
        <w:rPr/>
        <w:t>账面价值之间的差额，计入</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日留存收益或其他综合收益。</w:t>
      </w:r>
    </w:p>
    <w:p>
      <w:pPr>
        <w:pStyle w:val="BodyText"/>
        <w:spacing w:line="240" w:lineRule="auto" w:before="36"/>
        <w:ind w:left="633" w:right="996"/>
        <w:jc w:val="left"/>
      </w:pPr>
      <w:r>
        <w:rPr/>
        <w:t>执行新金融工具准则对本期期初资产负债表相关项目的影响列示如下：</w:t>
      </w:r>
    </w:p>
    <w:p>
      <w:pPr>
        <w:spacing w:line="240" w:lineRule="auto" w:before="5"/>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043"/>
        <w:gridCol w:w="1841"/>
        <w:gridCol w:w="1805"/>
        <w:gridCol w:w="948"/>
        <w:gridCol w:w="1462"/>
        <w:gridCol w:w="1598"/>
      </w:tblGrid>
      <w:tr>
        <w:trPr>
          <w:trHeight w:val="343" w:hRule="exact"/>
        </w:trPr>
        <w:tc>
          <w:tcPr>
            <w:tcW w:w="20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42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累积影响金额</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653" w:hRule="exact"/>
        </w:trPr>
        <w:tc>
          <w:tcPr>
            <w:tcW w:w="2043"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0" w:right="471" w:firstLine="103"/>
              <w:jc w:val="left"/>
              <w:rPr>
                <w:rFonts w:ascii="宋体" w:hAnsi="宋体" w:cs="宋体" w:eastAsia="宋体" w:hint="default"/>
                <w:sz w:val="21"/>
                <w:szCs w:val="21"/>
              </w:rPr>
            </w:pPr>
            <w:r>
              <w:rPr>
                <w:rFonts w:ascii="宋体" w:hAnsi="宋体" w:cs="宋体" w:eastAsia="宋体" w:hint="default"/>
                <w:sz w:val="21"/>
                <w:szCs w:val="21"/>
              </w:rPr>
              <w:t>分类和</w:t>
            </w:r>
            <w:r>
              <w:rPr>
                <w:rFonts w:ascii="宋体" w:hAnsi="宋体" w:cs="宋体" w:eastAsia="宋体" w:hint="default"/>
                <w:w w:val="100"/>
                <w:sz w:val="21"/>
                <w:szCs w:val="21"/>
              </w:rPr>
              <w:t> </w:t>
            </w:r>
            <w:r>
              <w:rPr>
                <w:rFonts w:ascii="宋体" w:hAnsi="宋体" w:cs="宋体" w:eastAsia="宋体" w:hint="default"/>
                <w:sz w:val="21"/>
                <w:szCs w:val="21"/>
              </w:rPr>
              <w:t>计量影响</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43"/>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w w:val="100"/>
                <w:sz w:val="21"/>
                <w:szCs w:val="21"/>
              </w:rPr>
              <w:t> </w:t>
            </w:r>
            <w:r>
              <w:rPr>
                <w:rFonts w:ascii="宋体" w:hAnsi="宋体" w:cs="宋体" w:eastAsia="宋体" w:hint="default"/>
                <w:sz w:val="21"/>
                <w:szCs w:val="21"/>
              </w:rPr>
              <w:t>减值影响</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98" w:type="dxa"/>
            <w:vMerge/>
            <w:tcBorders>
              <w:left w:val="single" w:sz="4" w:space="0" w:color="000000"/>
              <w:bottom w:val="single" w:sz="4" w:space="0" w:color="000000"/>
              <w:right w:val="single" w:sz="4" w:space="0" w:color="000000"/>
            </w:tcBorders>
          </w:tcPr>
          <w:p>
            <w:pPr/>
          </w:p>
        </w:tc>
      </w:tr>
      <w:tr>
        <w:trPr>
          <w:trHeight w:val="34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153,000,000.00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153,000,000.00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153,000,000.00</w:t>
            </w:r>
          </w:p>
        </w:tc>
      </w:tr>
      <w:tr>
        <w:trPr>
          <w:trHeight w:val="34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161,069,921.21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-153,000,000.00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-153,000,000.00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8,069,921.21</w:t>
            </w:r>
          </w:p>
        </w:tc>
      </w:tr>
      <w:tr>
        <w:trPr>
          <w:trHeight w:val="34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35,365,900.00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-35,365,900.00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-35,365,900.00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15,365,900.00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15,365,900.00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15,365,900.00</w:t>
            </w:r>
          </w:p>
        </w:tc>
      </w:tr>
      <w:tr>
        <w:trPr>
          <w:trHeight w:val="34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20,000,000.00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20,000,000.00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41"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317,047,183.23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114,634,100.00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114,634,100.00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431,681,283.23</w:t>
            </w:r>
          </w:p>
        </w:tc>
      </w:tr>
      <w:tr>
        <w:trPr>
          <w:trHeight w:val="343"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-114,634,100.00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-114,634,100.00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-114,634,100.00</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④执行新债务重组及非货币性资产交换准则对本公司的影响</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38" w:lineRule="auto" w:before="198"/>
        <w:ind w:right="1131" w:firstLine="480"/>
        <w:jc w:val="both"/>
      </w:pPr>
      <w:r>
        <w:rPr/>
        <w:t>本公司自</w:t>
      </w:r>
      <w:r>
        <w:rPr>
          <w:rFonts w:ascii="宋体" w:hAnsi="宋体" w:cs="宋体" w:eastAsia="宋体" w:hint="default"/>
        </w:rPr>
        <w:t>2019 </w:t>
      </w:r>
      <w:r>
        <w:rPr/>
        <w:t>年</w:t>
      </w:r>
      <w:r>
        <w:rPr>
          <w:rFonts w:ascii="宋体" w:hAnsi="宋体" w:cs="宋体" w:eastAsia="宋体" w:hint="default"/>
        </w:rPr>
        <w:t>6 </w:t>
      </w:r>
      <w:r>
        <w:rPr/>
        <w:t>月</w:t>
      </w:r>
      <w:r>
        <w:rPr>
          <w:rFonts w:ascii="宋体" w:hAnsi="宋体" w:cs="宋体" w:eastAsia="宋体" w:hint="default"/>
        </w:rPr>
        <w:t>10 </w:t>
      </w:r>
      <w:r>
        <w:rPr/>
        <w:t>日起执行财政部</w:t>
      </w:r>
      <w:r>
        <w:rPr>
          <w:rFonts w:ascii="宋体" w:hAnsi="宋体" w:cs="宋体" w:eastAsia="宋体" w:hint="default"/>
        </w:rPr>
        <w:t>2019</w:t>
      </w:r>
      <w:r>
        <w:rPr/>
        <w:t>年修订的《企业会计准则第</w:t>
      </w:r>
      <w:r>
        <w:rPr>
          <w:rFonts w:ascii="宋体" w:hAnsi="宋体" w:cs="宋体" w:eastAsia="宋体" w:hint="default"/>
        </w:rPr>
        <w:t>7</w:t>
      </w:r>
      <w:r>
        <w:rPr>
          <w:rFonts w:ascii="宋体" w:hAnsi="宋体" w:cs="宋体" w:eastAsia="宋体" w:hint="default"/>
          <w:spacing w:val="30"/>
        </w:rPr>
        <w:t> </w:t>
      </w:r>
      <w:r>
        <w:rPr/>
        <w:t>号</w:t>
      </w:r>
      <w:r>
        <w:rPr>
          <w:rFonts w:ascii="Times New Roman" w:hAnsi="Times New Roman" w:cs="Times New Roman" w:eastAsia="Times New Roman" w:hint="default"/>
        </w:rPr>
        <w:t>——</w:t>
      </w:r>
      <w:r>
        <w:rPr/>
        <w:t>非货 </w:t>
      </w:r>
      <w:r>
        <w:rPr>
          <w:spacing w:val="-17"/>
        </w:rPr>
        <w:t>币性资产交换》，自</w:t>
      </w:r>
      <w:r>
        <w:rPr>
          <w:rFonts w:ascii="宋体" w:hAnsi="宋体" w:cs="宋体" w:eastAsia="宋体" w:hint="default"/>
          <w:spacing w:val="-17"/>
        </w:rPr>
        <w:t>2019</w:t>
      </w:r>
      <w:r>
        <w:rPr>
          <w:rFonts w:ascii="宋体" w:hAnsi="宋体" w:cs="宋体" w:eastAsia="宋体" w:hint="default"/>
        </w:rPr>
        <w:t> </w:t>
      </w:r>
      <w:r>
        <w:rPr/>
        <w:t>年</w:t>
      </w:r>
      <w:r>
        <w:rPr>
          <w:rFonts w:ascii="宋体" w:hAnsi="宋体" w:cs="宋体" w:eastAsia="宋体" w:hint="default"/>
        </w:rPr>
        <w:t>6 </w:t>
      </w:r>
      <w:r>
        <w:rPr/>
        <w:t>月</w:t>
      </w:r>
      <w:r>
        <w:rPr>
          <w:rFonts w:ascii="宋体" w:hAnsi="宋体" w:cs="宋体" w:eastAsia="宋体" w:hint="default"/>
        </w:rPr>
        <w:t>17 </w:t>
      </w:r>
      <w:r>
        <w:rPr>
          <w:spacing w:val="-5"/>
        </w:rPr>
        <w:t>日起执行财政部</w:t>
      </w:r>
      <w:r>
        <w:rPr>
          <w:rFonts w:ascii="宋体" w:hAnsi="宋体" w:cs="宋体" w:eastAsia="宋体" w:hint="default"/>
          <w:spacing w:val="-5"/>
        </w:rPr>
        <w:t>2019</w:t>
      </w:r>
      <w:r>
        <w:rPr>
          <w:spacing w:val="-5"/>
        </w:rPr>
        <w:t>年修订的《企业会计准则第</w:t>
      </w:r>
      <w:r>
        <w:rPr>
          <w:rFonts w:ascii="宋体" w:hAnsi="宋体" w:cs="宋体" w:eastAsia="宋体" w:hint="default"/>
          <w:spacing w:val="-5"/>
        </w:rPr>
        <w:t>12</w:t>
      </w:r>
      <w:r>
        <w:rPr>
          <w:rFonts w:ascii="宋体" w:hAnsi="宋体" w:cs="宋体" w:eastAsia="宋体" w:hint="default"/>
          <w:spacing w:val="23"/>
        </w:rPr>
        <w:t> </w:t>
      </w:r>
      <w:r>
        <w:rPr/>
        <w:t>号</w:t>
      </w:r>
      <w:r>
        <w:rPr>
          <w:rFonts w:ascii="Times New Roman" w:hAnsi="Times New Roman" w:cs="Times New Roman" w:eastAsia="Times New Roman" w:hint="default"/>
        </w:rPr>
        <w:t>—— </w:t>
      </w:r>
      <w:r>
        <w:rPr/>
        <w:t>债务重组》。该项会计政策变更采用未来适用法处理，并根据准则的规定对于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w:t>
      </w:r>
      <w:r>
        <w:rPr>
          <w:spacing w:val="-86"/>
        </w:rPr>
        <w:t> </w:t>
      </w:r>
      <w:r>
        <w:rPr/>
        <w:t>至准则实施日之间发生的非货币性资产交换和债务重组进行调整。</w:t>
      </w:r>
    </w:p>
    <w:p>
      <w:pPr>
        <w:pStyle w:val="BodyText"/>
        <w:spacing w:line="240" w:lineRule="auto" w:before="48"/>
        <w:ind w:left="633" w:right="996"/>
        <w:jc w:val="left"/>
      </w:pPr>
      <w:r>
        <w:rPr/>
        <w:t>上述新准则的实施对公司本年财务报表无影响。</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重要会计估计变更"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 适用 √</w:t>
      </w:r>
      <w:r>
        <w:rPr>
          <w:spacing w:val="-1"/>
        </w:rPr>
        <w:t> </w:t>
      </w:r>
      <w:r>
        <w:rPr/>
        <w:t>不适用</w:t>
      </w:r>
    </w:p>
    <w:p>
      <w:pPr>
        <w:spacing w:line="240" w:lineRule="auto" w:before="8"/>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2019年起执行新金融工具准则、新收入准则或新租赁准则调整执行当年年初财务"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59"/>
        <w:ind w:left="0" w:right="0"/>
        <w:jc w:val="right"/>
      </w:pPr>
      <w:r>
        <w:rPr/>
        <w:t>合并资产负债表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286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054" w:space="40"/>
            <w:col w:w="4836"/>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3" w:right="0"/>
              <w:jc w:val="left"/>
              <w:rPr>
                <w:rFonts w:ascii="宋体" w:hAnsi="宋体" w:cs="宋体" w:eastAsia="宋体" w:hint="default"/>
                <w:sz w:val="21"/>
                <w:szCs w:val="21"/>
              </w:rPr>
            </w:pPr>
            <w:r>
              <w:rPr>
                <w:rFonts w:ascii="宋体" w:hAnsi="宋体" w:cs="宋体" w:eastAsia="宋体" w:hint="default"/>
                <w:sz w:val="21"/>
                <w:szCs w:val="21"/>
              </w:rPr>
              <w:t>调整数</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489,058,726.56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489,058,726.56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153,000,000.00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Times New Roman" w:hAnsi="Times New Roman" w:cs="Times New Roman" w:eastAsia="Times New Roman" w:hint="default"/>
                <w:sz w:val="21"/>
                <w:szCs w:val="21"/>
              </w:rPr>
            </w:pPr>
            <w:r>
              <w:rPr>
                <w:rFonts w:ascii="Times New Roman"/>
                <w:sz w:val="21"/>
              </w:rPr>
              <w:t>153,000,000.00</w:t>
            </w:r>
          </w:p>
        </w:tc>
      </w:tr>
      <w:tr>
        <w:trPr>
          <w:trHeight w:val="715"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2"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50,283,048.28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50,283,048.28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528,156,486.84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528,156,486.84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36,841,266.41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36,841,266.41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27,706,647.14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27,706,647.14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应收股利</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218,431,989.91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218,431,989.91</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8,069,921.21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8,069,921.21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-153,000,000.00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1,511,548,086.35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1,511,548,086.35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-35,365,900.00</w:t>
            </w: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88,101,676.30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88,101,676.30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15,365,900.00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15,365,900.00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15,365,900.00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99,753,841.47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99,753,841.47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196,734,387.43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196,734,387.43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51,341,037.10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51,341,037.10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9,237,785.95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9,237,785.95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5,332,456.13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5,332,456.13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47,719,267.46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47,719,267.46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3,865,709.39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3,865,709.39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537,452,061.23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537,452,061.23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2,049,000,147.58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2,049,000,147.58</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178,056,443.14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178,056,443.14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71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2"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174,622,824.67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174,622,824.67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50,962,655.46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50,962,655.46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12,082,788.40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12,082,788.40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22,167,469.75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22,167,469.75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9,255,533.14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9,255,533.14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497,147,714.56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497,147,714.56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8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13,404,051.87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13,404,051.87</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92,404,051.87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92,404,051.87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589,551,766.43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589,551,766.43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376,656,420.00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376,656,420.00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666,258,719.72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666,258,719.72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-114,634,100.00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-114,634,100.00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-114,634,100.00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68,270,222.97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68,270,222.97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431,681,283.23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431,681,283.23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114,634,100.00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1,428,232,545.92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1,428,232,545.92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31,215,835.23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31,215,835.23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1,459,448,381.15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1,459,448,381.15</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2,049,000,147.58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2,049,000,147.58</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5"/>
          <w:szCs w:val="5"/>
        </w:rPr>
      </w:pPr>
    </w:p>
    <w:p>
      <w:pPr>
        <w:pStyle w:val="BodyText"/>
        <w:spacing w:line="240" w:lineRule="auto" w:before="26"/>
        <w:ind w:left="633" w:right="996"/>
        <w:jc w:val="left"/>
      </w:pPr>
      <w:r>
        <w:rPr/>
        <w:t>调整情况说明</w:t>
      </w:r>
    </w:p>
    <w:p>
      <w:pPr>
        <w:pStyle w:val="BodyText"/>
        <w:spacing w:line="350" w:lineRule="auto" w:before="144"/>
        <w:ind w:right="1128" w:firstLine="480"/>
        <w:jc w:val="both"/>
      </w:pPr>
      <w:r>
        <w:rPr/>
        <w:t>根据财政部 </w:t>
      </w:r>
      <w:r>
        <w:rPr>
          <w:rFonts w:ascii="宋体" w:hAnsi="宋体" w:cs="宋体" w:eastAsia="宋体" w:hint="default"/>
        </w:rPr>
        <w:t>2017 </w:t>
      </w:r>
      <w:r>
        <w:rPr>
          <w:spacing w:val="-5"/>
        </w:rPr>
        <w:t>年修订并发布的《企业会计准则第 </w:t>
      </w:r>
      <w:r>
        <w:rPr>
          <w:rFonts w:ascii="宋体" w:hAnsi="宋体" w:cs="宋体" w:eastAsia="宋体" w:hint="default"/>
        </w:rPr>
        <w:t>22</w:t>
      </w:r>
      <w:r>
        <w:rPr>
          <w:rFonts w:ascii="宋体" w:hAnsi="宋体" w:cs="宋体" w:eastAsia="宋体" w:hint="default"/>
          <w:spacing w:val="-2"/>
        </w:rPr>
        <w:t> </w:t>
      </w:r>
      <w:r>
        <w:rPr/>
        <w:t>号</w:t>
      </w:r>
      <w:r>
        <w:rPr>
          <w:rFonts w:ascii="宋体" w:hAnsi="宋体" w:cs="宋体" w:eastAsia="宋体" w:hint="default"/>
        </w:rPr>
        <w:t>-</w:t>
      </w:r>
      <w:r>
        <w:rPr/>
        <w:t>金融工具确认和计量》（财 </w:t>
      </w:r>
      <w:r>
        <w:rPr>
          <w:spacing w:val="-13"/>
        </w:rPr>
        <w:t>会〔</w:t>
      </w:r>
      <w:r>
        <w:rPr>
          <w:rFonts w:ascii="宋体" w:hAnsi="宋体" w:cs="宋体" w:eastAsia="宋体" w:hint="default"/>
          <w:spacing w:val="-13"/>
        </w:rPr>
        <w:t>2017</w:t>
      </w:r>
      <w:r>
        <w:rPr>
          <w:spacing w:val="-13"/>
        </w:rPr>
        <w:t>〕</w:t>
      </w:r>
      <w:r>
        <w:rPr>
          <w:rFonts w:ascii="宋体" w:hAnsi="宋体" w:cs="宋体" w:eastAsia="宋体" w:hint="default"/>
          <w:spacing w:val="-13"/>
        </w:rPr>
        <w:t>7 </w:t>
      </w:r>
      <w:r>
        <w:rPr/>
        <w:t>号） </w:t>
      </w:r>
      <w:r>
        <w:rPr>
          <w:spacing w:val="3"/>
        </w:rPr>
        <w:t>、《企业会计准则第 </w:t>
      </w:r>
      <w:r>
        <w:rPr>
          <w:rFonts w:ascii="宋体" w:hAnsi="宋体" w:cs="宋体" w:eastAsia="宋体" w:hint="default"/>
        </w:rPr>
        <w:t>23 </w:t>
      </w:r>
      <w:r>
        <w:rPr>
          <w:spacing w:val="-10"/>
        </w:rPr>
        <w:t>号</w:t>
      </w:r>
      <w:r>
        <w:rPr>
          <w:rFonts w:ascii="宋体" w:hAnsi="宋体" w:cs="宋体" w:eastAsia="宋体" w:hint="default"/>
          <w:spacing w:val="-10"/>
        </w:rPr>
        <w:t>-</w:t>
      </w:r>
      <w:r>
        <w:rPr>
          <w:spacing w:val="-10"/>
        </w:rPr>
        <w:t>金融资产转移》（财会〔</w:t>
      </w:r>
      <w:r>
        <w:rPr>
          <w:rFonts w:ascii="宋体" w:hAnsi="宋体" w:cs="宋体" w:eastAsia="宋体" w:hint="default"/>
          <w:spacing w:val="-10"/>
        </w:rPr>
        <w:t>2017</w:t>
      </w:r>
      <w:r>
        <w:rPr>
          <w:spacing w:val="-10"/>
        </w:rPr>
        <w:t>〕</w:t>
      </w:r>
      <w:r>
        <w:rPr>
          <w:rFonts w:ascii="宋体" w:hAnsi="宋体" w:cs="宋体" w:eastAsia="宋体" w:hint="default"/>
          <w:spacing w:val="-10"/>
        </w:rPr>
        <w:t>8 </w:t>
      </w:r>
      <w:r>
        <w:rPr/>
        <w:t>号）</w:t>
      </w:r>
      <w:r>
        <w:rPr>
          <w:spacing w:val="-63"/>
        </w:rPr>
        <w:t> </w:t>
      </w:r>
      <w:r>
        <w:rPr>
          <w:spacing w:val="8"/>
        </w:rPr>
        <w:t>、《企</w:t>
      </w:r>
      <w:r>
        <w:rPr/>
        <w:t> 业会计准则第 </w:t>
      </w:r>
      <w:r>
        <w:rPr>
          <w:rFonts w:ascii="宋体" w:hAnsi="宋体" w:cs="宋体" w:eastAsia="宋体" w:hint="default"/>
        </w:rPr>
        <w:t>24 </w:t>
      </w:r>
      <w:r>
        <w:rPr/>
        <w:t>号</w:t>
      </w:r>
      <w:r>
        <w:rPr>
          <w:rFonts w:ascii="宋体" w:hAnsi="宋体" w:cs="宋体" w:eastAsia="宋体" w:hint="default"/>
        </w:rPr>
        <w:t>-</w:t>
      </w:r>
      <w:r>
        <w:rPr/>
        <w:t>套期会计》 （财会〔</w:t>
      </w:r>
      <w:r>
        <w:rPr>
          <w:rFonts w:ascii="宋体" w:hAnsi="宋体" w:cs="宋体" w:eastAsia="宋体" w:hint="default"/>
        </w:rPr>
        <w:t>2017</w:t>
      </w:r>
      <w:r>
        <w:rPr/>
        <w:t>〕</w:t>
      </w:r>
      <w:r>
        <w:rPr>
          <w:rFonts w:ascii="宋体" w:hAnsi="宋体" w:cs="宋体" w:eastAsia="宋体" w:hint="default"/>
        </w:rPr>
        <w:t>9</w:t>
      </w:r>
      <w:r>
        <w:rPr/>
        <w:t>号） 、 《企业会计准则第 </w:t>
      </w:r>
      <w:r>
        <w:rPr>
          <w:rFonts w:ascii="宋体" w:hAnsi="宋体" w:cs="宋体" w:eastAsia="宋体" w:hint="default"/>
        </w:rPr>
        <w:t>37</w:t>
      </w:r>
      <w:r>
        <w:rPr>
          <w:rFonts w:ascii="宋体" w:hAnsi="宋体" w:cs="宋体" w:eastAsia="宋体" w:hint="default"/>
          <w:spacing w:val="36"/>
        </w:rPr>
        <w:t> </w:t>
      </w:r>
      <w:r>
        <w:rPr/>
        <w:t>号</w:t>
      </w:r>
      <w:r>
        <w:rPr>
          <w:rFonts w:ascii="宋体" w:hAnsi="宋体" w:cs="宋体" w:eastAsia="宋体" w:hint="default"/>
        </w:rPr>
        <w:t>-</w:t>
      </w:r>
      <w:r>
        <w:rPr/>
        <w:t>金融</w:t>
      </w:r>
      <w:r>
        <w:rPr>
          <w:spacing w:val="2"/>
        </w:rPr>
        <w:t> </w:t>
      </w:r>
      <w:r>
        <w:rPr/>
        <w:t>工具列报》 （财会〔</w:t>
      </w:r>
      <w:r>
        <w:rPr>
          <w:rFonts w:ascii="宋体" w:hAnsi="宋体" w:cs="宋体" w:eastAsia="宋体" w:hint="default"/>
        </w:rPr>
        <w:t>2017</w:t>
      </w:r>
      <w:r>
        <w:rPr/>
        <w:t>〕</w:t>
      </w:r>
      <w:r>
        <w:rPr>
          <w:rFonts w:ascii="宋体" w:hAnsi="宋体" w:cs="宋体" w:eastAsia="宋体" w:hint="default"/>
        </w:rPr>
        <w:t>14</w:t>
      </w:r>
      <w:r>
        <w:rPr>
          <w:rFonts w:ascii="宋体" w:hAnsi="宋体" w:cs="宋体" w:eastAsia="宋体" w:hint="default"/>
          <w:spacing w:val="32"/>
        </w:rPr>
        <w:t> </w:t>
      </w:r>
      <w:r>
        <w:rPr/>
        <w:t>号）四项金融工具相关会计准则（以下简称“新金融工具准 则” ）的规定和要求，并根据深圳证券交易所 </w:t>
      </w:r>
      <w:r>
        <w:rPr>
          <w:rFonts w:ascii="宋体" w:hAnsi="宋体" w:cs="宋体" w:eastAsia="宋体" w:hint="default"/>
        </w:rPr>
        <w:t>2018</w:t>
      </w:r>
      <w:r>
        <w:rPr>
          <w:rFonts w:ascii="宋体" w:hAnsi="宋体" w:cs="宋体" w:eastAsia="宋体" w:hint="default"/>
          <w:spacing w:val="-83"/>
        </w:rPr>
        <w:t> </w:t>
      </w:r>
      <w:r>
        <w:rPr/>
        <w:t>年下发的《关于新金融工具、收入准则 执行时间的通知》 </w:t>
      </w:r>
      <w:r>
        <w:rPr>
          <w:spacing w:val="-15"/>
        </w:rPr>
        <w:t>，自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37"/>
        </w:rPr>
        <w:t> </w:t>
      </w:r>
      <w:r>
        <w:rPr/>
        <w:t>日起施行新金融工具准则，公司原采用的相关会计 政策需要进行相应调整。</w:t>
      </w:r>
    </w:p>
    <w:p>
      <w:pPr>
        <w:spacing w:after="0" w:line="350" w:lineRule="auto"/>
        <w:jc w:val="both"/>
        <w:sectPr>
          <w:pgSz w:w="11910" w:h="16840"/>
          <w:pgMar w:header="745" w:footer="980" w:top="1060" w:bottom="1160" w:left="980" w:right="0"/>
        </w:sectPr>
      </w:pPr>
    </w:p>
    <w:p>
      <w:pPr>
        <w:pStyle w:val="BodyText"/>
        <w:spacing w:line="240" w:lineRule="auto" w:before="36"/>
        <w:ind w:left="0" w:right="0"/>
        <w:jc w:val="right"/>
      </w:pPr>
      <w:r>
        <w:rPr/>
        <w:t>母公司资产负债表</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2740"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6174" w:space="40"/>
            <w:col w:w="4716"/>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92"/>
        <w:gridCol w:w="2127"/>
        <w:gridCol w:w="2269"/>
        <w:gridCol w:w="1769"/>
      </w:tblGrid>
      <w:tr>
        <w:trPr>
          <w:trHeight w:val="402"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84"/>
              <w:jc w:val="right"/>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3" w:right="0"/>
              <w:jc w:val="left"/>
              <w:rPr>
                <w:rFonts w:ascii="宋体" w:hAnsi="宋体" w:cs="宋体" w:eastAsia="宋体" w:hint="default"/>
                <w:sz w:val="21"/>
                <w:szCs w:val="21"/>
              </w:rPr>
            </w:pPr>
            <w:r>
              <w:rPr>
                <w:rFonts w:ascii="宋体" w:hAnsi="宋体" w:cs="宋体" w:eastAsia="宋体" w:hint="default"/>
                <w:sz w:val="21"/>
                <w:szCs w:val="21"/>
              </w:rPr>
              <w:t>调整数</w:t>
            </w:r>
          </w:p>
        </w:tc>
      </w:tr>
      <w:tr>
        <w:trPr>
          <w:trHeight w:val="402"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455,277,852.24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455,277,852.24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474"/>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p>
        </w:tc>
        <w:tc>
          <w:tcPr>
            <w:tcW w:w="21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153,000,000.00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4" w:right="0"/>
              <w:jc w:val="left"/>
              <w:rPr>
                <w:rFonts w:ascii="Times New Roman" w:hAnsi="Times New Roman" w:cs="Times New Roman" w:eastAsia="Times New Roman" w:hint="default"/>
                <w:sz w:val="21"/>
                <w:szCs w:val="21"/>
              </w:rPr>
            </w:pPr>
            <w:r>
              <w:rPr>
                <w:rFonts w:ascii="Times New Roman"/>
                <w:sz w:val="21"/>
              </w:rPr>
              <w:t>153,000,000.00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71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2"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46,014,139.00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46,014,139.00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378,915,350.66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378,915,350.66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553,938.00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553,938.00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77,372,885.90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77,372,885.90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7,704,791.66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7,704,791.66</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应收股利</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113,935,291.57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113,935,291.57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4,604,139.65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4,604,139.65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-153,000,000.00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1,229,673,597.02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1,229,673,597.02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432,439,888.47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432,439,888.47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35,060,749.12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35,060,749.12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181,502,541.31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181,502,541.31</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38,931,060.72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38,931,060.72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5,332,456.13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5,332,456.13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38,749,137.53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38,749,137.53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3,849,189.39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3,849,189.39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755,865,022.67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755,865,022.67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1,985,538,619.69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1,985,538,619.69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178,056,443.14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178,056,443.14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202"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255,659,553.99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255,659,553.99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47,061,284.53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47,061,284.53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7,535,264.93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7,535,264.93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16,759,194.02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16,759,194.02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4,777,052.49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4,777,052.49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559,848,793.10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559,848,793.10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77,000,000.00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380"/>
        <w:gridCol w:w="2139"/>
        <w:gridCol w:w="2269"/>
        <w:gridCol w:w="1769"/>
      </w:tblGrid>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13,404,051.87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13,404,051.87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92,404,051.87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92,404,051.87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652,252,844.97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652,252,844.97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376,656,420.00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376,656,420.00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8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546,096,387.53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546,096,387.53</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39" w:type="dxa"/>
            <w:tcBorders>
              <w:top w:val="single" w:sz="4" w:space="0" w:color="000000"/>
              <w:left w:val="single" w:sz="13" w:space="0" w:color="D2D2D2"/>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68,270,222.97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68,270,222.97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342,262,744.22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342,262,744.22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1,333,285,774.72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1,333,285,774.72</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1,985,538,619.69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1,985,538,619.69</w:t>
            </w:r>
          </w:p>
        </w:tc>
        <w:tc>
          <w:tcPr>
            <w:tcW w:w="17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5"/>
          <w:szCs w:val="5"/>
        </w:rPr>
      </w:pPr>
    </w:p>
    <w:p>
      <w:pPr>
        <w:pStyle w:val="BodyText"/>
        <w:spacing w:line="240" w:lineRule="auto" w:before="26"/>
        <w:ind w:left="633" w:right="996"/>
        <w:jc w:val="left"/>
      </w:pPr>
      <w:r>
        <w:rPr/>
        <w:t>调整情况说明</w:t>
      </w:r>
    </w:p>
    <w:p>
      <w:pPr>
        <w:pStyle w:val="BodyText"/>
        <w:spacing w:line="350" w:lineRule="auto" w:before="144"/>
        <w:ind w:right="1128" w:firstLine="480"/>
        <w:jc w:val="both"/>
      </w:pPr>
      <w:r>
        <w:rPr/>
        <w:t>根据财政部 </w:t>
      </w:r>
      <w:r>
        <w:rPr>
          <w:rFonts w:ascii="宋体" w:hAnsi="宋体" w:cs="宋体" w:eastAsia="宋体" w:hint="default"/>
        </w:rPr>
        <w:t>2017 </w:t>
      </w:r>
      <w:r>
        <w:rPr>
          <w:spacing w:val="-5"/>
        </w:rPr>
        <w:t>年修订并发布的《企业会计准则第 </w:t>
      </w:r>
      <w:r>
        <w:rPr>
          <w:rFonts w:ascii="宋体" w:hAnsi="宋体" w:cs="宋体" w:eastAsia="宋体" w:hint="default"/>
        </w:rPr>
        <w:t>22</w:t>
      </w:r>
      <w:r>
        <w:rPr>
          <w:rFonts w:ascii="宋体" w:hAnsi="宋体" w:cs="宋体" w:eastAsia="宋体" w:hint="default"/>
          <w:spacing w:val="-2"/>
        </w:rPr>
        <w:t> </w:t>
      </w:r>
      <w:r>
        <w:rPr/>
        <w:t>号</w:t>
      </w:r>
      <w:r>
        <w:rPr>
          <w:rFonts w:ascii="宋体" w:hAnsi="宋体" w:cs="宋体" w:eastAsia="宋体" w:hint="default"/>
        </w:rPr>
        <w:t>-</w:t>
      </w:r>
      <w:r>
        <w:rPr/>
        <w:t>金融工具确认和计量》（财 </w:t>
      </w:r>
      <w:r>
        <w:rPr>
          <w:spacing w:val="-13"/>
        </w:rPr>
        <w:t>会〔</w:t>
      </w:r>
      <w:r>
        <w:rPr>
          <w:rFonts w:ascii="宋体" w:hAnsi="宋体" w:cs="宋体" w:eastAsia="宋体" w:hint="default"/>
          <w:spacing w:val="-13"/>
        </w:rPr>
        <w:t>2017</w:t>
      </w:r>
      <w:r>
        <w:rPr>
          <w:spacing w:val="-13"/>
        </w:rPr>
        <w:t>〕</w:t>
      </w:r>
      <w:r>
        <w:rPr>
          <w:rFonts w:ascii="宋体" w:hAnsi="宋体" w:cs="宋体" w:eastAsia="宋体" w:hint="default"/>
          <w:spacing w:val="-13"/>
        </w:rPr>
        <w:t>7 </w:t>
      </w:r>
      <w:r>
        <w:rPr/>
        <w:t>号） </w:t>
      </w:r>
      <w:r>
        <w:rPr>
          <w:spacing w:val="3"/>
        </w:rPr>
        <w:t>、《企业会计准则第 </w:t>
      </w:r>
      <w:r>
        <w:rPr>
          <w:rFonts w:ascii="宋体" w:hAnsi="宋体" w:cs="宋体" w:eastAsia="宋体" w:hint="default"/>
        </w:rPr>
        <w:t>23 </w:t>
      </w:r>
      <w:r>
        <w:rPr>
          <w:spacing w:val="-10"/>
        </w:rPr>
        <w:t>号</w:t>
      </w:r>
      <w:r>
        <w:rPr>
          <w:rFonts w:ascii="宋体" w:hAnsi="宋体" w:cs="宋体" w:eastAsia="宋体" w:hint="default"/>
          <w:spacing w:val="-10"/>
        </w:rPr>
        <w:t>-</w:t>
      </w:r>
      <w:r>
        <w:rPr>
          <w:spacing w:val="-10"/>
        </w:rPr>
        <w:t>金融资产转移》（财会〔</w:t>
      </w:r>
      <w:r>
        <w:rPr>
          <w:rFonts w:ascii="宋体" w:hAnsi="宋体" w:cs="宋体" w:eastAsia="宋体" w:hint="default"/>
          <w:spacing w:val="-10"/>
        </w:rPr>
        <w:t>2017</w:t>
      </w:r>
      <w:r>
        <w:rPr>
          <w:spacing w:val="-10"/>
        </w:rPr>
        <w:t>〕</w:t>
      </w:r>
      <w:r>
        <w:rPr>
          <w:rFonts w:ascii="宋体" w:hAnsi="宋体" w:cs="宋体" w:eastAsia="宋体" w:hint="default"/>
          <w:spacing w:val="-10"/>
        </w:rPr>
        <w:t>8 </w:t>
      </w:r>
      <w:r>
        <w:rPr/>
        <w:t>号）</w:t>
      </w:r>
      <w:r>
        <w:rPr>
          <w:spacing w:val="-63"/>
        </w:rPr>
        <w:t> </w:t>
      </w:r>
      <w:r>
        <w:rPr>
          <w:spacing w:val="8"/>
        </w:rPr>
        <w:t>、《企</w:t>
      </w:r>
      <w:r>
        <w:rPr/>
        <w:t> 业会计准则第 </w:t>
      </w:r>
      <w:r>
        <w:rPr>
          <w:rFonts w:ascii="宋体" w:hAnsi="宋体" w:cs="宋体" w:eastAsia="宋体" w:hint="default"/>
        </w:rPr>
        <w:t>24 </w:t>
      </w:r>
      <w:r>
        <w:rPr/>
        <w:t>号</w:t>
      </w:r>
      <w:r>
        <w:rPr>
          <w:rFonts w:ascii="宋体" w:hAnsi="宋体" w:cs="宋体" w:eastAsia="宋体" w:hint="default"/>
        </w:rPr>
        <w:t>-</w:t>
      </w:r>
      <w:r>
        <w:rPr/>
        <w:t>套期会计》 （财会〔</w:t>
      </w:r>
      <w:r>
        <w:rPr>
          <w:rFonts w:ascii="宋体" w:hAnsi="宋体" w:cs="宋体" w:eastAsia="宋体" w:hint="default"/>
        </w:rPr>
        <w:t>2017</w:t>
      </w:r>
      <w:r>
        <w:rPr/>
        <w:t>〕</w:t>
      </w:r>
      <w:r>
        <w:rPr>
          <w:rFonts w:ascii="宋体" w:hAnsi="宋体" w:cs="宋体" w:eastAsia="宋体" w:hint="default"/>
        </w:rPr>
        <w:t>9</w:t>
      </w:r>
      <w:r>
        <w:rPr/>
        <w:t>号） 、 《企业会计准则第 </w:t>
      </w:r>
      <w:r>
        <w:rPr>
          <w:rFonts w:ascii="宋体" w:hAnsi="宋体" w:cs="宋体" w:eastAsia="宋体" w:hint="default"/>
        </w:rPr>
        <w:t>37</w:t>
      </w:r>
      <w:r>
        <w:rPr>
          <w:rFonts w:ascii="宋体" w:hAnsi="宋体" w:cs="宋体" w:eastAsia="宋体" w:hint="default"/>
          <w:spacing w:val="36"/>
        </w:rPr>
        <w:t> </w:t>
      </w:r>
      <w:r>
        <w:rPr/>
        <w:t>号</w:t>
      </w:r>
      <w:r>
        <w:rPr>
          <w:rFonts w:ascii="宋体" w:hAnsi="宋体" w:cs="宋体" w:eastAsia="宋体" w:hint="default"/>
        </w:rPr>
        <w:t>-</w:t>
      </w:r>
      <w:r>
        <w:rPr/>
        <w:t>金融</w:t>
      </w:r>
      <w:r>
        <w:rPr>
          <w:spacing w:val="2"/>
        </w:rPr>
        <w:t> </w:t>
      </w:r>
      <w:r>
        <w:rPr/>
        <w:t>工具列报》 （财会〔</w:t>
      </w:r>
      <w:r>
        <w:rPr>
          <w:rFonts w:ascii="宋体" w:hAnsi="宋体" w:cs="宋体" w:eastAsia="宋体" w:hint="default"/>
        </w:rPr>
        <w:t>2017</w:t>
      </w:r>
      <w:r>
        <w:rPr/>
        <w:t>〕</w:t>
      </w:r>
      <w:r>
        <w:rPr>
          <w:rFonts w:ascii="宋体" w:hAnsi="宋体" w:cs="宋体" w:eastAsia="宋体" w:hint="default"/>
        </w:rPr>
        <w:t>14</w:t>
      </w:r>
      <w:r>
        <w:rPr>
          <w:rFonts w:ascii="宋体" w:hAnsi="宋体" w:cs="宋体" w:eastAsia="宋体" w:hint="default"/>
          <w:spacing w:val="32"/>
        </w:rPr>
        <w:t> </w:t>
      </w:r>
      <w:r>
        <w:rPr/>
        <w:t>号）四项金融工具相关会计准则（以下简称“新金融工具准 则” ）的规定和要求，并根据深圳证券交易所 </w:t>
      </w:r>
      <w:r>
        <w:rPr>
          <w:rFonts w:ascii="宋体" w:hAnsi="宋体" w:cs="宋体" w:eastAsia="宋体" w:hint="default"/>
        </w:rPr>
        <w:t>2018</w:t>
      </w:r>
      <w:r>
        <w:rPr>
          <w:rFonts w:ascii="宋体" w:hAnsi="宋体" w:cs="宋体" w:eastAsia="宋体" w:hint="default"/>
          <w:spacing w:val="-83"/>
        </w:rPr>
        <w:t> </w:t>
      </w:r>
      <w:r>
        <w:rPr/>
        <w:t>年下发的《关于新金融工具、收入准则 执行时间的通知》 </w:t>
      </w:r>
      <w:r>
        <w:rPr>
          <w:spacing w:val="-15"/>
        </w:rPr>
        <w:t>，自 </w:t>
      </w:r>
      <w:r>
        <w:rPr>
          <w:rFonts w:ascii="宋体" w:hAnsi="宋体" w:cs="宋体" w:eastAsia="宋体" w:hint="default"/>
        </w:rPr>
        <w:t>2019 </w:t>
      </w:r>
      <w:r>
        <w:rPr/>
        <w:t>年 </w:t>
      </w:r>
      <w:r>
        <w:rPr>
          <w:rFonts w:ascii="宋体" w:hAnsi="宋体" w:cs="宋体" w:eastAsia="宋体" w:hint="default"/>
        </w:rPr>
        <w:t>1 </w:t>
      </w:r>
      <w:r>
        <w:rPr/>
        <w:t>月 </w:t>
      </w:r>
      <w:r>
        <w:rPr>
          <w:rFonts w:ascii="宋体" w:hAnsi="宋体" w:cs="宋体" w:eastAsia="宋体" w:hint="default"/>
        </w:rPr>
        <w:t>1</w:t>
      </w:r>
      <w:r>
        <w:rPr>
          <w:rFonts w:ascii="宋体" w:hAnsi="宋体" w:cs="宋体" w:eastAsia="宋体" w:hint="default"/>
          <w:spacing w:val="-37"/>
        </w:rPr>
        <w:t> </w:t>
      </w:r>
      <w:r>
        <w:rPr/>
        <w:t>日起施行新金融工具准则，公司原采用的相关会计 政策需要进行相应调整。</w:t>
      </w:r>
    </w:p>
    <w:p>
      <w:pPr>
        <w:spacing w:line="240" w:lineRule="auto" w:before="2"/>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4）2019年起执行新金融工具准则或新租赁准则追溯调整前期比较数据说明"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 适用 √</w:t>
      </w:r>
      <w:r>
        <w:rPr>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spacing w:line="470" w:lineRule="auto" w:before="26"/>
        <w:ind w:left="152" w:right="8962" w:firstLine="0"/>
        <w:jc w:val="left"/>
        <w:rPr>
          <w:rFonts w:ascii="宋体" w:hAnsi="宋体" w:cs="宋体" w:eastAsia="宋体" w:hint="default"/>
          <w:sz w:val="21"/>
          <w:szCs w:val="21"/>
        </w:rPr>
      </w:pPr>
      <w:r>
        <w:rPr/>
        <w:pict>
          <v:group style="position:absolute;margin-left:439.75pt;margin-top:115.775612pt;width:95.2pt;height:28.1pt;mso-position-horizontal-relative:page;mso-position-vertical-relative:paragraph;z-index:-946552" coordorigin="8795,2316" coordsize="1904,562">
            <v:group style="position:absolute;left:8795;top:2316;width:1904;height:156" coordorigin="8795,2316" coordsize="1904,156">
              <v:shape style="position:absolute;left:8795;top:2316;width:1904;height:156" coordorigin="8795,2316" coordsize="1904,156" path="m8795,2472l10699,2472,10699,2316,8795,2316,8795,2472xe" filled="true" fillcolor="#ffffff" stroked="false">
                <v:path arrowok="t"/>
                <v:fill type="solid"/>
              </v:shape>
            </v:group>
            <v:group style="position:absolute;left:8807;top:2472;width:2;height:394" coordorigin="8807,2472" coordsize="2,394">
              <v:shape style="position:absolute;left:8807;top:2472;width:2;height:394" coordorigin="8807,2472" coordsize="0,394" path="m8807,2472l8807,2865e" filled="false" stroked="true" strokeweight="1.224pt" strokecolor="#ffffff">
                <v:path arrowok="t"/>
              </v:shape>
            </v:group>
            <v:group style="position:absolute;left:8820;top:2472;width:1858;height:394" coordorigin="8820,2472" coordsize="1858,394">
              <v:shape style="position:absolute;left:8820;top:2472;width:1858;height:394" coordorigin="8820,2472" coordsize="1858,394" path="m8820,2865l10677,2865,10677,2472,8820,2472,8820,2865xe" filled="true" fillcolor="#ffffff" stroked="false">
                <v:path arrowok="t"/>
                <v:fill type="solid"/>
              </v:shape>
            </v:group>
            <w10:wrap type="none"/>
          </v:group>
        </w:pict>
      </w:r>
      <w:bookmarkStart w:name="45、其他：无" w:id="229"/>
      <w:bookmarkEnd w:id="22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z w:val="24"/>
          <w:szCs w:val="24"/>
        </w:rPr>
        <w:t>无</w:t>
      </w:r>
      <w:r>
        <w:rPr>
          <w:rFonts w:ascii="宋体" w:hAnsi="宋体" w:cs="宋体" w:eastAsia="宋体" w:hint="default"/>
          <w:b/>
          <w:bCs/>
          <w:w w:val="99"/>
          <w:sz w:val="24"/>
          <w:szCs w:val="24"/>
        </w:rPr>
        <w:t> </w:t>
      </w:r>
      <w:bookmarkStart w:name="六、税项" w:id="230"/>
      <w:bookmarkEnd w:id="230"/>
      <w:r>
        <w:rPr>
          <w:rFonts w:ascii="宋体" w:hAnsi="宋体" w:cs="宋体" w:eastAsia="宋体" w:hint="default"/>
          <w:b/>
          <w:bCs/>
          <w:sz w:val="24"/>
          <w:szCs w:val="24"/>
        </w:rPr>
        <w:t>六</w:t>
      </w:r>
      <w:r>
        <w:rPr>
          <w:rFonts w:ascii="宋体" w:hAnsi="宋体" w:cs="宋体" w:eastAsia="宋体" w:hint="default"/>
          <w:b/>
          <w:bCs/>
          <w:sz w:val="24"/>
          <w:szCs w:val="24"/>
        </w:rPr>
        <w:t>、税项</w:t>
      </w:r>
      <w:r>
        <w:rPr>
          <w:rFonts w:ascii="宋体" w:hAnsi="宋体" w:cs="宋体" w:eastAsia="宋体" w:hint="default"/>
          <w:b/>
          <w:bCs/>
          <w:w w:val="99"/>
          <w:sz w:val="24"/>
          <w:szCs w:val="24"/>
        </w:rPr>
        <w:t> </w:t>
      </w:r>
      <w:bookmarkStart w:name="1、主要税种及税率" w:id="231"/>
      <w:bookmarkEnd w:id="2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2825"/>
        <w:gridCol w:w="4833"/>
        <w:gridCol w:w="1913"/>
      </w:tblGrid>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61"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4833" w:type="dxa"/>
            <w:vMerge w:val="restart"/>
            <w:tcBorders>
              <w:top w:val="single" w:sz="4" w:space="0" w:color="000000"/>
              <w:left w:val="single" w:sz="10" w:space="0" w:color="D2D2D2"/>
              <w:right w:val="single" w:sz="4" w:space="0" w:color="000000"/>
            </w:tcBorders>
          </w:tcPr>
          <w:p>
            <w:pPr>
              <w:pStyle w:val="TableParagraph"/>
              <w:spacing w:line="273" w:lineRule="auto" w:before="28"/>
              <w:ind w:left="27" w:right="124"/>
              <w:jc w:val="left"/>
              <w:rPr>
                <w:rFonts w:ascii="宋体" w:hAnsi="宋体" w:cs="宋体" w:eastAsia="宋体" w:hint="default"/>
                <w:sz w:val="21"/>
                <w:szCs w:val="21"/>
              </w:rPr>
            </w:pPr>
            <w:r>
              <w:rPr>
                <w:rFonts w:ascii="宋体" w:hAnsi="宋体" w:cs="宋体" w:eastAsia="宋体" w:hint="default"/>
                <w:spacing w:val="-9"/>
                <w:w w:val="100"/>
                <w:sz w:val="21"/>
                <w:szCs w:val="21"/>
              </w:rPr>
              <w:t>销售货物、应税销售服务收入、无形资产或者不动产</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建筑服务</w:t>
            </w:r>
          </w:p>
        </w:tc>
        <w:tc>
          <w:tcPr>
            <w:tcW w:w="1913" w:type="dxa"/>
            <w:vMerge w:val="restart"/>
            <w:tcBorders>
              <w:top w:val="single" w:sz="4" w:space="0" w:color="000000"/>
              <w:left w:val="single" w:sz="4" w:space="0" w:color="000000"/>
              <w:right w:val="single" w:sz="4" w:space="0" w:color="000000"/>
            </w:tcBorders>
          </w:tcPr>
          <w:p>
            <w:pPr>
              <w:pStyle w:val="TableParagraph"/>
              <w:spacing w:line="215" w:lineRule="exact" w:before="28"/>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3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p>
        </w:tc>
      </w:tr>
      <w:tr>
        <w:trPr>
          <w:trHeight w:val="394"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833" w:type="dxa"/>
            <w:vMerge/>
            <w:tcBorders>
              <w:left w:val="single" w:sz="10" w:space="0" w:color="D2D2D2"/>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4833" w:type="dxa"/>
            <w:vMerge/>
            <w:tcBorders>
              <w:left w:val="single" w:sz="10" w:space="0" w:color="D2D2D2"/>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8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21"/>
                <w:szCs w:val="21"/>
              </w:rPr>
            </w:pPr>
            <w:r>
              <w:rPr>
                <w:rFonts w:ascii="Times New Roman"/>
                <w:w w:val="100"/>
                <w:sz w:val="21"/>
              </w:rPr>
              <w:t>7</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参见下表</w:t>
            </w: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8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29"/>
              <w:ind w:left="27"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w w:val="100"/>
                <w:sz w:val="21"/>
              </w:rPr>
              <w:t>3</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8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w w:val="100"/>
                <w:sz w:val="21"/>
              </w:rPr>
              <w:t>2</w:t>
            </w: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833"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为纳税基准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1.2</w:t>
            </w:r>
          </w:p>
        </w:tc>
      </w:tr>
    </w:tbl>
    <w:p>
      <w:pPr>
        <w:spacing w:line="240" w:lineRule="auto" w:before="8"/>
        <w:rPr>
          <w:rFonts w:ascii="宋体" w:hAnsi="宋体" w:cs="宋体" w:eastAsia="宋体" w:hint="default"/>
          <w:b/>
          <w:bCs/>
          <w:sz w:val="16"/>
          <w:szCs w:val="16"/>
        </w:rPr>
      </w:pPr>
    </w:p>
    <w:p>
      <w:pPr>
        <w:pStyle w:val="BodyText"/>
        <w:spacing w:line="240" w:lineRule="auto" w:before="26"/>
        <w:ind w:left="633" w:right="996"/>
        <w:jc w:val="left"/>
      </w:pPr>
      <w:r>
        <w:rPr/>
        <w:t>存在不同企业所得税税率纳税主体的，披露情况说明</w:t>
      </w:r>
    </w:p>
    <w:p>
      <w:pPr>
        <w:spacing w:line="240" w:lineRule="auto" w:before="8"/>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7657"/>
        <w:gridCol w:w="1913"/>
      </w:tblGrid>
      <w:tr>
        <w:trPr>
          <w:trHeight w:val="401" w:hRule="exact"/>
        </w:trPr>
        <w:tc>
          <w:tcPr>
            <w:tcW w:w="7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河南辉煌科技股份有限公司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15</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河南辉煌软件有限公司（简称：辉煌软件）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15</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河南辉煌信通软件有限公司（简称：辉煌信通软件）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25</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北京全路信通软件科技有限公司（简称：全路信通软件）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河南辉煌城轨科技有限公司（简称：辉煌城轨）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15</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天津智信源科技有限公司（简称：智信源科技）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北京国铁路阳技术有限公司（简称：国铁路阳）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15</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天津信通铁路电气技术有限公司（简称：天津信通）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北京国铁路阳软件有限公司（简称：路阳软件）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15</w:t>
            </w:r>
          </w:p>
        </w:tc>
      </w:tr>
      <w:tr>
        <w:trPr>
          <w:trHeight w:val="401"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天津辉煌路阳科技有限公司（简称：辉煌路阳）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成都西南交大驱动技术有限责任公司（简称：交大驱动）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Times New Roman" w:hAnsi="Times New Roman" w:cs="Times New Roman" w:eastAsia="Times New Roman" w:hint="default"/>
                <w:sz w:val="21"/>
                <w:szCs w:val="21"/>
              </w:rPr>
            </w:pPr>
            <w:r>
              <w:rPr>
                <w:rFonts w:ascii="Times New Roman"/>
                <w:sz w:val="21"/>
              </w:rPr>
              <w:t>15</w:t>
            </w:r>
          </w:p>
        </w:tc>
      </w:tr>
      <w:tr>
        <w:trPr>
          <w:trHeight w:val="403" w:hRule="exact"/>
        </w:trPr>
        <w:tc>
          <w:tcPr>
            <w:tcW w:w="7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成都新一驱动科技有限责任公司（简称：新一驱动）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20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税收优惠" w:id="232"/>
      <w:bookmarkEnd w:id="2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0" w:lineRule="auto"/>
        <w:ind w:right="1013" w:firstLine="480"/>
        <w:jc w:val="left"/>
      </w:pPr>
      <w:r>
        <w:rPr>
          <w:spacing w:val="-5"/>
        </w:rPr>
        <w:t>增值税：按应税销售收入适用</w:t>
      </w:r>
      <w:r>
        <w:rPr>
          <w:rFonts w:ascii="宋体" w:hAnsi="宋体" w:cs="宋体" w:eastAsia="宋体" w:hint="default"/>
          <w:spacing w:val="-5"/>
        </w:rPr>
        <w:t>16%</w:t>
      </w:r>
      <w:r>
        <w:rPr>
          <w:spacing w:val="-5"/>
        </w:rPr>
        <w:t>、</w:t>
      </w:r>
      <w:r>
        <w:rPr>
          <w:rFonts w:ascii="宋体" w:hAnsi="宋体" w:cs="宋体" w:eastAsia="宋体" w:hint="default"/>
          <w:spacing w:val="-5"/>
        </w:rPr>
        <w:t>13%</w:t>
      </w:r>
      <w:r>
        <w:rPr>
          <w:spacing w:val="-5"/>
        </w:rPr>
        <w:t>的销项税率，扣除可以抵扣的进项税后缴纳。（</w:t>
      </w:r>
      <w:r>
        <w:rPr>
          <w:rFonts w:ascii="宋体" w:hAnsi="宋体" w:cs="宋体" w:eastAsia="宋体" w:hint="default"/>
          <w:spacing w:val="-5"/>
        </w:rPr>
        <w:t>1</w:t>
      </w:r>
      <w:r>
        <w:rPr>
          <w:spacing w:val="-5"/>
        </w:rPr>
        <w:t>）</w:t>
      </w:r>
      <w:r>
        <w:rPr/>
        <w:t> 本公司经河南省软件服务业协会评定为软件企业，取得编号为豫</w:t>
      </w:r>
      <w:r>
        <w:rPr>
          <w:rFonts w:ascii="宋体" w:hAnsi="宋体" w:cs="宋体" w:eastAsia="宋体" w:hint="default"/>
        </w:rPr>
        <w:t>RQ-2019-0252</w:t>
      </w:r>
      <w:r>
        <w:rPr/>
        <w:t>的软件企业认</w:t>
      </w:r>
      <w:r>
        <w:rPr>
          <w:spacing w:val="-85"/>
        </w:rPr>
        <w:t> </w:t>
      </w:r>
      <w:r>
        <w:rPr>
          <w:spacing w:val="-85"/>
        </w:rPr>
      </w:r>
      <w:r>
        <w:rPr>
          <w:spacing w:val="19"/>
        </w:rPr>
        <w:t>定证书；（</w:t>
      </w:r>
      <w:r>
        <w:rPr>
          <w:spacing w:val="-95"/>
        </w:rPr>
        <w:t> </w:t>
      </w:r>
      <w:r>
        <w:rPr>
          <w:rFonts w:ascii="宋体" w:hAnsi="宋体" w:cs="宋体" w:eastAsia="宋体" w:hint="default"/>
        </w:rPr>
        <w:t>2</w:t>
      </w:r>
      <w:r>
        <w:rPr>
          <w:rFonts w:ascii="宋体" w:hAnsi="宋体" w:cs="宋体" w:eastAsia="宋体" w:hint="default"/>
          <w:spacing w:val="-95"/>
        </w:rPr>
        <w:t> </w:t>
      </w:r>
      <w:r>
        <w:rPr/>
        <w:t>）</w:t>
      </w:r>
      <w:r>
        <w:rPr>
          <w:spacing w:val="-96"/>
        </w:rPr>
        <w:t> </w:t>
      </w:r>
      <w:r>
        <w:rPr>
          <w:spacing w:val="22"/>
        </w:rPr>
        <w:t>辉煌软件由河南省软件服务业协会评定为软件企业，</w:t>
      </w:r>
      <w:r>
        <w:rPr>
          <w:spacing w:val="-96"/>
        </w:rPr>
        <w:t> </w:t>
      </w:r>
      <w:r>
        <w:rPr>
          <w:spacing w:val="20"/>
        </w:rPr>
        <w:t>并取得编号为豫</w:t>
      </w:r>
      <w:r>
        <w:rPr>
          <w:spacing w:val="-108"/>
        </w:rPr>
        <w:t> </w:t>
      </w:r>
      <w:r>
        <w:rPr>
          <w:spacing w:val="-108"/>
        </w:rPr>
      </w:r>
      <w:r>
        <w:rPr>
          <w:rFonts w:ascii="宋体" w:hAnsi="宋体" w:cs="宋体" w:eastAsia="宋体" w:hint="default"/>
        </w:rPr>
        <w:t>RQ-2019-0337</w:t>
      </w:r>
      <w:r>
        <w:rPr/>
        <w:t>的软件企业认定证书；（</w:t>
      </w:r>
      <w:r>
        <w:rPr>
          <w:rFonts w:ascii="宋体" w:hAnsi="宋体" w:cs="宋体" w:eastAsia="宋体" w:hint="default"/>
        </w:rPr>
        <w:t>3</w:t>
      </w:r>
      <w:r>
        <w:rPr/>
        <w:t>）辉煌信通软件由河南省软件服务业协会评定为软件</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1"/>
        <w:jc w:val="both"/>
      </w:pPr>
      <w:r>
        <w:rPr>
          <w:spacing w:val="-2"/>
        </w:rPr>
        <w:t>企业，并取得编号为豫</w:t>
      </w:r>
      <w:r>
        <w:rPr>
          <w:rFonts w:ascii="宋体" w:hAnsi="宋体" w:cs="宋体" w:eastAsia="宋体" w:hint="default"/>
          <w:spacing w:val="-2"/>
        </w:rPr>
        <w:t>RQ-2019-0336</w:t>
      </w:r>
      <w:r>
        <w:rPr>
          <w:spacing w:val="-2"/>
        </w:rPr>
        <w:t>的软件企业认定证书；（</w:t>
      </w:r>
      <w:r>
        <w:rPr>
          <w:rFonts w:ascii="宋体" w:hAnsi="宋体" w:cs="宋体" w:eastAsia="宋体" w:hint="default"/>
          <w:spacing w:val="-2"/>
        </w:rPr>
        <w:t>4</w:t>
      </w:r>
      <w:r>
        <w:rPr>
          <w:spacing w:val="-2"/>
        </w:rPr>
        <w:t>）辉煌城轨由河南省软件服务</w:t>
      </w:r>
      <w:r>
        <w:rPr>
          <w:spacing w:val="-110"/>
        </w:rPr>
        <w:t> </w:t>
      </w:r>
      <w:r>
        <w:rPr>
          <w:spacing w:val="-110"/>
        </w:rPr>
      </w:r>
      <w:r>
        <w:rPr>
          <w:spacing w:val="-2"/>
        </w:rPr>
        <w:t>业协会评定为软件企业，并取得编号为豫</w:t>
      </w:r>
      <w:r>
        <w:rPr>
          <w:rFonts w:ascii="宋体" w:hAnsi="宋体" w:cs="宋体" w:eastAsia="宋体" w:hint="default"/>
          <w:spacing w:val="-2"/>
        </w:rPr>
        <w:t>RQ-2019-0330</w:t>
      </w:r>
      <w:r>
        <w:rPr>
          <w:spacing w:val="-2"/>
        </w:rPr>
        <w:t>的软件企业认定证书；（</w:t>
      </w:r>
      <w:r>
        <w:rPr>
          <w:rFonts w:ascii="宋体" w:hAnsi="宋体" w:cs="宋体" w:eastAsia="宋体" w:hint="default"/>
          <w:spacing w:val="-2"/>
        </w:rPr>
        <w:t>5</w:t>
      </w:r>
      <w:r>
        <w:rPr>
          <w:spacing w:val="-2"/>
        </w:rPr>
        <w:t>）全路信通</w:t>
      </w:r>
      <w:r>
        <w:rPr>
          <w:spacing w:val="-109"/>
        </w:rPr>
        <w:t> </w:t>
      </w:r>
      <w:r>
        <w:rPr>
          <w:spacing w:val="-109"/>
        </w:rPr>
      </w:r>
      <w:r>
        <w:rPr/>
        <w:t>技术、辉煌路阳、路阳技术、路阳软件销售的部分软件产品取得软件产品证书已向当地税局</w:t>
      </w:r>
      <w:r>
        <w:rPr>
          <w:spacing w:val="-91"/>
        </w:rPr>
        <w:t> </w:t>
      </w:r>
      <w:r>
        <w:rPr>
          <w:spacing w:val="-91"/>
        </w:rPr>
      </w:r>
      <w:r>
        <w:rPr/>
        <w:t>备案；以上公司根据国务院国发</w:t>
      </w:r>
      <w:r>
        <w:rPr>
          <w:rFonts w:ascii="宋体" w:hAnsi="宋体" w:cs="宋体" w:eastAsia="宋体" w:hint="default"/>
        </w:rPr>
        <w:t>[2011]4</w:t>
      </w:r>
      <w:r>
        <w:rPr>
          <w:rFonts w:ascii="宋体" w:hAnsi="宋体" w:cs="宋体" w:eastAsia="宋体" w:hint="default"/>
          <w:spacing w:val="26"/>
        </w:rPr>
        <w:t> </w:t>
      </w:r>
      <w:r>
        <w:rPr/>
        <w:t>号《国务院关于印发进一步鼓励软件产业和集成电</w:t>
      </w:r>
      <w:r>
        <w:rPr>
          <w:spacing w:val="-117"/>
        </w:rPr>
        <w:t> </w:t>
      </w:r>
      <w:r>
        <w:rPr>
          <w:spacing w:val="-117"/>
        </w:rPr>
      </w:r>
      <w:r>
        <w:rPr>
          <w:spacing w:val="-2"/>
        </w:rPr>
        <w:t>路产业发展若干政策的通知》及财政部、国家税务总局下发的财税</w:t>
      </w:r>
      <w:r>
        <w:rPr>
          <w:rFonts w:ascii="宋体" w:hAnsi="宋体" w:cs="宋体" w:eastAsia="宋体" w:hint="default"/>
          <w:spacing w:val="-2"/>
        </w:rPr>
        <w:t>[2011]100</w:t>
      </w:r>
      <w:r>
        <w:rPr>
          <w:spacing w:val="-2"/>
        </w:rPr>
        <w:t>号《关于软件产</w:t>
      </w:r>
      <w:r>
        <w:rPr>
          <w:spacing w:val="-113"/>
        </w:rPr>
        <w:t> </w:t>
      </w:r>
      <w:r>
        <w:rPr>
          <w:spacing w:val="-113"/>
        </w:rPr>
      </w:r>
      <w:r>
        <w:rPr/>
        <w:t>品增值税政策的通知》的规定，对增值税一般纳税人销售其自行开发生产的软件产品，实际</w:t>
      </w:r>
      <w:r>
        <w:rPr>
          <w:spacing w:val="-91"/>
        </w:rPr>
        <w:t> </w:t>
      </w:r>
      <w:r>
        <w:rPr>
          <w:spacing w:val="-91"/>
        </w:rPr>
      </w:r>
      <w:r>
        <w:rPr/>
        <w:t>税负超过</w:t>
      </w:r>
      <w:r>
        <w:rPr>
          <w:rFonts w:ascii="宋体" w:hAnsi="宋体" w:cs="宋体" w:eastAsia="宋体" w:hint="default"/>
        </w:rPr>
        <w:t>3%</w:t>
      </w:r>
      <w:r>
        <w:rPr/>
        <w:t>的部分即征即退。</w:t>
      </w:r>
    </w:p>
    <w:p>
      <w:pPr>
        <w:pStyle w:val="BodyText"/>
        <w:spacing w:line="350" w:lineRule="auto" w:before="36"/>
        <w:ind w:right="1134" w:firstLine="480"/>
        <w:jc w:val="both"/>
      </w:pPr>
      <w:r>
        <w:rPr/>
        <w:t>所</w:t>
      </w:r>
      <w:r>
        <w:rPr>
          <w:spacing w:val="-83"/>
        </w:rPr>
        <w:t> </w:t>
      </w:r>
      <w:r>
        <w:rPr/>
        <w:t>得</w:t>
      </w:r>
      <w:r>
        <w:rPr>
          <w:spacing w:val="-83"/>
        </w:rPr>
        <w:t> </w:t>
      </w:r>
      <w:r>
        <w:rPr/>
        <w:t>税</w:t>
      </w:r>
      <w:r>
        <w:rPr>
          <w:spacing w:val="-86"/>
        </w:rPr>
        <w:t> </w:t>
      </w:r>
      <w:r>
        <w:rPr/>
        <w:t>：</w:t>
      </w:r>
      <w:r>
        <w:rPr>
          <w:spacing w:val="-83"/>
        </w:rPr>
        <w:t> </w:t>
      </w:r>
      <w:r>
        <w:rPr/>
        <w:t>根</w:t>
      </w:r>
      <w:r>
        <w:rPr>
          <w:spacing w:val="-86"/>
        </w:rPr>
        <w:t> </w:t>
      </w:r>
      <w:r>
        <w:rPr/>
        <w:t>据</w:t>
      </w:r>
      <w:r>
        <w:rPr>
          <w:spacing w:val="-83"/>
        </w:rPr>
        <w:t> </w:t>
      </w:r>
      <w:r>
        <w:rPr/>
        <w:t>豫</w:t>
      </w:r>
      <w:r>
        <w:rPr>
          <w:spacing w:val="-86"/>
        </w:rPr>
        <w:t> </w:t>
      </w:r>
      <w:r>
        <w:rPr/>
        <w:t>科</w:t>
      </w:r>
      <w:r>
        <w:rPr>
          <w:spacing w:val="-81"/>
        </w:rPr>
        <w:t> </w:t>
      </w:r>
      <w:r>
        <w:rPr>
          <w:rFonts w:ascii="宋体" w:hAnsi="宋体" w:cs="宋体" w:eastAsia="宋体" w:hint="default"/>
        </w:rPr>
        <w:t>[2018]9</w:t>
      </w:r>
      <w:r>
        <w:rPr>
          <w:rFonts w:ascii="宋体" w:hAnsi="宋体" w:cs="宋体" w:eastAsia="宋体" w:hint="default"/>
          <w:spacing w:val="-83"/>
        </w:rPr>
        <w:t> </w:t>
      </w:r>
      <w:r>
        <w:rPr/>
        <w:t>号</w:t>
      </w:r>
      <w:r>
        <w:rPr>
          <w:spacing w:val="-83"/>
        </w:rPr>
        <w:t> </w:t>
      </w:r>
      <w:r>
        <w:rPr/>
        <w:t>文</w:t>
      </w:r>
      <w:r>
        <w:rPr>
          <w:spacing w:val="-86"/>
        </w:rPr>
        <w:t> </w:t>
      </w:r>
      <w:r>
        <w:rPr/>
        <w:t>，</w:t>
      </w:r>
      <w:r>
        <w:rPr>
          <w:spacing w:val="-83"/>
        </w:rPr>
        <w:t> </w:t>
      </w:r>
      <w:r>
        <w:rPr/>
        <w:t>本</w:t>
      </w:r>
      <w:r>
        <w:rPr>
          <w:spacing w:val="-86"/>
        </w:rPr>
        <w:t> </w:t>
      </w:r>
      <w:r>
        <w:rPr/>
        <w:t>公</w:t>
      </w:r>
      <w:r>
        <w:rPr>
          <w:spacing w:val="-83"/>
        </w:rPr>
        <w:t> </w:t>
      </w:r>
      <w:r>
        <w:rPr/>
        <w:t>司</w:t>
      </w:r>
      <w:r>
        <w:rPr>
          <w:spacing w:val="-86"/>
        </w:rPr>
        <w:t> </w:t>
      </w:r>
      <w:r>
        <w:rPr/>
        <w:t>被</w:t>
      </w:r>
      <w:r>
        <w:rPr>
          <w:spacing w:val="-83"/>
        </w:rPr>
        <w:t> </w:t>
      </w:r>
      <w:r>
        <w:rPr/>
        <w:t>认</w:t>
      </w:r>
      <w:r>
        <w:rPr>
          <w:spacing w:val="-83"/>
        </w:rPr>
        <w:t> </w:t>
      </w:r>
      <w:r>
        <w:rPr/>
        <w:t>定</w:t>
      </w:r>
      <w:r>
        <w:rPr>
          <w:spacing w:val="-86"/>
        </w:rPr>
        <w:t> </w:t>
      </w:r>
      <w:r>
        <w:rPr/>
        <w:t>为</w:t>
      </w:r>
      <w:r>
        <w:rPr>
          <w:spacing w:val="-83"/>
        </w:rPr>
        <w:t> </w:t>
      </w:r>
      <w:r>
        <w:rPr/>
        <w:t>高</w:t>
      </w:r>
      <w:r>
        <w:rPr>
          <w:spacing w:val="-86"/>
        </w:rPr>
        <w:t> </w:t>
      </w:r>
      <w:r>
        <w:rPr/>
        <w:t>新</w:t>
      </w:r>
      <w:r>
        <w:rPr>
          <w:spacing w:val="-83"/>
        </w:rPr>
        <w:t> </w:t>
      </w:r>
      <w:r>
        <w:rPr/>
        <w:t>技</w:t>
      </w:r>
      <w:r>
        <w:rPr>
          <w:spacing w:val="-86"/>
        </w:rPr>
        <w:t> </w:t>
      </w:r>
      <w:r>
        <w:rPr/>
        <w:t>术</w:t>
      </w:r>
      <w:r>
        <w:rPr>
          <w:spacing w:val="-86"/>
        </w:rPr>
        <w:t> </w:t>
      </w:r>
      <w:r>
        <w:rPr/>
        <w:t>企</w:t>
      </w:r>
      <w:r>
        <w:rPr>
          <w:spacing w:val="-83"/>
        </w:rPr>
        <w:t> </w:t>
      </w:r>
      <w:r>
        <w:rPr/>
        <w:t>业</w:t>
      </w:r>
      <w:r>
        <w:rPr>
          <w:spacing w:val="-83"/>
        </w:rPr>
        <w:t> </w:t>
      </w:r>
      <w:r>
        <w:rPr/>
        <w:t>，</w:t>
      </w:r>
      <w:r>
        <w:rPr>
          <w:spacing w:val="-86"/>
        </w:rPr>
        <w:t> </w:t>
      </w:r>
      <w:r>
        <w:rPr/>
        <w:t>证</w:t>
      </w:r>
      <w:r>
        <w:rPr>
          <w:spacing w:val="-83"/>
        </w:rPr>
        <w:t> </w:t>
      </w:r>
      <w:r>
        <w:rPr/>
        <w:t>书</w:t>
      </w:r>
      <w:r>
        <w:rPr>
          <w:spacing w:val="-86"/>
        </w:rPr>
        <w:t> </w:t>
      </w:r>
      <w:r>
        <w:rPr/>
        <w:t>编</w:t>
      </w:r>
      <w:r>
        <w:rPr>
          <w:spacing w:val="-83"/>
        </w:rPr>
        <w:t> </w:t>
      </w:r>
      <w:r>
        <w:rPr/>
        <w:t>号</w:t>
      </w:r>
      <w:r>
        <w:rPr>
          <w:spacing w:val="-83"/>
        </w:rPr>
        <w:t> </w:t>
      </w:r>
      <w:r>
        <w:rPr/>
        <w:t>：</w:t>
      </w:r>
      <w:r>
        <w:rPr/>
        <w:t> </w:t>
      </w:r>
      <w:r>
        <w:rPr>
          <w:rFonts w:ascii="宋体" w:hAnsi="宋体" w:cs="宋体" w:eastAsia="宋体" w:hint="default"/>
        </w:rPr>
        <w:t>GR201741000758</w:t>
      </w:r>
      <w:r>
        <w:rPr/>
        <w:t>，本公司</w:t>
      </w:r>
      <w:r>
        <w:rPr>
          <w:rFonts w:ascii="宋体" w:hAnsi="宋体" w:cs="宋体" w:eastAsia="宋体" w:hint="default"/>
        </w:rPr>
        <w:t>2017-2019</w:t>
      </w:r>
      <w:r>
        <w:rPr/>
        <w:t>年度所得税税率为</w:t>
      </w:r>
      <w:r>
        <w:rPr>
          <w:rFonts w:ascii="宋体" w:hAnsi="宋体" w:cs="宋体" w:eastAsia="宋体" w:hint="default"/>
        </w:rPr>
        <w:t>15%</w:t>
      </w:r>
      <w:r>
        <w:rPr/>
        <w:t>。</w:t>
      </w:r>
    </w:p>
    <w:p>
      <w:pPr>
        <w:pStyle w:val="BodyText"/>
        <w:spacing w:line="352" w:lineRule="auto" w:before="36"/>
        <w:ind w:right="1126" w:firstLine="48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日，辉煌软件被认定为高新技术企业，证书编号：</w:t>
      </w:r>
      <w:r>
        <w:rPr>
          <w:rFonts w:ascii="宋体" w:hAnsi="宋体" w:cs="宋体" w:eastAsia="宋体" w:hint="default"/>
        </w:rPr>
        <w:t>GR201841000826</w:t>
      </w:r>
      <w:r>
        <w:rPr/>
        <w:t>，该公</w:t>
      </w:r>
      <w:r>
        <w:rPr>
          <w:spacing w:val="2"/>
        </w:rPr>
        <w:t> </w:t>
      </w:r>
      <w:r>
        <w:rPr/>
        <w:t>司</w:t>
      </w:r>
      <w:r>
        <w:rPr>
          <w:rFonts w:ascii="宋体" w:hAnsi="宋体" w:cs="宋体" w:eastAsia="宋体" w:hint="default"/>
        </w:rPr>
        <w:t>2018-2020</w:t>
      </w:r>
      <w:r>
        <w:rPr/>
        <w:t>年度所得税税率为</w:t>
      </w:r>
      <w:r>
        <w:rPr>
          <w:rFonts w:ascii="宋体" w:hAnsi="宋体" w:cs="宋体" w:eastAsia="宋体" w:hint="default"/>
        </w:rPr>
        <w:t>15%</w:t>
      </w:r>
      <w:r>
        <w:rPr/>
        <w:t>。</w:t>
      </w:r>
    </w:p>
    <w:p>
      <w:pPr>
        <w:pStyle w:val="BodyText"/>
        <w:spacing w:line="352" w:lineRule="auto" w:before="31"/>
        <w:ind w:right="1152" w:firstLine="480"/>
        <w:jc w:val="both"/>
      </w:pP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w:t>
      </w:r>
      <w:r>
        <w:rPr>
          <w:spacing w:val="-3"/>
        </w:rPr>
        <w:t>日，辉煌信通软件被认定为高新技术企业，证书编号：</w:t>
      </w:r>
      <w:r>
        <w:rPr>
          <w:rFonts w:ascii="宋体" w:hAnsi="宋体" w:cs="宋体" w:eastAsia="宋体" w:hint="default"/>
          <w:spacing w:val="-3"/>
        </w:rPr>
        <w:t>GR201941001144</w:t>
      </w:r>
      <w:r>
        <w:rPr>
          <w:spacing w:val="-3"/>
        </w:rPr>
        <w:t>，该</w:t>
      </w:r>
      <w:r>
        <w:rPr>
          <w:spacing w:val="-22"/>
        </w:rPr>
        <w:t> </w:t>
      </w:r>
      <w:r>
        <w:rPr/>
        <w:t>公司</w:t>
      </w:r>
      <w:r>
        <w:rPr>
          <w:rFonts w:ascii="宋体" w:hAnsi="宋体" w:cs="宋体" w:eastAsia="宋体" w:hint="default"/>
        </w:rPr>
        <w:t>2019-2021</w:t>
      </w:r>
      <w:r>
        <w:rPr/>
        <w:t>年度所得税税率为</w:t>
      </w:r>
      <w:r>
        <w:rPr>
          <w:rFonts w:ascii="宋体" w:hAnsi="宋体" w:cs="宋体" w:eastAsia="宋体" w:hint="default"/>
        </w:rPr>
        <w:t>15%</w:t>
      </w:r>
      <w:r>
        <w:rPr/>
        <w:t>。</w:t>
      </w:r>
    </w:p>
    <w:p>
      <w:pPr>
        <w:pStyle w:val="BodyText"/>
        <w:spacing w:line="350" w:lineRule="auto" w:before="34"/>
        <w:ind w:right="1134" w:firstLine="480"/>
        <w:jc w:val="both"/>
      </w:pPr>
      <w:r>
        <w:rPr/>
        <w:t>辉煌信通软件为符合条件的软件企业，自开始获利年度起，第一年和第二年免缴企业所 得税，第三年至第五年减半缴纳企业所得税。辉煌信通软件</w:t>
      </w:r>
      <w:r>
        <w:rPr>
          <w:rFonts w:ascii="宋体" w:hAnsi="宋体" w:cs="宋体" w:eastAsia="宋体" w:hint="default"/>
        </w:rPr>
        <w:t>2019</w:t>
      </w:r>
      <w:r>
        <w:rPr/>
        <w:t>年减半缴纳企业所得税（减</w:t>
      </w:r>
      <w:r>
        <w:rPr>
          <w:spacing w:val="-87"/>
        </w:rPr>
        <w:t> </w:t>
      </w:r>
      <w:r>
        <w:rPr>
          <w:spacing w:val="-87"/>
        </w:rPr>
      </w:r>
      <w:r>
        <w:rPr/>
        <w:t>半缴纳企业所得税的第一年）。</w:t>
      </w:r>
    </w:p>
    <w:p>
      <w:pPr>
        <w:pStyle w:val="BodyText"/>
        <w:spacing w:line="350" w:lineRule="auto" w:before="36"/>
        <w:ind w:right="1126" w:firstLine="480"/>
        <w:jc w:val="both"/>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日，辉煌城轨被认定为高新技术企业，证书编号：</w:t>
      </w:r>
      <w:r>
        <w:rPr>
          <w:rFonts w:ascii="宋体" w:hAnsi="宋体" w:cs="宋体" w:eastAsia="宋体" w:hint="default"/>
        </w:rPr>
        <w:t>GR201841000954</w:t>
      </w:r>
      <w:r>
        <w:rPr/>
        <w:t>，该公</w:t>
      </w:r>
      <w:r>
        <w:rPr>
          <w:spacing w:val="2"/>
        </w:rPr>
        <w:t> </w:t>
      </w:r>
      <w:r>
        <w:rPr/>
        <w:t>司</w:t>
      </w:r>
      <w:r>
        <w:rPr>
          <w:rFonts w:ascii="宋体" w:hAnsi="宋体" w:cs="宋体" w:eastAsia="宋体" w:hint="default"/>
        </w:rPr>
        <w:t>2018-2020</w:t>
      </w:r>
      <w:r>
        <w:rPr/>
        <w:t>年度所得税税率为</w:t>
      </w:r>
      <w:r>
        <w:rPr>
          <w:rFonts w:ascii="宋体" w:hAnsi="宋体" w:cs="宋体" w:eastAsia="宋体" w:hint="default"/>
        </w:rPr>
        <w:t>15%</w:t>
      </w:r>
      <w:r>
        <w:rPr/>
        <w:t>。</w:t>
      </w:r>
    </w:p>
    <w:p>
      <w:pPr>
        <w:pStyle w:val="BodyText"/>
        <w:spacing w:line="350" w:lineRule="auto" w:before="36"/>
        <w:ind w:right="996" w:firstLine="480"/>
        <w:jc w:val="left"/>
      </w:pPr>
      <w:r>
        <w:rPr>
          <w:spacing w:val="-3"/>
        </w:rPr>
        <w:t>辉煌城轨为符合条件的软件企业，自开始获利年度起，第一年和第二年免缴企业所得税，</w:t>
      </w:r>
      <w:r>
        <w:rPr/>
        <w:t> 第三年至第五年减半缴纳企业所得税。辉煌城轨</w:t>
      </w:r>
      <w:r>
        <w:rPr>
          <w:rFonts w:ascii="宋体" w:hAnsi="宋体" w:cs="宋体" w:eastAsia="宋体" w:hint="default"/>
        </w:rPr>
        <w:t>2019</w:t>
      </w:r>
      <w:r>
        <w:rPr/>
        <w:t>年免缴企业所得税（免缴企业所得税的</w:t>
      </w:r>
      <w:r>
        <w:rPr>
          <w:spacing w:val="-89"/>
        </w:rPr>
        <w:t> </w:t>
      </w:r>
      <w:r>
        <w:rPr>
          <w:spacing w:val="-89"/>
        </w:rPr>
      </w:r>
      <w:r>
        <w:rPr/>
        <w:t>第二年）。</w:t>
      </w:r>
    </w:p>
    <w:p>
      <w:pPr>
        <w:pStyle w:val="BodyText"/>
        <w:spacing w:line="350" w:lineRule="auto" w:before="36"/>
        <w:ind w:right="1133" w:firstLine="480"/>
        <w:jc w:val="both"/>
      </w:pPr>
      <w:r>
        <w:rPr/>
        <w:t>国铁路阳</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日经北京市科学技术委员会认证为高新技术企业，高新技术企业 </w:t>
      </w:r>
      <w:r>
        <w:rPr>
          <w:spacing w:val="-11"/>
        </w:rPr>
        <w:t>证书编号：</w:t>
      </w:r>
      <w:r>
        <w:rPr>
          <w:rFonts w:ascii="宋体" w:hAnsi="宋体" w:cs="宋体" w:eastAsia="宋体" w:hint="default"/>
          <w:spacing w:val="-11"/>
        </w:rPr>
        <w:t>GR201711003418</w:t>
      </w:r>
      <w:r>
        <w:rPr>
          <w:spacing w:val="-11"/>
        </w:rPr>
        <w:t>。根据《中华人民共和国企业所得税法》的规定，国铁路阳</w:t>
      </w:r>
      <w:r>
        <w:rPr>
          <w:rFonts w:ascii="宋体" w:hAnsi="宋体" w:cs="宋体" w:eastAsia="宋体" w:hint="default"/>
          <w:spacing w:val="-11"/>
        </w:rPr>
        <w:t>2017-2019</w:t>
      </w:r>
      <w:r>
        <w:rPr>
          <w:rFonts w:ascii="宋体" w:hAnsi="宋体" w:cs="宋体" w:eastAsia="宋体" w:hint="default"/>
          <w:spacing w:val="-91"/>
        </w:rPr>
        <w:t> </w:t>
      </w:r>
      <w:r>
        <w:rPr/>
        <w:t>年度所得税适用税率为</w:t>
      </w:r>
      <w:r>
        <w:rPr>
          <w:rFonts w:ascii="宋体" w:hAnsi="宋体" w:cs="宋体" w:eastAsia="宋体" w:hint="default"/>
        </w:rPr>
        <w:t>15%</w:t>
      </w:r>
      <w:r>
        <w:rPr/>
        <w:t>。</w:t>
      </w:r>
    </w:p>
    <w:p>
      <w:pPr>
        <w:pStyle w:val="BodyText"/>
        <w:spacing w:line="350" w:lineRule="auto" w:before="37"/>
        <w:ind w:right="1131" w:firstLine="480"/>
        <w:jc w:val="both"/>
      </w:pPr>
      <w:r>
        <w:rPr/>
        <w:t>天津信通根据财税</w:t>
      </w:r>
      <w:r>
        <w:rPr>
          <w:rFonts w:ascii="宋体" w:hAnsi="宋体" w:cs="宋体" w:eastAsia="宋体" w:hint="default"/>
        </w:rPr>
        <w:t>[2019]13</w:t>
      </w:r>
      <w:r>
        <w:rPr/>
        <w:t>号文件公告规定，符合小型微利企业的界定并且本年应纳所 </w:t>
      </w:r>
      <w:r>
        <w:rPr>
          <w:spacing w:val="-2"/>
        </w:rPr>
        <w:t>得额不超过</w:t>
      </w:r>
      <w:r>
        <w:rPr>
          <w:rFonts w:ascii="宋体" w:hAnsi="宋体" w:cs="宋体" w:eastAsia="宋体" w:hint="default"/>
          <w:spacing w:val="-2"/>
        </w:rPr>
        <w:t>100</w:t>
      </w:r>
      <w:r>
        <w:rPr>
          <w:spacing w:val="-2"/>
        </w:rPr>
        <w:t>万，故享受减按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w:t>
      </w:r>
      <w:r>
        <w:rPr>
          <w:spacing w:val="-2"/>
        </w:rPr>
        <w:t>的税率缴纳企业所得税的优惠政</w:t>
      </w:r>
      <w:r>
        <w:rPr>
          <w:spacing w:val="-112"/>
        </w:rPr>
        <w:t> </w:t>
      </w:r>
      <w:r>
        <w:rPr/>
        <w:t>策。</w:t>
      </w:r>
    </w:p>
    <w:p>
      <w:pPr>
        <w:pStyle w:val="BodyText"/>
        <w:spacing w:line="352" w:lineRule="auto" w:before="36"/>
        <w:ind w:right="1128" w:firstLine="480"/>
        <w:jc w:val="left"/>
      </w:pPr>
      <w:r>
        <w:rPr/>
        <w:t>辉煌路阳为高新技术企业，证书编号：</w:t>
      </w:r>
      <w:r>
        <w:rPr>
          <w:rFonts w:ascii="宋体" w:hAnsi="宋体" w:cs="宋体" w:eastAsia="宋体" w:hint="default"/>
        </w:rPr>
        <w:t>GR201812000419</w:t>
      </w:r>
      <w:r>
        <w:rPr/>
        <w:t>。根据《中华人民共和国企业所 得税法》的规定，辉煌路阳</w:t>
      </w:r>
      <w:r>
        <w:rPr>
          <w:rFonts w:ascii="宋体" w:hAnsi="宋体" w:cs="宋体" w:eastAsia="宋体" w:hint="default"/>
        </w:rPr>
        <w:t>2018-2020</w:t>
      </w:r>
      <w:r>
        <w:rPr/>
        <w:t>年度所得税适用税率为</w:t>
      </w:r>
      <w:r>
        <w:rPr>
          <w:rFonts w:ascii="宋体" w:hAnsi="宋体" w:cs="宋体" w:eastAsia="宋体" w:hint="default"/>
        </w:rPr>
        <w:t>15%</w:t>
      </w:r>
      <w:r>
        <w:rPr/>
        <w:t>。</w:t>
      </w:r>
    </w:p>
    <w:p>
      <w:pPr>
        <w:pStyle w:val="BodyText"/>
        <w:spacing w:line="240" w:lineRule="auto" w:before="31"/>
        <w:ind w:left="633" w:right="996"/>
        <w:jc w:val="left"/>
      </w:pPr>
      <w:r>
        <w:rPr/>
        <w:t>路阳软件</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日经北京市科学技术委员会认证为高新技术企业，高新技术企业</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996"/>
        <w:jc w:val="left"/>
      </w:pPr>
      <w:r>
        <w:rPr>
          <w:spacing w:val="-11"/>
        </w:rPr>
        <w:t>证书编号：</w:t>
      </w:r>
      <w:r>
        <w:rPr>
          <w:rFonts w:ascii="宋体" w:hAnsi="宋体" w:cs="宋体" w:eastAsia="宋体" w:hint="default"/>
          <w:spacing w:val="-11"/>
        </w:rPr>
        <w:t>GR201811007009</w:t>
      </w:r>
      <w:r>
        <w:rPr>
          <w:spacing w:val="-11"/>
        </w:rPr>
        <w:t>。根据《中华人民共和国企业所得税法》的规定，国铁路阳</w:t>
      </w:r>
      <w:r>
        <w:rPr>
          <w:rFonts w:ascii="宋体" w:hAnsi="宋体" w:cs="宋体" w:eastAsia="宋体" w:hint="default"/>
          <w:spacing w:val="-11"/>
        </w:rPr>
        <w:t>2018-2020</w:t>
      </w:r>
      <w:r>
        <w:rPr>
          <w:rFonts w:ascii="宋体" w:hAnsi="宋体" w:cs="宋体" w:eastAsia="宋体" w:hint="default"/>
          <w:spacing w:val="-90"/>
        </w:rPr>
        <w:t> </w:t>
      </w:r>
      <w:r>
        <w:rPr/>
        <w:t>年度所得税适用税率为</w:t>
      </w:r>
      <w:r>
        <w:rPr>
          <w:rFonts w:ascii="宋体" w:hAnsi="宋体" w:cs="宋体" w:eastAsia="宋体" w:hint="default"/>
        </w:rPr>
        <w:t>15%</w:t>
      </w:r>
      <w:r>
        <w:rPr/>
        <w:t>。</w:t>
      </w:r>
    </w:p>
    <w:p>
      <w:pPr>
        <w:pStyle w:val="BodyText"/>
        <w:spacing w:line="352" w:lineRule="auto" w:before="31"/>
        <w:ind w:right="1130" w:firstLine="480"/>
        <w:jc w:val="both"/>
      </w:pPr>
      <w:r>
        <w:rPr/>
        <w:t>交大驱动被认定为高新技术企业，证书编号：</w:t>
      </w:r>
      <w:r>
        <w:rPr>
          <w:rFonts w:ascii="宋体" w:hAnsi="宋体" w:cs="宋体" w:eastAsia="宋体" w:hint="default"/>
        </w:rPr>
        <w:t>GR201951002232</w:t>
      </w:r>
      <w:r>
        <w:rPr/>
        <w:t>。根据《中华人民共和国 企业所得税法》的规定，交大驱动</w:t>
      </w:r>
      <w:r>
        <w:rPr>
          <w:rFonts w:ascii="宋体" w:hAnsi="宋体" w:cs="宋体" w:eastAsia="宋体" w:hint="default"/>
        </w:rPr>
        <w:t>2019--2021</w:t>
      </w:r>
      <w:r>
        <w:rPr/>
        <w:t>年度所得税适用税率为</w:t>
      </w:r>
      <w:r>
        <w:rPr>
          <w:rFonts w:ascii="宋体" w:hAnsi="宋体" w:cs="宋体" w:eastAsia="宋体" w:hint="default"/>
        </w:rPr>
        <w:t>15%</w:t>
      </w:r>
      <w:r>
        <w:rPr/>
        <w:t>。</w:t>
      </w:r>
    </w:p>
    <w:p>
      <w:pPr>
        <w:pStyle w:val="BodyText"/>
        <w:spacing w:line="350" w:lineRule="auto" w:before="34"/>
        <w:ind w:right="1131" w:firstLine="480"/>
        <w:jc w:val="both"/>
      </w:pPr>
      <w:r>
        <w:rPr/>
        <w:t>新一驱动根据财税</w:t>
      </w:r>
      <w:r>
        <w:rPr>
          <w:rFonts w:ascii="宋体" w:hAnsi="宋体" w:cs="宋体" w:eastAsia="宋体" w:hint="default"/>
        </w:rPr>
        <w:t>[2019]13</w:t>
      </w:r>
      <w:r>
        <w:rPr/>
        <w:t>号文件公告规定，符合小型微利企业的界定并且本年应纳所 </w:t>
      </w:r>
      <w:r>
        <w:rPr>
          <w:spacing w:val="-2"/>
        </w:rPr>
        <w:t>得额不超过</w:t>
      </w:r>
      <w:r>
        <w:rPr>
          <w:rFonts w:ascii="宋体" w:hAnsi="宋体" w:cs="宋体" w:eastAsia="宋体" w:hint="default"/>
          <w:spacing w:val="-2"/>
        </w:rPr>
        <w:t>100</w:t>
      </w:r>
      <w:r>
        <w:rPr>
          <w:spacing w:val="-2"/>
        </w:rPr>
        <w:t>万，故享受减按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w:t>
      </w:r>
      <w:r>
        <w:rPr>
          <w:spacing w:val="-2"/>
        </w:rPr>
        <w:t>的税率缴纳企业所得税的优惠政</w:t>
      </w:r>
      <w:r>
        <w:rPr>
          <w:spacing w:val="-112"/>
        </w:rPr>
        <w:t> </w:t>
      </w:r>
      <w:r>
        <w:rPr/>
        <w:t>策。</w:t>
      </w:r>
    </w:p>
    <w:p>
      <w:pPr>
        <w:pStyle w:val="BodyText"/>
        <w:spacing w:line="350" w:lineRule="auto" w:before="36"/>
        <w:ind w:right="996" w:firstLine="480"/>
        <w:jc w:val="left"/>
      </w:pPr>
      <w:r>
        <w:rPr/>
        <w:t>公司需遵守《深圳证券交易所行业信息披露指引第</w:t>
      </w:r>
      <w:r>
        <w:rPr>
          <w:rFonts w:ascii="宋体" w:hAnsi="宋体" w:cs="宋体" w:eastAsia="宋体" w:hint="default"/>
        </w:rPr>
        <w:t>12</w:t>
      </w:r>
      <w:r>
        <w:rPr/>
        <w:t>号——上市公司从事软件与信息技 术服务业务》的披露要求</w:t>
      </w:r>
    </w:p>
    <w:p>
      <w:pPr>
        <w:pStyle w:val="BodyText"/>
        <w:spacing w:line="240" w:lineRule="auto" w:before="36"/>
        <w:ind w:left="633" w:right="996"/>
        <w:jc w:val="left"/>
      </w:pPr>
      <w:r>
        <w:rPr/>
        <w:t>报告期内，公司收到软件增值税退税收入 </w:t>
      </w:r>
      <w:r>
        <w:rPr>
          <w:rFonts w:ascii="宋体" w:hAnsi="宋体" w:cs="宋体" w:eastAsia="宋体" w:hint="default"/>
        </w:rPr>
        <w:t>24,264,139.27</w:t>
      </w:r>
      <w:r>
        <w:rPr/>
        <w:t>元，计入其他收益科目。</w:t>
      </w:r>
    </w:p>
    <w:p>
      <w:pPr>
        <w:spacing w:line="240" w:lineRule="auto" w:before="7"/>
        <w:rPr>
          <w:rFonts w:ascii="宋体" w:hAnsi="宋体" w:cs="宋体" w:eastAsia="宋体" w:hint="default"/>
          <w:sz w:val="26"/>
          <w:szCs w:val="26"/>
        </w:rPr>
      </w:pPr>
    </w:p>
    <w:p>
      <w:pPr>
        <w:spacing w:line="487" w:lineRule="auto" w:before="0"/>
        <w:ind w:left="152" w:right="7863" w:firstLine="0"/>
        <w:jc w:val="left"/>
        <w:rPr>
          <w:rFonts w:ascii="宋体" w:hAnsi="宋体" w:cs="宋体" w:eastAsia="宋体" w:hint="default"/>
          <w:sz w:val="21"/>
          <w:szCs w:val="21"/>
        </w:rPr>
      </w:pPr>
      <w:bookmarkStart w:name="3、其他：无" w:id="233"/>
      <w:bookmarkEnd w:id="2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、其他：无</w:t>
      </w:r>
      <w:r>
        <w:rPr>
          <w:rFonts w:ascii="宋体" w:hAnsi="宋体" w:cs="宋体" w:eastAsia="宋体" w:hint="default"/>
          <w:b/>
          <w:bCs/>
          <w:w w:val="100"/>
          <w:sz w:val="21"/>
          <w:szCs w:val="21"/>
        </w:rPr>
        <w:t> </w:t>
      </w:r>
      <w:bookmarkStart w:name="七、合并财务报表项目注释" w:id="234"/>
      <w:bookmarkEnd w:id="234"/>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5"/>
      <w:bookmarkEnd w:id="23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81"/>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76,639.75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110,141.18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307,493,854.33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467,072,959.71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25,889,717.93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21,875,625.67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333,460,212.01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489,058,726.56</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0" w:firstLine="422"/>
              <w:jc w:val="left"/>
              <w:rPr>
                <w:rFonts w:ascii="宋体" w:hAnsi="宋体" w:cs="宋体" w:eastAsia="宋体" w:hint="default"/>
                <w:sz w:val="21"/>
                <w:szCs w:val="21"/>
              </w:rPr>
            </w:pPr>
            <w:r>
              <w:rPr>
                <w:rFonts w:ascii="宋体" w:hAnsi="宋体" w:cs="宋体" w:eastAsia="宋体" w:hint="default"/>
                <w:spacing w:val="-3"/>
                <w:sz w:val="21"/>
                <w:szCs w:val="21"/>
              </w:rPr>
              <w:t>其中：因抵押、质押或冻结等</w:t>
            </w:r>
            <w:r>
              <w:rPr>
                <w:rFonts w:ascii="宋体" w:hAnsi="宋体" w:cs="宋体" w:eastAsia="宋体" w:hint="default"/>
                <w:w w:val="100"/>
                <w:sz w:val="21"/>
                <w:szCs w:val="21"/>
              </w:rPr>
              <w:t> </w:t>
            </w:r>
            <w:r>
              <w:rPr>
                <w:rFonts w:ascii="宋体" w:hAnsi="宋体" w:cs="宋体" w:eastAsia="宋体" w:hint="default"/>
                <w:sz w:val="21"/>
                <w:szCs w:val="21"/>
              </w:rPr>
              <w:t>对使用有限制的款项总额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25,889,717.93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21,875,625.67</w:t>
            </w:r>
          </w:p>
        </w:tc>
      </w:tr>
    </w:tbl>
    <w:p>
      <w:pPr>
        <w:spacing w:line="240" w:lineRule="auto" w:before="9"/>
        <w:rPr>
          <w:rFonts w:ascii="宋体" w:hAnsi="宋体" w:cs="宋体" w:eastAsia="宋体" w:hint="default"/>
          <w:sz w:val="4"/>
          <w:szCs w:val="4"/>
        </w:rPr>
      </w:pPr>
    </w:p>
    <w:p>
      <w:pPr>
        <w:pStyle w:val="BodyText"/>
        <w:spacing w:line="352" w:lineRule="auto" w:before="26"/>
        <w:ind w:left="633" w:right="1003"/>
        <w:jc w:val="left"/>
      </w:pPr>
      <w:r>
        <w:rPr/>
        <w:t>其他说明 </w:t>
      </w:r>
      <w:r>
        <w:rPr>
          <w:spacing w:val="-2"/>
        </w:rPr>
        <w:t>货币资金年末较年初减少了</w:t>
      </w:r>
      <w:r>
        <w:rPr>
          <w:rFonts w:ascii="宋体" w:hAnsi="宋体" w:cs="宋体" w:eastAsia="宋体" w:hint="default"/>
          <w:spacing w:val="-2"/>
        </w:rPr>
        <w:t>37.70%</w:t>
      </w:r>
      <w:r>
        <w:rPr>
          <w:spacing w:val="-2"/>
        </w:rPr>
        <w:t>，主要系公司年末购买</w:t>
      </w:r>
      <w:r>
        <w:rPr>
          <w:rFonts w:ascii="宋体" w:hAnsi="宋体" w:cs="宋体" w:eastAsia="宋体" w:hint="default"/>
          <w:spacing w:val="-2"/>
        </w:rPr>
        <w:t>14,600</w:t>
      </w:r>
      <w:r>
        <w:rPr>
          <w:spacing w:val="-2"/>
        </w:rPr>
        <w:t>万元的理财产品未到期，</w:t>
      </w:r>
    </w:p>
    <w:p>
      <w:pPr>
        <w:pStyle w:val="BodyText"/>
        <w:spacing w:line="352" w:lineRule="auto" w:before="32"/>
        <w:ind w:left="633" w:right="2113" w:hanging="481"/>
        <w:jc w:val="left"/>
      </w:pPr>
      <w:r>
        <w:rPr/>
        <w:pict>
          <v:shape style="position:absolute;margin-left:56.400002pt;margin-top:66.255646pt;width:475.8pt;height:51.8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4"/>
                    <w:gridCol w:w="2727"/>
                    <w:gridCol w:w="3121"/>
                  </w:tblGrid>
                  <w:tr>
                    <w:trPr>
                      <w:trHeight w:val="34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06"/>
                          <w:jc w:val="right"/>
                          <w:rPr>
                            <w:rFonts w:ascii="宋体" w:hAnsi="宋体" w:cs="宋体" w:eastAsia="宋体" w:hint="default"/>
                            <w:sz w:val="21"/>
                            <w:szCs w:val="21"/>
                          </w:rPr>
                        </w:pPr>
                        <w:r>
                          <w:rPr>
                            <w:rFonts w:ascii="宋体" w:hAnsi="宋体" w:cs="宋体" w:eastAsia="宋体" w:hint="default"/>
                            <w:sz w:val="21"/>
                            <w:szCs w:val="21"/>
                          </w:rPr>
                          <w:t>项目</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25,889,717.93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21,875,625.67</w:t>
                        </w:r>
                      </w:p>
                    </w:tc>
                  </w:tr>
                  <w:tr>
                    <w:trPr>
                      <w:trHeight w:val="34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06"/>
                          <w:jc w:val="right"/>
                          <w:rPr>
                            <w:rFonts w:ascii="宋体" w:hAnsi="宋体" w:cs="宋体" w:eastAsia="宋体" w:hint="default"/>
                            <w:sz w:val="21"/>
                            <w:szCs w:val="21"/>
                          </w:rPr>
                        </w:pPr>
                        <w:r>
                          <w:rPr>
                            <w:rFonts w:ascii="宋体" w:hAnsi="宋体" w:cs="宋体" w:eastAsia="宋体" w:hint="default"/>
                            <w:sz w:val="21"/>
                            <w:szCs w:val="21"/>
                          </w:rPr>
                          <w:t>合计</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25,889,717.93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21,875,625.67</w:t>
                        </w:r>
                      </w:p>
                    </w:tc>
                  </w:tr>
                </w:tbl>
                <w:p>
                  <w:pPr/>
                </w:p>
              </w:txbxContent>
            </v:textbox>
            <w10:wrap type="none"/>
          </v:shape>
        </w:pict>
      </w:r>
      <w:r>
        <w:rPr/>
        <w:t>且公司在本年度提前偿还了</w:t>
      </w:r>
      <w:r>
        <w:rPr>
          <w:rFonts w:ascii="宋体" w:hAnsi="宋体" w:cs="宋体" w:eastAsia="宋体" w:hint="default"/>
        </w:rPr>
        <w:t>12,700</w:t>
      </w:r>
      <w:r>
        <w:rPr/>
        <w:t>万元的长期借款所致。 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日，本公司不存在质押、冻结，或有潜在收回风险的款项。 其中受限制的货币资金明细如下：</w:t>
      </w:r>
    </w:p>
    <w:p>
      <w:pPr>
        <w:spacing w:after="0" w:line="352"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2、交易性金融资产" w:id="236"/>
      <w:bookmarkEnd w:id="2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期损益的金融资产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146,013,735.21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153,000,000.00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资管计划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12,013,735.21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146,013,735.21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153,000,000.00</w:t>
            </w:r>
          </w:p>
        </w:tc>
      </w:tr>
    </w:tbl>
    <w:p>
      <w:pPr>
        <w:spacing w:line="240" w:lineRule="auto" w:before="9"/>
        <w:rPr>
          <w:rFonts w:ascii="宋体" w:hAnsi="宋体" w:cs="宋体" w:eastAsia="宋体" w:hint="default"/>
          <w:sz w:val="4"/>
          <w:szCs w:val="4"/>
        </w:rPr>
      </w:pPr>
    </w:p>
    <w:p>
      <w:pPr>
        <w:pStyle w:val="BodyText"/>
        <w:spacing w:line="352" w:lineRule="auto" w:before="26"/>
        <w:ind w:left="633" w:right="996"/>
        <w:jc w:val="left"/>
      </w:pPr>
      <w:r>
        <w:rPr/>
        <w:t>其他说明： 交易性金融资产期末余额为公司购买的保本浮动收益型银行理财产品，由于此类理财产</w:t>
      </w:r>
    </w:p>
    <w:p>
      <w:pPr>
        <w:pStyle w:val="BodyText"/>
        <w:spacing w:line="352" w:lineRule="auto" w:before="31"/>
        <w:ind w:right="1139"/>
        <w:jc w:val="both"/>
      </w:pPr>
      <w:r>
        <w:rPr/>
        <w:t>品的合约安排约定了浮动收益型的相关条款，增加了合同现金流量与基本的借贷安排无关的</w:t>
      </w:r>
      <w:r>
        <w:rPr>
          <w:spacing w:val="-91"/>
        </w:rPr>
        <w:t> </w:t>
      </w:r>
      <w:r>
        <w:rPr>
          <w:spacing w:val="-91"/>
        </w:rPr>
      </w:r>
      <w:r>
        <w:rPr/>
        <w:t>可变性，公司依据新金融工具准则，将其分类为以公允价值计量且其变动计入当期损益的金</w:t>
      </w:r>
      <w:r>
        <w:rPr>
          <w:spacing w:val="-91"/>
        </w:rPr>
        <w:t> </w:t>
      </w:r>
      <w:r>
        <w:rPr>
          <w:spacing w:val="-91"/>
        </w:rPr>
      </w:r>
      <w:r>
        <w:rPr/>
        <w:t>融资产。</w:t>
      </w:r>
    </w:p>
    <w:p>
      <w:pPr>
        <w:spacing w:line="240" w:lineRule="auto" w:before="10"/>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bookmarkStart w:name="3、衍生金融资产" w:id="237"/>
      <w:bookmarkEnd w:id="2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4、应收票据" w:id="238"/>
      <w:bookmarkEnd w:id="2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应收票据分类列示"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19,516,183.25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12,134,124.88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59,327,363.01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38,148,923.40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78,843,546.26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50,283,048.28</w:t>
            </w:r>
          </w:p>
        </w:tc>
      </w:tr>
    </w:tbl>
    <w:p>
      <w:pPr>
        <w:spacing w:before="28"/>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3" w:right="70"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5" w:right="71"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87" w:right="72"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按组合计提坏账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93" w:right="0"/>
              <w:jc w:val="left"/>
              <w:rPr>
                <w:rFonts w:ascii="Times New Roman" w:hAnsi="Times New Roman" w:cs="Times New Roman" w:eastAsia="Times New Roman" w:hint="default"/>
                <w:sz w:val="21"/>
                <w:szCs w:val="21"/>
              </w:rPr>
            </w:pPr>
            <w:r>
              <w:rPr>
                <w:rFonts w:ascii="Times New Roman"/>
                <w:sz w:val="21"/>
              </w:rPr>
              <w:t>81,966,</w:t>
            </w:r>
          </w:p>
          <w:p>
            <w:pPr>
              <w:pStyle w:val="TableParagraph"/>
              <w:spacing w:line="240" w:lineRule="auto" w:before="71"/>
              <w:ind w:left="146" w:right="0"/>
              <w:jc w:val="left"/>
              <w:rPr>
                <w:rFonts w:ascii="Times New Roman" w:hAnsi="Times New Roman" w:cs="Times New Roman" w:eastAsia="Times New Roman" w:hint="default"/>
                <w:sz w:val="21"/>
                <w:szCs w:val="21"/>
              </w:rPr>
            </w:pPr>
            <w:r>
              <w:rPr>
                <w:rFonts w:ascii="Times New Roman"/>
                <w:sz w:val="21"/>
              </w:rPr>
              <w:t>039.05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center"/>
              <w:rPr>
                <w:rFonts w:ascii="Times New Roman" w:hAnsi="Times New Roman" w:cs="Times New Roman" w:eastAsia="Times New Roman" w:hint="default"/>
                <w:sz w:val="21"/>
                <w:szCs w:val="21"/>
              </w:rPr>
            </w:pPr>
            <w:r>
              <w:rPr>
                <w:rFonts w:ascii="Times New Roman"/>
                <w:sz w:val="21"/>
              </w:rPr>
              <w:t>3,122,4</w:t>
            </w:r>
          </w:p>
          <w:p>
            <w:pPr>
              <w:pStyle w:val="TableParagraph"/>
              <w:spacing w:line="240" w:lineRule="auto" w:before="71"/>
              <w:ind w:left="237" w:right="0"/>
              <w:jc w:val="center"/>
              <w:rPr>
                <w:rFonts w:ascii="Times New Roman" w:hAnsi="Times New Roman" w:cs="Times New Roman" w:eastAsia="Times New Roman" w:hint="default"/>
                <w:sz w:val="21"/>
                <w:szCs w:val="21"/>
              </w:rPr>
            </w:pPr>
            <w:r>
              <w:rPr>
                <w:rFonts w:ascii="Times New Roman"/>
                <w:sz w:val="21"/>
              </w:rPr>
              <w:t>92.79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78,843,</w:t>
            </w:r>
          </w:p>
          <w:p>
            <w:pPr>
              <w:pStyle w:val="TableParagraph"/>
              <w:spacing w:line="240" w:lineRule="auto" w:before="71"/>
              <w:ind w:left="177" w:right="0"/>
              <w:jc w:val="left"/>
              <w:rPr>
                <w:rFonts w:ascii="Times New Roman" w:hAnsi="Times New Roman" w:cs="Times New Roman" w:eastAsia="Times New Roman" w:hint="default"/>
                <w:sz w:val="21"/>
                <w:szCs w:val="21"/>
              </w:rPr>
            </w:pPr>
            <w:r>
              <w:rPr>
                <w:rFonts w:ascii="Times New Roman"/>
                <w:sz w:val="21"/>
              </w:rPr>
              <w:t>546.26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left"/>
              <w:rPr>
                <w:rFonts w:ascii="Times New Roman" w:hAnsi="Times New Roman" w:cs="Times New Roman" w:eastAsia="Times New Roman" w:hint="default"/>
                <w:sz w:val="21"/>
                <w:szCs w:val="21"/>
              </w:rPr>
            </w:pPr>
            <w:r>
              <w:rPr>
                <w:rFonts w:ascii="Times New Roman"/>
                <w:sz w:val="21"/>
              </w:rPr>
              <w:t>50,283,</w:t>
            </w:r>
          </w:p>
          <w:p>
            <w:pPr>
              <w:pStyle w:val="TableParagraph"/>
              <w:spacing w:line="240" w:lineRule="auto" w:before="71"/>
              <w:ind w:left="165" w:right="0"/>
              <w:jc w:val="left"/>
              <w:rPr>
                <w:rFonts w:ascii="Times New Roman" w:hAnsi="Times New Roman" w:cs="Times New Roman" w:eastAsia="Times New Roman" w:hint="default"/>
                <w:sz w:val="21"/>
                <w:szCs w:val="21"/>
              </w:rPr>
            </w:pPr>
            <w:r>
              <w:rPr>
                <w:rFonts w:ascii="Times New Roman"/>
                <w:sz w:val="21"/>
              </w:rPr>
              <w:t>048.28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w w:val="100"/>
                <w:sz w:val="21"/>
              </w:rPr>
              <w:t>%</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sz w:val="21"/>
              </w:rPr>
              <w:t>50,283,0</w:t>
            </w:r>
          </w:p>
          <w:p>
            <w:pPr>
              <w:pStyle w:val="TableParagraph"/>
              <w:spacing w:line="240" w:lineRule="auto" w:before="71"/>
              <w:ind w:left="287" w:right="0"/>
              <w:jc w:val="left"/>
              <w:rPr>
                <w:rFonts w:ascii="Times New Roman" w:hAnsi="Times New Roman" w:cs="Times New Roman" w:eastAsia="Times New Roman" w:hint="default"/>
                <w:sz w:val="21"/>
                <w:szCs w:val="21"/>
              </w:rPr>
            </w:pPr>
            <w:r>
              <w:rPr>
                <w:rFonts w:ascii="Times New Roman"/>
                <w:sz w:val="21"/>
              </w:rPr>
              <w:t>48.28</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银行承兑汇票组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19,516,</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183.25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23.81%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19,516,</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183.25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left"/>
              <w:rPr>
                <w:rFonts w:ascii="Times New Roman" w:hAnsi="Times New Roman" w:cs="Times New Roman" w:eastAsia="Times New Roman" w:hint="default"/>
                <w:sz w:val="21"/>
                <w:szCs w:val="21"/>
              </w:rPr>
            </w:pPr>
            <w:r>
              <w:rPr>
                <w:rFonts w:ascii="Times New Roman"/>
                <w:sz w:val="21"/>
              </w:rPr>
              <w:t>12,134,</w:t>
            </w:r>
          </w:p>
          <w:p>
            <w:pPr>
              <w:pStyle w:val="TableParagraph"/>
              <w:spacing w:line="240" w:lineRule="auto" w:before="70"/>
              <w:ind w:left="165" w:right="0"/>
              <w:jc w:val="left"/>
              <w:rPr>
                <w:rFonts w:ascii="Times New Roman" w:hAnsi="Times New Roman" w:cs="Times New Roman" w:eastAsia="Times New Roman" w:hint="default"/>
                <w:sz w:val="21"/>
                <w:szCs w:val="21"/>
              </w:rPr>
            </w:pPr>
            <w:r>
              <w:rPr>
                <w:rFonts w:ascii="Times New Roman"/>
                <w:sz w:val="21"/>
              </w:rPr>
              <w:t>124.88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24.13%</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sz w:val="21"/>
              </w:rPr>
              <w:t>12,134,1</w:t>
            </w:r>
          </w:p>
          <w:p>
            <w:pPr>
              <w:pStyle w:val="TableParagraph"/>
              <w:spacing w:line="240" w:lineRule="auto" w:before="70"/>
              <w:ind w:left="287" w:right="0"/>
              <w:jc w:val="left"/>
              <w:rPr>
                <w:rFonts w:ascii="Times New Roman" w:hAnsi="Times New Roman" w:cs="Times New Roman" w:eastAsia="Times New Roman" w:hint="default"/>
                <w:sz w:val="21"/>
                <w:szCs w:val="21"/>
              </w:rPr>
            </w:pPr>
            <w:r>
              <w:rPr>
                <w:rFonts w:ascii="Times New Roman"/>
                <w:sz w:val="21"/>
              </w:rPr>
              <w:t>24.88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25"/>
              <w:jc w:val="left"/>
              <w:rPr>
                <w:rFonts w:ascii="宋体" w:hAnsi="宋体" w:cs="宋体" w:eastAsia="宋体" w:hint="default"/>
                <w:sz w:val="21"/>
                <w:szCs w:val="21"/>
              </w:rPr>
            </w:pPr>
            <w:r>
              <w:rPr>
                <w:rFonts w:ascii="宋体" w:hAnsi="宋体" w:cs="宋体" w:eastAsia="宋体" w:hint="default"/>
                <w:sz w:val="21"/>
                <w:szCs w:val="21"/>
              </w:rPr>
              <w:t>商业承兑汇票组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62,449,</w:t>
            </w:r>
          </w:p>
          <w:p>
            <w:pPr>
              <w:pStyle w:val="TableParagraph"/>
              <w:spacing w:line="240" w:lineRule="auto" w:before="68"/>
              <w:ind w:left="153" w:right="0"/>
              <w:jc w:val="left"/>
              <w:rPr>
                <w:rFonts w:ascii="Times New Roman" w:hAnsi="Times New Roman" w:cs="Times New Roman" w:eastAsia="Times New Roman" w:hint="default"/>
                <w:sz w:val="21"/>
                <w:szCs w:val="21"/>
              </w:rPr>
            </w:pPr>
            <w:r>
              <w:rPr>
                <w:rFonts w:ascii="Times New Roman"/>
                <w:sz w:val="21"/>
              </w:rPr>
              <w:t>855.80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76.19%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9" w:right="0"/>
              <w:jc w:val="center"/>
              <w:rPr>
                <w:rFonts w:ascii="Times New Roman" w:hAnsi="Times New Roman" w:cs="Times New Roman" w:eastAsia="Times New Roman" w:hint="default"/>
                <w:sz w:val="21"/>
                <w:szCs w:val="21"/>
              </w:rPr>
            </w:pPr>
            <w:r>
              <w:rPr>
                <w:rFonts w:ascii="Times New Roman"/>
                <w:sz w:val="21"/>
              </w:rPr>
              <w:t>3,122,4</w:t>
            </w:r>
          </w:p>
          <w:p>
            <w:pPr>
              <w:pStyle w:val="TableParagraph"/>
              <w:spacing w:line="240" w:lineRule="auto" w:before="68"/>
              <w:ind w:left="237" w:right="0"/>
              <w:jc w:val="center"/>
              <w:rPr>
                <w:rFonts w:ascii="Times New Roman" w:hAnsi="Times New Roman" w:cs="Times New Roman" w:eastAsia="Times New Roman" w:hint="default"/>
                <w:sz w:val="21"/>
                <w:szCs w:val="21"/>
              </w:rPr>
            </w:pPr>
            <w:r>
              <w:rPr>
                <w:rFonts w:ascii="Times New Roman"/>
                <w:sz w:val="21"/>
              </w:rPr>
              <w:t>92.79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Times New Roman" w:hAnsi="Times New Roman" w:cs="Times New Roman" w:eastAsia="Times New Roman" w:hint="default"/>
                <w:sz w:val="21"/>
                <w:szCs w:val="21"/>
              </w:rPr>
            </w:pPr>
            <w:r>
              <w:rPr>
                <w:rFonts w:ascii="Times New Roman"/>
                <w:sz w:val="21"/>
              </w:rPr>
              <w:t>59,327,</w:t>
            </w:r>
          </w:p>
          <w:p>
            <w:pPr>
              <w:pStyle w:val="TableParagraph"/>
              <w:spacing w:line="240" w:lineRule="auto" w:before="68"/>
              <w:ind w:left="177" w:right="0"/>
              <w:jc w:val="left"/>
              <w:rPr>
                <w:rFonts w:ascii="Times New Roman" w:hAnsi="Times New Roman" w:cs="Times New Roman" w:eastAsia="Times New Roman" w:hint="default"/>
                <w:sz w:val="21"/>
                <w:szCs w:val="21"/>
              </w:rPr>
            </w:pPr>
            <w:r>
              <w:rPr>
                <w:rFonts w:ascii="Times New Roman"/>
                <w:sz w:val="21"/>
              </w:rPr>
              <w:t>363.01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2" w:right="0"/>
              <w:jc w:val="left"/>
              <w:rPr>
                <w:rFonts w:ascii="Times New Roman" w:hAnsi="Times New Roman" w:cs="Times New Roman" w:eastAsia="Times New Roman" w:hint="default"/>
                <w:sz w:val="21"/>
                <w:szCs w:val="21"/>
              </w:rPr>
            </w:pPr>
            <w:r>
              <w:rPr>
                <w:rFonts w:ascii="Times New Roman"/>
                <w:sz w:val="21"/>
              </w:rPr>
              <w:t>38,148,</w:t>
            </w:r>
          </w:p>
          <w:p>
            <w:pPr>
              <w:pStyle w:val="TableParagraph"/>
              <w:spacing w:line="240" w:lineRule="auto" w:before="68"/>
              <w:ind w:left="165" w:right="0"/>
              <w:jc w:val="left"/>
              <w:rPr>
                <w:rFonts w:ascii="Times New Roman" w:hAnsi="Times New Roman" w:cs="Times New Roman" w:eastAsia="Times New Roman" w:hint="default"/>
                <w:sz w:val="21"/>
                <w:szCs w:val="21"/>
              </w:rPr>
            </w:pPr>
            <w:r>
              <w:rPr>
                <w:rFonts w:ascii="Times New Roman"/>
                <w:sz w:val="21"/>
              </w:rPr>
              <w:t>923.40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75.87%</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 w:right="0"/>
              <w:jc w:val="left"/>
              <w:rPr>
                <w:rFonts w:ascii="Times New Roman" w:hAnsi="Times New Roman" w:cs="Times New Roman" w:eastAsia="Times New Roman" w:hint="default"/>
                <w:sz w:val="21"/>
                <w:szCs w:val="21"/>
              </w:rPr>
            </w:pPr>
            <w:r>
              <w:rPr>
                <w:rFonts w:ascii="Times New Roman"/>
                <w:sz w:val="21"/>
              </w:rPr>
              <w:t>38,148,9</w:t>
            </w:r>
          </w:p>
          <w:p>
            <w:pPr>
              <w:pStyle w:val="TableParagraph"/>
              <w:spacing w:line="240" w:lineRule="auto" w:before="68"/>
              <w:ind w:left="287" w:right="0"/>
              <w:jc w:val="left"/>
              <w:rPr>
                <w:rFonts w:ascii="Times New Roman" w:hAnsi="Times New Roman" w:cs="Times New Roman" w:eastAsia="Times New Roman" w:hint="default"/>
                <w:sz w:val="21"/>
                <w:szCs w:val="21"/>
              </w:rPr>
            </w:pPr>
            <w:r>
              <w:rPr>
                <w:rFonts w:ascii="Times New Roman"/>
                <w:sz w:val="21"/>
              </w:rPr>
              <w:t>23.40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81,966,</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039.05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9" w:right="0"/>
              <w:jc w:val="center"/>
              <w:rPr>
                <w:rFonts w:ascii="Times New Roman" w:hAnsi="Times New Roman" w:cs="Times New Roman" w:eastAsia="Times New Roman" w:hint="default"/>
                <w:sz w:val="21"/>
                <w:szCs w:val="21"/>
              </w:rPr>
            </w:pPr>
            <w:r>
              <w:rPr>
                <w:rFonts w:ascii="Times New Roman"/>
                <w:sz w:val="21"/>
              </w:rPr>
              <w:t>3,122,4</w:t>
            </w:r>
          </w:p>
          <w:p>
            <w:pPr>
              <w:pStyle w:val="TableParagraph"/>
              <w:spacing w:line="240" w:lineRule="auto" w:before="70"/>
              <w:ind w:left="237" w:right="0"/>
              <w:jc w:val="center"/>
              <w:rPr>
                <w:rFonts w:ascii="Times New Roman" w:hAnsi="Times New Roman" w:cs="Times New Roman" w:eastAsia="Times New Roman" w:hint="default"/>
                <w:sz w:val="21"/>
                <w:szCs w:val="21"/>
              </w:rPr>
            </w:pPr>
            <w:r>
              <w:rPr>
                <w:rFonts w:ascii="Times New Roman"/>
                <w:sz w:val="21"/>
              </w:rPr>
              <w:t>92.79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3.81%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4" w:right="0"/>
              <w:jc w:val="left"/>
              <w:rPr>
                <w:rFonts w:ascii="Times New Roman" w:hAnsi="Times New Roman" w:cs="Times New Roman" w:eastAsia="Times New Roman" w:hint="default"/>
                <w:sz w:val="21"/>
                <w:szCs w:val="21"/>
              </w:rPr>
            </w:pPr>
            <w:r>
              <w:rPr>
                <w:rFonts w:ascii="Times New Roman"/>
                <w:sz w:val="21"/>
              </w:rPr>
              <w:t>78,843,</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546.26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2" w:right="0"/>
              <w:jc w:val="left"/>
              <w:rPr>
                <w:rFonts w:ascii="Times New Roman" w:hAnsi="Times New Roman" w:cs="Times New Roman" w:eastAsia="Times New Roman" w:hint="default"/>
                <w:sz w:val="21"/>
                <w:szCs w:val="21"/>
              </w:rPr>
            </w:pPr>
            <w:r>
              <w:rPr>
                <w:rFonts w:ascii="Times New Roman"/>
                <w:sz w:val="21"/>
              </w:rPr>
              <w:t>50,283,</w:t>
            </w:r>
          </w:p>
          <w:p>
            <w:pPr>
              <w:pStyle w:val="TableParagraph"/>
              <w:spacing w:line="240" w:lineRule="auto" w:before="70"/>
              <w:ind w:left="165" w:right="0"/>
              <w:jc w:val="left"/>
              <w:rPr>
                <w:rFonts w:ascii="Times New Roman" w:hAnsi="Times New Roman" w:cs="Times New Roman" w:eastAsia="Times New Roman" w:hint="default"/>
                <w:sz w:val="21"/>
                <w:szCs w:val="21"/>
              </w:rPr>
            </w:pPr>
            <w:r>
              <w:rPr>
                <w:rFonts w:ascii="Times New Roman"/>
                <w:sz w:val="21"/>
              </w:rPr>
              <w:t>048.28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left"/>
              <w:rPr>
                <w:rFonts w:ascii="Times New Roman" w:hAnsi="Times New Roman" w:cs="Times New Roman" w:eastAsia="Times New Roman" w:hint="default"/>
                <w:sz w:val="21"/>
                <w:szCs w:val="21"/>
              </w:rPr>
            </w:pPr>
            <w:r>
              <w:rPr>
                <w:rFonts w:ascii="Times New Roman"/>
                <w:sz w:val="21"/>
              </w:rPr>
              <w:t>50,283,0</w:t>
            </w:r>
          </w:p>
          <w:p>
            <w:pPr>
              <w:pStyle w:val="TableParagraph"/>
              <w:spacing w:line="240" w:lineRule="auto" w:before="70"/>
              <w:ind w:left="287" w:right="0"/>
              <w:jc w:val="left"/>
              <w:rPr>
                <w:rFonts w:ascii="Times New Roman" w:hAnsi="Times New Roman" w:cs="Times New Roman" w:eastAsia="Times New Roman" w:hint="default"/>
                <w:sz w:val="21"/>
                <w:szCs w:val="21"/>
              </w:rPr>
            </w:pPr>
            <w:r>
              <w:rPr>
                <w:rFonts w:ascii="Times New Roman"/>
                <w:sz w:val="21"/>
              </w:rPr>
              <w:t>48.28</w:t>
            </w:r>
          </w:p>
        </w:tc>
      </w:tr>
    </w:tbl>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5" w:footer="980" w:top="1060" w:bottom="1160" w:left="980" w:right="0"/>
        </w:sectPr>
      </w:pPr>
    </w:p>
    <w:p>
      <w:pPr>
        <w:pStyle w:val="BodyText"/>
        <w:spacing w:line="350" w:lineRule="auto" w:before="26"/>
        <w:ind w:left="633" w:right="-20"/>
        <w:jc w:val="left"/>
      </w:pPr>
      <w:r>
        <w:rPr/>
        <w:t>按单项计提坏账准备：</w:t>
      </w:r>
      <w:r>
        <w:rPr>
          <w:rFonts w:ascii="宋体" w:hAnsi="宋体" w:cs="宋体" w:eastAsia="宋体" w:hint="default"/>
        </w:rPr>
        <w:t>0 </w:t>
      </w:r>
      <w:r>
        <w:rPr/>
        <w:t>按组合计提坏账准备：</w:t>
      </w:r>
      <w:r>
        <w:rPr>
          <w:rFonts w:ascii="宋体" w:hAnsi="宋体" w:cs="宋体" w:eastAsia="宋体" w:hint="default"/>
        </w:rPr>
        <w:t>3,122,492.79</w:t>
      </w:r>
      <w:r>
        <w:rPr/>
        <w:t>元</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714" w:space="3500"/>
            <w:col w:w="2716"/>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银行承兑汇票组合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19,516,183.25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商业承兑汇票组合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62,449,855.80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3,122,492.79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81,966,039.05</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3,122,492.79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确定该组合依据的说明：</w:t>
      </w:r>
    </w:p>
    <w:p>
      <w:pPr>
        <w:spacing w:line="240" w:lineRule="auto" w:before="8"/>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311"/>
        <w:gridCol w:w="4362"/>
        <w:gridCol w:w="3829"/>
      </w:tblGrid>
      <w:tr>
        <w:trPr>
          <w:trHeight w:val="34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3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96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7" w:right="1"/>
              <w:jc w:val="left"/>
              <w:rPr>
                <w:rFonts w:ascii="宋体" w:hAnsi="宋体" w:cs="宋体" w:eastAsia="宋体" w:hint="default"/>
                <w:sz w:val="21"/>
                <w:szCs w:val="21"/>
              </w:rPr>
            </w:pPr>
            <w:r>
              <w:rPr>
                <w:rFonts w:ascii="宋体" w:hAnsi="宋体" w:cs="宋体" w:eastAsia="宋体" w:hint="default"/>
                <w:spacing w:val="2"/>
                <w:sz w:val="21"/>
                <w:szCs w:val="21"/>
              </w:rPr>
              <w:t>无风险银行承</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兑票据组合</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5"/>
                <w:sz w:val="21"/>
                <w:szCs w:val="21"/>
              </w:rPr>
              <w:t>出票人具有较高的信用评级，历史上未发生票据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违约，信用损失风险极低，在短期内履行其支付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合同现金流量义务的能力很强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3"/>
              <w:ind w:left="4" w:right="2"/>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及对未来经济状况的预期计量坏账准备</w:t>
            </w:r>
          </w:p>
        </w:tc>
      </w:tr>
      <w:tr>
        <w:trPr>
          <w:trHeight w:val="65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结合承兑人、背书人、出票人以及其他债务人的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信用风险确定组合</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z w:val="21"/>
                <w:szCs w:val="21"/>
              </w:rPr>
              <w:t>以商业承兑汇票的账龄作为信用风险特征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计提坏账准备</w:t>
            </w:r>
          </w:p>
        </w:tc>
      </w:tr>
    </w:tbl>
    <w:p>
      <w:pPr>
        <w:spacing w:line="240" w:lineRule="auto" w:before="7"/>
        <w:rPr>
          <w:rFonts w:ascii="宋体" w:hAnsi="宋体" w:cs="宋体" w:eastAsia="宋体" w:hint="default"/>
          <w:sz w:val="28"/>
          <w:szCs w:val="28"/>
        </w:rPr>
      </w:pPr>
    </w:p>
    <w:p>
      <w:pPr>
        <w:pStyle w:val="BodyText"/>
        <w:spacing w:line="352" w:lineRule="auto" w:before="26"/>
        <w:ind w:left="633" w:right="7633"/>
        <w:jc w:val="left"/>
      </w:pPr>
      <w:r>
        <w:rPr/>
        <w:t>按组合计提坏账准备：无 确定该组合依据的说明：</w:t>
      </w:r>
    </w:p>
    <w:p>
      <w:pPr>
        <w:pStyle w:val="BodyText"/>
        <w:spacing w:line="350" w:lineRule="auto" w:before="34"/>
        <w:ind w:right="996" w:firstLine="480"/>
        <w:jc w:val="left"/>
      </w:pPr>
      <w:r>
        <w:rPr/>
        <w:t>如是按照预期信用损失一般模型计提应收票据坏账准备，请参照其他应收款的披露方式 披露坏账准备的相关信息：</w:t>
      </w:r>
    </w:p>
    <w:p>
      <w:pPr>
        <w:pStyle w:val="BodyText"/>
        <w:spacing w:line="240" w:lineRule="auto" w:before="36"/>
        <w:ind w:left="633" w:right="996"/>
        <w:jc w:val="left"/>
      </w:pPr>
      <w:r>
        <w:rPr/>
        <w:t>□ 适用 √</w:t>
      </w:r>
      <w:r>
        <w:rPr>
          <w:spacing w:val="-1"/>
        </w:rPr>
        <w:t> </w:t>
      </w:r>
      <w:r>
        <w:rPr/>
        <w:t>不适用</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本期计提、收回或转回的坏账准备情况"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sz w:val="21"/>
          <w:szCs w:val="21"/>
        </w:rPr>
        <w:t>本期计提坏账准备情况：</w:t>
      </w:r>
    </w:p>
    <w:p>
      <w:pPr>
        <w:spacing w:before="78"/>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50"/>
        <w:gridCol w:w="1136"/>
        <w:gridCol w:w="4518"/>
        <w:gridCol w:w="1368"/>
      </w:tblGrid>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1136"/>
        <w:gridCol w:w="1277"/>
        <w:gridCol w:w="1275"/>
        <w:gridCol w:w="994"/>
        <w:gridCol w:w="973"/>
        <w:gridCol w:w="1368"/>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02"/>
              <w:jc w:val="left"/>
              <w:rPr>
                <w:rFonts w:ascii="宋体" w:hAnsi="宋体" w:cs="宋体" w:eastAsia="宋体" w:hint="default"/>
                <w:sz w:val="21"/>
                <w:szCs w:val="21"/>
              </w:rPr>
            </w:pPr>
            <w:r>
              <w:rPr>
                <w:rFonts w:ascii="宋体" w:hAnsi="宋体" w:cs="宋体" w:eastAsia="宋体" w:hint="default"/>
                <w:spacing w:val="-2"/>
                <w:sz w:val="21"/>
                <w:szCs w:val="21"/>
              </w:rPr>
              <w:t>单项计提预期信用损失的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应收票据</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2"/>
              <w:jc w:val="left"/>
              <w:rPr>
                <w:rFonts w:ascii="宋体" w:hAnsi="宋体" w:cs="宋体" w:eastAsia="宋体" w:hint="default"/>
                <w:sz w:val="21"/>
                <w:szCs w:val="21"/>
              </w:rPr>
            </w:pPr>
            <w:r>
              <w:rPr>
                <w:rFonts w:ascii="宋体" w:hAnsi="宋体" w:cs="宋体" w:eastAsia="宋体" w:hint="default"/>
                <w:spacing w:val="-2"/>
                <w:sz w:val="21"/>
                <w:szCs w:val="21"/>
              </w:rPr>
              <w:t>按组合计提预期信用损失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的应收票据</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其中：银行承兑汇票组合</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商业承兑汇票组合</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0" w:right="0"/>
              <w:jc w:val="center"/>
              <w:rPr>
                <w:rFonts w:ascii="Times New Roman" w:hAnsi="Times New Roman" w:cs="Times New Roman" w:eastAsia="Times New Roman" w:hint="default"/>
                <w:sz w:val="21"/>
                <w:szCs w:val="21"/>
              </w:rPr>
            </w:pPr>
            <w:r>
              <w:rPr>
                <w:rFonts w:ascii="Times New Roman"/>
                <w:sz w:val="21"/>
              </w:rPr>
              <w:t>3,122,492.79</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3,122,492.79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6" w:type="dxa"/>
            <w:tcBorders>
              <w:top w:val="single" w:sz="4" w:space="0" w:color="000000"/>
              <w:left w:val="single" w:sz="10"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center"/>
              <w:rPr>
                <w:rFonts w:ascii="Times New Roman" w:hAnsi="Times New Roman" w:cs="Times New Roman" w:eastAsia="Times New Roman" w:hint="default"/>
                <w:sz w:val="21"/>
                <w:szCs w:val="21"/>
              </w:rPr>
            </w:pPr>
            <w:r>
              <w:rPr>
                <w:rFonts w:ascii="Times New Roman"/>
                <w:sz w:val="21"/>
              </w:rPr>
              <w:t>3,122,492.79</w:t>
            </w:r>
          </w:p>
        </w:tc>
        <w:tc>
          <w:tcPr>
            <w:tcW w:w="127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3,122,492.79</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其中本期坏账准备收回或转回金额重要的：</w:t>
      </w:r>
    </w:p>
    <w:p>
      <w:pPr>
        <w:pStyle w:val="BodyText"/>
        <w:spacing w:line="240" w:lineRule="auto" w:before="146"/>
        <w:ind w:left="633" w:right="996"/>
        <w:jc w:val="left"/>
      </w:pPr>
      <w:r>
        <w:rPr/>
        <w:t>□ 适用 √</w:t>
      </w:r>
      <w:r>
        <w:rPr>
          <w:spacing w:val="-1"/>
        </w:rPr>
        <w:t> </w:t>
      </w:r>
      <w:r>
        <w:rPr/>
        <w:t>不适用</w:t>
      </w:r>
    </w:p>
    <w:p>
      <w:pPr>
        <w:spacing w:line="240" w:lineRule="auto" w:before="5"/>
        <w:rPr>
          <w:rFonts w:ascii="宋体" w:hAnsi="宋体" w:cs="宋体" w:eastAsia="宋体" w:hint="default"/>
          <w:sz w:val="26"/>
          <w:szCs w:val="26"/>
        </w:rPr>
      </w:pPr>
    </w:p>
    <w:p>
      <w:pPr>
        <w:spacing w:before="0"/>
        <w:ind w:left="0" w:right="7560" w:firstLine="0"/>
        <w:jc w:val="center"/>
        <w:rPr>
          <w:rFonts w:ascii="宋体" w:hAnsi="宋体" w:cs="宋体" w:eastAsia="宋体" w:hint="default"/>
          <w:sz w:val="21"/>
          <w:szCs w:val="21"/>
        </w:rPr>
      </w:pPr>
      <w:bookmarkStart w:name="（3）期末公司已质押的应收票据"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4）期末公司已背书或贴现且在资产负债表日尚未到期的应收票据"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19,148,865.07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9,309,900.31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28,458,765.38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9"/>
        <w:rPr>
          <w:rFonts w:ascii="宋体" w:hAnsi="宋体" w:cs="宋体" w:eastAsia="宋体" w:hint="default"/>
          <w:sz w:val="4"/>
          <w:szCs w:val="4"/>
        </w:rPr>
      </w:pPr>
    </w:p>
    <w:p>
      <w:pPr>
        <w:pStyle w:val="BodyText"/>
        <w:spacing w:line="352" w:lineRule="auto" w:before="26"/>
        <w:ind w:left="633" w:right="9313"/>
        <w:jc w:val="left"/>
      </w:pPr>
      <w:r>
        <w:rPr/>
        <w:t>其他说明 无</w:t>
      </w:r>
    </w:p>
    <w:p>
      <w:pPr>
        <w:spacing w:line="240" w:lineRule="auto" w:before="13"/>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6）本期实际核销的应收票据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应收账款" w:id="244"/>
      <w:bookmarkEnd w:id="24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应收账款分类披露"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84"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18"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283" w:right="70" w:hanging="209"/>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71" w:right="55" w:hanging="20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790"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5" w:right="71" w:hanging="212"/>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931" w:type="dxa"/>
            <w:vMerge w:val="restart"/>
            <w:tcBorders>
              <w:top w:val="nil" w:sz="6" w:space="0" w:color="auto"/>
              <w:left w:val="single" w:sz="10" w:space="0" w:color="D2D2D2"/>
              <w:right w:val="single" w:sz="10" w:space="0" w:color="D2D2D2"/>
            </w:tcBorders>
          </w:tcPr>
          <w:p>
            <w:pPr>
              <w:pStyle w:val="TableParagraph"/>
              <w:spacing w:line="262"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账面价值</w:t>
            </w:r>
            <w:r>
              <w:rPr>
                <w:rFonts w:ascii="宋体" w:hAnsi="宋体" w:cs="宋体" w:eastAsia="宋体" w:hint="default"/>
                <w:sz w:val="21"/>
                <w:szCs w:val="21"/>
              </w:rPr>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8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vMerge/>
            <w:tcBorders>
              <w:left w:val="single" w:sz="4" w:space="0" w:color="000000"/>
              <w:right w:val="single" w:sz="4" w:space="0" w:color="000000"/>
            </w:tcBorders>
            <w:shd w:val="clear" w:color="auto" w:fill="D2D2D2"/>
          </w:tcPr>
          <w:p>
            <w:pPr/>
          </w:p>
        </w:tc>
        <w:tc>
          <w:tcPr>
            <w:tcW w:w="931" w:type="dxa"/>
            <w:vMerge/>
            <w:tcBorders>
              <w:left w:val="single" w:sz="10" w:space="0" w:color="D2D2D2"/>
              <w:bottom w:val="nil" w:sz="6" w:space="0" w:color="auto"/>
              <w:right w:val="single" w:sz="10" w:space="0" w:color="D2D2D2"/>
            </w:tcBorders>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14"/>
              <w:jc w:val="left"/>
              <w:rPr>
                <w:rFonts w:ascii="宋体" w:hAnsi="宋体" w:cs="宋体" w:eastAsia="宋体" w:hint="default"/>
                <w:sz w:val="21"/>
                <w:szCs w:val="21"/>
              </w:rPr>
            </w:pPr>
            <w:r>
              <w:rPr>
                <w:rFonts w:ascii="宋体" w:hAnsi="宋体" w:cs="宋体" w:eastAsia="宋体" w:hint="default"/>
                <w:sz w:val="21"/>
                <w:szCs w:val="21"/>
              </w:rPr>
              <w:t>按组合计提坏账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53" w:right="0"/>
              <w:jc w:val="left"/>
              <w:rPr>
                <w:rFonts w:ascii="Times New Roman" w:hAnsi="Times New Roman" w:cs="Times New Roman" w:eastAsia="Times New Roman" w:hint="default"/>
                <w:sz w:val="21"/>
                <w:szCs w:val="21"/>
              </w:rPr>
            </w:pPr>
            <w:r>
              <w:rPr>
                <w:rFonts w:ascii="Times New Roman"/>
                <w:sz w:val="21"/>
              </w:rPr>
              <w:t>474,738</w:t>
            </w:r>
          </w:p>
          <w:p>
            <w:pPr>
              <w:pStyle w:val="TableParagraph"/>
              <w:spacing w:line="240" w:lineRule="auto" w:before="70"/>
              <w:ind w:left="104" w:right="0"/>
              <w:jc w:val="left"/>
              <w:rPr>
                <w:rFonts w:ascii="Times New Roman" w:hAnsi="Times New Roman" w:cs="Times New Roman" w:eastAsia="Times New Roman" w:hint="default"/>
                <w:sz w:val="21"/>
                <w:szCs w:val="21"/>
              </w:rPr>
            </w:pPr>
            <w:r>
              <w:rPr>
                <w:rFonts w:ascii="Times New Roman"/>
                <w:sz w:val="21"/>
              </w:rPr>
              <w:t>,432.28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z w:val="21"/>
              </w:rPr>
              <w:t>87,527,</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856.56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21"/>
                <w:szCs w:val="21"/>
              </w:rPr>
            </w:pPr>
            <w:r>
              <w:rPr>
                <w:rFonts w:ascii="Times New Roman"/>
                <w:sz w:val="21"/>
              </w:rPr>
              <w:t>18.44%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387,210</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,575.72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644,035</w:t>
            </w:r>
          </w:p>
          <w:p>
            <w:pPr>
              <w:pStyle w:val="TableParagraph"/>
              <w:spacing w:line="240" w:lineRule="auto" w:before="70"/>
              <w:ind w:left="112" w:right="0"/>
              <w:jc w:val="left"/>
              <w:rPr>
                <w:rFonts w:ascii="Times New Roman" w:hAnsi="Times New Roman" w:cs="Times New Roman" w:eastAsia="Times New Roman" w:hint="default"/>
                <w:sz w:val="21"/>
                <w:szCs w:val="21"/>
              </w:rPr>
            </w:pPr>
            <w:r>
              <w:rPr>
                <w:rFonts w:ascii="Times New Roman"/>
                <w:sz w:val="21"/>
              </w:rPr>
              <w:t>,933.19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 w:right="0"/>
              <w:jc w:val="center"/>
              <w:rPr>
                <w:rFonts w:ascii="Times New Roman" w:hAnsi="Times New Roman" w:cs="Times New Roman" w:eastAsia="Times New Roman" w:hint="default"/>
                <w:sz w:val="21"/>
                <w:szCs w:val="21"/>
              </w:rPr>
            </w:pPr>
            <w:r>
              <w:rPr>
                <w:rFonts w:ascii="Times New Roman"/>
                <w:sz w:val="21"/>
              </w:rPr>
              <w:t>115,879,</w:t>
            </w:r>
          </w:p>
          <w:p>
            <w:pPr>
              <w:pStyle w:val="TableParagraph"/>
              <w:spacing w:line="240" w:lineRule="auto" w:before="70"/>
              <w:ind w:left="164" w:right="0"/>
              <w:jc w:val="center"/>
              <w:rPr>
                <w:rFonts w:ascii="Times New Roman" w:hAnsi="Times New Roman" w:cs="Times New Roman" w:eastAsia="Times New Roman" w:hint="default"/>
                <w:sz w:val="21"/>
                <w:szCs w:val="21"/>
              </w:rPr>
            </w:pPr>
            <w:r>
              <w:rPr>
                <w:rFonts w:ascii="Times New Roman"/>
                <w:sz w:val="21"/>
              </w:rPr>
              <w:t>446.35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17.99%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0" w:right="0"/>
              <w:jc w:val="left"/>
              <w:rPr>
                <w:rFonts w:ascii="Times New Roman" w:hAnsi="Times New Roman" w:cs="Times New Roman" w:eastAsia="Times New Roman" w:hint="default"/>
                <w:sz w:val="21"/>
                <w:szCs w:val="21"/>
              </w:rPr>
            </w:pPr>
            <w:r>
              <w:rPr>
                <w:rFonts w:ascii="Times New Roman"/>
                <w:sz w:val="21"/>
              </w:rPr>
              <w:t>528,156,4</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86.84</w:t>
            </w: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 w:right="0"/>
              <w:jc w:val="left"/>
              <w:rPr>
                <w:rFonts w:ascii="Times New Roman" w:hAnsi="Times New Roman" w:cs="Times New Roman" w:eastAsia="Times New Roman" w:hint="default"/>
                <w:sz w:val="21"/>
                <w:szCs w:val="21"/>
              </w:rPr>
            </w:pPr>
            <w:r>
              <w:rPr>
                <w:rFonts w:ascii="Times New Roman"/>
                <w:sz w:val="21"/>
              </w:rPr>
              <w:t>474,738</w:t>
            </w:r>
          </w:p>
          <w:p>
            <w:pPr>
              <w:pStyle w:val="TableParagraph"/>
              <w:spacing w:line="240" w:lineRule="auto" w:before="70"/>
              <w:ind w:left="111" w:right="0"/>
              <w:jc w:val="left"/>
              <w:rPr>
                <w:rFonts w:ascii="Times New Roman" w:hAnsi="Times New Roman" w:cs="Times New Roman" w:eastAsia="Times New Roman" w:hint="default"/>
                <w:sz w:val="21"/>
                <w:szCs w:val="21"/>
              </w:rPr>
            </w:pPr>
            <w:r>
              <w:rPr>
                <w:rFonts w:ascii="Times New Roman"/>
                <w:sz w:val="21"/>
              </w:rPr>
              <w:t>,432.28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8" w:right="0"/>
              <w:jc w:val="left"/>
              <w:rPr>
                <w:rFonts w:ascii="Times New Roman" w:hAnsi="Times New Roman" w:cs="Times New Roman" w:eastAsia="Times New Roman" w:hint="default"/>
                <w:sz w:val="21"/>
                <w:szCs w:val="21"/>
              </w:rPr>
            </w:pPr>
            <w:r>
              <w:rPr>
                <w:rFonts w:ascii="Times New Roman"/>
                <w:sz w:val="21"/>
              </w:rPr>
              <w:t>87,527,</w:t>
            </w:r>
          </w:p>
          <w:p>
            <w:pPr>
              <w:pStyle w:val="TableParagraph"/>
              <w:spacing w:line="240" w:lineRule="auto" w:before="70"/>
              <w:ind w:left="151" w:right="0"/>
              <w:jc w:val="left"/>
              <w:rPr>
                <w:rFonts w:ascii="Times New Roman" w:hAnsi="Times New Roman" w:cs="Times New Roman" w:eastAsia="Times New Roman" w:hint="default"/>
                <w:sz w:val="21"/>
                <w:szCs w:val="21"/>
              </w:rPr>
            </w:pPr>
            <w:r>
              <w:rPr>
                <w:rFonts w:ascii="Times New Roman"/>
                <w:sz w:val="21"/>
              </w:rPr>
              <w:t>856.56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21"/>
                <w:szCs w:val="21"/>
              </w:rPr>
            </w:pPr>
            <w:r>
              <w:rPr>
                <w:rFonts w:ascii="Times New Roman"/>
                <w:sz w:val="21"/>
              </w:rPr>
              <w:t>18.44%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Times New Roman" w:hAnsi="Times New Roman" w:cs="Times New Roman" w:eastAsia="Times New Roman" w:hint="default"/>
                <w:sz w:val="21"/>
                <w:szCs w:val="21"/>
              </w:rPr>
            </w:pPr>
            <w:r>
              <w:rPr>
                <w:rFonts w:ascii="Times New Roman"/>
                <w:sz w:val="21"/>
              </w:rPr>
              <w:t>387,210</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,575.72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0"/>
              <w:jc w:val="left"/>
              <w:rPr>
                <w:rFonts w:ascii="Times New Roman" w:hAnsi="Times New Roman" w:cs="Times New Roman" w:eastAsia="Times New Roman" w:hint="default"/>
                <w:sz w:val="21"/>
                <w:szCs w:val="21"/>
              </w:rPr>
            </w:pPr>
            <w:r>
              <w:rPr>
                <w:rFonts w:ascii="Times New Roman"/>
                <w:sz w:val="21"/>
              </w:rPr>
              <w:t>644,035</w:t>
            </w:r>
          </w:p>
          <w:p>
            <w:pPr>
              <w:pStyle w:val="TableParagraph"/>
              <w:spacing w:line="240" w:lineRule="auto" w:before="70"/>
              <w:ind w:left="112" w:right="0"/>
              <w:jc w:val="left"/>
              <w:rPr>
                <w:rFonts w:ascii="Times New Roman" w:hAnsi="Times New Roman" w:cs="Times New Roman" w:eastAsia="Times New Roman" w:hint="default"/>
                <w:sz w:val="21"/>
                <w:szCs w:val="21"/>
              </w:rPr>
            </w:pPr>
            <w:r>
              <w:rPr>
                <w:rFonts w:ascii="Times New Roman"/>
                <w:sz w:val="21"/>
              </w:rPr>
              <w:t>,933.19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 w:right="0"/>
              <w:jc w:val="center"/>
              <w:rPr>
                <w:rFonts w:ascii="Times New Roman" w:hAnsi="Times New Roman" w:cs="Times New Roman" w:eastAsia="Times New Roman" w:hint="default"/>
                <w:sz w:val="21"/>
                <w:szCs w:val="21"/>
              </w:rPr>
            </w:pPr>
            <w:r>
              <w:rPr>
                <w:rFonts w:ascii="Times New Roman"/>
                <w:sz w:val="21"/>
              </w:rPr>
              <w:t>115,879,</w:t>
            </w:r>
          </w:p>
          <w:p>
            <w:pPr>
              <w:pStyle w:val="TableParagraph"/>
              <w:spacing w:line="240" w:lineRule="auto" w:before="70"/>
              <w:ind w:left="164" w:right="0"/>
              <w:jc w:val="center"/>
              <w:rPr>
                <w:rFonts w:ascii="Times New Roman" w:hAnsi="Times New Roman" w:cs="Times New Roman" w:eastAsia="Times New Roman" w:hint="default"/>
                <w:sz w:val="21"/>
                <w:szCs w:val="21"/>
              </w:rPr>
            </w:pPr>
            <w:r>
              <w:rPr>
                <w:rFonts w:ascii="Times New Roman"/>
                <w:sz w:val="21"/>
              </w:rPr>
              <w:t>446.35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17.99%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0" w:right="0"/>
              <w:jc w:val="left"/>
              <w:rPr>
                <w:rFonts w:ascii="Times New Roman" w:hAnsi="Times New Roman" w:cs="Times New Roman" w:eastAsia="Times New Roman" w:hint="default"/>
                <w:sz w:val="21"/>
                <w:szCs w:val="21"/>
              </w:rPr>
            </w:pPr>
            <w:r>
              <w:rPr>
                <w:rFonts w:ascii="Times New Roman"/>
                <w:sz w:val="21"/>
              </w:rPr>
              <w:t>528,156,4</w:t>
            </w:r>
          </w:p>
          <w:p>
            <w:pPr>
              <w:pStyle w:val="TableParagraph"/>
              <w:spacing w:line="240" w:lineRule="auto" w:before="70"/>
              <w:ind w:left="427" w:right="0"/>
              <w:jc w:val="left"/>
              <w:rPr>
                <w:rFonts w:ascii="Times New Roman" w:hAnsi="Times New Roman" w:cs="Times New Roman" w:eastAsia="Times New Roman" w:hint="default"/>
                <w:sz w:val="21"/>
                <w:szCs w:val="21"/>
              </w:rPr>
            </w:pPr>
            <w:r>
              <w:rPr>
                <w:rFonts w:ascii="Times New Roman"/>
                <w:sz w:val="21"/>
              </w:rPr>
              <w:t>86.84</w:t>
            </w: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1" w:right="0"/>
              <w:jc w:val="left"/>
              <w:rPr>
                <w:rFonts w:ascii="Times New Roman" w:hAnsi="Times New Roman" w:cs="Times New Roman" w:eastAsia="Times New Roman" w:hint="default"/>
                <w:sz w:val="21"/>
                <w:szCs w:val="21"/>
              </w:rPr>
            </w:pPr>
            <w:r>
              <w:rPr>
                <w:rFonts w:ascii="Times New Roman"/>
                <w:sz w:val="21"/>
              </w:rPr>
              <w:t>474,738</w:t>
            </w:r>
          </w:p>
          <w:p>
            <w:pPr>
              <w:pStyle w:val="TableParagraph"/>
              <w:spacing w:line="240" w:lineRule="auto" w:before="68"/>
              <w:ind w:left="111" w:right="0"/>
              <w:jc w:val="left"/>
              <w:rPr>
                <w:rFonts w:ascii="Times New Roman" w:hAnsi="Times New Roman" w:cs="Times New Roman" w:eastAsia="Times New Roman" w:hint="default"/>
                <w:sz w:val="21"/>
                <w:szCs w:val="21"/>
              </w:rPr>
            </w:pPr>
            <w:r>
              <w:rPr>
                <w:rFonts w:ascii="Times New Roman"/>
                <w:sz w:val="21"/>
              </w:rPr>
              <w:t>,432.28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21"/>
              <w:jc w:val="right"/>
              <w:rPr>
                <w:rFonts w:ascii="Times New Roman" w:hAnsi="Times New Roman" w:cs="Times New Roman" w:eastAsia="Times New Roman" w:hint="default"/>
                <w:sz w:val="21"/>
                <w:szCs w:val="21"/>
              </w:rPr>
            </w:pPr>
            <w:r>
              <w:rPr>
                <w:rFonts w:ascii="Times New Roman"/>
                <w:w w:val="100"/>
                <w:sz w:val="21"/>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98" w:right="0"/>
              <w:jc w:val="left"/>
              <w:rPr>
                <w:rFonts w:ascii="Times New Roman" w:hAnsi="Times New Roman" w:cs="Times New Roman" w:eastAsia="Times New Roman" w:hint="default"/>
                <w:sz w:val="21"/>
                <w:szCs w:val="21"/>
              </w:rPr>
            </w:pPr>
            <w:r>
              <w:rPr>
                <w:rFonts w:ascii="Times New Roman"/>
                <w:sz w:val="21"/>
              </w:rPr>
              <w:t>87,527,</w:t>
            </w:r>
          </w:p>
          <w:p>
            <w:pPr>
              <w:pStyle w:val="TableParagraph"/>
              <w:spacing w:line="240" w:lineRule="auto" w:before="68"/>
              <w:ind w:left="151" w:right="0"/>
              <w:jc w:val="left"/>
              <w:rPr>
                <w:rFonts w:ascii="Times New Roman" w:hAnsi="Times New Roman" w:cs="Times New Roman" w:eastAsia="Times New Roman" w:hint="default"/>
                <w:sz w:val="21"/>
                <w:szCs w:val="21"/>
              </w:rPr>
            </w:pPr>
            <w:r>
              <w:rPr>
                <w:rFonts w:ascii="Times New Roman"/>
                <w:sz w:val="21"/>
              </w:rPr>
              <w:t>856.56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5" w:right="0"/>
              <w:jc w:val="center"/>
              <w:rPr>
                <w:rFonts w:ascii="Times New Roman" w:hAnsi="Times New Roman" w:cs="Times New Roman" w:eastAsia="Times New Roman" w:hint="default"/>
                <w:sz w:val="21"/>
                <w:szCs w:val="21"/>
              </w:rPr>
            </w:pPr>
            <w:r>
              <w:rPr>
                <w:rFonts w:ascii="Times New Roman"/>
                <w:sz w:val="21"/>
              </w:rPr>
              <w:t>18.44%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4" w:right="0"/>
              <w:jc w:val="left"/>
              <w:rPr>
                <w:rFonts w:ascii="Times New Roman" w:hAnsi="Times New Roman" w:cs="Times New Roman" w:eastAsia="Times New Roman" w:hint="default"/>
                <w:sz w:val="21"/>
                <w:szCs w:val="21"/>
              </w:rPr>
            </w:pPr>
            <w:r>
              <w:rPr>
                <w:rFonts w:ascii="Times New Roman"/>
                <w:sz w:val="21"/>
              </w:rPr>
              <w:t>387,210</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,575.72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2" w:right="0"/>
              <w:jc w:val="left"/>
              <w:rPr>
                <w:rFonts w:ascii="Times New Roman" w:hAnsi="Times New Roman" w:cs="Times New Roman" w:eastAsia="Times New Roman" w:hint="default"/>
                <w:sz w:val="21"/>
                <w:szCs w:val="21"/>
              </w:rPr>
            </w:pPr>
            <w:r>
              <w:rPr>
                <w:rFonts w:ascii="Times New Roman"/>
                <w:sz w:val="21"/>
              </w:rPr>
              <w:t>644,035</w:t>
            </w:r>
          </w:p>
          <w:p>
            <w:pPr>
              <w:pStyle w:val="TableParagraph"/>
              <w:spacing w:line="240" w:lineRule="auto" w:before="68"/>
              <w:ind w:left="112" w:right="0"/>
              <w:jc w:val="left"/>
              <w:rPr>
                <w:rFonts w:ascii="Times New Roman" w:hAnsi="Times New Roman" w:cs="Times New Roman" w:eastAsia="Times New Roman" w:hint="default"/>
                <w:sz w:val="21"/>
                <w:szCs w:val="21"/>
              </w:rPr>
            </w:pPr>
            <w:r>
              <w:rPr>
                <w:rFonts w:ascii="Times New Roman"/>
                <w:sz w:val="21"/>
              </w:rPr>
              <w:t>,933.19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w w:val="100"/>
                <w:sz w:val="21"/>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6" w:right="0"/>
              <w:jc w:val="center"/>
              <w:rPr>
                <w:rFonts w:ascii="Times New Roman" w:hAnsi="Times New Roman" w:cs="Times New Roman" w:eastAsia="Times New Roman" w:hint="default"/>
                <w:sz w:val="21"/>
                <w:szCs w:val="21"/>
              </w:rPr>
            </w:pPr>
            <w:r>
              <w:rPr>
                <w:rFonts w:ascii="Times New Roman"/>
                <w:sz w:val="21"/>
              </w:rPr>
              <w:t>115,879,</w:t>
            </w:r>
          </w:p>
          <w:p>
            <w:pPr>
              <w:pStyle w:val="TableParagraph"/>
              <w:spacing w:line="240" w:lineRule="auto" w:before="68"/>
              <w:ind w:left="164" w:right="0"/>
              <w:jc w:val="center"/>
              <w:rPr>
                <w:rFonts w:ascii="Times New Roman" w:hAnsi="Times New Roman" w:cs="Times New Roman" w:eastAsia="Times New Roman" w:hint="default"/>
                <w:sz w:val="21"/>
                <w:szCs w:val="21"/>
              </w:rPr>
            </w:pPr>
            <w:r>
              <w:rPr>
                <w:rFonts w:ascii="Times New Roman"/>
                <w:sz w:val="21"/>
              </w:rPr>
              <w:t>446.35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17.99%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0" w:right="0"/>
              <w:jc w:val="left"/>
              <w:rPr>
                <w:rFonts w:ascii="Times New Roman" w:hAnsi="Times New Roman" w:cs="Times New Roman" w:eastAsia="Times New Roman" w:hint="default"/>
                <w:sz w:val="21"/>
                <w:szCs w:val="21"/>
              </w:rPr>
            </w:pPr>
            <w:r>
              <w:rPr>
                <w:rFonts w:ascii="Times New Roman"/>
                <w:sz w:val="21"/>
              </w:rPr>
              <w:t>528,156,4</w:t>
            </w:r>
          </w:p>
          <w:p>
            <w:pPr>
              <w:pStyle w:val="TableParagraph"/>
              <w:spacing w:line="240" w:lineRule="auto" w:before="68"/>
              <w:ind w:left="427" w:right="0"/>
              <w:jc w:val="left"/>
              <w:rPr>
                <w:rFonts w:ascii="Times New Roman" w:hAnsi="Times New Roman" w:cs="Times New Roman" w:eastAsia="Times New Roman" w:hint="default"/>
                <w:sz w:val="21"/>
                <w:szCs w:val="21"/>
              </w:rPr>
            </w:pPr>
            <w:r>
              <w:rPr>
                <w:rFonts w:ascii="Times New Roman"/>
                <w:sz w:val="21"/>
              </w:rPr>
              <w:t>86.84</w:t>
            </w:r>
          </w:p>
        </w:tc>
      </w:tr>
    </w:tbl>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5" w:footer="980" w:top="1060" w:bottom="1160" w:left="980" w:right="0"/>
        </w:sectPr>
      </w:pPr>
    </w:p>
    <w:p>
      <w:pPr>
        <w:pStyle w:val="BodyText"/>
        <w:spacing w:line="352" w:lineRule="auto" w:before="26"/>
        <w:ind w:left="633" w:right="-20"/>
        <w:jc w:val="left"/>
        <w:rPr>
          <w:rFonts w:ascii="宋体" w:hAnsi="宋体" w:cs="宋体" w:eastAsia="宋体" w:hint="default"/>
        </w:rPr>
      </w:pPr>
      <w:r>
        <w:rPr/>
        <w:t>按单项计提坏账准备：</w:t>
      </w:r>
      <w:r>
        <w:rPr>
          <w:rFonts w:ascii="宋体" w:hAnsi="宋体" w:cs="宋体" w:eastAsia="宋体" w:hint="default"/>
        </w:rPr>
        <w:t>0 </w:t>
      </w:r>
      <w:r>
        <w:rPr/>
        <w:t>按组合计提坏账准备： </w:t>
      </w:r>
      <w:r>
        <w:rPr>
          <w:rFonts w:ascii="宋体" w:hAnsi="宋体" w:cs="宋体" w:eastAsia="宋体" w:hint="default"/>
        </w:rPr>
        <w:t>87,527,856.56</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4714" w:space="3500"/>
            <w:col w:w="271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36"/>
        <w:ind w:left="0" w:right="1186" w:firstLine="0"/>
        <w:jc w:val="right"/>
        <w:rPr>
          <w:rFonts w:ascii="宋体" w:hAnsi="宋体" w:cs="宋体" w:eastAsia="宋体" w:hint="default"/>
          <w:sz w:val="21"/>
          <w:szCs w:val="21"/>
        </w:rPr>
      </w:pPr>
      <w:r>
        <w:rPr/>
        <w:pict>
          <v:shape style="position:absolute;margin-left:56.400002pt;margin-top:-235.676315pt;width:477.55pt;height:318.650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0"/>
                    <w:gridCol w:w="1363"/>
                    <w:gridCol w:w="550"/>
                    <w:gridCol w:w="728"/>
                    <w:gridCol w:w="567"/>
                    <w:gridCol w:w="1097"/>
                    <w:gridCol w:w="2393"/>
                    <w:gridCol w:w="2359"/>
                  </w:tblGrid>
                  <w:tr>
                    <w:trPr>
                      <w:trHeight w:val="401" w:hRule="exact"/>
                    </w:trPr>
                    <w:tc>
                      <w:tcPr>
                        <w:tcW w:w="23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4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393" w:type="dxa"/>
                        <w:gridSpan w:val="3"/>
                        <w:vMerge/>
                        <w:tcBorders>
                          <w:left w:val="single" w:sz="4" w:space="0" w:color="000000"/>
                          <w:bottom w:val="single" w:sz="4" w:space="0" w:color="000000"/>
                          <w:right w:val="single" w:sz="4" w:space="0" w:color="000000"/>
                        </w:tcBorders>
                        <w:shd w:val="clear" w:color="auto" w:fill="D2D2D2"/>
                      </w:tcPr>
                      <w:p>
                        <w:pP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1" w:hRule="exact"/>
                    </w:trPr>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6" w:right="0"/>
                          <w:jc w:val="left"/>
                          <w:rPr>
                            <w:rFonts w:ascii="Times New Roman" w:hAnsi="Times New Roman" w:cs="Times New Roman" w:eastAsia="Times New Roman" w:hint="default"/>
                            <w:sz w:val="21"/>
                            <w:szCs w:val="21"/>
                          </w:rPr>
                        </w:pPr>
                        <w:r>
                          <w:rPr>
                            <w:rFonts w:ascii="Times New Roman"/>
                            <w:sz w:val="21"/>
                          </w:rPr>
                          <w:t>240,875,646.33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12,043,782.32</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4" w:right="0"/>
                          <w:jc w:val="left"/>
                          <w:rPr>
                            <w:rFonts w:ascii="Times New Roman" w:hAnsi="Times New Roman" w:cs="Times New Roman" w:eastAsia="Times New Roman" w:hint="default"/>
                            <w:sz w:val="21"/>
                            <w:szCs w:val="21"/>
                          </w:rPr>
                        </w:pPr>
                        <w:r>
                          <w:rPr>
                            <w:rFonts w:ascii="Times New Roman"/>
                            <w:sz w:val="21"/>
                          </w:rPr>
                          <w:t>110,768,674.48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11,076,867.45</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10.00%</w:t>
                        </w:r>
                      </w:p>
                    </w:tc>
                  </w:tr>
                  <w:tr>
                    <w:trPr>
                      <w:trHeight w:val="401" w:hRule="exact"/>
                    </w:trPr>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52" w:right="0"/>
                          <w:jc w:val="left"/>
                          <w:rPr>
                            <w:rFonts w:ascii="Times New Roman" w:hAnsi="Times New Roman" w:cs="Times New Roman" w:eastAsia="Times New Roman" w:hint="default"/>
                            <w:sz w:val="21"/>
                            <w:szCs w:val="21"/>
                          </w:rPr>
                        </w:pPr>
                        <w:r>
                          <w:rPr>
                            <w:rFonts w:ascii="Times New Roman"/>
                            <w:sz w:val="21"/>
                          </w:rPr>
                          <w:t>69,789,493.69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20,936,848.11</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30.00%</w:t>
                        </w:r>
                      </w:p>
                    </w:tc>
                  </w:tr>
                  <w:tr>
                    <w:trPr>
                      <w:trHeight w:val="403" w:hRule="exact"/>
                    </w:trPr>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52" w:right="0"/>
                          <w:jc w:val="left"/>
                          <w:rPr>
                            <w:rFonts w:ascii="Times New Roman" w:hAnsi="Times New Roman" w:cs="Times New Roman" w:eastAsia="Times New Roman" w:hint="default"/>
                            <w:sz w:val="21"/>
                            <w:szCs w:val="21"/>
                          </w:rPr>
                        </w:pPr>
                        <w:r>
                          <w:rPr>
                            <w:rFonts w:ascii="Times New Roman"/>
                            <w:sz w:val="21"/>
                          </w:rPr>
                          <w:t>22,033,220.67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13,219,932.40</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60.00%</w:t>
                        </w:r>
                      </w:p>
                    </w:tc>
                  </w:tr>
                  <w:tr>
                    <w:trPr>
                      <w:trHeight w:val="401" w:hRule="exact"/>
                    </w:trPr>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58" w:right="0"/>
                          <w:jc w:val="left"/>
                          <w:rPr>
                            <w:rFonts w:ascii="Times New Roman" w:hAnsi="Times New Roman" w:cs="Times New Roman" w:eastAsia="Times New Roman" w:hint="default"/>
                            <w:sz w:val="21"/>
                            <w:szCs w:val="21"/>
                          </w:rPr>
                        </w:pPr>
                        <w:r>
                          <w:rPr>
                            <w:rFonts w:ascii="Times New Roman"/>
                            <w:sz w:val="21"/>
                          </w:rPr>
                          <w:t>5,104,854.14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4,083,883.31</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80.00%</w:t>
                        </w:r>
                      </w:p>
                    </w:tc>
                  </w:tr>
                  <w:tr>
                    <w:trPr>
                      <w:trHeight w:val="403" w:hRule="exact"/>
                    </w:trPr>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52" w:right="0"/>
                          <w:jc w:val="left"/>
                          <w:rPr>
                            <w:rFonts w:ascii="Times New Roman" w:hAnsi="Times New Roman" w:cs="Times New Roman" w:eastAsia="Times New Roman" w:hint="default"/>
                            <w:sz w:val="21"/>
                            <w:szCs w:val="21"/>
                          </w:rPr>
                        </w:pPr>
                        <w:r>
                          <w:rPr>
                            <w:rFonts w:ascii="Times New Roman"/>
                            <w:sz w:val="21"/>
                          </w:rPr>
                          <w:t>26,166,542.97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26,166,542.97</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100.00%</w:t>
                        </w:r>
                      </w:p>
                    </w:tc>
                  </w:tr>
                  <w:tr>
                    <w:trPr>
                      <w:trHeight w:val="401" w:hRule="exact"/>
                    </w:trPr>
                    <w:tc>
                      <w:tcPr>
                        <w:tcW w:w="23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46" w:right="0"/>
                          <w:jc w:val="left"/>
                          <w:rPr>
                            <w:rFonts w:ascii="Times New Roman" w:hAnsi="Times New Roman" w:cs="Times New Roman" w:eastAsia="Times New Roman" w:hint="default"/>
                            <w:sz w:val="21"/>
                            <w:szCs w:val="21"/>
                          </w:rPr>
                        </w:pPr>
                        <w:r>
                          <w:rPr>
                            <w:rFonts w:ascii="Times New Roman"/>
                            <w:sz w:val="21"/>
                          </w:rPr>
                          <w:t>474,738,432.28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87,527,856.56</w:t>
                        </w:r>
                      </w:p>
                    </w:tc>
                    <w:tc>
                      <w:tcPr>
                        <w:tcW w:w="2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2" w:right="0"/>
                          <w:jc w:val="center"/>
                          <w:rPr>
                            <w:rFonts w:ascii="Times New Roman" w:hAnsi="Times New Roman" w:cs="Times New Roman" w:eastAsia="Times New Roman" w:hint="default"/>
                            <w:sz w:val="21"/>
                            <w:szCs w:val="21"/>
                          </w:rPr>
                        </w:pPr>
                        <w:r>
                          <w:rPr>
                            <w:rFonts w:ascii="Times New Roman"/>
                            <w:sz w:val="21"/>
                          </w:rPr>
                          <w:t>--</w:t>
                        </w:r>
                      </w:p>
                    </w:tc>
                  </w:tr>
                  <w:tr>
                    <w:trPr>
                      <w:trHeight w:val="470" w:hRule="exact"/>
                    </w:trPr>
                    <w:tc>
                      <w:tcPr>
                        <w:tcW w:w="480" w:type="dxa"/>
                        <w:tcBorders>
                          <w:top w:val="single" w:sz="4" w:space="0" w:color="000000"/>
                          <w:left w:val="nil" w:sz="6" w:space="0" w:color="auto"/>
                          <w:bottom w:val="single" w:sz="4" w:space="0" w:color="000000"/>
                          <w:right w:val="nil" w:sz="6" w:space="0" w:color="auto"/>
                        </w:tcBorders>
                      </w:tcPr>
                      <w:p>
                        <w:pPr/>
                      </w:p>
                    </w:tc>
                    <w:tc>
                      <w:tcPr>
                        <w:tcW w:w="2640" w:type="dxa"/>
                        <w:gridSpan w:val="3"/>
                        <w:tcBorders>
                          <w:top w:val="single" w:sz="4" w:space="0" w:color="000000"/>
                          <w:left w:val="nil" w:sz="6" w:space="0" w:color="auto"/>
                          <w:bottom w:val="single" w:sz="4" w:space="0" w:color="000000"/>
                          <w:right w:val="nil" w:sz="6" w:space="0" w:color="auto"/>
                        </w:tcBorders>
                        <w:shd w:val="clear" w:color="auto" w:fill="FFFF00"/>
                      </w:tcPr>
                      <w:p>
                        <w:pPr>
                          <w:pStyle w:val="TableParagraph"/>
                          <w:spacing w:line="240" w:lineRule="auto" w:before="87"/>
                          <w:ind w:right="0"/>
                          <w:jc w:val="left"/>
                          <w:rPr>
                            <w:rFonts w:ascii="宋体" w:hAnsi="宋体" w:cs="宋体" w:eastAsia="宋体" w:hint="default"/>
                            <w:sz w:val="24"/>
                            <w:szCs w:val="24"/>
                          </w:rPr>
                        </w:pPr>
                        <w:r>
                          <w:rPr>
                            <w:rFonts w:ascii="宋体" w:hAnsi="宋体" w:cs="宋体" w:eastAsia="宋体" w:hint="default"/>
                            <w:sz w:val="24"/>
                            <w:szCs w:val="24"/>
                          </w:rPr>
                          <w:t>确定该组合依据的说明：</w:t>
                        </w:r>
                      </w:p>
                    </w:tc>
                    <w:tc>
                      <w:tcPr>
                        <w:tcW w:w="6415" w:type="dxa"/>
                        <w:gridSpan w:val="4"/>
                        <w:tcBorders>
                          <w:top w:val="single" w:sz="4" w:space="0" w:color="000000"/>
                          <w:left w:val="nil" w:sz="6" w:space="0" w:color="auto"/>
                          <w:bottom w:val="single" w:sz="4" w:space="0" w:color="000000"/>
                          <w:right w:val="nil" w:sz="6" w:space="0" w:color="auto"/>
                        </w:tcBorders>
                      </w:tcPr>
                      <w:p>
                        <w:pPr/>
                      </w:p>
                    </w:tc>
                  </w:tr>
                  <w:tr>
                    <w:trPr>
                      <w:trHeight w:val="343"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99"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5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965"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both"/>
                          <w:rPr>
                            <w:rFonts w:ascii="宋体" w:hAnsi="宋体" w:cs="宋体" w:eastAsia="宋体" w:hint="default"/>
                            <w:sz w:val="21"/>
                            <w:szCs w:val="21"/>
                          </w:rPr>
                        </w:pPr>
                        <w:r>
                          <w:rPr>
                            <w:rFonts w:ascii="宋体" w:hAnsi="宋体" w:cs="宋体" w:eastAsia="宋体" w:hint="default"/>
                            <w:spacing w:val="16"/>
                            <w:sz w:val="21"/>
                            <w:szCs w:val="21"/>
                          </w:rPr>
                          <w:t>参考应收款项的账</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6"/>
                            <w:sz w:val="21"/>
                            <w:szCs w:val="21"/>
                          </w:rPr>
                          <w:t>龄进行信用风险组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合分类</w:t>
                        </w:r>
                      </w:p>
                    </w:tc>
                    <w:tc>
                      <w:tcPr>
                        <w:tcW w:w="5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3"/>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 及对未来经济状况的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预测，编制应收账款账龄与整个存续期预期信用损失率对照表</w:t>
                        </w:r>
                        <w:r>
                          <w:rPr>
                            <w:rFonts w:ascii="宋体" w:hAnsi="宋体" w:cs="宋体" w:eastAsia="宋体" w:hint="default"/>
                            <w:w w:val="100"/>
                            <w:sz w:val="21"/>
                            <w:szCs w:val="21"/>
                          </w:rPr>
                          <w:t> </w:t>
                        </w:r>
                        <w:r>
                          <w:rPr>
                            <w:rFonts w:ascii="宋体" w:hAnsi="宋体" w:cs="宋体" w:eastAsia="宋体" w:hint="default"/>
                            <w:sz w:val="21"/>
                            <w:szCs w:val="21"/>
                          </w:rPr>
                          <w:t>计算预期信用损失</w:t>
                        </w:r>
                      </w:p>
                    </w:tc>
                  </w:tr>
                  <w:tr>
                    <w:trPr>
                      <w:trHeight w:val="967"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5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34"/>
                          <w:jc w:val="both"/>
                          <w:rPr>
                            <w:rFonts w:ascii="Times New Roman" w:hAnsi="Times New Roman" w:cs="Times New Roman" w:eastAsia="Times New Roman" w:hint="default"/>
                            <w:sz w:val="21"/>
                            <w:szCs w:val="21"/>
                          </w:rPr>
                        </w:pPr>
                        <w:r>
                          <w:rPr>
                            <w:rFonts w:ascii="宋体" w:hAnsi="宋体" w:cs="宋体" w:eastAsia="宋体" w:hint="default"/>
                            <w:spacing w:val="-5"/>
                            <w:w w:val="100"/>
                            <w:sz w:val="21"/>
                            <w:szCs w:val="21"/>
                          </w:rPr>
                          <w:t>参考历史信用损失经验，结合当前状况以及对未来经济状况的预</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5"/>
                            <w:sz w:val="21"/>
                            <w:szCs w:val="21"/>
                          </w:rPr>
                          <w:t>测，通过违约风险敞口和整个存续期预期信用损失率，该组合预</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期信用损失率为</w:t>
                        </w:r>
                        <w:r>
                          <w:rPr>
                            <w:rFonts w:ascii="Times New Roman" w:hAnsi="Times New Roman" w:cs="Times New Roman" w:eastAsia="Times New Roman" w:hint="default"/>
                            <w:sz w:val="21"/>
                            <w:szCs w:val="21"/>
                          </w:rPr>
                          <w:t>0%</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36"/>
        <w:ind w:left="152" w:right="996" w:firstLine="0"/>
        <w:jc w:val="left"/>
        <w:rPr>
          <w:rFonts w:ascii="宋体" w:hAnsi="宋体" w:cs="宋体" w:eastAsia="宋体" w:hint="default"/>
          <w:sz w:val="21"/>
          <w:szCs w:val="21"/>
        </w:rPr>
      </w:pPr>
      <w:r>
        <w:rPr>
          <w:rFonts w:ascii="宋体" w:hAnsi="宋体" w:cs="宋体" w:eastAsia="宋体" w:hint="default"/>
          <w:sz w:val="21"/>
          <w:szCs w:val="21"/>
        </w:rPr>
        <w:t>按组合计提坏账准备：无</w:t>
      </w:r>
    </w:p>
    <w:p>
      <w:pPr>
        <w:pStyle w:val="BodyText"/>
        <w:spacing w:line="352" w:lineRule="auto" w:before="175"/>
        <w:ind w:left="633" w:right="996"/>
        <w:jc w:val="left"/>
      </w:pPr>
      <w:r>
        <w:rPr/>
        <w:t>确定该组合依据的说明： 如是按照预期信用损失一般模型计提应收账款坏账准备，请参照其他应收款的披露方式</w:t>
      </w:r>
    </w:p>
    <w:p>
      <w:pPr>
        <w:spacing w:after="0" w:line="352"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98"/>
        <w:ind w:right="-20"/>
        <w:jc w:val="left"/>
      </w:pPr>
      <w:r>
        <w:rPr/>
        <w:t>披露坏账准备的相关信息：</w:t>
      </w:r>
    </w:p>
    <w:p>
      <w:pPr>
        <w:pStyle w:val="BodyText"/>
        <w:spacing w:line="350" w:lineRule="auto" w:before="146"/>
        <w:ind w:left="633" w:right="340"/>
        <w:jc w:val="left"/>
      </w:pPr>
      <w:r>
        <w:rPr/>
        <w:t>□ 适用 √</w:t>
      </w:r>
      <w:r>
        <w:rPr>
          <w:spacing w:val="-1"/>
        </w:rPr>
        <w:t> </w:t>
      </w:r>
      <w:r>
        <w:rPr/>
        <w:t>不适用</w:t>
      </w:r>
      <w:r>
        <w:rPr/>
        <w:t> 按账龄披露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033" w:space="5661"/>
            <w:col w:w="2236"/>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240,875,646.33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110,768,674.48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69,789,493.69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53,304,617.78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22,033,220.67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5,104,854.14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26,166,542.97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474,738,432.28</w:t>
            </w:r>
          </w:p>
        </w:tc>
      </w:tr>
    </w:tbl>
    <w:p>
      <w:pPr>
        <w:spacing w:line="240" w:lineRule="auto" w:before="9"/>
        <w:rPr>
          <w:rFonts w:ascii="宋体" w:hAnsi="宋体" w:cs="宋体" w:eastAsia="宋体" w:hint="default"/>
          <w:sz w:val="4"/>
          <w:szCs w:val="4"/>
        </w:rPr>
      </w:pPr>
    </w:p>
    <w:p>
      <w:pPr>
        <w:pStyle w:val="BodyText"/>
        <w:spacing w:line="352" w:lineRule="auto" w:before="26"/>
        <w:ind w:right="996" w:firstLine="480"/>
        <w:jc w:val="left"/>
      </w:pPr>
      <w:r>
        <w:rPr/>
        <w:t>公司需要遵守《深圳证券交易所行业信息披露指引第</w:t>
      </w:r>
      <w:r>
        <w:rPr>
          <w:rFonts w:ascii="宋体" w:hAnsi="宋体" w:cs="宋体" w:eastAsia="宋体" w:hint="default"/>
        </w:rPr>
        <w:t>12</w:t>
      </w:r>
      <w:r>
        <w:rPr/>
        <w:t>号——上市公司从事软件与信息 技术服务业务》的披露要求</w:t>
      </w:r>
    </w:p>
    <w:p>
      <w:pPr>
        <w:pStyle w:val="BodyText"/>
        <w:spacing w:line="240" w:lineRule="auto" w:before="31"/>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本期计提、收回或转回的坏账准备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pStyle w:val="BodyText"/>
        <w:spacing w:line="240" w:lineRule="auto" w:before="161"/>
        <w:ind w:left="633" w:right="-20"/>
        <w:jc w:val="left"/>
      </w:pPr>
      <w:r>
        <w:rPr/>
        <w:t>本期计提坏账准备情况：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274" w:space="4941"/>
            <w:col w:w="271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8"/>
        <w:gridCol w:w="1702"/>
        <w:gridCol w:w="994"/>
        <w:gridCol w:w="1558"/>
        <w:gridCol w:w="850"/>
        <w:gridCol w:w="833"/>
        <w:gridCol w:w="1368"/>
      </w:tblGrid>
      <w:tr>
        <w:trPr>
          <w:trHeight w:val="401"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单项计提预期信用损失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的应收账款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0"/>
              <w:jc w:val="left"/>
              <w:rPr>
                <w:rFonts w:ascii="宋体" w:hAnsi="宋体" w:cs="宋体" w:eastAsia="宋体" w:hint="default"/>
                <w:sz w:val="21"/>
                <w:szCs w:val="21"/>
              </w:rPr>
            </w:pPr>
            <w:r>
              <w:rPr>
                <w:rFonts w:ascii="宋体" w:hAnsi="宋体" w:cs="宋体" w:eastAsia="宋体" w:hint="default"/>
                <w:spacing w:val="-2"/>
                <w:sz w:val="21"/>
                <w:szCs w:val="21"/>
              </w:rPr>
              <w:t>按组合计提预期信用损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失的应收账款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115,879,446.35</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28,351,589.79</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87,527,856.56</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115,879,446.35</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28,351,589.79</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87,527,856.56</w:t>
            </w:r>
          </w:p>
        </w:tc>
      </w:tr>
    </w:tbl>
    <w:p>
      <w:pPr>
        <w:spacing w:before="28"/>
        <w:ind w:left="152" w:right="996" w:firstLine="0"/>
        <w:jc w:val="left"/>
        <w:rPr>
          <w:rFonts w:ascii="宋体" w:hAnsi="宋体" w:cs="宋体" w:eastAsia="宋体" w:hint="default"/>
          <w:sz w:val="18"/>
          <w:szCs w:val="18"/>
        </w:rPr>
      </w:pPr>
      <w:r>
        <w:rPr>
          <w:rFonts w:ascii="宋体" w:hAnsi="宋体" w:cs="宋体" w:eastAsia="宋体" w:hint="default"/>
          <w:sz w:val="21"/>
          <w:szCs w:val="21"/>
        </w:rPr>
        <w:t>其中本期坏账准备收回或转回金额重要的：</w:t>
      </w:r>
      <w:r>
        <w:rPr>
          <w:rFonts w:ascii="宋体" w:hAnsi="宋体" w:cs="宋体" w:eastAsia="宋体" w:hint="default"/>
          <w:sz w:val="18"/>
          <w:szCs w:val="18"/>
        </w:rPr>
        <w:t>无</w:t>
      </w:r>
    </w:p>
    <w:p>
      <w:pPr>
        <w:spacing w:line="240" w:lineRule="auto" w:before="8"/>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bookmarkStart w:name="（3）本期实际核销的应收账款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4）按欠款方归集的期末余额前五名的应收账款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40" w:right="101" w:hanging="738"/>
              <w:jc w:val="left"/>
              <w:rPr>
                <w:rFonts w:ascii="宋体" w:hAnsi="宋体" w:cs="宋体" w:eastAsia="宋体" w:hint="default"/>
                <w:sz w:val="21"/>
                <w:szCs w:val="21"/>
              </w:rPr>
            </w:pPr>
            <w:r>
              <w:rPr>
                <w:rFonts w:ascii="宋体" w:hAnsi="宋体" w:cs="宋体" w:eastAsia="宋体" w:hint="default"/>
                <w:spacing w:val="-2"/>
                <w:sz w:val="21"/>
                <w:szCs w:val="21"/>
              </w:rPr>
              <w:t>占应收账款期末余额合计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23,870,327.78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1,193,516.39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21,975,067.67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3,235,979.75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15,561,200.20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3.28%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1,323,375.21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11,516,098.74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2.43%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575,804.94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11,288,510.37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2.38%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1,721,568.47</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84,211,204.76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17.75%</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5）因金融资产转移而终止确认的应收账款"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6）转移应收账款且继续涉入形成的资产、负债金额"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6、应收款项融资" w:id="251"/>
      <w:bookmarkEnd w:id="25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7、预付款项" w:id="252"/>
      <w:bookmarkEnd w:id="25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预付款项按账龄列示"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33,163,961.16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35,743,011.01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97.01%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1,533,284.52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175,037.40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26,721.40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786,680.00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136,538.00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35,123,989.08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36,841,266.41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账龄超过</w:t>
      </w:r>
      <w:r>
        <w:rPr>
          <w:rFonts w:ascii="宋体" w:hAnsi="宋体" w:cs="宋体" w:eastAsia="宋体" w:hint="default"/>
        </w:rPr>
        <w:t>1</w:t>
      </w:r>
      <w:r>
        <w:rPr/>
        <w:t>年且金额重要的预付款项未及时结算原因的说明：</w:t>
      </w:r>
    </w:p>
    <w:p>
      <w:pPr>
        <w:spacing w:line="240" w:lineRule="auto" w:before="8"/>
        <w:rPr>
          <w:rFonts w:ascii="宋体" w:hAnsi="宋体" w:cs="宋体" w:eastAsia="宋体" w:hint="default"/>
          <w:sz w:val="4"/>
          <w:szCs w:val="4"/>
        </w:rPr>
      </w:pPr>
    </w:p>
    <w:tbl>
      <w:tblPr>
        <w:tblW w:w="0" w:type="auto"/>
        <w:jc w:val="left"/>
        <w:tblInd w:w="354" w:type="dxa"/>
        <w:tblLayout w:type="fixed"/>
        <w:tblCellMar>
          <w:top w:w="0" w:type="dxa"/>
          <w:left w:w="0" w:type="dxa"/>
          <w:bottom w:w="0" w:type="dxa"/>
          <w:right w:w="0" w:type="dxa"/>
        </w:tblCellMar>
        <w:tblLook w:val="01E0"/>
      </w:tblPr>
      <w:tblGrid>
        <w:gridCol w:w="4013"/>
        <w:gridCol w:w="1664"/>
        <w:gridCol w:w="1897"/>
        <w:gridCol w:w="1654"/>
      </w:tblGrid>
      <w:tr>
        <w:trPr>
          <w:trHeight w:val="341" w:hRule="exact"/>
        </w:trPr>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4" w:right="0"/>
              <w:jc w:val="left"/>
              <w:rPr>
                <w:rFonts w:ascii="宋体" w:hAnsi="宋体" w:cs="宋体" w:eastAsia="宋体" w:hint="default"/>
                <w:sz w:val="21"/>
                <w:szCs w:val="21"/>
              </w:rPr>
            </w:pPr>
            <w:r>
              <w:rPr>
                <w:rFonts w:ascii="宋体" w:hAnsi="宋体" w:cs="宋体" w:eastAsia="宋体" w:hint="default"/>
                <w:sz w:val="21"/>
                <w:szCs w:val="21"/>
              </w:rPr>
              <w:t>未及时结算原因</w:t>
            </w:r>
          </w:p>
        </w:tc>
      </w:tr>
    </w:tbl>
    <w:p>
      <w:pPr>
        <w:spacing w:after="0" w:line="272" w:lineRule="exact"/>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54" w:type="dxa"/>
        <w:tblLayout w:type="fixed"/>
        <w:tblCellMar>
          <w:top w:w="0" w:type="dxa"/>
          <w:left w:w="0" w:type="dxa"/>
          <w:bottom w:w="0" w:type="dxa"/>
          <w:right w:w="0" w:type="dxa"/>
        </w:tblCellMar>
        <w:tblLook w:val="01E0"/>
      </w:tblPr>
      <w:tblGrid>
        <w:gridCol w:w="4013"/>
        <w:gridCol w:w="1664"/>
        <w:gridCol w:w="1897"/>
        <w:gridCol w:w="1654"/>
      </w:tblGrid>
      <w:tr>
        <w:trPr>
          <w:trHeight w:val="341" w:hRule="exact"/>
        </w:trPr>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北京中讯国创特种电源技术有限公司</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472,248.00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3" w:hRule="exact"/>
        </w:trPr>
        <w:tc>
          <w:tcPr>
            <w:tcW w:w="40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472,248.00</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按预付对象归集的期末余额前五名的预付款情况"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24" w:type="dxa"/>
        <w:tblLayout w:type="fixed"/>
        <w:tblCellMar>
          <w:top w:w="0" w:type="dxa"/>
          <w:left w:w="0" w:type="dxa"/>
          <w:bottom w:w="0" w:type="dxa"/>
          <w:right w:w="0" w:type="dxa"/>
        </w:tblCellMar>
        <w:tblLook w:val="01E0"/>
      </w:tblPr>
      <w:tblGrid>
        <w:gridCol w:w="3668"/>
        <w:gridCol w:w="1488"/>
        <w:gridCol w:w="1226"/>
        <w:gridCol w:w="1364"/>
        <w:gridCol w:w="1339"/>
      </w:tblGrid>
      <w:tr>
        <w:trPr>
          <w:trHeight w:val="965"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ind w:left="81" w:right="79"/>
              <w:jc w:val="center"/>
              <w:rPr>
                <w:rFonts w:ascii="Times New Roman" w:hAnsi="Times New Roman" w:cs="Times New Roman" w:eastAsia="Times New Roman" w:hint="default"/>
                <w:sz w:val="21"/>
                <w:szCs w:val="21"/>
              </w:rPr>
            </w:pPr>
            <w:r>
              <w:rPr>
                <w:rFonts w:ascii="宋体" w:hAnsi="宋体" w:cs="宋体" w:eastAsia="宋体" w:hint="default"/>
                <w:sz w:val="21"/>
                <w:szCs w:val="21"/>
              </w:rPr>
              <w:t>占预付款项</w:t>
            </w:r>
            <w:r>
              <w:rPr>
                <w:rFonts w:ascii="宋体" w:hAnsi="宋体" w:cs="宋体" w:eastAsia="宋体" w:hint="default"/>
                <w:w w:val="100"/>
                <w:sz w:val="21"/>
                <w:szCs w:val="21"/>
              </w:rPr>
              <w:t> </w:t>
            </w:r>
            <w:r>
              <w:rPr>
                <w:rFonts w:ascii="宋体" w:hAnsi="宋体" w:cs="宋体" w:eastAsia="宋体" w:hint="default"/>
                <w:sz w:val="21"/>
                <w:szCs w:val="21"/>
              </w:rPr>
              <w:t>总额的比例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预付款时间</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4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北京润通利科技有限公司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4,609,568.85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12.93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河南兰金机电设备安装工程有限公司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4,127,032.28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11.57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8"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河南安顺信息技术有限公司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3,833,538.95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10.75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深圳世威电气有限公司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3,039,381.43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8"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3"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江阴百士特控制显示设备有限公司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2,870,533.46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z w:val="21"/>
              </w:rPr>
              <w:t>8.05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 w:right="0"/>
              <w:jc w:val="center"/>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341" w:hRule="exact"/>
        </w:trPr>
        <w:tc>
          <w:tcPr>
            <w:tcW w:w="36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18,480,054.97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51.82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28"/>
          <w:szCs w:val="28"/>
        </w:rPr>
      </w:pPr>
    </w:p>
    <w:p>
      <w:pPr>
        <w:pStyle w:val="BodyText"/>
        <w:spacing w:line="240" w:lineRule="auto" w:before="26"/>
        <w:ind w:left="633" w:right="996"/>
        <w:jc w:val="left"/>
      </w:pPr>
      <w:r>
        <w:rPr/>
        <w:t>其他说明：无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8、其他应收款" w:id="255"/>
      <w:bookmarkEnd w:id="2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18,068,860.00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27,706,647.14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18,068,860.00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27,706,647.14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1）应收利息"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应收股利"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其他应收款"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其他应收款按款项性质分类情况" w:id="259"/>
      <w:bookmarkEnd w:id="2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2,248,056.57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1,989,041.81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14,082,643.38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17,833,910.63</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1,163,232.67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807,872.68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941,257.48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6,635,170.20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1,624,533.98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2,598,855.86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20,059,724.08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29,864,851.18</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坏账准备计提情况" w:id="260"/>
      <w:bookmarkEnd w:id="2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11"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411" w:right="29" w:hanging="368"/>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个月预期</w:t>
            </w:r>
            <w:r>
              <w:rPr>
                <w:rFonts w:ascii="宋体" w:hAnsi="宋体" w:cs="宋体" w:eastAsia="宋体" w:hint="default"/>
                <w:w w:val="100"/>
                <w:sz w:val="21"/>
                <w:szCs w:val="21"/>
              </w:rPr>
              <w:t> </w:t>
            </w:r>
            <w:r>
              <w:rPr>
                <w:rFonts w:ascii="宋体" w:hAnsi="宋体" w:cs="宋体" w:eastAsia="宋体" w:hint="default"/>
                <w:sz w:val="21"/>
                <w:szCs w:val="21"/>
              </w:rPr>
              <w:t>信用损失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 w:right="23"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 w:right="24"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pacing w:val="-1"/>
                <w:sz w:val="21"/>
                <w:szCs w:val="21"/>
              </w:rPr>
              <w:t>损失</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已发生信用减值</w:t>
            </w:r>
            <w:r>
              <w:rPr>
                <w:rFonts w:ascii="Times New Roman" w:hAnsi="Times New Roman" w:cs="Times New Roman" w:eastAsia="Times New Roman" w:hint="default"/>
                <w:spacing w:val="-1"/>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2,158,204.04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2,158,204.04</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日余额</w:t>
            </w:r>
            <w:r>
              <w:rPr>
                <w:rFonts w:ascii="宋体" w:hAnsi="宋体" w:cs="宋体" w:eastAsia="宋体" w:hint="default"/>
                <w:w w:val="100"/>
                <w:sz w:val="21"/>
                <w:szCs w:val="21"/>
              </w:rPr>
              <w:t> </w:t>
            </w:r>
            <w:r>
              <w:rPr>
                <w:rFonts w:ascii="宋体" w:hAnsi="宋体" w:cs="宋体" w:eastAsia="宋体" w:hint="default"/>
                <w:sz w:val="21"/>
                <w:szCs w:val="21"/>
              </w:rPr>
              <w:t>在本期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167,339.96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167,339.96</w:t>
            </w:r>
          </w:p>
        </w:tc>
      </w:tr>
      <w:tr>
        <w:trPr>
          <w:trHeight w:val="715"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日余</w:t>
            </w:r>
            <w:r>
              <w:rPr>
                <w:rFonts w:ascii="宋体" w:hAnsi="宋体" w:cs="宋体" w:eastAsia="宋体" w:hint="default"/>
                <w:spacing w:val="-3"/>
                <w:w w:val="100"/>
                <w:sz w:val="21"/>
                <w:szCs w:val="21"/>
              </w:rPr>
              <w:t> </w:t>
            </w:r>
            <w:r>
              <w:rPr>
                <w:rFonts w:ascii="宋体" w:hAnsi="宋体" w:cs="宋体" w:eastAsia="宋体" w:hint="default"/>
                <w:sz w:val="21"/>
                <w:szCs w:val="21"/>
              </w:rPr>
              <w:t>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1,990,864.08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1,990,864.08</w:t>
            </w:r>
          </w:p>
        </w:tc>
      </w:tr>
    </w:tbl>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5" w:footer="980" w:top="1060" w:bottom="1160" w:left="980" w:right="0"/>
        </w:sectPr>
      </w:pPr>
    </w:p>
    <w:p>
      <w:pPr>
        <w:pStyle w:val="BodyText"/>
        <w:spacing w:line="240" w:lineRule="auto" w:before="26"/>
        <w:ind w:left="633" w:right="-20"/>
        <w:jc w:val="left"/>
      </w:pPr>
      <w:r>
        <w:rPr/>
        <w:t>损失准备本期变动金额重大的账面余额变动情况</w:t>
      </w:r>
    </w:p>
    <w:p>
      <w:pPr>
        <w:pStyle w:val="BodyText"/>
        <w:spacing w:line="352" w:lineRule="auto" w:before="144"/>
        <w:ind w:left="633" w:right="2981"/>
        <w:jc w:val="left"/>
      </w:pPr>
      <w:r>
        <w:rPr/>
        <w:t>□ 适用 √</w:t>
      </w:r>
      <w:r>
        <w:rPr>
          <w:spacing w:val="-1"/>
        </w:rPr>
        <w:t> </w:t>
      </w:r>
      <w:r>
        <w:rPr/>
        <w:t>不适用</w:t>
      </w:r>
      <w:r>
        <w:rPr/>
        <w:t> 按账龄披露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5674" w:space="2541"/>
            <w:col w:w="2715"/>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482,234.14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119,922.94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460,378.80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928,328.20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688,020.00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123,899.20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116,409.00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1,990,864.08</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本期计提、收回或转回的坏账准备情况" w:id="261"/>
      <w:bookmarkEnd w:id="26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pStyle w:val="BodyText"/>
        <w:spacing w:line="240" w:lineRule="auto" w:before="159"/>
        <w:ind w:left="633" w:right="-20"/>
        <w:jc w:val="left"/>
      </w:pPr>
      <w:r>
        <w:rPr/>
        <w:t>本期计提坏账准备情况：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274" w:space="4941"/>
            <w:col w:w="2715"/>
          </w:cols>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5327"/>
        <w:gridCol w:w="1730"/>
      </w:tblGrid>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196"/>
        <w:gridCol w:w="1303"/>
        <w:gridCol w:w="1092"/>
        <w:gridCol w:w="1736"/>
        <w:gridCol w:w="1730"/>
      </w:tblGrid>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2,158,204.0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167,339.96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1,990,864.08</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2,158,204.0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167,339.96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1,990,864.08</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4）本期实际核销的其他应收款情况" w:id="262"/>
      <w:bookmarkEnd w:id="2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按欠款方归集的期末余额前五名的其他应收款情况" w:id="263"/>
      <w:bookmarkEnd w:id="26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4"/>
        <w:gridCol w:w="1345"/>
        <w:gridCol w:w="1596"/>
        <w:gridCol w:w="1594"/>
        <w:gridCol w:w="1594"/>
        <w:gridCol w:w="1596"/>
      </w:tblGrid>
      <w:tr>
        <w:trPr>
          <w:trHeight w:val="102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9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 w:right="51"/>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上海申通德高地铁</w:t>
            </w:r>
            <w:r>
              <w:rPr>
                <w:rFonts w:ascii="宋体" w:hAnsi="宋体" w:cs="宋体" w:eastAsia="宋体" w:hint="default"/>
                <w:w w:val="100"/>
                <w:sz w:val="21"/>
                <w:szCs w:val="21"/>
              </w:rPr>
              <w:t> </w:t>
            </w:r>
            <w:r>
              <w:rPr>
                <w:rFonts w:ascii="宋体" w:hAnsi="宋体" w:cs="宋体" w:eastAsia="宋体" w:hint="default"/>
                <w:sz w:val="21"/>
                <w:szCs w:val="21"/>
              </w:rPr>
              <w:t>广告有限公司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14.96%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上海申通地铁资产</w:t>
            </w:r>
            <w:r>
              <w:rPr>
                <w:rFonts w:ascii="宋体" w:hAnsi="宋体" w:cs="宋体" w:eastAsia="宋体" w:hint="default"/>
                <w:w w:val="100"/>
                <w:sz w:val="21"/>
                <w:szCs w:val="21"/>
              </w:rPr>
              <w:t> </w:t>
            </w:r>
            <w:r>
              <w:rPr>
                <w:rFonts w:ascii="宋体" w:hAnsi="宋体" w:cs="宋体" w:eastAsia="宋体" w:hint="default"/>
                <w:sz w:val="21"/>
                <w:szCs w:val="21"/>
              </w:rPr>
              <w:t>经营管理有限公司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10.47%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中铁建电气化局集</w:t>
            </w:r>
            <w:r>
              <w:rPr>
                <w:rFonts w:ascii="宋体" w:hAnsi="宋体" w:cs="宋体" w:eastAsia="宋体" w:hint="default"/>
                <w:w w:val="100"/>
                <w:sz w:val="21"/>
                <w:szCs w:val="21"/>
              </w:rPr>
              <w:t> </w:t>
            </w:r>
            <w:r>
              <w:rPr>
                <w:rFonts w:ascii="宋体" w:hAnsi="宋体" w:cs="宋体" w:eastAsia="宋体" w:hint="default"/>
                <w:sz w:val="21"/>
                <w:szCs w:val="21"/>
              </w:rPr>
              <w:t>团科技有限公司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保证金及其他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1,406,564.90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312,253.25</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504,000.00</w:t>
            </w:r>
          </w:p>
        </w:tc>
      </w:tr>
      <w:tr>
        <w:trPr>
          <w:trHeight w:val="71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25"/>
              <w:jc w:val="left"/>
              <w:rPr>
                <w:rFonts w:ascii="宋体" w:hAnsi="宋体" w:cs="宋体" w:eastAsia="宋体" w:hint="default"/>
                <w:sz w:val="21"/>
                <w:szCs w:val="21"/>
              </w:rPr>
            </w:pPr>
            <w:r>
              <w:rPr>
                <w:rFonts w:ascii="宋体" w:hAnsi="宋体" w:cs="宋体" w:eastAsia="宋体" w:hint="default"/>
                <w:sz w:val="21"/>
                <w:szCs w:val="21"/>
              </w:rPr>
              <w:t>国信招标集团股份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40,000.00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8,146,564.90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856,253.25</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6）涉及政府补助的应收款项" w:id="264"/>
      <w:bookmarkEnd w:id="26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8"/>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7）因金融资产转移而终止确认的其他应收款" w:id="265"/>
      <w:bookmarkEnd w:id="26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8）转移其他应收款且继续涉入形成的资产、负债金额" w:id="266"/>
      <w:bookmarkEnd w:id="2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9、存货" w:id="267"/>
      <w:bookmarkEnd w:id="267"/>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是否已执行新收入准则</w:t>
      </w:r>
    </w:p>
    <w:p>
      <w:pPr>
        <w:pStyle w:val="BodyText"/>
        <w:spacing w:line="240" w:lineRule="auto" w:before="144"/>
        <w:ind w:left="633" w:right="996"/>
        <w:jc w:val="left"/>
      </w:pPr>
      <w:r>
        <w:rPr/>
        <w:t>□ 是 √</w:t>
      </w:r>
      <w:r>
        <w:rPr>
          <w:spacing w:val="-1"/>
        </w:rPr>
        <w:t> </w:t>
      </w:r>
      <w:r>
        <w:rPr/>
        <w:t>否</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存货分类"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56"/>
        <w:gridCol w:w="1467"/>
        <w:gridCol w:w="994"/>
        <w:gridCol w:w="1642"/>
        <w:gridCol w:w="1476"/>
        <w:gridCol w:w="1258"/>
        <w:gridCol w:w="1435"/>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6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7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9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0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9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642" w:type="dxa"/>
            <w:vMerge/>
            <w:tcBorders>
              <w:left w:val="single" w:sz="4" w:space="0" w:color="000000"/>
              <w:bottom w:val="single" w:sz="4" w:space="0" w:color="000000"/>
              <w:right w:val="single" w:sz="4" w:space="0" w:color="000000"/>
            </w:tcBorders>
            <w:shd w:val="clear" w:color="auto" w:fill="D2D2D2"/>
          </w:tcPr>
          <w:p>
            <w:pPr/>
          </w:p>
        </w:tc>
        <w:tc>
          <w:tcPr>
            <w:tcW w:w="1476"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43,132,583.13</w:t>
            </w: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43,132,583.13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33,761,267.37</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33,761,267.37</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72,929,365.48</w:t>
            </w: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72,929,365.48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74,316,058.01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74,316,058.01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113,807,281.94</w:t>
            </w: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113,807,281.94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106,462,895.53</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106,462,895.53</w:t>
            </w:r>
          </w:p>
        </w:tc>
      </w:tr>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70"/>
              <w:jc w:val="both"/>
              <w:rPr>
                <w:rFonts w:ascii="宋体" w:hAnsi="宋体" w:cs="宋体" w:eastAsia="宋体" w:hint="default"/>
                <w:sz w:val="21"/>
                <w:szCs w:val="21"/>
              </w:rPr>
            </w:pPr>
            <w:r>
              <w:rPr>
                <w:rFonts w:ascii="宋体" w:hAnsi="宋体" w:cs="宋体" w:eastAsia="宋体" w:hint="default"/>
                <w:sz w:val="21"/>
                <w:szCs w:val="21"/>
              </w:rPr>
              <w:t>建造合同形成</w:t>
            </w:r>
            <w:r>
              <w:rPr>
                <w:rFonts w:ascii="宋体" w:hAnsi="宋体" w:cs="宋体" w:eastAsia="宋体" w:hint="default"/>
                <w:w w:val="100"/>
                <w:sz w:val="21"/>
                <w:szCs w:val="21"/>
              </w:rPr>
              <w:t> </w:t>
            </w: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467" w:type="dxa"/>
            <w:tcBorders>
              <w:top w:val="single" w:sz="4" w:space="0" w:color="000000"/>
              <w:left w:val="single" w:sz="12"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3,104,649.85</w:t>
            </w: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3,104,649.85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1,431,096.31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1,431,096.31</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2,545,795.66</w:t>
            </w: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2,545,795.66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2,460,672.69</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2,460,672.69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235,519,676.06</w:t>
            </w:r>
          </w:p>
        </w:tc>
        <w:tc>
          <w:tcPr>
            <w:tcW w:w="99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235,519,676.06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218,431,989.91</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218,431,989.91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存货跌价准备"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存货期末余额含有借款费用资本化金额的说明"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753" w:right="996"/>
        <w:jc w:val="left"/>
      </w:pPr>
      <w:r>
        <w:rPr/>
        <w:t>存货期末余额中无借款费用资本化金额。</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期末建造合同形成的已完工未结算资产情况"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0、合同资产" w:id="272"/>
      <w:bookmarkEnd w:id="27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1、持有待售资产" w:id="273"/>
      <w:bookmarkEnd w:id="27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0" w:right="9417"/>
        <w:jc w:val="center"/>
      </w:pPr>
      <w:r>
        <w:rPr/>
        <w:t>无</w:t>
      </w:r>
    </w:p>
    <w:p>
      <w:pPr>
        <w:spacing w:after="0" w:line="240" w:lineRule="auto"/>
        <w:jc w:val="cente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12、一年内到期的非流动资产" w:id="274"/>
      <w:bookmarkEnd w:id="274"/>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3、其他流动资产" w:id="275"/>
      <w:bookmarkEnd w:id="275"/>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61"/>
        <w:ind w:left="633" w:right="-20"/>
        <w:jc w:val="left"/>
      </w:pPr>
      <w:r>
        <w:rPr/>
        <w:t>是否已执行新收入准则</w:t>
      </w:r>
    </w:p>
    <w:p>
      <w:pPr>
        <w:pStyle w:val="BodyText"/>
        <w:spacing w:line="240" w:lineRule="auto" w:before="144"/>
        <w:ind w:left="633" w:right="-20"/>
        <w:jc w:val="left"/>
      </w:pPr>
      <w:r>
        <w:rPr/>
        <w:t>□ 是 √</w:t>
      </w:r>
      <w:r>
        <w:rPr>
          <w:spacing w:val="-1"/>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034" w:space="5181"/>
            <w:col w:w="2715"/>
          </w:cols>
        </w:sectPr>
      </w:pP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13,873,644.93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7,213,435.94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880,292.98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166,197.79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70,754.72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690,287.48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14,824,692.63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8,069,921.21</w:t>
            </w:r>
          </w:p>
        </w:tc>
      </w:tr>
    </w:tbl>
    <w:p>
      <w:pPr>
        <w:spacing w:line="240" w:lineRule="auto" w:before="9"/>
        <w:rPr>
          <w:rFonts w:ascii="宋体" w:hAnsi="宋体" w:cs="宋体" w:eastAsia="宋体" w:hint="default"/>
          <w:sz w:val="4"/>
          <w:szCs w:val="4"/>
        </w:rPr>
      </w:pPr>
    </w:p>
    <w:p>
      <w:pPr>
        <w:pStyle w:val="BodyText"/>
        <w:spacing w:line="352" w:lineRule="auto" w:before="26"/>
        <w:ind w:left="633" w:right="996"/>
        <w:jc w:val="left"/>
      </w:pPr>
      <w:r>
        <w:rPr/>
        <w:t>其他说明： 其他流动资产本期期末余额较上年余额增加</w:t>
      </w:r>
      <w:r>
        <w:rPr>
          <w:rFonts w:ascii="宋体" w:hAnsi="宋体" w:cs="宋体" w:eastAsia="宋体" w:hint="default"/>
        </w:rPr>
        <w:t>6,754,771.42</w:t>
      </w:r>
      <w:r>
        <w:rPr/>
        <w:t>元，增加比例</w:t>
      </w:r>
      <w:r>
        <w:rPr>
          <w:rFonts w:ascii="宋体" w:hAnsi="宋体" w:cs="宋体" w:eastAsia="宋体" w:hint="default"/>
        </w:rPr>
        <w:t>83.70%</w:t>
      </w:r>
      <w:r>
        <w:rPr/>
        <w:t>，主要系</w:t>
      </w:r>
    </w:p>
    <w:p>
      <w:pPr>
        <w:pStyle w:val="BodyText"/>
        <w:spacing w:line="240" w:lineRule="auto" w:before="31"/>
        <w:ind w:right="996"/>
        <w:jc w:val="left"/>
      </w:pPr>
      <w:r>
        <w:rPr/>
        <w:t>本期基建工程较多，待认证进项税增加所致。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4、债权投资" w:id="276"/>
      <w:bookmarkEnd w:id="276"/>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5、其他债权投资" w:id="277"/>
      <w:bookmarkEnd w:id="277"/>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6、长期应收款" w:id="278"/>
      <w:bookmarkEnd w:id="278"/>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7、长期股权投资" w:id="279"/>
      <w:bookmarkEnd w:id="279"/>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4"/>
        <w:gridCol w:w="798"/>
        <w:gridCol w:w="797"/>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5" w:right="0"/>
              <w:jc w:val="left"/>
              <w:rPr>
                <w:rFonts w:ascii="宋体" w:hAnsi="宋体" w:cs="宋体" w:eastAsia="宋体" w:hint="default"/>
                <w:sz w:val="21"/>
                <w:szCs w:val="21"/>
              </w:rPr>
            </w:pPr>
            <w:r>
              <w:rPr>
                <w:rFonts w:ascii="宋体" w:hAnsi="宋体" w:cs="宋体" w:eastAsia="宋体" w:hint="default"/>
                <w:sz w:val="21"/>
                <w:szCs w:val="21"/>
              </w:rPr>
              <w:t>被投资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9" w:right="0"/>
              <w:jc w:val="left"/>
              <w:rPr>
                <w:rFonts w:ascii="宋体" w:hAnsi="宋体" w:cs="宋体" w:eastAsia="宋体" w:hint="default"/>
                <w:sz w:val="21"/>
                <w:szCs w:val="21"/>
              </w:rPr>
            </w:pPr>
            <w:r>
              <w:rPr>
                <w:rFonts w:ascii="宋体" w:hAnsi="宋体" w:cs="宋体" w:eastAsia="宋体" w:hint="default"/>
                <w:sz w:val="21"/>
                <w:szCs w:val="21"/>
              </w:rPr>
              <w:t>期初余</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8" w:right="0"/>
              <w:jc w:val="left"/>
              <w:rPr>
                <w:rFonts w:ascii="宋体" w:hAnsi="宋体" w:cs="宋体" w:eastAsia="宋体" w:hint="default"/>
                <w:sz w:val="21"/>
                <w:szCs w:val="21"/>
              </w:rPr>
            </w:pPr>
            <w:r>
              <w:rPr>
                <w:rFonts w:ascii="宋体" w:hAnsi="宋体" w:cs="宋体" w:eastAsia="宋体" w:hint="default"/>
                <w:sz w:val="21"/>
                <w:szCs w:val="21"/>
              </w:rPr>
              <w:t>期末余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9" w:right="0"/>
              <w:jc w:val="left"/>
              <w:rPr>
                <w:rFonts w:ascii="宋体" w:hAnsi="宋体" w:cs="宋体" w:eastAsia="宋体" w:hint="default"/>
                <w:sz w:val="21"/>
                <w:szCs w:val="21"/>
              </w:rPr>
            </w:pPr>
            <w:r>
              <w:rPr>
                <w:rFonts w:ascii="宋体" w:hAnsi="宋体" w:cs="宋体" w:eastAsia="宋体" w:hint="default"/>
                <w:sz w:val="21"/>
                <w:szCs w:val="21"/>
              </w:rPr>
              <w:t>减值准</w:t>
            </w:r>
          </w:p>
        </w:tc>
      </w:tr>
    </w:tbl>
    <w:p>
      <w:pPr>
        <w:spacing w:after="0" w:line="240"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1"/>
        <w:gridCol w:w="797"/>
        <w:gridCol w:w="793"/>
        <w:gridCol w:w="801"/>
        <w:gridCol w:w="796"/>
        <w:gridCol w:w="793"/>
        <w:gridCol w:w="807"/>
        <w:gridCol w:w="789"/>
        <w:gridCol w:w="803"/>
        <w:gridCol w:w="797"/>
        <w:gridCol w:w="799"/>
        <w:gridCol w:w="797"/>
      </w:tblGrid>
      <w:tr>
        <w:trPr>
          <w:trHeight w:val="161" w:hRule="exact"/>
        </w:trPr>
        <w:tc>
          <w:tcPr>
            <w:tcW w:w="801" w:type="dxa"/>
            <w:vMerge w:val="restart"/>
            <w:tcBorders>
              <w:top w:val="single" w:sz="4" w:space="0" w:color="000000"/>
              <w:left w:val="single" w:sz="4" w:space="0" w:color="000000"/>
              <w:right w:val="single" w:sz="13" w:space="0" w:color="FFFFFF"/>
            </w:tcBorders>
            <w:shd w:val="clear" w:color="auto" w:fill="D2D2D2"/>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797" w:type="dxa"/>
            <w:vMerge w:val="restart"/>
            <w:tcBorders>
              <w:top w:val="single" w:sz="4" w:space="0" w:color="000000"/>
              <w:left w:val="single" w:sz="13" w:space="0" w:color="FFFFFF"/>
              <w:right w:val="single" w:sz="4" w:space="0" w:color="000000"/>
            </w:tcBorders>
            <w:shd w:val="clear" w:color="auto" w:fill="D2D2D2"/>
          </w:tcPr>
          <w:p>
            <w:pPr>
              <w:pStyle w:val="TableParagraph"/>
              <w:spacing w:line="256" w:lineRule="auto"/>
              <w:ind w:left="132" w:right="42" w:hanging="106"/>
              <w:jc w:val="left"/>
              <w:rPr>
                <w:rFonts w:ascii="Times New Roman" w:hAnsi="Times New Roman" w:cs="Times New Roman" w:eastAsia="Times New Roman" w:hint="default"/>
                <w:sz w:val="21"/>
                <w:szCs w:val="21"/>
              </w:rPr>
            </w:pPr>
            <w:r>
              <w:rPr>
                <w:rFonts w:ascii="宋体" w:hAnsi="宋体" w:cs="宋体" w:eastAsia="宋体" w:hint="default"/>
                <w:sz w:val="21"/>
                <w:szCs w:val="21"/>
              </w:rPr>
              <w:t>额</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793" w:type="dxa"/>
            <w:vMerge w:val="restart"/>
            <w:tcBorders>
              <w:top w:val="single" w:sz="4" w:space="0" w:color="000000"/>
              <w:left w:val="single" w:sz="4" w:space="0" w:color="000000"/>
              <w:right w:val="single" w:sz="4" w:space="0" w:color="000000"/>
            </w:tcBorders>
            <w:shd w:val="clear" w:color="auto" w:fill="D2D2D2"/>
          </w:tcPr>
          <w:p>
            <w:pP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5" w:right="75"/>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7" w:type="dxa"/>
            <w:vMerge w:val="restart"/>
            <w:tcBorders>
              <w:top w:val="single" w:sz="4" w:space="0" w:color="000000"/>
              <w:left w:val="single" w:sz="4" w:space="0" w:color="000000"/>
              <w:right w:val="single" w:sz="4" w:space="0" w:color="000000"/>
            </w:tcBorders>
            <w:shd w:val="clear" w:color="auto" w:fill="D2D2D2"/>
          </w:tcPr>
          <w:p>
            <w:pP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5" w:right="68"/>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10" w:space="0" w:color="D2D2D2"/>
              <w:right w:val="single" w:sz="4" w:space="0" w:color="000000"/>
            </w:tcBorders>
          </w:tcPr>
          <w:p>
            <w:pPr>
              <w:pStyle w:val="TableParagraph"/>
              <w:spacing w:line="256" w:lineRule="auto"/>
              <w:ind w:left="141" w:right="41" w:hanging="106"/>
              <w:jc w:val="left"/>
              <w:rPr>
                <w:rFonts w:ascii="Times New Roman" w:hAnsi="Times New Roman" w:cs="Times New Roman" w:eastAsia="Times New Roman" w:hint="default"/>
                <w:sz w:val="21"/>
                <w:szCs w:val="21"/>
              </w:rPr>
            </w:pPr>
            <w:r>
              <w:rPr>
                <w:rFonts w:ascii="宋体" w:hAnsi="宋体" w:cs="宋体" w:eastAsia="宋体" w:hint="default"/>
                <w:sz w:val="21"/>
                <w:szCs w:val="21"/>
              </w:rPr>
              <w:t>额</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r>
              <w:rPr>
                <w:rFonts w:ascii="宋体" w:hAnsi="宋体" w:cs="宋体" w:eastAsia="宋体" w:hint="default"/>
                <w:spacing w:val="-102"/>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797" w:type="dxa"/>
            <w:vMerge w:val="restart"/>
            <w:tcBorders>
              <w:top w:val="single" w:sz="4" w:space="0" w:color="000000"/>
              <w:left w:val="single" w:sz="4" w:space="0" w:color="000000"/>
              <w:right w:val="single" w:sz="4" w:space="0" w:color="000000"/>
            </w:tcBorders>
          </w:tcPr>
          <w:p>
            <w:pPr>
              <w:pStyle w:val="TableParagraph"/>
              <w:spacing w:line="273" w:lineRule="auto"/>
              <w:ind w:left="184" w:right="72"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77" w:hRule="exact"/>
        </w:trPr>
        <w:tc>
          <w:tcPr>
            <w:tcW w:w="801" w:type="dxa"/>
            <w:vMerge/>
            <w:tcBorders>
              <w:left w:val="single" w:sz="4" w:space="0" w:color="000000"/>
              <w:bottom w:val="nil" w:sz="6" w:space="0" w:color="auto"/>
              <w:right w:val="single" w:sz="13" w:space="0" w:color="FFFFFF"/>
            </w:tcBorders>
            <w:shd w:val="clear" w:color="auto" w:fill="D2D2D2"/>
          </w:tcPr>
          <w:p>
            <w:pPr/>
          </w:p>
        </w:tc>
        <w:tc>
          <w:tcPr>
            <w:tcW w:w="797" w:type="dxa"/>
            <w:vMerge/>
            <w:tcBorders>
              <w:left w:val="single" w:sz="13" w:space="0" w:color="FFFFFF"/>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8" w:right="68"/>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807" w:type="dxa"/>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1" w:hRule="exact"/>
        </w:trPr>
        <w:tc>
          <w:tcPr>
            <w:tcW w:w="801" w:type="dxa"/>
            <w:vMerge w:val="restart"/>
            <w:tcBorders>
              <w:top w:val="nil" w:sz="6" w:space="0" w:color="auto"/>
              <w:left w:val="single" w:sz="4" w:space="0" w:color="000000"/>
              <w:right w:val="single" w:sz="13" w:space="0" w:color="FFFFFF"/>
            </w:tcBorders>
            <w:shd w:val="clear" w:color="auto" w:fill="D2D2D2"/>
          </w:tcPr>
          <w:p>
            <w:pPr/>
          </w:p>
        </w:tc>
        <w:tc>
          <w:tcPr>
            <w:tcW w:w="797" w:type="dxa"/>
            <w:vMerge/>
            <w:tcBorders>
              <w:left w:val="single" w:sz="13" w:space="0" w:color="FFFFFF"/>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8"/>
              <w:ind w:left="283" w:right="72" w:hanging="209"/>
              <w:jc w:val="left"/>
              <w:rPr>
                <w:rFonts w:ascii="宋体" w:hAnsi="宋体" w:cs="宋体" w:eastAsia="宋体" w:hint="default"/>
                <w:sz w:val="21"/>
                <w:szCs w:val="21"/>
              </w:rPr>
            </w:pPr>
            <w:r>
              <w:rPr>
                <w:rFonts w:ascii="宋体" w:hAnsi="宋体" w:cs="宋体" w:eastAsia="宋体" w:hint="default"/>
                <w:sz w:val="21"/>
                <w:szCs w:val="21"/>
              </w:rPr>
              <w:t>追加投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18"/>
              <w:ind w:left="288" w:right="78" w:hanging="210"/>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79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3"/>
              <w:ind w:left="82" w:right="79"/>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89"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3"/>
              <w:ind w:left="82" w:right="74"/>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97" w:hRule="exact"/>
        </w:trPr>
        <w:tc>
          <w:tcPr>
            <w:tcW w:w="801" w:type="dxa"/>
            <w:vMerge/>
            <w:tcBorders>
              <w:left w:val="single" w:sz="4" w:space="0" w:color="000000"/>
              <w:right w:val="single" w:sz="13" w:space="0" w:color="FFFFFF"/>
            </w:tcBorders>
            <w:shd w:val="clear" w:color="auto" w:fill="D2D2D2"/>
          </w:tcPr>
          <w:p>
            <w:pPr/>
          </w:p>
        </w:tc>
        <w:tc>
          <w:tcPr>
            <w:tcW w:w="797" w:type="dxa"/>
            <w:vMerge/>
            <w:tcBorders>
              <w:left w:val="single" w:sz="13" w:space="0" w:color="FFFFFF"/>
              <w:bottom w:val="nil" w:sz="6" w:space="0" w:color="auto"/>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1"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94" w:hRule="exact"/>
        </w:trPr>
        <w:tc>
          <w:tcPr>
            <w:tcW w:w="801" w:type="dxa"/>
            <w:vMerge/>
            <w:tcBorders>
              <w:left w:val="single" w:sz="4" w:space="0" w:color="000000"/>
              <w:right w:val="single" w:sz="13" w:space="0" w:color="FFFFFF"/>
            </w:tcBorders>
            <w:shd w:val="clear" w:color="auto" w:fill="D2D2D2"/>
          </w:tcPr>
          <w:p>
            <w:pPr/>
          </w:p>
        </w:tc>
        <w:tc>
          <w:tcPr>
            <w:tcW w:w="797" w:type="dxa"/>
            <w:vMerge w:val="restart"/>
            <w:tcBorders>
              <w:top w:val="nil" w:sz="6" w:space="0" w:color="auto"/>
              <w:left w:val="single" w:sz="13" w:space="0" w:color="FFFFFF"/>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1"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7" w:type="dxa"/>
            <w:vMerge/>
            <w:tcBorders>
              <w:left w:val="single" w:sz="4" w:space="0" w:color="000000"/>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6" w:hRule="exact"/>
        </w:trPr>
        <w:tc>
          <w:tcPr>
            <w:tcW w:w="801" w:type="dxa"/>
            <w:vMerge/>
            <w:tcBorders>
              <w:left w:val="single" w:sz="4" w:space="0" w:color="000000"/>
              <w:right w:val="single" w:sz="13" w:space="0" w:color="FFFFFF"/>
            </w:tcBorders>
            <w:shd w:val="clear" w:color="auto" w:fill="D2D2D2"/>
          </w:tcPr>
          <w:p>
            <w:pPr/>
          </w:p>
        </w:tc>
        <w:tc>
          <w:tcPr>
            <w:tcW w:w="797" w:type="dxa"/>
            <w:vMerge/>
            <w:tcBorders>
              <w:left w:val="single" w:sz="13" w:space="0" w:color="FFFFFF"/>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6" w:hRule="exact"/>
        </w:trPr>
        <w:tc>
          <w:tcPr>
            <w:tcW w:w="801" w:type="dxa"/>
            <w:vMerge/>
            <w:tcBorders>
              <w:left w:val="single" w:sz="4" w:space="0" w:color="000000"/>
              <w:right w:val="single" w:sz="13" w:space="0" w:color="FFFFFF"/>
            </w:tcBorders>
            <w:shd w:val="clear" w:color="auto" w:fill="D2D2D2"/>
          </w:tcPr>
          <w:p>
            <w:pPr/>
          </w:p>
        </w:tc>
        <w:tc>
          <w:tcPr>
            <w:tcW w:w="797" w:type="dxa"/>
            <w:vMerge/>
            <w:tcBorders>
              <w:left w:val="single" w:sz="13" w:space="0" w:color="FFFFFF"/>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c>
          <w:tcPr>
            <w:tcW w:w="789" w:type="dxa"/>
            <w:vMerge/>
            <w:tcBorders>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801" w:type="dxa"/>
            <w:vMerge/>
            <w:tcBorders>
              <w:left w:val="single" w:sz="4" w:space="0" w:color="000000"/>
              <w:bottom w:val="single" w:sz="4" w:space="0" w:color="000000"/>
              <w:right w:val="single" w:sz="13" w:space="0" w:color="FFFFFF"/>
            </w:tcBorders>
            <w:shd w:val="clear" w:color="auto" w:fill="D2D2D2"/>
          </w:tcPr>
          <w:p>
            <w:pPr/>
          </w:p>
        </w:tc>
        <w:tc>
          <w:tcPr>
            <w:tcW w:w="797" w:type="dxa"/>
            <w:vMerge/>
            <w:tcBorders>
              <w:left w:val="single" w:sz="13" w:space="0" w:color="FFFFFF"/>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c>
          <w:tcPr>
            <w:tcW w:w="789"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64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63"/>
              <w:jc w:val="left"/>
              <w:rPr>
                <w:rFonts w:ascii="宋体" w:hAnsi="宋体" w:cs="宋体" w:eastAsia="宋体" w:hint="default"/>
                <w:sz w:val="21"/>
                <w:szCs w:val="21"/>
              </w:rPr>
            </w:pPr>
            <w:r>
              <w:rPr>
                <w:rFonts w:ascii="宋体" w:hAnsi="宋体" w:cs="宋体" w:eastAsia="宋体" w:hint="default"/>
                <w:sz w:val="21"/>
                <w:szCs w:val="21"/>
              </w:rPr>
              <w:t>飞天联</w:t>
            </w:r>
            <w:r>
              <w:rPr>
                <w:rFonts w:ascii="宋体" w:hAnsi="宋体" w:cs="宋体" w:eastAsia="宋体" w:hint="default"/>
                <w:spacing w:val="-102"/>
                <w:sz w:val="21"/>
                <w:szCs w:val="21"/>
              </w:rPr>
              <w:t> </w:t>
            </w:r>
            <w:r>
              <w:rPr>
                <w:rFonts w:ascii="宋体" w:hAnsi="宋体" w:cs="宋体" w:eastAsia="宋体" w:hint="default"/>
                <w:sz w:val="21"/>
                <w:szCs w:val="21"/>
              </w:rPr>
              <w:t>合</w:t>
            </w:r>
            <w:r>
              <w:rPr>
                <w:rFonts w:ascii="Times New Roman" w:hAnsi="Times New Roman" w:cs="Times New Roman" w:eastAsia="Times New Roman" w:hint="default"/>
                <w:sz w:val="21"/>
                <w:szCs w:val="21"/>
              </w:rPr>
              <w:t>(</w:t>
            </w:r>
            <w:r>
              <w:rPr>
                <w:rFonts w:ascii="宋体" w:hAnsi="宋体" w:cs="宋体" w:eastAsia="宋体" w:hint="default"/>
                <w:sz w:val="21"/>
                <w:szCs w:val="21"/>
              </w:rPr>
              <w:t>北</w:t>
            </w:r>
            <w:r>
              <w:rPr>
                <w:rFonts w:ascii="宋体" w:hAnsi="宋体" w:cs="宋体" w:eastAsia="宋体" w:hint="default"/>
                <w:w w:val="100"/>
                <w:sz w:val="21"/>
                <w:szCs w:val="21"/>
              </w:rPr>
              <w:t> </w:t>
            </w:r>
            <w:r>
              <w:rPr>
                <w:rFonts w:ascii="宋体" w:hAnsi="宋体" w:cs="宋体" w:eastAsia="宋体" w:hint="default"/>
                <w:sz w:val="21"/>
                <w:szCs w:val="21"/>
              </w:rPr>
              <w:t>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79,210,5</w:t>
            </w:r>
          </w:p>
          <w:p>
            <w:pPr>
              <w:pStyle w:val="TableParagraph"/>
              <w:spacing w:line="240" w:lineRule="auto" w:before="70"/>
              <w:ind w:left="288" w:right="0"/>
              <w:jc w:val="left"/>
              <w:rPr>
                <w:rFonts w:ascii="Times New Roman" w:hAnsi="Times New Roman" w:cs="Times New Roman" w:eastAsia="Times New Roman" w:hint="default"/>
                <w:sz w:val="21"/>
                <w:szCs w:val="21"/>
              </w:rPr>
            </w:pPr>
            <w:r>
              <w:rPr>
                <w:rFonts w:ascii="Times New Roman"/>
                <w:sz w:val="21"/>
              </w:rPr>
              <w:t>51.57</w:t>
            </w:r>
          </w:p>
        </w:tc>
        <w:tc>
          <w:tcPr>
            <w:tcW w:w="793"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-15,761,</w:t>
            </w:r>
          </w:p>
          <w:p>
            <w:pPr>
              <w:pStyle w:val="TableParagraph"/>
              <w:spacing w:line="240" w:lineRule="auto" w:before="70"/>
              <w:ind w:left="161" w:right="0"/>
              <w:jc w:val="center"/>
              <w:rPr>
                <w:rFonts w:ascii="Times New Roman" w:hAnsi="Times New Roman" w:cs="Times New Roman" w:eastAsia="Times New Roman" w:hint="default"/>
                <w:sz w:val="21"/>
                <w:szCs w:val="21"/>
              </w:rPr>
            </w:pPr>
            <w:r>
              <w:rPr>
                <w:rFonts w:ascii="Times New Roman"/>
                <w:sz w:val="21"/>
              </w:rPr>
              <w:t>370.39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 w:right="0"/>
              <w:jc w:val="left"/>
              <w:rPr>
                <w:rFonts w:ascii="Times New Roman" w:hAnsi="Times New Roman" w:cs="Times New Roman" w:eastAsia="Times New Roman" w:hint="default"/>
                <w:sz w:val="21"/>
                <w:szCs w:val="21"/>
              </w:rPr>
            </w:pPr>
            <w:r>
              <w:rPr>
                <w:rFonts w:ascii="Times New Roman"/>
                <w:sz w:val="21"/>
              </w:rPr>
              <w:t>7,264,27</w:t>
            </w:r>
          </w:p>
          <w:p>
            <w:pPr>
              <w:pStyle w:val="TableParagraph"/>
              <w:spacing w:line="240" w:lineRule="auto" w:before="70"/>
              <w:ind w:left="402" w:right="0"/>
              <w:jc w:val="left"/>
              <w:rPr>
                <w:rFonts w:ascii="Times New Roman" w:hAnsi="Times New Roman" w:cs="Times New Roman" w:eastAsia="Times New Roman" w:hint="default"/>
                <w:sz w:val="21"/>
                <w:szCs w:val="21"/>
              </w:rPr>
            </w:pPr>
            <w:r>
              <w:rPr>
                <w:rFonts w:ascii="Times New Roman"/>
                <w:sz w:val="21"/>
              </w:rPr>
              <w:t>3.72</w:t>
            </w:r>
          </w:p>
        </w:tc>
        <w:tc>
          <w:tcPr>
            <w:tcW w:w="78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70,729,6</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34.68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31"/>
              <w:jc w:val="both"/>
              <w:rPr>
                <w:rFonts w:ascii="宋体" w:hAnsi="宋体" w:cs="宋体" w:eastAsia="宋体" w:hint="default"/>
                <w:sz w:val="21"/>
                <w:szCs w:val="21"/>
              </w:rPr>
            </w:pPr>
            <w:r>
              <w:rPr>
                <w:rFonts w:ascii="宋体" w:hAnsi="宋体" w:cs="宋体" w:eastAsia="宋体" w:hint="default"/>
                <w:sz w:val="21"/>
                <w:szCs w:val="21"/>
              </w:rPr>
              <w:t>北京赛</w:t>
            </w:r>
            <w:r>
              <w:rPr>
                <w:rFonts w:ascii="宋体" w:hAnsi="宋体" w:cs="宋体" w:eastAsia="宋体" w:hint="default"/>
                <w:spacing w:val="-102"/>
                <w:sz w:val="21"/>
                <w:szCs w:val="21"/>
              </w:rPr>
              <w:t> </w:t>
            </w:r>
            <w:r>
              <w:rPr>
                <w:rFonts w:ascii="宋体" w:hAnsi="宋体" w:cs="宋体" w:eastAsia="宋体" w:hint="default"/>
                <w:sz w:val="21"/>
                <w:szCs w:val="21"/>
              </w:rPr>
              <w:t>弗网络</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 w:right="0"/>
              <w:jc w:val="left"/>
              <w:rPr>
                <w:rFonts w:ascii="Times New Roman" w:hAnsi="Times New Roman" w:cs="Times New Roman" w:eastAsia="Times New Roman" w:hint="default"/>
                <w:sz w:val="21"/>
                <w:szCs w:val="21"/>
              </w:rPr>
            </w:pPr>
            <w:r>
              <w:rPr>
                <w:rFonts w:ascii="Times New Roman"/>
                <w:sz w:val="21"/>
              </w:rPr>
              <w:t>79,260,8</w:t>
            </w:r>
          </w:p>
          <w:p>
            <w:pPr>
              <w:pStyle w:val="TableParagraph"/>
              <w:spacing w:line="240" w:lineRule="auto" w:before="68"/>
              <w:ind w:left="288" w:right="0"/>
              <w:jc w:val="left"/>
              <w:rPr>
                <w:rFonts w:ascii="Times New Roman" w:hAnsi="Times New Roman" w:cs="Times New Roman" w:eastAsia="Times New Roman" w:hint="default"/>
                <w:sz w:val="21"/>
                <w:szCs w:val="21"/>
              </w:rPr>
            </w:pPr>
            <w:r>
              <w:rPr>
                <w:rFonts w:ascii="Times New Roman"/>
                <w:sz w:val="21"/>
              </w:rPr>
              <w:t>36.07</w:t>
            </w:r>
          </w:p>
        </w:tc>
        <w:tc>
          <w:tcPr>
            <w:tcW w:w="793"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 w:right="0"/>
              <w:jc w:val="left"/>
              <w:rPr>
                <w:rFonts w:ascii="Times New Roman" w:hAnsi="Times New Roman" w:cs="Times New Roman" w:eastAsia="Times New Roman" w:hint="default"/>
                <w:sz w:val="21"/>
                <w:szCs w:val="21"/>
              </w:rPr>
            </w:pPr>
            <w:r>
              <w:rPr>
                <w:rFonts w:ascii="Times New Roman"/>
                <w:sz w:val="21"/>
              </w:rPr>
              <w:t>-1,003,0</w:t>
            </w:r>
          </w:p>
          <w:p>
            <w:pPr>
              <w:pStyle w:val="TableParagraph"/>
              <w:spacing w:line="240" w:lineRule="auto" w:before="68"/>
              <w:ind w:left="288" w:right="0"/>
              <w:jc w:val="left"/>
              <w:rPr>
                <w:rFonts w:ascii="Times New Roman" w:hAnsi="Times New Roman" w:cs="Times New Roman" w:eastAsia="Times New Roman" w:hint="default"/>
                <w:sz w:val="21"/>
                <w:szCs w:val="21"/>
              </w:rPr>
            </w:pPr>
            <w:r>
              <w:rPr>
                <w:rFonts w:ascii="Times New Roman"/>
                <w:sz w:val="21"/>
              </w:rPr>
              <w:t>83.69</w:t>
            </w:r>
          </w:p>
        </w:tc>
        <w:tc>
          <w:tcPr>
            <w:tcW w:w="793"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78,257,7</w:t>
            </w:r>
          </w:p>
          <w:p>
            <w:pPr>
              <w:pStyle w:val="TableParagraph"/>
              <w:spacing w:line="240" w:lineRule="auto" w:before="68"/>
              <w:ind w:left="292" w:right="0"/>
              <w:jc w:val="left"/>
              <w:rPr>
                <w:rFonts w:ascii="Times New Roman" w:hAnsi="Times New Roman" w:cs="Times New Roman" w:eastAsia="Times New Roman" w:hint="default"/>
                <w:sz w:val="21"/>
                <w:szCs w:val="21"/>
              </w:rPr>
            </w:pPr>
            <w:r>
              <w:rPr>
                <w:rFonts w:ascii="Times New Roman"/>
                <w:sz w:val="21"/>
              </w:rPr>
              <w:t>52.38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70,369,7</w:t>
            </w:r>
          </w:p>
          <w:p>
            <w:pPr>
              <w:pStyle w:val="TableParagraph"/>
              <w:spacing w:line="240" w:lineRule="auto" w:before="68"/>
              <w:ind w:left="299" w:right="0"/>
              <w:jc w:val="left"/>
              <w:rPr>
                <w:rFonts w:ascii="Times New Roman" w:hAnsi="Times New Roman" w:cs="Times New Roman" w:eastAsia="Times New Roman" w:hint="default"/>
                <w:sz w:val="21"/>
                <w:szCs w:val="21"/>
              </w:rPr>
            </w:pPr>
            <w:r>
              <w:rPr>
                <w:rFonts w:ascii="Times New Roman"/>
                <w:sz w:val="21"/>
              </w:rPr>
              <w:t>11.34</w:t>
            </w:r>
          </w:p>
        </w:tc>
      </w:tr>
      <w:tr>
        <w:trPr>
          <w:trHeight w:val="71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158,471,</w:t>
            </w:r>
          </w:p>
          <w:p>
            <w:pPr>
              <w:pStyle w:val="TableParagraph"/>
              <w:spacing w:line="240" w:lineRule="auto" w:before="70"/>
              <w:ind w:left="159" w:right="0"/>
              <w:jc w:val="center"/>
              <w:rPr>
                <w:rFonts w:ascii="Times New Roman" w:hAnsi="Times New Roman" w:cs="Times New Roman" w:eastAsia="Times New Roman" w:hint="default"/>
                <w:sz w:val="21"/>
                <w:szCs w:val="21"/>
              </w:rPr>
            </w:pPr>
            <w:r>
              <w:rPr>
                <w:rFonts w:ascii="Times New Roman"/>
                <w:sz w:val="21"/>
              </w:rPr>
              <w:t>387.64</w:t>
            </w:r>
          </w:p>
        </w:tc>
        <w:tc>
          <w:tcPr>
            <w:tcW w:w="793"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6" w:right="0"/>
              <w:jc w:val="center"/>
              <w:rPr>
                <w:rFonts w:ascii="Times New Roman" w:hAnsi="Times New Roman" w:cs="Times New Roman" w:eastAsia="Times New Roman" w:hint="default"/>
                <w:sz w:val="21"/>
                <w:szCs w:val="21"/>
              </w:rPr>
            </w:pPr>
            <w:r>
              <w:rPr>
                <w:rFonts w:ascii="Times New Roman"/>
                <w:sz w:val="21"/>
              </w:rPr>
              <w:t>-16,764,</w:t>
            </w:r>
          </w:p>
          <w:p>
            <w:pPr>
              <w:pStyle w:val="TableParagraph"/>
              <w:spacing w:line="240" w:lineRule="auto" w:before="70"/>
              <w:ind w:left="161" w:right="0"/>
              <w:jc w:val="center"/>
              <w:rPr>
                <w:rFonts w:ascii="Times New Roman" w:hAnsi="Times New Roman" w:cs="Times New Roman" w:eastAsia="Times New Roman" w:hint="default"/>
                <w:sz w:val="21"/>
                <w:szCs w:val="21"/>
              </w:rPr>
            </w:pPr>
            <w:r>
              <w:rPr>
                <w:rFonts w:ascii="Times New Roman"/>
                <w:sz w:val="21"/>
              </w:rPr>
              <w:t>454.08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7,264,27</w:t>
            </w:r>
          </w:p>
          <w:p>
            <w:pPr>
              <w:pStyle w:val="TableParagraph"/>
              <w:spacing w:line="240" w:lineRule="auto" w:before="70"/>
              <w:ind w:left="402" w:right="0"/>
              <w:jc w:val="left"/>
              <w:rPr>
                <w:rFonts w:ascii="Times New Roman" w:hAnsi="Times New Roman" w:cs="Times New Roman" w:eastAsia="Times New Roman" w:hint="default"/>
                <w:sz w:val="21"/>
                <w:szCs w:val="21"/>
              </w:rPr>
            </w:pPr>
            <w:r>
              <w:rPr>
                <w:rFonts w:ascii="Times New Roman"/>
                <w:sz w:val="21"/>
              </w:rPr>
              <w:t>3.72</w:t>
            </w:r>
          </w:p>
        </w:tc>
        <w:tc>
          <w:tcPr>
            <w:tcW w:w="78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148,987,</w:t>
            </w:r>
          </w:p>
          <w:p>
            <w:pPr>
              <w:pStyle w:val="TableParagraph"/>
              <w:spacing w:line="240" w:lineRule="auto" w:before="70"/>
              <w:ind w:left="165" w:right="0"/>
              <w:jc w:val="center"/>
              <w:rPr>
                <w:rFonts w:ascii="Times New Roman" w:hAnsi="Times New Roman" w:cs="Times New Roman" w:eastAsia="Times New Roman" w:hint="default"/>
                <w:sz w:val="21"/>
                <w:szCs w:val="21"/>
              </w:rPr>
            </w:pPr>
            <w:r>
              <w:rPr>
                <w:rFonts w:ascii="Times New Roman"/>
                <w:sz w:val="21"/>
              </w:rPr>
              <w:t>387.06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1" w:right="0"/>
              <w:jc w:val="left"/>
              <w:rPr>
                <w:rFonts w:ascii="Times New Roman" w:hAnsi="Times New Roman" w:cs="Times New Roman" w:eastAsia="Times New Roman" w:hint="default"/>
                <w:sz w:val="21"/>
                <w:szCs w:val="21"/>
              </w:rPr>
            </w:pPr>
            <w:r>
              <w:rPr>
                <w:rFonts w:ascii="Times New Roman"/>
                <w:sz w:val="21"/>
              </w:rPr>
              <w:t>70,369,7</w:t>
            </w:r>
          </w:p>
          <w:p>
            <w:pPr>
              <w:pStyle w:val="TableParagraph"/>
              <w:spacing w:line="240" w:lineRule="auto" w:before="70"/>
              <w:ind w:left="299" w:right="0"/>
              <w:jc w:val="left"/>
              <w:rPr>
                <w:rFonts w:ascii="Times New Roman" w:hAnsi="Times New Roman" w:cs="Times New Roman" w:eastAsia="Times New Roman" w:hint="default"/>
                <w:sz w:val="21"/>
                <w:szCs w:val="21"/>
              </w:rPr>
            </w:pPr>
            <w:r>
              <w:rPr>
                <w:rFonts w:ascii="Times New Roman"/>
                <w:sz w:val="21"/>
              </w:rPr>
              <w:t>11.34</w:t>
            </w:r>
          </w:p>
        </w:tc>
      </w:tr>
      <w:tr>
        <w:trPr>
          <w:trHeight w:val="715"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158,471,</w:t>
            </w:r>
          </w:p>
          <w:p>
            <w:pPr>
              <w:pStyle w:val="TableParagraph"/>
              <w:spacing w:line="240" w:lineRule="auto" w:before="68"/>
              <w:ind w:left="159" w:right="0"/>
              <w:jc w:val="center"/>
              <w:rPr>
                <w:rFonts w:ascii="Times New Roman" w:hAnsi="Times New Roman" w:cs="Times New Roman" w:eastAsia="Times New Roman" w:hint="default"/>
                <w:sz w:val="21"/>
                <w:szCs w:val="21"/>
              </w:rPr>
            </w:pPr>
            <w:r>
              <w:rPr>
                <w:rFonts w:ascii="Times New Roman"/>
                <w:sz w:val="21"/>
              </w:rPr>
              <w:t>387.64</w:t>
            </w:r>
          </w:p>
        </w:tc>
        <w:tc>
          <w:tcPr>
            <w:tcW w:w="793"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 w:right="0"/>
              <w:jc w:val="center"/>
              <w:rPr>
                <w:rFonts w:ascii="Times New Roman" w:hAnsi="Times New Roman" w:cs="Times New Roman" w:eastAsia="Times New Roman" w:hint="default"/>
                <w:sz w:val="21"/>
                <w:szCs w:val="21"/>
              </w:rPr>
            </w:pPr>
            <w:r>
              <w:rPr>
                <w:rFonts w:ascii="Times New Roman"/>
                <w:sz w:val="21"/>
              </w:rPr>
              <w:t>-16,764,</w:t>
            </w:r>
          </w:p>
          <w:p>
            <w:pPr>
              <w:pStyle w:val="TableParagraph"/>
              <w:spacing w:line="240" w:lineRule="auto" w:before="68"/>
              <w:ind w:left="161" w:right="0"/>
              <w:jc w:val="center"/>
              <w:rPr>
                <w:rFonts w:ascii="Times New Roman" w:hAnsi="Times New Roman" w:cs="Times New Roman" w:eastAsia="Times New Roman" w:hint="default"/>
                <w:sz w:val="21"/>
                <w:szCs w:val="21"/>
              </w:rPr>
            </w:pPr>
            <w:r>
              <w:rPr>
                <w:rFonts w:ascii="Times New Roman"/>
                <w:sz w:val="21"/>
              </w:rPr>
              <w:t>454.08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w w:val="100"/>
                <w:sz w:val="21"/>
              </w:rPr>
              <w:t>8</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 w:right="0"/>
              <w:jc w:val="left"/>
              <w:rPr>
                <w:rFonts w:ascii="Times New Roman" w:hAnsi="Times New Roman" w:cs="Times New Roman" w:eastAsia="Times New Roman" w:hint="default"/>
                <w:sz w:val="21"/>
                <w:szCs w:val="21"/>
              </w:rPr>
            </w:pPr>
            <w:r>
              <w:rPr>
                <w:rFonts w:ascii="Times New Roman"/>
                <w:sz w:val="21"/>
              </w:rPr>
              <w:t>7,264,27</w:t>
            </w:r>
          </w:p>
          <w:p>
            <w:pPr>
              <w:pStyle w:val="TableParagraph"/>
              <w:spacing w:line="240" w:lineRule="auto" w:before="68"/>
              <w:ind w:left="402" w:right="0"/>
              <w:jc w:val="left"/>
              <w:rPr>
                <w:rFonts w:ascii="Times New Roman" w:hAnsi="Times New Roman" w:cs="Times New Roman" w:eastAsia="Times New Roman" w:hint="default"/>
                <w:sz w:val="21"/>
                <w:szCs w:val="21"/>
              </w:rPr>
            </w:pPr>
            <w:r>
              <w:rPr>
                <w:rFonts w:ascii="Times New Roman"/>
                <w:sz w:val="21"/>
              </w:rPr>
              <w:t>3.72</w:t>
            </w:r>
          </w:p>
        </w:tc>
        <w:tc>
          <w:tcPr>
            <w:tcW w:w="789"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148,987,</w:t>
            </w:r>
          </w:p>
          <w:p>
            <w:pPr>
              <w:pStyle w:val="TableParagraph"/>
              <w:spacing w:line="240" w:lineRule="auto" w:before="68"/>
              <w:ind w:left="165" w:right="0"/>
              <w:jc w:val="center"/>
              <w:rPr>
                <w:rFonts w:ascii="Times New Roman" w:hAnsi="Times New Roman" w:cs="Times New Roman" w:eastAsia="Times New Roman" w:hint="default"/>
                <w:sz w:val="21"/>
                <w:szCs w:val="21"/>
              </w:rPr>
            </w:pPr>
            <w:r>
              <w:rPr>
                <w:rFonts w:ascii="Times New Roman"/>
                <w:sz w:val="21"/>
              </w:rPr>
              <w:t>387.06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 w:right="0"/>
              <w:jc w:val="left"/>
              <w:rPr>
                <w:rFonts w:ascii="Times New Roman" w:hAnsi="Times New Roman" w:cs="Times New Roman" w:eastAsia="Times New Roman" w:hint="default"/>
                <w:sz w:val="21"/>
                <w:szCs w:val="21"/>
              </w:rPr>
            </w:pPr>
            <w:r>
              <w:rPr>
                <w:rFonts w:ascii="Times New Roman"/>
                <w:sz w:val="21"/>
              </w:rPr>
              <w:t>70,369,7</w:t>
            </w:r>
          </w:p>
          <w:p>
            <w:pPr>
              <w:pStyle w:val="TableParagraph"/>
              <w:spacing w:line="240" w:lineRule="auto" w:before="68"/>
              <w:ind w:left="299" w:right="0"/>
              <w:jc w:val="left"/>
              <w:rPr>
                <w:rFonts w:ascii="Times New Roman" w:hAnsi="Times New Roman" w:cs="Times New Roman" w:eastAsia="Times New Roman" w:hint="default"/>
                <w:sz w:val="21"/>
                <w:szCs w:val="21"/>
              </w:rPr>
            </w:pPr>
            <w:r>
              <w:rPr>
                <w:rFonts w:ascii="Times New Roman"/>
                <w:sz w:val="21"/>
              </w:rPr>
              <w:t>11.34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996" w:firstLine="0"/>
        <w:jc w:val="left"/>
        <w:rPr>
          <w:rFonts w:ascii="宋体" w:hAnsi="宋体" w:cs="宋体" w:eastAsia="宋体" w:hint="default"/>
          <w:sz w:val="21"/>
          <w:szCs w:val="21"/>
        </w:rPr>
      </w:pPr>
      <w:bookmarkStart w:name="18、其他权益工具投资" w:id="280"/>
      <w:bookmarkEnd w:id="280"/>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北京智慧图科技有限责任公司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20,234,100.00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15,365,900.00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20,234,100.00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15,365,900.00</w:t>
            </w:r>
          </w:p>
        </w:tc>
      </w:tr>
    </w:tbl>
    <w:p>
      <w:pPr>
        <w:spacing w:before="28"/>
        <w:ind w:left="152" w:right="996" w:firstLine="0"/>
        <w:jc w:val="left"/>
        <w:rPr>
          <w:rFonts w:ascii="宋体" w:hAnsi="宋体" w:cs="宋体" w:eastAsia="宋体" w:hint="default"/>
          <w:sz w:val="21"/>
          <w:szCs w:val="21"/>
        </w:rPr>
      </w:pPr>
      <w:r>
        <w:rPr>
          <w:rFonts w:ascii="宋体" w:hAnsi="宋体" w:cs="宋体" w:eastAsia="宋体" w:hint="default"/>
          <w:sz w:val="21"/>
          <w:szCs w:val="21"/>
        </w:rPr>
        <w:t>分项披露本期非交易性权益工具投资</w:t>
      </w:r>
    </w:p>
    <w:p>
      <w:pPr>
        <w:spacing w:before="7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64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1" w:lineRule="auto"/>
              <w:ind w:left="575" w:right="44" w:hanging="526"/>
              <w:jc w:val="left"/>
              <w:rPr>
                <w:rFonts w:ascii="宋体" w:hAnsi="宋体" w:cs="宋体" w:eastAsia="宋体" w:hint="default"/>
                <w:sz w:val="21"/>
                <w:szCs w:val="21"/>
              </w:rPr>
            </w:pPr>
            <w:r>
              <w:rPr>
                <w:rFonts w:ascii="宋体" w:hAnsi="宋体" w:cs="宋体" w:eastAsia="宋体" w:hint="default"/>
                <w:sz w:val="21"/>
                <w:szCs w:val="21"/>
              </w:rPr>
              <w:t>确认的股利收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47" w:right="45"/>
              <w:jc w:val="center"/>
              <w:rPr>
                <w:rFonts w:ascii="宋体" w:hAnsi="宋体" w:cs="宋体" w:eastAsia="宋体" w:hint="default"/>
                <w:sz w:val="21"/>
                <w:szCs w:val="21"/>
              </w:rPr>
            </w:pP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转入留存收益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 w:right="44"/>
              <w:jc w:val="center"/>
              <w:rPr>
                <w:rFonts w:ascii="宋体" w:hAnsi="宋体" w:cs="宋体" w:eastAsia="宋体" w:hint="default"/>
                <w:sz w:val="21"/>
                <w:szCs w:val="21"/>
              </w:rPr>
            </w:pPr>
            <w:r>
              <w:rPr>
                <w:rFonts w:ascii="宋体" w:hAnsi="宋体" w:cs="宋体" w:eastAsia="宋体" w:hint="default"/>
                <w:spacing w:val="-1"/>
                <w:sz w:val="21"/>
                <w:szCs w:val="21"/>
              </w:rPr>
              <w:t>指定为以公允</w:t>
            </w:r>
            <w:r>
              <w:rPr>
                <w:rFonts w:ascii="宋体" w:hAnsi="宋体" w:cs="宋体" w:eastAsia="宋体" w:hint="default"/>
                <w:w w:val="100"/>
                <w:sz w:val="21"/>
                <w:szCs w:val="21"/>
              </w:rPr>
              <w:t> </w:t>
            </w:r>
            <w:r>
              <w:rPr>
                <w:rFonts w:ascii="宋体" w:hAnsi="宋体" w:cs="宋体" w:eastAsia="宋体" w:hint="default"/>
                <w:spacing w:val="-1"/>
                <w:sz w:val="21"/>
                <w:szCs w:val="21"/>
              </w:rPr>
              <w:t>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变动计入其他</w:t>
            </w:r>
            <w:r>
              <w:rPr>
                <w:rFonts w:ascii="宋体" w:hAnsi="宋体" w:cs="宋体" w:eastAsia="宋体" w:hint="default"/>
                <w:w w:val="100"/>
                <w:sz w:val="21"/>
                <w:szCs w:val="21"/>
              </w:rPr>
              <w:t> </w:t>
            </w:r>
            <w:r>
              <w:rPr>
                <w:rFonts w:ascii="宋体" w:hAnsi="宋体" w:cs="宋体" w:eastAsia="宋体" w:hint="default"/>
                <w:spacing w:val="-1"/>
                <w:sz w:val="21"/>
                <w:szCs w:val="21"/>
              </w:rPr>
              <w:t>综合收益的原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1" w:lineRule="auto"/>
              <w:ind w:left="47" w:right="45"/>
              <w:jc w:val="center"/>
              <w:rPr>
                <w:rFonts w:ascii="宋体" w:hAnsi="宋体" w:cs="宋体" w:eastAsia="宋体" w:hint="default"/>
                <w:sz w:val="21"/>
                <w:szCs w:val="21"/>
              </w:rPr>
            </w:pP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转入留存收益</w:t>
            </w:r>
            <w:r>
              <w:rPr>
                <w:rFonts w:ascii="宋体" w:hAnsi="宋体" w:cs="宋体" w:eastAsia="宋体" w:hint="default"/>
                <w:w w:val="100"/>
                <w:sz w:val="21"/>
                <w:szCs w:val="21"/>
              </w:rPr>
              <w:t> </w:t>
            </w:r>
            <w:r>
              <w:rPr>
                <w:rFonts w:ascii="宋体" w:hAnsi="宋体" w:cs="宋体" w:eastAsia="宋体" w:hint="default"/>
                <w:sz w:val="21"/>
                <w:szCs w:val="21"/>
              </w:rPr>
              <w:t>的原因</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 w:right="70"/>
              <w:jc w:val="both"/>
              <w:rPr>
                <w:rFonts w:ascii="宋体" w:hAnsi="宋体" w:cs="宋体" w:eastAsia="宋体" w:hint="default"/>
                <w:sz w:val="21"/>
                <w:szCs w:val="21"/>
              </w:rPr>
            </w:pPr>
            <w:r>
              <w:rPr>
                <w:rFonts w:ascii="宋体" w:hAnsi="宋体" w:cs="宋体" w:eastAsia="宋体" w:hint="default"/>
                <w:sz w:val="21"/>
                <w:szCs w:val="21"/>
              </w:rPr>
              <w:t>北京七彩通达</w:t>
            </w:r>
            <w:r>
              <w:rPr>
                <w:rFonts w:ascii="宋体" w:hAnsi="宋体" w:cs="宋体" w:eastAsia="宋体" w:hint="default"/>
                <w:w w:val="100"/>
                <w:sz w:val="21"/>
                <w:szCs w:val="21"/>
              </w:rPr>
              <w:t> </w:t>
            </w:r>
            <w:r>
              <w:rPr>
                <w:rFonts w:ascii="宋体" w:hAnsi="宋体" w:cs="宋体" w:eastAsia="宋体" w:hint="default"/>
                <w:sz w:val="21"/>
                <w:szCs w:val="21"/>
              </w:rPr>
              <w:t>传媒股份有限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110,000,000.00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68"/>
              <w:jc w:val="left"/>
              <w:rPr>
                <w:rFonts w:ascii="宋体" w:hAnsi="宋体" w:cs="宋体" w:eastAsia="宋体" w:hint="default"/>
                <w:sz w:val="21"/>
                <w:szCs w:val="21"/>
              </w:rPr>
            </w:pPr>
            <w:r>
              <w:rPr>
                <w:rFonts w:ascii="宋体" w:hAnsi="宋体" w:cs="宋体" w:eastAsia="宋体" w:hint="default"/>
                <w:sz w:val="21"/>
                <w:szCs w:val="21"/>
              </w:rPr>
              <w:t>不以出售为目</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北京智慧图科</w:t>
            </w:r>
            <w:r>
              <w:rPr>
                <w:rFonts w:ascii="宋体" w:hAnsi="宋体" w:cs="宋体" w:eastAsia="宋体" w:hint="default"/>
                <w:w w:val="100"/>
                <w:sz w:val="21"/>
                <w:szCs w:val="21"/>
              </w:rPr>
              <w:t> </w:t>
            </w:r>
            <w:r>
              <w:rPr>
                <w:rFonts w:ascii="宋体" w:hAnsi="宋体" w:cs="宋体" w:eastAsia="宋体" w:hint="default"/>
                <w:sz w:val="21"/>
                <w:szCs w:val="21"/>
              </w:rPr>
              <w:t>技有限责任公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234,100.00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23" w:right="68"/>
              <w:jc w:val="left"/>
              <w:rPr>
                <w:rFonts w:ascii="宋体" w:hAnsi="宋体" w:cs="宋体" w:eastAsia="宋体" w:hint="default"/>
                <w:sz w:val="21"/>
                <w:szCs w:val="21"/>
              </w:rPr>
            </w:pPr>
            <w:r>
              <w:rPr>
                <w:rFonts w:ascii="宋体" w:hAnsi="宋体" w:cs="宋体" w:eastAsia="宋体" w:hint="default"/>
                <w:sz w:val="21"/>
                <w:szCs w:val="21"/>
              </w:rPr>
              <w:t>不以出售为目</w:t>
            </w:r>
            <w:r>
              <w:rPr>
                <w:rFonts w:ascii="宋体" w:hAnsi="宋体" w:cs="宋体" w:eastAsia="宋体" w:hint="default"/>
                <w:w w:val="100"/>
                <w:sz w:val="21"/>
                <w:szCs w:val="21"/>
              </w:rPr>
              <w:t> </w:t>
            </w:r>
            <w:r>
              <w:rPr>
                <w:rFonts w:ascii="宋体" w:hAnsi="宋体" w:cs="宋体" w:eastAsia="宋体" w:hint="default"/>
                <w:sz w:val="21"/>
                <w:szCs w:val="21"/>
              </w:rPr>
              <w:t>的</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234,100.00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left"/>
              <w:rPr>
                <w:rFonts w:ascii="Times New Roman" w:hAnsi="Times New Roman" w:cs="Times New Roman" w:eastAsia="Times New Roman" w:hint="default"/>
                <w:sz w:val="21"/>
                <w:szCs w:val="21"/>
              </w:rPr>
            </w:pPr>
            <w:r>
              <w:rPr>
                <w:rFonts w:ascii="Times New Roman"/>
                <w:sz w:val="21"/>
              </w:rPr>
              <w:t>110,000,000.00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4"/>
          <w:szCs w:val="4"/>
        </w:rPr>
      </w:pPr>
    </w:p>
    <w:p>
      <w:pPr>
        <w:pStyle w:val="BodyText"/>
        <w:spacing w:line="352" w:lineRule="auto" w:before="26"/>
        <w:ind w:left="633" w:right="996"/>
        <w:jc w:val="left"/>
      </w:pPr>
      <w:r>
        <w:rPr/>
        <w:t>其他权益工具投资的说明： 辉煌科技对北京七彩通达传媒股份有限公司（以下简称七彩通达）的股权投资的初始成</w:t>
      </w:r>
    </w:p>
    <w:p>
      <w:pPr>
        <w:pStyle w:val="BodyText"/>
        <w:spacing w:line="352" w:lineRule="auto" w:before="31"/>
        <w:ind w:right="1114"/>
        <w:jc w:val="left"/>
      </w:pPr>
      <w:r>
        <w:rPr/>
        <w:t>本为</w:t>
      </w:r>
      <w:r>
        <w:rPr>
          <w:rFonts w:ascii="宋体" w:hAnsi="宋体" w:cs="宋体" w:eastAsia="宋体" w:hint="default"/>
        </w:rPr>
        <w:t>110,000,000.00</w:t>
      </w:r>
      <w:r>
        <w:rPr/>
        <w:t>元，期末公允价值较初始投资成本减少</w:t>
      </w:r>
      <w:r>
        <w:rPr>
          <w:rFonts w:ascii="宋体" w:hAnsi="宋体" w:cs="宋体" w:eastAsia="宋体" w:hint="default"/>
        </w:rPr>
        <w:t>110,000,000.00</w:t>
      </w:r>
      <w:r>
        <w:rPr>
          <w:rFonts w:ascii="宋体" w:hAnsi="宋体" w:cs="宋体" w:eastAsia="宋体" w:hint="default"/>
          <w:spacing w:val="-38"/>
        </w:rPr>
        <w:t> </w:t>
      </w:r>
      <w:r>
        <w:rPr>
          <w:spacing w:val="-6"/>
        </w:rPr>
        <w:t>元，期末公允价</w:t>
      </w:r>
      <w:r>
        <w:rPr/>
        <w:t> 值为</w:t>
      </w:r>
      <w:r>
        <w:rPr>
          <w:rFonts w:ascii="宋体" w:hAnsi="宋体" w:cs="宋体" w:eastAsia="宋体" w:hint="default"/>
        </w:rPr>
        <w:t>0</w:t>
      </w:r>
      <w:r>
        <w:rPr/>
        <w:t>元。</w:t>
      </w:r>
    </w:p>
    <w:p>
      <w:pPr>
        <w:pStyle w:val="BodyText"/>
        <w:spacing w:line="350" w:lineRule="auto" w:before="34"/>
        <w:ind w:right="1131" w:firstLine="480"/>
        <w:jc w:val="right"/>
      </w:pPr>
      <w:r>
        <w:rPr/>
        <w:t>辉煌科技对北京智慧图科技有限责任公司（以下简称智慧图）的股权投资的初始成本为 </w:t>
      </w:r>
      <w:r>
        <w:rPr>
          <w:rFonts w:ascii="宋体" w:hAnsi="宋体" w:cs="宋体" w:eastAsia="宋体" w:hint="default"/>
        </w:rPr>
        <w:t>20,000,000.00</w:t>
      </w:r>
      <w:r>
        <w:rPr>
          <w:rFonts w:ascii="宋体" w:hAnsi="宋体" w:cs="宋体" w:eastAsia="宋体" w:hint="default"/>
          <w:spacing w:val="-96"/>
        </w:rPr>
        <w:t> </w:t>
      </w:r>
      <w:r>
        <w:rPr>
          <w:spacing w:val="11"/>
        </w:rPr>
        <w:t>元，</w:t>
      </w:r>
      <w:r>
        <w:rPr>
          <w:spacing w:val="-97"/>
        </w:rPr>
        <w:t> </w:t>
      </w:r>
      <w:r>
        <w:rPr>
          <w:spacing w:val="21"/>
        </w:rPr>
        <w:t>期末公允价值较初始投资成本增加</w:t>
      </w:r>
      <w:r>
        <w:rPr>
          <w:spacing w:val="-92"/>
        </w:rPr>
        <w:t> </w:t>
      </w:r>
      <w:r>
        <w:rPr>
          <w:rFonts w:ascii="宋体" w:hAnsi="宋体" w:cs="宋体" w:eastAsia="宋体" w:hint="default"/>
        </w:rPr>
        <w:t>234,100.00</w:t>
      </w:r>
      <w:r>
        <w:rPr>
          <w:rFonts w:ascii="宋体" w:hAnsi="宋体" w:cs="宋体" w:eastAsia="宋体" w:hint="default"/>
          <w:spacing w:val="-96"/>
        </w:rPr>
        <w:t> </w:t>
      </w:r>
      <w:r>
        <w:rPr>
          <w:spacing w:val="21"/>
        </w:rPr>
        <w:t>元，期末公允价值为</w:t>
      </w:r>
    </w:p>
    <w:p>
      <w:pPr>
        <w:pStyle w:val="BodyText"/>
        <w:spacing w:line="240" w:lineRule="auto" w:before="36"/>
        <w:ind w:right="996"/>
        <w:jc w:val="left"/>
      </w:pPr>
      <w:r>
        <w:rPr>
          <w:rFonts w:ascii="宋体" w:hAnsi="宋体" w:cs="宋体" w:eastAsia="宋体" w:hint="default"/>
        </w:rPr>
        <w:t>20,234,100.00</w:t>
      </w:r>
      <w:r>
        <w:rPr/>
        <w:t>元。</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19、其他非流动金融资产" w:id="281"/>
      <w:bookmarkEnd w:id="281"/>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r>
    </w:tbl>
    <w:p>
      <w:pPr>
        <w:spacing w:line="240" w:lineRule="auto" w:before="9"/>
        <w:rPr>
          <w:rFonts w:ascii="宋体" w:hAnsi="宋体" w:cs="宋体" w:eastAsia="宋体" w:hint="default"/>
          <w:sz w:val="4"/>
          <w:szCs w:val="4"/>
        </w:rPr>
      </w:pPr>
    </w:p>
    <w:p>
      <w:pPr>
        <w:pStyle w:val="BodyText"/>
        <w:spacing w:line="350" w:lineRule="auto" w:before="26"/>
        <w:ind w:left="633" w:right="996"/>
        <w:jc w:val="left"/>
      </w:pPr>
      <w:r>
        <w:rPr/>
        <w:t>其他非流动金融资产的说明： 公司根据管理金融资产的业务模式，本期将对深圳丰图辉煌基金管理中心</w:t>
      </w:r>
      <w:r>
        <w:rPr>
          <w:rFonts w:ascii="宋体" w:hAnsi="宋体" w:cs="宋体" w:eastAsia="宋体" w:hint="default"/>
        </w:rPr>
        <w:t>(</w:t>
      </w:r>
      <w:r>
        <w:rPr/>
        <w:t>有限合伙</w:t>
      </w:r>
      <w:r>
        <w:rPr>
          <w:rFonts w:ascii="宋体" w:hAnsi="宋体" w:cs="宋体" w:eastAsia="宋体" w:hint="default"/>
        </w:rPr>
        <w:t>)</w:t>
      </w:r>
      <w:r>
        <w:rPr/>
        <w:t>的</w:t>
      </w:r>
    </w:p>
    <w:p>
      <w:pPr>
        <w:pStyle w:val="BodyText"/>
        <w:spacing w:line="352" w:lineRule="auto" w:before="36"/>
        <w:ind w:right="996"/>
        <w:jc w:val="left"/>
      </w:pPr>
      <w:r>
        <w:rPr/>
        <w:t>投资分类为以公允价值计量且其变动计入当期损益的金融资产，并根据其流动性放在其他非</w:t>
      </w:r>
      <w:r>
        <w:rPr>
          <w:spacing w:val="-91"/>
        </w:rPr>
        <w:t> </w:t>
      </w:r>
      <w:r>
        <w:rPr>
          <w:spacing w:val="-91"/>
        </w:rPr>
      </w:r>
      <w:r>
        <w:rPr/>
        <w:t>流动金融资产科目核算。</w:t>
      </w:r>
    </w:p>
    <w:p>
      <w:pPr>
        <w:pStyle w:val="BodyText"/>
        <w:spacing w:line="240" w:lineRule="auto" w:before="31"/>
        <w:ind w:left="633" w:right="996"/>
        <w:jc w:val="left"/>
      </w:pPr>
      <w:r>
        <w:rPr/>
        <w:t>期末公司参考外部评估专家的评估结果，并最终确定期末公允价值为</w:t>
      </w:r>
      <w:r>
        <w:rPr>
          <w:rFonts w:ascii="宋体" w:hAnsi="宋体" w:cs="宋体" w:eastAsia="宋体" w:hint="default"/>
        </w:rPr>
        <w:t>17.31</w:t>
      </w:r>
      <w:r>
        <w:rPr/>
        <w:t>万元。</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0、投资性房地产" w:id="282"/>
      <w:bookmarkEnd w:id="28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1、固定资产" w:id="283"/>
      <w:bookmarkEnd w:id="28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170,999,160.77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99,753,841.47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170,999,160.77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99,753,841.47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1）固定资产情况"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112,107,968.39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91,901,161.28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11,627,126.26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9,745,993.62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225,382,249.55</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15,489,097.01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71,003,368.62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930,010.00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560,911.68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87,983,387.31</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216,654.60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930,010.00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560,911.68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1,707,576.28</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）在建工</w:t>
            </w:r>
            <w:r>
              <w:rPr>
                <w:rFonts w:ascii="宋体" w:hAnsi="宋体" w:cs="宋体" w:eastAsia="宋体" w:hint="default"/>
                <w:w w:val="100"/>
                <w:sz w:val="21"/>
                <w:szCs w:val="21"/>
              </w:rPr>
              <w:t> </w:t>
            </w:r>
            <w:r>
              <w:rPr>
                <w:rFonts w:ascii="宋体" w:hAnsi="宋体" w:cs="宋体" w:eastAsia="宋体" w:hint="default"/>
                <w:sz w:val="21"/>
                <w:szCs w:val="21"/>
              </w:rPr>
              <w:t>程转入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15,489,097.01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70,786,714.02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86,275,811.03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659,700.00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2,227,330.09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2,911,080.09</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659,700.00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2,227,330.09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2,911,080.09</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127,597,065.40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162,244,829.90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10,329,806.17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10,282,855.30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310,454,556.77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21,647,328.18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87,602,363.67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9,965,126.62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6,413,589.61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125,628,408.08</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4,001,792.54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9,924,934.61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1,115,135.06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1,303,451.05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16,345,313.26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7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4,001,792.54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9,924,934.61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274,286.70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1,303,451.05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15,504,464.90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522,483.84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1,972,994.00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22,847.50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2,518,325.34</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firstLine="40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522,483.84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1,132,145.64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22,847.50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1,677,476.98</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25,649,120.72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97,004,814.44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9,107,267.68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7,694,193.16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139,455,396.00</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8" w:firstLine="192"/>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48"/>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95"/>
              <w:jc w:val="right"/>
              <w:rPr>
                <w:rFonts w:ascii="宋体" w:hAnsi="宋体" w:cs="宋体" w:eastAsia="宋体" w:hint="default"/>
                <w:sz w:val="21"/>
                <w:szCs w:val="21"/>
              </w:rPr>
            </w:pPr>
            <w:r>
              <w:rPr>
                <w:rFonts w:ascii="宋体" w:hAnsi="宋体" w:cs="宋体" w:eastAsia="宋体" w:hint="default"/>
                <w:spacing w:val="-1"/>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101,947,944.68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65,240,015.46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1,222,538.49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2,588,662.14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170,999,160.77</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90,460,640.21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4,298,797.61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1,661,999.64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3,332,404.01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99,753,841.47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暂时闲置的固定资产情况"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通过融资租赁租入的固定资产情况" w:id="286"/>
      <w:bookmarkEnd w:id="2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5"/>
          <w:szCs w:val="15"/>
        </w:rPr>
      </w:pPr>
    </w:p>
    <w:p>
      <w:pPr>
        <w:spacing w:before="0"/>
        <w:ind w:left="513"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4）通过经营租赁租出的固定资产"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未办妥产权证书的固定资产情况"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9"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3" w:right="0"/>
              <w:jc w:val="left"/>
              <w:rPr>
                <w:rFonts w:ascii="Times New Roman" w:hAnsi="Times New Roman" w:cs="Times New Roman" w:eastAsia="Times New Roman" w:hint="default"/>
                <w:sz w:val="21"/>
                <w:szCs w:val="21"/>
              </w:rPr>
            </w:pPr>
            <w:r>
              <w:rPr>
                <w:rFonts w:ascii="Times New Roman"/>
                <w:sz w:val="21"/>
              </w:rPr>
              <w:t>14,814,675.90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办理中</w:t>
            </w:r>
          </w:p>
        </w:tc>
      </w:tr>
    </w:tbl>
    <w:p>
      <w:pPr>
        <w:spacing w:line="240" w:lineRule="auto" w:before="9"/>
        <w:rPr>
          <w:rFonts w:ascii="宋体" w:hAnsi="宋体" w:cs="宋体" w:eastAsia="宋体" w:hint="default"/>
          <w:sz w:val="4"/>
          <w:szCs w:val="4"/>
        </w:rPr>
      </w:pPr>
    </w:p>
    <w:p>
      <w:pPr>
        <w:pStyle w:val="BodyText"/>
        <w:spacing w:line="350" w:lineRule="auto" w:before="26"/>
        <w:ind w:right="996" w:firstLine="480"/>
        <w:jc w:val="left"/>
      </w:pPr>
      <w:r>
        <w:rPr/>
        <w:t>其他说明：①期末无暂时闲置的固定资产。②期末无通过融资租赁租入的固定资产。③ 通过无经营租赁租出的固定资产。</w:t>
      </w:r>
    </w:p>
    <w:p>
      <w:pPr>
        <w:spacing w:line="240" w:lineRule="auto" w:before="1"/>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22、在建工程" w:id="289"/>
      <w:bookmarkEnd w:id="289"/>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205,424,781.26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196,734,387.43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205,424,781.26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196,734,387.43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1）在建工程情况"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新厂区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114,255,132.21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 w:right="0"/>
              <w:jc w:val="center"/>
              <w:rPr>
                <w:rFonts w:ascii="Times New Roman" w:hAnsi="Times New Roman" w:cs="Times New Roman" w:eastAsia="Times New Roman" w:hint="default"/>
                <w:sz w:val="21"/>
                <w:szCs w:val="21"/>
              </w:rPr>
            </w:pPr>
            <w:r>
              <w:rPr>
                <w:rFonts w:ascii="Times New Roman"/>
                <w:sz w:val="21"/>
              </w:rPr>
              <w:t>114,255,132.21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49,676,122.13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49,676,122.13</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both"/>
              <w:rPr>
                <w:rFonts w:ascii="宋体" w:hAnsi="宋体" w:cs="宋体" w:eastAsia="宋体" w:hint="default"/>
                <w:sz w:val="21"/>
                <w:szCs w:val="21"/>
              </w:rPr>
            </w:pPr>
            <w:r>
              <w:rPr>
                <w:rFonts w:ascii="宋体" w:hAnsi="宋体" w:cs="宋体" w:eastAsia="宋体" w:hint="default"/>
                <w:sz w:val="21"/>
                <w:szCs w:val="21"/>
              </w:rPr>
              <w:t>轨道交通信息</w:t>
            </w:r>
            <w:r>
              <w:rPr>
                <w:rFonts w:ascii="宋体" w:hAnsi="宋体" w:cs="宋体" w:eastAsia="宋体" w:hint="default"/>
                <w:w w:val="100"/>
                <w:sz w:val="21"/>
                <w:szCs w:val="21"/>
              </w:rPr>
              <w:t> </w:t>
            </w:r>
            <w:r>
              <w:rPr>
                <w:rFonts w:ascii="宋体" w:hAnsi="宋体" w:cs="宋体" w:eastAsia="宋体" w:hint="default"/>
                <w:sz w:val="21"/>
                <w:szCs w:val="21"/>
              </w:rPr>
              <w:t>集成与网络化</w:t>
            </w:r>
            <w:r>
              <w:rPr>
                <w:rFonts w:ascii="宋体" w:hAnsi="宋体" w:cs="宋体" w:eastAsia="宋体" w:hint="default"/>
                <w:w w:val="100"/>
                <w:sz w:val="21"/>
                <w:szCs w:val="21"/>
              </w:rPr>
              <w:t> </w:t>
            </w:r>
            <w:r>
              <w:rPr>
                <w:rFonts w:ascii="宋体" w:hAnsi="宋体" w:cs="宋体" w:eastAsia="宋体" w:hint="default"/>
                <w:sz w:val="21"/>
                <w:szCs w:val="21"/>
              </w:rPr>
              <w:t>运营调度指挥</w:t>
            </w:r>
            <w:r>
              <w:rPr>
                <w:rFonts w:ascii="宋体" w:hAnsi="宋体" w:cs="宋体" w:eastAsia="宋体" w:hint="default"/>
                <w:w w:val="100"/>
                <w:sz w:val="21"/>
                <w:szCs w:val="21"/>
              </w:rPr>
              <w:t> </w:t>
            </w:r>
            <w:r>
              <w:rPr>
                <w:rFonts w:ascii="宋体" w:hAnsi="宋体" w:cs="宋体" w:eastAsia="宋体" w:hint="default"/>
                <w:sz w:val="21"/>
                <w:szCs w:val="21"/>
              </w:rPr>
              <w:t>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3,067,539.94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3,067,539.94</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城轨自动化监</w:t>
            </w:r>
            <w:r>
              <w:rPr>
                <w:rFonts w:ascii="宋体" w:hAnsi="宋体" w:cs="宋体" w:eastAsia="宋体" w:hint="default"/>
                <w:w w:val="100"/>
                <w:sz w:val="21"/>
                <w:szCs w:val="21"/>
              </w:rPr>
              <w:t> </w:t>
            </w:r>
            <w:r>
              <w:rPr>
                <w:rFonts w:ascii="宋体" w:hAnsi="宋体" w:cs="宋体" w:eastAsia="宋体" w:hint="default"/>
                <w:sz w:val="21"/>
                <w:szCs w:val="21"/>
              </w:rPr>
              <w:t>控平台系统关</w:t>
            </w:r>
            <w:r>
              <w:rPr>
                <w:rFonts w:ascii="宋体" w:hAnsi="宋体" w:cs="宋体" w:eastAsia="宋体" w:hint="default"/>
                <w:w w:val="100"/>
                <w:sz w:val="21"/>
                <w:szCs w:val="21"/>
              </w:rPr>
              <w:t> </w:t>
            </w:r>
            <w:r>
              <w:rPr>
                <w:rFonts w:ascii="宋体" w:hAnsi="宋体" w:cs="宋体" w:eastAsia="宋体" w:hint="default"/>
                <w:sz w:val="21"/>
                <w:szCs w:val="21"/>
              </w:rPr>
              <w:t>键技术研究与</w:t>
            </w:r>
            <w:r>
              <w:rPr>
                <w:rFonts w:ascii="宋体" w:hAnsi="宋体" w:cs="宋体" w:eastAsia="宋体" w:hint="default"/>
                <w:w w:val="100"/>
                <w:sz w:val="21"/>
                <w:szCs w:val="21"/>
              </w:rPr>
              <w:t> </w:t>
            </w:r>
            <w:r>
              <w:rPr>
                <w:rFonts w:ascii="宋体" w:hAnsi="宋体" w:cs="宋体" w:eastAsia="宋体" w:hint="default"/>
                <w:sz w:val="21"/>
                <w:szCs w:val="21"/>
              </w:rPr>
              <w:t>应用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10,664,628.60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10,664,628.60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8,081,630.53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8,081,630.53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4" w:right="70"/>
              <w:jc w:val="left"/>
              <w:rPr>
                <w:rFonts w:ascii="宋体" w:hAnsi="宋体" w:cs="宋体" w:eastAsia="宋体" w:hint="default"/>
                <w:sz w:val="21"/>
                <w:szCs w:val="21"/>
              </w:rPr>
            </w:pPr>
            <w:r>
              <w:rPr>
                <w:rFonts w:ascii="宋体" w:hAnsi="宋体" w:cs="宋体" w:eastAsia="宋体" w:hint="default"/>
                <w:sz w:val="21"/>
                <w:szCs w:val="21"/>
              </w:rPr>
              <w:t>铁路综合视频</w:t>
            </w:r>
            <w:r>
              <w:rPr>
                <w:rFonts w:ascii="宋体" w:hAnsi="宋体" w:cs="宋体" w:eastAsia="宋体" w:hint="default"/>
                <w:w w:val="100"/>
                <w:sz w:val="21"/>
                <w:szCs w:val="21"/>
              </w:rPr>
              <w:t> </w:t>
            </w:r>
            <w:r>
              <w:rPr>
                <w:rFonts w:ascii="宋体" w:hAnsi="宋体" w:cs="宋体" w:eastAsia="宋体" w:hint="default"/>
                <w:sz w:val="21"/>
                <w:szCs w:val="21"/>
              </w:rPr>
              <w:t>监控系统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39,349,112.59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39,349,112.59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10,441,807.36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10,441,807.36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1"/>
              <w:jc w:val="left"/>
              <w:rPr>
                <w:rFonts w:ascii="宋体" w:hAnsi="宋体" w:cs="宋体" w:eastAsia="宋体" w:hint="default"/>
                <w:sz w:val="21"/>
                <w:szCs w:val="21"/>
              </w:rPr>
            </w:pPr>
            <w:r>
              <w:rPr>
                <w:rFonts w:ascii="宋体" w:hAnsi="宋体" w:cs="宋体" w:eastAsia="宋体" w:hint="default"/>
                <w:sz w:val="21"/>
                <w:szCs w:val="21"/>
              </w:rPr>
              <w:t>轨道交通运营</w:t>
            </w:r>
            <w:r>
              <w:rPr>
                <w:rFonts w:ascii="宋体" w:hAnsi="宋体" w:cs="宋体" w:eastAsia="宋体" w:hint="default"/>
                <w:w w:val="100"/>
                <w:sz w:val="21"/>
                <w:szCs w:val="21"/>
              </w:rPr>
              <w:t> </w:t>
            </w:r>
            <w:r>
              <w:rPr>
                <w:rFonts w:ascii="宋体" w:hAnsi="宋体" w:cs="宋体" w:eastAsia="宋体" w:hint="default"/>
                <w:sz w:val="21"/>
                <w:szCs w:val="21"/>
              </w:rPr>
              <w:t>安全服务系统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41,155,907.86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41,155,907.86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110,235,441.35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110,235,441.35</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both"/>
              <w:rPr>
                <w:rFonts w:ascii="宋体" w:hAnsi="宋体" w:cs="宋体" w:eastAsia="宋体" w:hint="default"/>
                <w:sz w:val="21"/>
                <w:szCs w:val="21"/>
              </w:rPr>
            </w:pPr>
            <w:r>
              <w:rPr>
                <w:rFonts w:ascii="宋体" w:hAnsi="宋体" w:cs="宋体" w:eastAsia="宋体" w:hint="default"/>
                <w:sz w:val="21"/>
                <w:szCs w:val="21"/>
              </w:rPr>
              <w:t>成都新一驱动</w:t>
            </w:r>
            <w:r>
              <w:rPr>
                <w:rFonts w:ascii="宋体" w:hAnsi="宋体" w:cs="宋体" w:eastAsia="宋体" w:hint="default"/>
                <w:w w:val="100"/>
                <w:sz w:val="21"/>
                <w:szCs w:val="21"/>
              </w:rPr>
              <w:t> </w:t>
            </w:r>
            <w:r>
              <w:rPr>
                <w:rFonts w:ascii="宋体" w:hAnsi="宋体" w:cs="宋体" w:eastAsia="宋体" w:hint="default"/>
                <w:sz w:val="21"/>
                <w:szCs w:val="21"/>
              </w:rPr>
              <w:t>科技有限责任</w:t>
            </w:r>
            <w:r>
              <w:rPr>
                <w:rFonts w:ascii="宋体" w:hAnsi="宋体" w:cs="宋体" w:eastAsia="宋体" w:hint="default"/>
                <w:w w:val="100"/>
                <w:sz w:val="21"/>
                <w:szCs w:val="21"/>
              </w:rPr>
              <w:t> </w:t>
            </w:r>
            <w:r>
              <w:rPr>
                <w:rFonts w:ascii="宋体" w:hAnsi="宋体" w:cs="宋体" w:eastAsia="宋体" w:hint="default"/>
                <w:sz w:val="21"/>
                <w:szCs w:val="21"/>
              </w:rPr>
              <w:t>公司新建厂房</w:t>
            </w:r>
            <w:r>
              <w:rPr>
                <w:rFonts w:ascii="宋体" w:hAnsi="宋体" w:cs="宋体" w:eastAsia="宋体" w:hint="default"/>
                <w:w w:val="100"/>
                <w:sz w:val="21"/>
                <w:szCs w:val="21"/>
              </w:rPr>
              <w:t> </w:t>
            </w:r>
            <w:r>
              <w:rPr>
                <w:rFonts w:ascii="宋体" w:hAnsi="宋体" w:cs="宋体" w:eastAsia="宋体" w:hint="default"/>
                <w:sz w:val="21"/>
                <w:szCs w:val="21"/>
              </w:rPr>
              <w:t>项目工程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15,231,846.12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15,231,846.12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205,424,781.2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205,424,781.2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196,734,387.4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196,734,387.4</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重要在建工程项目本期变动情况"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7" w:right="41" w:hanging="212"/>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 w:right="44"/>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center"/>
              <w:rPr>
                <w:rFonts w:ascii="宋体" w:hAnsi="宋体" w:cs="宋体" w:eastAsia="宋体" w:hint="default"/>
                <w:sz w:val="21"/>
                <w:szCs w:val="21"/>
              </w:rPr>
            </w:pPr>
            <w:r>
              <w:rPr>
                <w:rFonts w:ascii="宋体" w:hAnsi="宋体" w:cs="宋体" w:eastAsia="宋体" w:hint="default"/>
                <w:sz w:val="21"/>
                <w:szCs w:val="21"/>
              </w:rPr>
              <w:t>本期转</w:t>
            </w:r>
            <w:r>
              <w:rPr>
                <w:rFonts w:ascii="宋体" w:hAnsi="宋体" w:cs="宋体" w:eastAsia="宋体" w:hint="default"/>
                <w:w w:val="100"/>
                <w:sz w:val="21"/>
                <w:szCs w:val="21"/>
              </w:rPr>
              <w:t> </w:t>
            </w:r>
            <w:r>
              <w:rPr>
                <w:rFonts w:ascii="宋体" w:hAnsi="宋体" w:cs="宋体" w:eastAsia="宋体" w:hint="default"/>
                <w:sz w:val="21"/>
                <w:szCs w:val="21"/>
              </w:rPr>
              <w:t>入固定</w:t>
            </w:r>
            <w:r>
              <w:rPr>
                <w:rFonts w:ascii="宋体" w:hAnsi="宋体" w:cs="宋体" w:eastAsia="宋体" w:hint="default"/>
                <w:w w:val="100"/>
                <w:sz w:val="21"/>
                <w:szCs w:val="21"/>
              </w:rPr>
              <w:t> </w:t>
            </w:r>
            <w:r>
              <w:rPr>
                <w:rFonts w:ascii="宋体" w:hAnsi="宋体" w:cs="宋体" w:eastAsia="宋体" w:hint="default"/>
                <w:sz w:val="21"/>
                <w:szCs w:val="21"/>
              </w:rPr>
              <w:t>资产金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1"/>
              <w:jc w:val="both"/>
              <w:rPr>
                <w:rFonts w:ascii="宋体" w:hAnsi="宋体" w:cs="宋体" w:eastAsia="宋体" w:hint="default"/>
                <w:sz w:val="21"/>
                <w:szCs w:val="21"/>
              </w:rPr>
            </w:pPr>
            <w:r>
              <w:rPr>
                <w:rFonts w:ascii="宋体" w:hAnsi="宋体" w:cs="宋体" w:eastAsia="宋体" w:hint="default"/>
                <w:sz w:val="21"/>
                <w:szCs w:val="21"/>
              </w:rPr>
              <w:t>本期其</w:t>
            </w:r>
            <w:r>
              <w:rPr>
                <w:rFonts w:ascii="宋体" w:hAnsi="宋体" w:cs="宋体" w:eastAsia="宋体" w:hint="default"/>
                <w:spacing w:val="-102"/>
                <w:sz w:val="21"/>
                <w:szCs w:val="21"/>
              </w:rPr>
              <w:t> </w:t>
            </w:r>
            <w:r>
              <w:rPr>
                <w:rFonts w:ascii="宋体" w:hAnsi="宋体" w:cs="宋体" w:eastAsia="宋体" w:hint="default"/>
                <w:sz w:val="21"/>
                <w:szCs w:val="21"/>
              </w:rPr>
              <w:t>他减少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3"/>
              <w:jc w:val="both"/>
              <w:rPr>
                <w:rFonts w:ascii="宋体" w:hAnsi="宋体" w:cs="宋体" w:eastAsia="宋体" w:hint="default"/>
                <w:sz w:val="21"/>
                <w:szCs w:val="21"/>
              </w:rPr>
            </w:pPr>
            <w:r>
              <w:rPr>
                <w:rFonts w:ascii="宋体" w:hAnsi="宋体" w:cs="宋体" w:eastAsia="宋体" w:hint="default"/>
                <w:sz w:val="21"/>
                <w:szCs w:val="21"/>
              </w:rPr>
              <w:t>工程累</w:t>
            </w:r>
            <w:r>
              <w:rPr>
                <w:rFonts w:ascii="宋体" w:hAnsi="宋体" w:cs="宋体" w:eastAsia="宋体" w:hint="default"/>
                <w:spacing w:val="-102"/>
                <w:sz w:val="21"/>
                <w:szCs w:val="21"/>
              </w:rPr>
              <w:t> </w:t>
            </w:r>
            <w:r>
              <w:rPr>
                <w:rFonts w:ascii="宋体" w:hAnsi="宋体" w:cs="宋体" w:eastAsia="宋体" w:hint="default"/>
                <w:sz w:val="21"/>
                <w:szCs w:val="21"/>
              </w:rPr>
              <w:t>计投入</w:t>
            </w:r>
            <w:r>
              <w:rPr>
                <w:rFonts w:ascii="宋体" w:hAnsi="宋体" w:cs="宋体" w:eastAsia="宋体" w:hint="default"/>
                <w:spacing w:val="-102"/>
                <w:sz w:val="21"/>
                <w:szCs w:val="21"/>
              </w:rPr>
              <w:t> </w:t>
            </w:r>
            <w:r>
              <w:rPr>
                <w:rFonts w:ascii="宋体" w:hAnsi="宋体" w:cs="宋体" w:eastAsia="宋体" w:hint="default"/>
                <w:sz w:val="21"/>
                <w:szCs w:val="21"/>
              </w:rPr>
              <w:t>占预算</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 w:right="43"/>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4"/>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1"/>
              <w:jc w:val="both"/>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新厂区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49,676,</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122.13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64,579,</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010.08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114,255</w:t>
            </w:r>
          </w:p>
          <w:p>
            <w:pPr>
              <w:pStyle w:val="TableParagraph"/>
              <w:spacing w:line="240" w:lineRule="auto" w:before="68"/>
              <w:ind w:left="71" w:right="0"/>
              <w:jc w:val="left"/>
              <w:rPr>
                <w:rFonts w:ascii="Times New Roman" w:hAnsi="Times New Roman" w:cs="Times New Roman" w:eastAsia="Times New Roman" w:hint="default"/>
                <w:sz w:val="21"/>
                <w:szCs w:val="21"/>
              </w:rPr>
            </w:pPr>
            <w:r>
              <w:rPr>
                <w:rFonts w:ascii="Times New Roman"/>
                <w:sz w:val="21"/>
              </w:rPr>
              <w:t>,132.21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30.73%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30.73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67"/>
              <w:jc w:val="left"/>
              <w:rPr>
                <w:rFonts w:ascii="宋体" w:hAnsi="宋体" w:cs="宋体" w:eastAsia="宋体" w:hint="default"/>
                <w:sz w:val="21"/>
                <w:szCs w:val="21"/>
              </w:rPr>
            </w:pPr>
            <w:r>
              <w:rPr>
                <w:rFonts w:ascii="宋体" w:hAnsi="宋体" w:cs="宋体" w:eastAsia="宋体" w:hint="default"/>
                <w:sz w:val="21"/>
                <w:szCs w:val="21"/>
              </w:rPr>
              <w:t>募股资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63"/>
              <w:jc w:val="both"/>
              <w:rPr>
                <w:rFonts w:ascii="宋体" w:hAnsi="宋体" w:cs="宋体" w:eastAsia="宋体" w:hint="default"/>
                <w:sz w:val="21"/>
                <w:szCs w:val="21"/>
              </w:rPr>
            </w:pPr>
            <w:r>
              <w:rPr>
                <w:rFonts w:ascii="宋体" w:hAnsi="宋体" w:cs="宋体" w:eastAsia="宋体" w:hint="default"/>
                <w:sz w:val="21"/>
                <w:szCs w:val="21"/>
              </w:rPr>
              <w:t>轨道交</w:t>
            </w:r>
            <w:r>
              <w:rPr>
                <w:rFonts w:ascii="宋体" w:hAnsi="宋体" w:cs="宋体" w:eastAsia="宋体" w:hint="default"/>
                <w:spacing w:val="-102"/>
                <w:sz w:val="21"/>
                <w:szCs w:val="21"/>
              </w:rPr>
              <w:t> </w:t>
            </w:r>
            <w:r>
              <w:rPr>
                <w:rFonts w:ascii="宋体" w:hAnsi="宋体" w:cs="宋体" w:eastAsia="宋体" w:hint="default"/>
                <w:sz w:val="21"/>
                <w:szCs w:val="21"/>
              </w:rPr>
              <w:t>通信息</w:t>
            </w:r>
            <w:r>
              <w:rPr>
                <w:rFonts w:ascii="宋体" w:hAnsi="宋体" w:cs="宋体" w:eastAsia="宋体" w:hint="default"/>
                <w:spacing w:val="-102"/>
                <w:sz w:val="21"/>
                <w:szCs w:val="21"/>
              </w:rPr>
              <w:t> </w:t>
            </w:r>
            <w:r>
              <w:rPr>
                <w:rFonts w:ascii="宋体" w:hAnsi="宋体" w:cs="宋体" w:eastAsia="宋体" w:hint="default"/>
                <w:sz w:val="21"/>
                <w:szCs w:val="21"/>
              </w:rPr>
              <w:t>集成与</w:t>
            </w:r>
            <w:r>
              <w:rPr>
                <w:rFonts w:ascii="宋体" w:hAnsi="宋体" w:cs="宋体" w:eastAsia="宋体" w:hint="default"/>
                <w:spacing w:val="-102"/>
                <w:sz w:val="21"/>
                <w:szCs w:val="21"/>
              </w:rPr>
              <w:t> </w:t>
            </w:r>
            <w:r>
              <w:rPr>
                <w:rFonts w:ascii="宋体" w:hAnsi="宋体" w:cs="宋体" w:eastAsia="宋体" w:hint="default"/>
                <w:sz w:val="21"/>
                <w:szCs w:val="21"/>
              </w:rPr>
              <w:t>网络化</w:t>
            </w:r>
            <w:r>
              <w:rPr>
                <w:rFonts w:ascii="宋体" w:hAnsi="宋体" w:cs="宋体" w:eastAsia="宋体" w:hint="default"/>
                <w:spacing w:val="-102"/>
                <w:sz w:val="21"/>
                <w:szCs w:val="21"/>
              </w:rPr>
              <w:t> </w:t>
            </w:r>
            <w:r>
              <w:rPr>
                <w:rFonts w:ascii="宋体" w:hAnsi="宋体" w:cs="宋体" w:eastAsia="宋体" w:hint="default"/>
                <w:sz w:val="21"/>
                <w:szCs w:val="21"/>
              </w:rPr>
              <w:t>运营调</w:t>
            </w:r>
            <w:r>
              <w:rPr>
                <w:rFonts w:ascii="宋体" w:hAnsi="宋体" w:cs="宋体" w:eastAsia="宋体" w:hint="default"/>
                <w:spacing w:val="-102"/>
                <w:sz w:val="21"/>
                <w:szCs w:val="21"/>
              </w:rPr>
              <w:t> </w:t>
            </w:r>
            <w:r>
              <w:rPr>
                <w:rFonts w:ascii="宋体" w:hAnsi="宋体" w:cs="宋体" w:eastAsia="宋体" w:hint="default"/>
                <w:sz w:val="21"/>
                <w:szCs w:val="21"/>
              </w:rPr>
              <w:t>度指挥</w:t>
            </w:r>
            <w:r>
              <w:rPr>
                <w:rFonts w:ascii="宋体" w:hAnsi="宋体" w:cs="宋体" w:eastAsia="宋体" w:hint="default"/>
                <w:spacing w:val="-102"/>
                <w:sz w:val="21"/>
                <w:szCs w:val="21"/>
              </w:rPr>
              <w:t> </w:t>
            </w:r>
            <w:r>
              <w:rPr>
                <w:rFonts w:ascii="宋体" w:hAnsi="宋体" w:cs="宋体" w:eastAsia="宋体" w:hint="default"/>
                <w:sz w:val="21"/>
                <w:szCs w:val="21"/>
              </w:rPr>
              <w:t>系统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31,000,</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3,067,5</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39.94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3,067,5</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39.94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9.90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3"/>
              <w:jc w:val="both"/>
              <w:rPr>
                <w:rFonts w:ascii="宋体" w:hAnsi="宋体" w:cs="宋体" w:eastAsia="宋体" w:hint="default"/>
                <w:sz w:val="21"/>
                <w:szCs w:val="21"/>
              </w:rPr>
            </w:pPr>
            <w:r>
              <w:rPr>
                <w:rFonts w:ascii="宋体" w:hAnsi="宋体" w:cs="宋体" w:eastAsia="宋体" w:hint="default"/>
                <w:sz w:val="21"/>
                <w:szCs w:val="21"/>
              </w:rPr>
              <w:t>城轨自</w:t>
            </w:r>
            <w:r>
              <w:rPr>
                <w:rFonts w:ascii="宋体" w:hAnsi="宋体" w:cs="宋体" w:eastAsia="宋体" w:hint="default"/>
                <w:spacing w:val="-102"/>
                <w:sz w:val="21"/>
                <w:szCs w:val="21"/>
              </w:rPr>
              <w:t> </w:t>
            </w:r>
            <w:r>
              <w:rPr>
                <w:rFonts w:ascii="宋体" w:hAnsi="宋体" w:cs="宋体" w:eastAsia="宋体" w:hint="default"/>
                <w:sz w:val="21"/>
                <w:szCs w:val="21"/>
              </w:rPr>
              <w:t>动化监</w:t>
            </w:r>
            <w:r>
              <w:rPr>
                <w:rFonts w:ascii="宋体" w:hAnsi="宋体" w:cs="宋体" w:eastAsia="宋体" w:hint="default"/>
                <w:spacing w:val="-102"/>
                <w:sz w:val="21"/>
                <w:szCs w:val="21"/>
              </w:rPr>
              <w:t> </w:t>
            </w:r>
            <w:r>
              <w:rPr>
                <w:rFonts w:ascii="宋体" w:hAnsi="宋体" w:cs="宋体" w:eastAsia="宋体" w:hint="default"/>
                <w:sz w:val="21"/>
                <w:szCs w:val="21"/>
              </w:rPr>
              <w:t>控平台</w:t>
            </w:r>
            <w:r>
              <w:rPr>
                <w:rFonts w:ascii="宋体" w:hAnsi="宋体" w:cs="宋体" w:eastAsia="宋体" w:hint="default"/>
                <w:spacing w:val="-102"/>
                <w:sz w:val="21"/>
                <w:szCs w:val="21"/>
              </w:rPr>
              <w:t> </w:t>
            </w:r>
            <w:r>
              <w:rPr>
                <w:rFonts w:ascii="宋体" w:hAnsi="宋体" w:cs="宋体" w:eastAsia="宋体" w:hint="default"/>
                <w:sz w:val="21"/>
                <w:szCs w:val="21"/>
              </w:rPr>
              <w:t>系统关</w:t>
            </w:r>
            <w:r>
              <w:rPr>
                <w:rFonts w:ascii="宋体" w:hAnsi="宋体" w:cs="宋体" w:eastAsia="宋体" w:hint="default"/>
                <w:spacing w:val="-102"/>
                <w:sz w:val="21"/>
                <w:szCs w:val="21"/>
              </w:rPr>
              <w:t> </w:t>
            </w:r>
            <w:r>
              <w:rPr>
                <w:rFonts w:ascii="宋体" w:hAnsi="宋体" w:cs="宋体" w:eastAsia="宋体" w:hint="default"/>
                <w:sz w:val="21"/>
                <w:szCs w:val="21"/>
              </w:rPr>
              <w:t>键技术</w:t>
            </w:r>
            <w:r>
              <w:rPr>
                <w:rFonts w:ascii="宋体" w:hAnsi="宋体" w:cs="宋体" w:eastAsia="宋体" w:hint="default"/>
                <w:spacing w:val="-102"/>
                <w:sz w:val="21"/>
                <w:szCs w:val="21"/>
              </w:rPr>
              <w:t> </w:t>
            </w:r>
            <w:r>
              <w:rPr>
                <w:rFonts w:ascii="宋体" w:hAnsi="宋体" w:cs="宋体" w:eastAsia="宋体" w:hint="default"/>
                <w:sz w:val="21"/>
                <w:szCs w:val="21"/>
              </w:rPr>
              <w:t>研究与</w:t>
            </w:r>
            <w:r>
              <w:rPr>
                <w:rFonts w:ascii="宋体" w:hAnsi="宋体" w:cs="宋体" w:eastAsia="宋体" w:hint="default"/>
                <w:spacing w:val="-102"/>
                <w:sz w:val="21"/>
                <w:szCs w:val="21"/>
              </w:rPr>
              <w:t> </w:t>
            </w:r>
            <w:r>
              <w:rPr>
                <w:rFonts w:ascii="宋体" w:hAnsi="宋体" w:cs="宋体" w:eastAsia="宋体" w:hint="default"/>
                <w:sz w:val="21"/>
                <w:szCs w:val="21"/>
              </w:rPr>
              <w:t>应用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30,960,</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8,081,6</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30.53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2,582,9</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98.07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10,664,</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628.60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 w:right="0"/>
              <w:jc w:val="center"/>
              <w:rPr>
                <w:rFonts w:ascii="Times New Roman" w:hAnsi="Times New Roman" w:cs="Times New Roman" w:eastAsia="Times New Roman" w:hint="default"/>
                <w:sz w:val="21"/>
                <w:szCs w:val="21"/>
              </w:rPr>
            </w:pPr>
            <w:r>
              <w:rPr>
                <w:rFonts w:ascii="Times New Roman"/>
                <w:sz w:val="21"/>
              </w:rPr>
              <w:t>34.45%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34.45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7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3"/>
              <w:jc w:val="both"/>
              <w:rPr>
                <w:rFonts w:ascii="宋体" w:hAnsi="宋体" w:cs="宋体" w:eastAsia="宋体" w:hint="default"/>
                <w:sz w:val="21"/>
                <w:szCs w:val="21"/>
              </w:rPr>
            </w:pPr>
            <w:r>
              <w:rPr>
                <w:rFonts w:ascii="宋体" w:hAnsi="宋体" w:cs="宋体" w:eastAsia="宋体" w:hint="default"/>
                <w:sz w:val="21"/>
                <w:szCs w:val="21"/>
              </w:rPr>
              <w:t>铁路综</w:t>
            </w:r>
            <w:r>
              <w:rPr>
                <w:rFonts w:ascii="宋体" w:hAnsi="宋体" w:cs="宋体" w:eastAsia="宋体" w:hint="default"/>
                <w:spacing w:val="-102"/>
                <w:sz w:val="21"/>
                <w:szCs w:val="21"/>
              </w:rPr>
              <w:t> </w:t>
            </w:r>
            <w:r>
              <w:rPr>
                <w:rFonts w:ascii="宋体" w:hAnsi="宋体" w:cs="宋体" w:eastAsia="宋体" w:hint="default"/>
                <w:sz w:val="21"/>
                <w:szCs w:val="21"/>
              </w:rPr>
              <w:t>合视频</w:t>
            </w:r>
            <w:r>
              <w:rPr>
                <w:rFonts w:ascii="宋体" w:hAnsi="宋体" w:cs="宋体" w:eastAsia="宋体" w:hint="default"/>
                <w:spacing w:val="-102"/>
                <w:sz w:val="21"/>
                <w:szCs w:val="21"/>
              </w:rPr>
              <w:t> </w:t>
            </w:r>
            <w:r>
              <w:rPr>
                <w:rFonts w:ascii="宋体" w:hAnsi="宋体" w:cs="宋体" w:eastAsia="宋体" w:hint="default"/>
                <w:sz w:val="21"/>
                <w:szCs w:val="21"/>
              </w:rPr>
              <w:t>监控系</w:t>
            </w:r>
            <w:r>
              <w:rPr>
                <w:rFonts w:ascii="宋体" w:hAnsi="宋体" w:cs="宋体" w:eastAsia="宋体" w:hint="default"/>
                <w:spacing w:val="-102"/>
                <w:sz w:val="21"/>
                <w:szCs w:val="21"/>
              </w:rPr>
              <w:t> </w:t>
            </w:r>
            <w:r>
              <w:rPr>
                <w:rFonts w:ascii="宋体" w:hAnsi="宋体" w:cs="宋体" w:eastAsia="宋体" w:hint="default"/>
                <w:sz w:val="21"/>
                <w:szCs w:val="21"/>
              </w:rPr>
              <w:t>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138,95</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z w:val="21"/>
              </w:rPr>
              <w:t>5,000.0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10,441,</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807.36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28,907,</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305.23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39,349,</w:t>
            </w:r>
          </w:p>
          <w:p>
            <w:pPr>
              <w:pStyle w:val="TableParagraph"/>
              <w:spacing w:line="240" w:lineRule="auto" w:before="68"/>
              <w:ind w:left="134" w:right="0"/>
              <w:jc w:val="left"/>
              <w:rPr>
                <w:rFonts w:ascii="Times New Roman" w:hAnsi="Times New Roman" w:cs="Times New Roman" w:eastAsia="Times New Roman" w:hint="default"/>
                <w:sz w:val="21"/>
                <w:szCs w:val="21"/>
              </w:rPr>
            </w:pPr>
            <w:r>
              <w:rPr>
                <w:rFonts w:ascii="Times New Roman"/>
                <w:sz w:val="21"/>
              </w:rPr>
              <w:t>112.59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 w:right="0"/>
              <w:jc w:val="center"/>
              <w:rPr>
                <w:rFonts w:ascii="Times New Roman" w:hAnsi="Times New Roman" w:cs="Times New Roman" w:eastAsia="Times New Roman" w:hint="default"/>
                <w:sz w:val="21"/>
                <w:szCs w:val="21"/>
              </w:rPr>
            </w:pPr>
            <w:r>
              <w:rPr>
                <w:rFonts w:ascii="Times New Roman"/>
                <w:sz w:val="21"/>
              </w:rPr>
              <w:t>28.32%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28.32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4" w:right="67"/>
              <w:jc w:val="left"/>
              <w:rPr>
                <w:rFonts w:ascii="宋体" w:hAnsi="宋体" w:cs="宋体" w:eastAsia="宋体" w:hint="default"/>
                <w:sz w:val="21"/>
                <w:szCs w:val="21"/>
              </w:rPr>
            </w:pPr>
            <w:r>
              <w:rPr>
                <w:rFonts w:ascii="宋体" w:hAnsi="宋体" w:cs="宋体" w:eastAsia="宋体" w:hint="default"/>
                <w:sz w:val="21"/>
                <w:szCs w:val="21"/>
              </w:rPr>
              <w:t>募股资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3"/>
              <w:jc w:val="both"/>
              <w:rPr>
                <w:rFonts w:ascii="宋体" w:hAnsi="宋体" w:cs="宋体" w:eastAsia="宋体" w:hint="default"/>
                <w:sz w:val="21"/>
                <w:szCs w:val="21"/>
              </w:rPr>
            </w:pPr>
            <w:r>
              <w:rPr>
                <w:rFonts w:ascii="宋体" w:hAnsi="宋体" w:cs="宋体" w:eastAsia="宋体" w:hint="default"/>
                <w:sz w:val="21"/>
                <w:szCs w:val="21"/>
              </w:rPr>
              <w:t>轨道交</w:t>
            </w:r>
            <w:r>
              <w:rPr>
                <w:rFonts w:ascii="宋体" w:hAnsi="宋体" w:cs="宋体" w:eastAsia="宋体" w:hint="default"/>
                <w:spacing w:val="-102"/>
                <w:sz w:val="21"/>
                <w:szCs w:val="21"/>
              </w:rPr>
              <w:t> </w:t>
            </w:r>
            <w:r>
              <w:rPr>
                <w:rFonts w:ascii="宋体" w:hAnsi="宋体" w:cs="宋体" w:eastAsia="宋体" w:hint="default"/>
                <w:sz w:val="21"/>
                <w:szCs w:val="21"/>
              </w:rPr>
              <w:t>通运营</w:t>
            </w:r>
            <w:r>
              <w:rPr>
                <w:rFonts w:ascii="宋体" w:hAnsi="宋体" w:cs="宋体" w:eastAsia="宋体" w:hint="default"/>
                <w:spacing w:val="-102"/>
                <w:sz w:val="21"/>
                <w:szCs w:val="21"/>
              </w:rPr>
              <w:t> </w:t>
            </w:r>
            <w:r>
              <w:rPr>
                <w:rFonts w:ascii="宋体" w:hAnsi="宋体" w:cs="宋体" w:eastAsia="宋体" w:hint="default"/>
                <w:sz w:val="21"/>
                <w:szCs w:val="21"/>
              </w:rPr>
              <w:t>安全服</w:t>
            </w:r>
            <w:r>
              <w:rPr>
                <w:rFonts w:ascii="宋体" w:hAnsi="宋体" w:cs="宋体" w:eastAsia="宋体" w:hint="default"/>
                <w:spacing w:val="-102"/>
                <w:sz w:val="21"/>
                <w:szCs w:val="21"/>
              </w:rPr>
              <w:t> </w:t>
            </w:r>
            <w:r>
              <w:rPr>
                <w:rFonts w:ascii="宋体" w:hAnsi="宋体" w:cs="宋体" w:eastAsia="宋体" w:hint="default"/>
                <w:sz w:val="21"/>
                <w:szCs w:val="21"/>
              </w:rPr>
              <w:t>务系统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240,34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110,235</w:t>
            </w:r>
          </w:p>
          <w:p>
            <w:pPr>
              <w:pStyle w:val="TableParagraph"/>
              <w:spacing w:line="240" w:lineRule="auto" w:before="70"/>
              <w:ind w:left="71" w:right="0"/>
              <w:jc w:val="left"/>
              <w:rPr>
                <w:rFonts w:ascii="Times New Roman" w:hAnsi="Times New Roman" w:cs="Times New Roman" w:eastAsia="Times New Roman" w:hint="default"/>
                <w:sz w:val="21"/>
                <w:szCs w:val="21"/>
              </w:rPr>
            </w:pPr>
            <w:r>
              <w:rPr>
                <w:rFonts w:ascii="Times New Roman"/>
                <w:sz w:val="21"/>
              </w:rPr>
              <w:t>,441.35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9" w:right="0"/>
              <w:jc w:val="center"/>
              <w:rPr>
                <w:rFonts w:ascii="Times New Roman" w:hAnsi="Times New Roman" w:cs="Times New Roman" w:eastAsia="Times New Roman" w:hint="default"/>
                <w:sz w:val="21"/>
                <w:szCs w:val="21"/>
              </w:rPr>
            </w:pPr>
            <w:r>
              <w:rPr>
                <w:rFonts w:ascii="Times New Roman"/>
                <w:sz w:val="21"/>
              </w:rPr>
              <w:t>1,707,1</w:t>
            </w:r>
          </w:p>
          <w:p>
            <w:pPr>
              <w:pStyle w:val="TableParagraph"/>
              <w:spacing w:line="240" w:lineRule="auto" w:before="70"/>
              <w:ind w:left="208" w:right="0"/>
              <w:jc w:val="center"/>
              <w:rPr>
                <w:rFonts w:ascii="Times New Roman" w:hAnsi="Times New Roman" w:cs="Times New Roman" w:eastAsia="Times New Roman" w:hint="default"/>
                <w:sz w:val="21"/>
                <w:szCs w:val="21"/>
              </w:rPr>
            </w:pPr>
            <w:r>
              <w:rPr>
                <w:rFonts w:ascii="Times New Roman"/>
                <w:sz w:val="21"/>
              </w:rPr>
              <w:t>80.53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70,786,</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714.02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41,155,</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907.86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 w:right="0"/>
              <w:jc w:val="center"/>
              <w:rPr>
                <w:rFonts w:ascii="Times New Roman" w:hAnsi="Times New Roman" w:cs="Times New Roman" w:eastAsia="Times New Roman" w:hint="default"/>
                <w:sz w:val="21"/>
                <w:szCs w:val="21"/>
              </w:rPr>
            </w:pPr>
            <w:r>
              <w:rPr>
                <w:rFonts w:ascii="Times New Roman"/>
                <w:sz w:val="21"/>
              </w:rPr>
              <w:t>46.58%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46.58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24" w:right="67"/>
              <w:jc w:val="left"/>
              <w:rPr>
                <w:rFonts w:ascii="宋体" w:hAnsi="宋体" w:cs="宋体" w:eastAsia="宋体" w:hint="default"/>
                <w:sz w:val="21"/>
                <w:szCs w:val="21"/>
              </w:rPr>
            </w:pPr>
            <w:r>
              <w:rPr>
                <w:rFonts w:ascii="宋体" w:hAnsi="宋体" w:cs="宋体" w:eastAsia="宋体" w:hint="default"/>
                <w:sz w:val="21"/>
                <w:szCs w:val="21"/>
              </w:rPr>
              <w:t>募股资</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258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3"/>
              <w:jc w:val="both"/>
              <w:rPr>
                <w:rFonts w:ascii="宋体" w:hAnsi="宋体" w:cs="宋体" w:eastAsia="宋体" w:hint="default"/>
                <w:sz w:val="21"/>
                <w:szCs w:val="21"/>
              </w:rPr>
            </w:pPr>
            <w:r>
              <w:rPr>
                <w:rFonts w:ascii="宋体" w:hAnsi="宋体" w:cs="宋体" w:eastAsia="宋体" w:hint="default"/>
                <w:sz w:val="21"/>
                <w:szCs w:val="21"/>
              </w:rPr>
              <w:t>成都新</w:t>
            </w:r>
            <w:r>
              <w:rPr>
                <w:rFonts w:ascii="宋体" w:hAnsi="宋体" w:cs="宋体" w:eastAsia="宋体" w:hint="default"/>
                <w:spacing w:val="-102"/>
                <w:sz w:val="21"/>
                <w:szCs w:val="21"/>
              </w:rPr>
              <w:t> </w:t>
            </w:r>
            <w:r>
              <w:rPr>
                <w:rFonts w:ascii="宋体" w:hAnsi="宋体" w:cs="宋体" w:eastAsia="宋体" w:hint="default"/>
                <w:sz w:val="21"/>
                <w:szCs w:val="21"/>
              </w:rPr>
              <w:t>一驱动</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限责任</w:t>
            </w:r>
            <w:r>
              <w:rPr>
                <w:rFonts w:ascii="宋体" w:hAnsi="宋体" w:cs="宋体" w:eastAsia="宋体" w:hint="default"/>
                <w:spacing w:val="-102"/>
                <w:sz w:val="21"/>
                <w:szCs w:val="21"/>
              </w:rPr>
              <w:t> </w:t>
            </w:r>
            <w:r>
              <w:rPr>
                <w:rFonts w:ascii="宋体" w:hAnsi="宋体" w:cs="宋体" w:eastAsia="宋体" w:hint="default"/>
                <w:sz w:val="21"/>
                <w:szCs w:val="21"/>
              </w:rPr>
              <w:t>公司新</w:t>
            </w:r>
            <w:r>
              <w:rPr>
                <w:rFonts w:ascii="宋体" w:hAnsi="宋体" w:cs="宋体" w:eastAsia="宋体" w:hint="default"/>
                <w:spacing w:val="-102"/>
                <w:sz w:val="21"/>
                <w:szCs w:val="21"/>
              </w:rPr>
              <w:t> </w:t>
            </w:r>
            <w:r>
              <w:rPr>
                <w:rFonts w:ascii="宋体" w:hAnsi="宋体" w:cs="宋体" w:eastAsia="宋体" w:hint="default"/>
                <w:sz w:val="21"/>
                <w:szCs w:val="21"/>
              </w:rPr>
              <w:t>建厂房</w:t>
            </w:r>
            <w:r>
              <w:rPr>
                <w:rFonts w:ascii="宋体" w:hAnsi="宋体" w:cs="宋体" w:eastAsia="宋体" w:hint="default"/>
                <w:spacing w:val="-102"/>
                <w:sz w:val="21"/>
                <w:szCs w:val="21"/>
              </w:rPr>
              <w:t> </w:t>
            </w:r>
            <w:r>
              <w:rPr>
                <w:rFonts w:ascii="宋体" w:hAnsi="宋体" w:cs="宋体" w:eastAsia="宋体" w:hint="default"/>
                <w:sz w:val="21"/>
                <w:szCs w:val="21"/>
              </w:rPr>
              <w:t>项目工</w:t>
            </w:r>
            <w:r>
              <w:rPr>
                <w:rFonts w:ascii="宋体" w:hAnsi="宋体" w:cs="宋体" w:eastAsia="宋体" w:hint="default"/>
                <w:spacing w:val="-102"/>
                <w:sz w:val="21"/>
                <w:szCs w:val="21"/>
              </w:rPr>
              <w:t> </w:t>
            </w:r>
            <w:r>
              <w:rPr>
                <w:rFonts w:ascii="宋体" w:hAnsi="宋体" w:cs="宋体" w:eastAsia="宋体" w:hint="default"/>
                <w:sz w:val="21"/>
                <w:szCs w:val="21"/>
              </w:rPr>
              <w:t>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22,000,</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15,231,</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846.12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257,25</w:t>
            </w:r>
          </w:p>
          <w:p>
            <w:pPr>
              <w:pStyle w:val="TableParagraph"/>
              <w:spacing w:line="240" w:lineRule="auto" w:before="68"/>
              <w:ind w:left="336" w:right="0"/>
              <w:jc w:val="left"/>
              <w:rPr>
                <w:rFonts w:ascii="Times New Roman" w:hAnsi="Times New Roman" w:cs="Times New Roman" w:eastAsia="Times New Roman" w:hint="default"/>
                <w:sz w:val="21"/>
                <w:szCs w:val="21"/>
              </w:rPr>
            </w:pPr>
            <w:r>
              <w:rPr>
                <w:rFonts w:ascii="Times New Roman"/>
                <w:sz w:val="21"/>
              </w:rPr>
              <w:t>0.89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15,489,</w:t>
            </w:r>
          </w:p>
          <w:p>
            <w:pPr>
              <w:pStyle w:val="TableParagraph"/>
              <w:spacing w:line="240" w:lineRule="auto" w:before="68"/>
              <w:ind w:left="124" w:right="0"/>
              <w:jc w:val="left"/>
              <w:rPr>
                <w:rFonts w:ascii="Times New Roman" w:hAnsi="Times New Roman" w:cs="Times New Roman" w:eastAsia="Times New Roman" w:hint="default"/>
                <w:sz w:val="21"/>
                <w:szCs w:val="21"/>
              </w:rPr>
            </w:pPr>
            <w:r>
              <w:rPr>
                <w:rFonts w:ascii="Times New Roman"/>
                <w:sz w:val="21"/>
              </w:rPr>
              <w:t>097.01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4" w:right="0"/>
              <w:jc w:val="center"/>
              <w:rPr>
                <w:rFonts w:ascii="Times New Roman" w:hAnsi="Times New Roman" w:cs="Times New Roman" w:eastAsia="Times New Roman" w:hint="default"/>
                <w:sz w:val="21"/>
                <w:szCs w:val="21"/>
              </w:rPr>
            </w:pPr>
            <w:r>
              <w:rPr>
                <w:rFonts w:ascii="Times New Roman"/>
                <w:sz w:val="21"/>
              </w:rPr>
              <w:t>70.40%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70.40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963,25</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7,000.0</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196,73</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4,387.4</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98,033,</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744.80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21"/>
                <w:szCs w:val="21"/>
              </w:rPr>
            </w:pPr>
            <w:r>
              <w:rPr>
                <w:rFonts w:ascii="Times New Roman"/>
                <w:sz w:val="21"/>
              </w:rPr>
              <w:t>86,275,</w:t>
            </w:r>
          </w:p>
          <w:p>
            <w:pPr>
              <w:pStyle w:val="TableParagraph"/>
              <w:spacing w:line="240" w:lineRule="auto" w:before="70"/>
              <w:ind w:left="134" w:right="0"/>
              <w:jc w:val="left"/>
              <w:rPr>
                <w:rFonts w:ascii="Times New Roman" w:hAnsi="Times New Roman" w:cs="Times New Roman" w:eastAsia="Times New Roman" w:hint="default"/>
                <w:sz w:val="21"/>
                <w:szCs w:val="21"/>
              </w:rPr>
            </w:pPr>
            <w:r>
              <w:rPr>
                <w:rFonts w:ascii="Times New Roman"/>
                <w:sz w:val="21"/>
              </w:rPr>
              <w:t>811.03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3,067,5</w:t>
            </w:r>
          </w:p>
          <w:p>
            <w:pPr>
              <w:pStyle w:val="TableParagraph"/>
              <w:spacing w:line="240" w:lineRule="auto" w:before="70"/>
              <w:ind w:left="211" w:right="0"/>
              <w:jc w:val="center"/>
              <w:rPr>
                <w:rFonts w:ascii="Times New Roman" w:hAnsi="Times New Roman" w:cs="Times New Roman" w:eastAsia="Times New Roman" w:hint="default"/>
                <w:sz w:val="21"/>
                <w:szCs w:val="21"/>
              </w:rPr>
            </w:pPr>
            <w:r>
              <w:rPr>
                <w:rFonts w:ascii="Times New Roman"/>
                <w:sz w:val="21"/>
              </w:rPr>
              <w:t>39.94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205,42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4,781.2</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6</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9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本期计提在建工程减值准备情况"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0" w:right="9245" w:firstLine="0"/>
        <w:jc w:val="center"/>
        <w:rPr>
          <w:rFonts w:ascii="宋体" w:hAnsi="宋体" w:cs="宋体" w:eastAsia="宋体" w:hint="default"/>
          <w:sz w:val="21"/>
          <w:szCs w:val="21"/>
        </w:rPr>
      </w:pPr>
      <w:bookmarkStart w:name="（4）工程物资"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3"/>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3、生产性生物资产" w:id="294"/>
      <w:bookmarkEnd w:id="294"/>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after="0" w:line="240" w:lineRule="auto"/>
        <w:jc w:val="cente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24、油气资产" w:id="295"/>
      <w:bookmarkEnd w:id="295"/>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5、使用权资产" w:id="296"/>
      <w:bookmarkEnd w:id="296"/>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6、无形资产" w:id="297"/>
      <w:bookmarkEnd w:id="297"/>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无形资产情况"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56,427,577.83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2,017,185.49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4,450,596.05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64,495,359.37</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182,412.83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182,412.83</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182,412.83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182,412.83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6"/>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）企业合并增</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w:t>
            </w:r>
          </w:p>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56,427,577.83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2,017,185.49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4,633,008.88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64,677,772.20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7,113,414.89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100,859.28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4,340,048.10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13,154,322.27</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1,155,425.76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403,437.12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89,410.26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1,648,273.14</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1,155,425.76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403,437.12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1,648,273.14</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p>
          <w:p>
            <w:pPr>
              <w:pStyle w:val="TableParagraph"/>
              <w:spacing w:line="240" w:lineRule="auto" w:before="21"/>
              <w:ind w:left="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8,268,840.65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504,296.40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4,429,458.36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14,802,595.41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3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48,158,737.18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1,512,889.09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203,550.52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49,875,176.79</w:t>
            </w: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w:t>
            </w:r>
          </w:p>
          <w:p>
            <w:pPr>
              <w:pStyle w:val="TableParagraph"/>
              <w:spacing w:line="240" w:lineRule="auto" w:before="19"/>
              <w:ind w:left="2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49,314,162.94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1,916,326.21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110,547.95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51,341,037.10</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本期末通过公司内部研发形成的无形资产占无形资产余额的比例</w:t>
      </w:r>
      <w:r>
        <w:rPr>
          <w:rFonts w:ascii="宋体" w:hAnsi="宋体" w:cs="宋体" w:eastAsia="宋体" w:hint="default"/>
        </w:rPr>
        <w:t>0.00%</w:t>
      </w:r>
      <w:r>
        <w:rPr/>
        <w:t>。</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未办妥产权证书的土地使用权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其他说明：</w:t>
      </w:r>
    </w:p>
    <w:p>
      <w:pPr>
        <w:pStyle w:val="BodyText"/>
        <w:spacing w:line="240" w:lineRule="auto" w:before="146"/>
        <w:ind w:left="633" w:right="996"/>
        <w:jc w:val="left"/>
      </w:pPr>
      <w:r>
        <w:rPr/>
        <w:t>①本年摊销额为</w:t>
      </w:r>
      <w:r>
        <w:rPr>
          <w:spacing w:val="-1"/>
        </w:rPr>
        <w:t> </w:t>
      </w:r>
      <w:r>
        <w:rPr>
          <w:rFonts w:ascii="宋体" w:hAnsi="宋体" w:cs="宋体" w:eastAsia="宋体" w:hint="default"/>
        </w:rPr>
        <w:t>1,648,273.14</w:t>
      </w:r>
      <w:r>
        <w:rPr/>
        <w:t>元；期末无形资产不存在抵押情况。</w:t>
      </w:r>
    </w:p>
    <w:p>
      <w:pPr>
        <w:pStyle w:val="BodyText"/>
        <w:spacing w:line="240" w:lineRule="auto" w:before="146"/>
        <w:ind w:left="633" w:right="996"/>
        <w:jc w:val="left"/>
      </w:pPr>
      <w:r>
        <w:rPr/>
        <w:t>②期末无形资产可收回金额高于账面价值，不需计提减值准备。</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7、开发支出" w:id="300"/>
      <w:bookmarkEnd w:id="30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8、商誉" w:id="301"/>
      <w:bookmarkEnd w:id="30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商誉账面原值"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2582"/>
        <w:gridCol w:w="2330"/>
        <w:gridCol w:w="1784"/>
        <w:gridCol w:w="1196"/>
        <w:gridCol w:w="1699"/>
      </w:tblGrid>
      <w:tr>
        <w:trPr>
          <w:trHeight w:val="206" w:hRule="exact"/>
        </w:trPr>
        <w:tc>
          <w:tcPr>
            <w:tcW w:w="258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970" w:right="23" w:hanging="94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的事项</w:t>
            </w:r>
          </w:p>
        </w:tc>
        <w:tc>
          <w:tcPr>
            <w:tcW w:w="2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6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582" w:type="dxa"/>
            <w:vMerge/>
            <w:tcBorders>
              <w:left w:val="single" w:sz="4" w:space="0" w:color="000000"/>
              <w:right w:val="single" w:sz="4" w:space="0" w:color="000000"/>
            </w:tcBorders>
            <w:shd w:val="clear" w:color="auto" w:fill="D2D2D2"/>
          </w:tcPr>
          <w:p>
            <w:pPr/>
          </w:p>
        </w:tc>
        <w:tc>
          <w:tcPr>
            <w:tcW w:w="23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4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6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7" w:hRule="exact"/>
        </w:trPr>
        <w:tc>
          <w:tcPr>
            <w:tcW w:w="2582" w:type="dxa"/>
            <w:vMerge/>
            <w:tcBorders>
              <w:left w:val="single" w:sz="4" w:space="0" w:color="000000"/>
              <w:right w:val="single" w:sz="4" w:space="0" w:color="000000"/>
            </w:tcBorders>
            <w:shd w:val="clear" w:color="auto" w:fill="D2D2D2"/>
          </w:tcPr>
          <w:p>
            <w:pPr/>
          </w:p>
        </w:tc>
        <w:tc>
          <w:tcPr>
            <w:tcW w:w="2330" w:type="dxa"/>
            <w:vMerge/>
            <w:tcBorders>
              <w:left w:val="single" w:sz="4" w:space="0" w:color="000000"/>
              <w:bottom w:val="nil" w:sz="6" w:space="0" w:color="auto"/>
              <w:right w:val="single" w:sz="4" w:space="0" w:color="000000"/>
            </w:tcBorders>
            <w:shd w:val="clear" w:color="auto" w:fill="D2D2D2"/>
          </w:tcPr>
          <w:p>
            <w:pPr/>
          </w:p>
        </w:tc>
        <w:tc>
          <w:tcPr>
            <w:tcW w:w="17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51"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8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69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582" w:type="dxa"/>
            <w:vMerge/>
            <w:tcBorders>
              <w:left w:val="single" w:sz="4" w:space="0" w:color="000000"/>
              <w:bottom w:val="single" w:sz="4" w:space="0" w:color="000000"/>
              <w:right w:val="single" w:sz="4" w:space="0" w:color="000000"/>
            </w:tcBorders>
            <w:shd w:val="clear" w:color="auto" w:fill="D2D2D2"/>
          </w:tcPr>
          <w:p>
            <w:pPr/>
          </w:p>
        </w:tc>
        <w:tc>
          <w:tcPr>
            <w:tcW w:w="2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6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
              <w:jc w:val="center"/>
              <w:rPr>
                <w:rFonts w:ascii="宋体" w:hAnsi="宋体" w:cs="宋体" w:eastAsia="宋体" w:hint="default"/>
                <w:sz w:val="21"/>
                <w:szCs w:val="21"/>
              </w:rPr>
            </w:pPr>
            <w:r>
              <w:rPr>
                <w:rFonts w:ascii="宋体" w:hAnsi="宋体" w:cs="宋体" w:eastAsia="宋体" w:hint="default"/>
                <w:spacing w:val="-2"/>
                <w:sz w:val="21"/>
                <w:szCs w:val="21"/>
              </w:rPr>
              <w:t>北京国铁路阳技术有限公司</w:t>
            </w:r>
          </w:p>
        </w:tc>
        <w:tc>
          <w:tcPr>
            <w:tcW w:w="23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107,863,014.60</w:t>
            </w:r>
          </w:p>
        </w:tc>
        <w:tc>
          <w:tcPr>
            <w:tcW w:w="17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107,863,014.60</w:t>
            </w:r>
          </w:p>
        </w:tc>
      </w:tr>
      <w:tr>
        <w:trPr>
          <w:trHeight w:val="71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5"/>
              <w:jc w:val="left"/>
              <w:rPr>
                <w:rFonts w:ascii="宋体" w:hAnsi="宋体" w:cs="宋体" w:eastAsia="宋体" w:hint="default"/>
                <w:sz w:val="21"/>
                <w:szCs w:val="21"/>
              </w:rPr>
            </w:pPr>
            <w:r>
              <w:rPr>
                <w:rFonts w:ascii="宋体" w:hAnsi="宋体" w:cs="宋体" w:eastAsia="宋体" w:hint="default"/>
                <w:spacing w:val="-2"/>
                <w:sz w:val="21"/>
                <w:szCs w:val="21"/>
              </w:rPr>
              <w:t>成都西南交大驱动技术有限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责任公司</w:t>
            </w:r>
          </w:p>
        </w:tc>
        <w:tc>
          <w:tcPr>
            <w:tcW w:w="23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34,141,326.36</w:t>
            </w:r>
          </w:p>
        </w:tc>
        <w:tc>
          <w:tcPr>
            <w:tcW w:w="17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34,141,326.36</w:t>
            </w:r>
          </w:p>
        </w:tc>
      </w:tr>
      <w:tr>
        <w:trPr>
          <w:trHeight w:val="403"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142,004,340.96</w:t>
            </w:r>
          </w:p>
        </w:tc>
        <w:tc>
          <w:tcPr>
            <w:tcW w:w="17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142,004,340.96</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2）商誉减值准备"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75"/>
        <w:gridCol w:w="1558"/>
        <w:gridCol w:w="1560"/>
        <w:gridCol w:w="1136"/>
        <w:gridCol w:w="1630"/>
      </w:tblGrid>
      <w:tr>
        <w:trPr>
          <w:trHeight w:val="206" w:hRule="exact"/>
        </w:trPr>
        <w:tc>
          <w:tcPr>
            <w:tcW w:w="3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97" w:hRule="exact"/>
        </w:trPr>
        <w:tc>
          <w:tcPr>
            <w:tcW w:w="36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2" w:right="0"/>
              <w:jc w:val="left"/>
              <w:rPr>
                <w:rFonts w:ascii="宋体" w:hAnsi="宋体" w:cs="宋体" w:eastAsia="宋体" w:hint="default"/>
                <w:sz w:val="21"/>
                <w:szCs w:val="21"/>
              </w:rPr>
            </w:pPr>
            <w:r>
              <w:rPr>
                <w:rFonts w:ascii="宋体" w:hAnsi="宋体" w:cs="宋体" w:eastAsia="宋体" w:hint="default"/>
                <w:sz w:val="21"/>
                <w:szCs w:val="21"/>
              </w:rPr>
              <w:t>被投资单位名称或形成商誉的事项</w:t>
            </w: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194" w:hRule="exact"/>
        </w:trPr>
        <w:tc>
          <w:tcPr>
            <w:tcW w:w="3675" w:type="dxa"/>
            <w:vMerge/>
            <w:tcBorders>
              <w:left w:val="single" w:sz="4" w:space="0" w:color="000000"/>
              <w:bottom w:val="nil" w:sz="6" w:space="0" w:color="auto"/>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5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630" w:type="dxa"/>
            <w:vMerge/>
            <w:tcBorders>
              <w:left w:val="single" w:sz="4" w:space="0" w:color="000000"/>
              <w:right w:val="single" w:sz="4" w:space="0" w:color="000000"/>
            </w:tcBorders>
            <w:shd w:val="clear" w:color="auto" w:fill="D2D2D2"/>
          </w:tcPr>
          <w:p>
            <w:pPr/>
          </w:p>
        </w:tc>
      </w:tr>
      <w:tr>
        <w:trPr>
          <w:trHeight w:val="206" w:hRule="exact"/>
        </w:trPr>
        <w:tc>
          <w:tcPr>
            <w:tcW w:w="3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北京国铁路阳技术有限公司</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107,863,014.60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107,863,014.60</w:t>
            </w:r>
          </w:p>
        </w:tc>
      </w:tr>
      <w:tr>
        <w:trPr>
          <w:trHeight w:val="401"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24,903,540.41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9,237,785.95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34,141,326.36</w:t>
            </w:r>
          </w:p>
        </w:tc>
      </w:tr>
      <w:tr>
        <w:trPr>
          <w:trHeight w:val="403" w:hRule="exact"/>
        </w:trPr>
        <w:tc>
          <w:tcPr>
            <w:tcW w:w="3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132,766,555.01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9,237,785.95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142,004,340.96</w:t>
            </w:r>
          </w:p>
        </w:tc>
      </w:tr>
    </w:tbl>
    <w:p>
      <w:pPr>
        <w:spacing w:line="240" w:lineRule="auto" w:before="9"/>
        <w:rPr>
          <w:rFonts w:ascii="宋体" w:hAnsi="宋体" w:cs="宋体" w:eastAsia="宋体" w:hint="default"/>
          <w:sz w:val="4"/>
          <w:szCs w:val="4"/>
        </w:rPr>
      </w:pPr>
    </w:p>
    <w:p>
      <w:pPr>
        <w:pStyle w:val="BodyText"/>
        <w:spacing w:line="352" w:lineRule="auto" w:before="26"/>
        <w:ind w:left="633" w:right="5953"/>
        <w:jc w:val="left"/>
      </w:pPr>
      <w:r>
        <w:rPr/>
        <w:t>商誉所在资产组或资产组组合的相关信息 商誉减值测试</w:t>
      </w:r>
    </w:p>
    <w:p>
      <w:pPr>
        <w:pStyle w:val="BodyText"/>
        <w:spacing w:line="352" w:lineRule="auto" w:before="32"/>
        <w:ind w:left="633" w:right="996"/>
        <w:jc w:val="left"/>
      </w:pPr>
      <w:r>
        <w:rPr/>
        <w:t>①北京国铁路阳技术有限公司 公司于</w:t>
      </w:r>
      <w:r>
        <w:rPr>
          <w:rFonts w:ascii="宋体" w:hAnsi="宋体" w:cs="宋体" w:eastAsia="宋体" w:hint="default"/>
        </w:rPr>
        <w:t>2011</w:t>
      </w:r>
      <w:r>
        <w:rPr/>
        <w:t>年非同一控制下企业合并国铁路阳，在合并日，公司将购买股权支付的合并</w:t>
      </w:r>
    </w:p>
    <w:p>
      <w:pPr>
        <w:pStyle w:val="BodyText"/>
        <w:spacing w:line="350" w:lineRule="auto" w:before="34"/>
        <w:ind w:right="1131"/>
        <w:jc w:val="both"/>
      </w:pPr>
      <w:r>
        <w:rPr>
          <w:spacing w:val="2"/>
        </w:rPr>
        <w:t>成本</w:t>
      </w:r>
      <w:r>
        <w:rPr>
          <w:rFonts w:ascii="宋体" w:hAnsi="宋体" w:cs="宋体" w:eastAsia="宋体" w:hint="default"/>
          <w:spacing w:val="2"/>
        </w:rPr>
        <w:t>145,036,533.98</w:t>
      </w:r>
      <w:r>
        <w:rPr>
          <w:spacing w:val="2"/>
        </w:rPr>
        <w:t>元与应享有国铁路阳可辨认净资产公允价值份额</w:t>
      </w:r>
      <w:r>
        <w:rPr>
          <w:rFonts w:ascii="宋体" w:hAnsi="宋体" w:cs="宋体" w:eastAsia="宋体" w:hint="default"/>
          <w:spacing w:val="2"/>
        </w:rPr>
        <w:t>37,173,519.38</w:t>
      </w:r>
      <w:r>
        <w:rPr>
          <w:spacing w:val="2"/>
        </w:rPr>
        <w:t>元之间</w:t>
      </w:r>
      <w:r>
        <w:rPr>
          <w:spacing w:val="-86"/>
        </w:rPr>
        <w:t> </w:t>
      </w:r>
      <w:r>
        <w:rPr>
          <w:spacing w:val="-86"/>
        </w:rPr>
      </w:r>
      <w:r>
        <w:rPr/>
        <w:t>的差额</w:t>
      </w:r>
      <w:r>
        <w:rPr>
          <w:rFonts w:ascii="宋体" w:hAnsi="宋体" w:cs="宋体" w:eastAsia="宋体" w:hint="default"/>
        </w:rPr>
        <w:t>107,863,014.60</w:t>
      </w:r>
      <w:r>
        <w:rPr/>
        <w:t>元确认为商誉。该商誉已在以前年度全额计提减值准备。</w:t>
      </w:r>
    </w:p>
    <w:p>
      <w:pPr>
        <w:pStyle w:val="BodyText"/>
        <w:spacing w:line="352" w:lineRule="auto" w:before="36"/>
        <w:ind w:left="633" w:right="5953"/>
        <w:jc w:val="left"/>
      </w:pPr>
      <w:r>
        <w:rPr/>
        <w:t>②成都西南交大驱动技术有限责任公司 商誉所在资产组或资产组组合的相关信息</w:t>
      </w:r>
    </w:p>
    <w:p>
      <w:pPr>
        <w:pStyle w:val="BodyText"/>
        <w:spacing w:line="352" w:lineRule="auto" w:before="31"/>
        <w:ind w:right="1131" w:firstLine="480"/>
        <w:jc w:val="both"/>
      </w:pPr>
      <w:r>
        <w:rPr/>
        <w:t>公司于</w:t>
      </w:r>
      <w:r>
        <w:rPr>
          <w:rFonts w:ascii="宋体" w:hAnsi="宋体" w:cs="宋体" w:eastAsia="宋体" w:hint="default"/>
        </w:rPr>
        <w:t>2017</w:t>
      </w:r>
      <w:r>
        <w:rPr/>
        <w:t>年非同一控制下企业合并收购交大驱动，在合并日，公司将购买股权支付的 合并成本</w:t>
      </w:r>
      <w:r>
        <w:rPr>
          <w:rFonts w:ascii="宋体" w:hAnsi="宋体" w:cs="宋体" w:eastAsia="宋体" w:hint="default"/>
        </w:rPr>
        <w:t>54,266,600.00</w:t>
      </w:r>
      <w:r>
        <w:rPr/>
        <w:t>元与应享有交大驱动可辨认净资产公允价值份额</w:t>
      </w:r>
      <w:r>
        <w:rPr>
          <w:rFonts w:ascii="宋体" w:hAnsi="宋体" w:cs="宋体" w:eastAsia="宋体" w:hint="default"/>
        </w:rPr>
        <w:t>20,125,273.64</w:t>
      </w:r>
      <w:r>
        <w:rPr/>
        <w:t>元之</w:t>
      </w:r>
      <w:r>
        <w:rPr>
          <w:spacing w:val="-85"/>
        </w:rPr>
        <w:t> </w:t>
      </w:r>
      <w:r>
        <w:rPr>
          <w:spacing w:val="-2"/>
        </w:rPr>
        <w:t>间的差额</w:t>
      </w:r>
      <w:r>
        <w:rPr>
          <w:rFonts w:ascii="宋体" w:hAnsi="宋体" w:cs="宋体" w:eastAsia="宋体" w:hint="default"/>
          <w:spacing w:val="-2"/>
        </w:rPr>
        <w:t>34,141,326.36</w:t>
      </w:r>
      <w:r>
        <w:rPr>
          <w:spacing w:val="-2"/>
        </w:rPr>
        <w:t>元确认为商誉。交大驱动商誉减值测试的资产组的构成为形成商誉的</w:t>
      </w:r>
      <w:r>
        <w:rPr>
          <w:spacing w:val="-108"/>
        </w:rPr>
        <w:t> </w:t>
      </w:r>
      <w:r>
        <w:rPr>
          <w:spacing w:val="-108"/>
        </w:rPr>
      </w:r>
      <w:r>
        <w:rPr/>
        <w:t>资产组涉及的相关资产，包括固定资产、无形资产等，该资产组与购买日及以前年度商誉减</w:t>
      </w:r>
      <w:r>
        <w:rPr>
          <w:spacing w:val="-91"/>
        </w:rPr>
        <w:t> </w:t>
      </w:r>
      <w:r>
        <w:rPr>
          <w:spacing w:val="-91"/>
        </w:rPr>
      </w:r>
      <w:r>
        <w:rPr/>
        <w:t>值测试时所确定的资产组一致。</w:t>
      </w:r>
    </w:p>
    <w:p>
      <w:pPr>
        <w:pStyle w:val="BodyText"/>
        <w:spacing w:line="350" w:lineRule="auto" w:before="34"/>
        <w:ind w:right="1140" w:firstLine="480"/>
        <w:jc w:val="both"/>
      </w:pPr>
      <w:r>
        <w:rPr/>
        <w:t>说明商誉减值测试过程、关键参数（如预计未来现金流量现值时的预测期增长率、稳定 期增长率、利润率、折现率、预测期等）及商誉减值损失的确认方法：</w:t>
      </w:r>
    </w:p>
    <w:p>
      <w:pPr>
        <w:pStyle w:val="BodyText"/>
        <w:spacing w:line="352" w:lineRule="auto" w:before="36"/>
        <w:ind w:left="633" w:right="996"/>
        <w:jc w:val="left"/>
      </w:pPr>
      <w:r>
        <w:rPr/>
        <w:t>商誉减值测试过程、参数及商誉减值损失的确认方法 该商誉所在资产组的可收回金额按照预计未来现金流量的现值计算，公司根据交大驱动</w:t>
      </w:r>
    </w:p>
    <w:p>
      <w:pPr>
        <w:pStyle w:val="BodyText"/>
        <w:spacing w:line="352" w:lineRule="auto" w:before="32"/>
        <w:ind w:right="1139"/>
        <w:jc w:val="both"/>
      </w:pPr>
      <w:r>
        <w:rPr/>
        <w:t>已签订的合同、协议、发展规划、历年经营趋势、行业发展状况等因素的综合分析，对减值</w:t>
      </w:r>
      <w:r>
        <w:rPr>
          <w:spacing w:val="-91"/>
        </w:rPr>
        <w:t> </w:t>
      </w:r>
      <w:r>
        <w:rPr>
          <w:spacing w:val="-91"/>
        </w:rPr>
      </w:r>
      <w:r>
        <w:rPr/>
        <w:t>测试基准日未来五年的主营业务收入及其相关的成本、费用、利润进行预测，预测期后作为</w:t>
      </w:r>
      <w:r>
        <w:rPr>
          <w:spacing w:val="-91"/>
        </w:rPr>
        <w:t> </w:t>
      </w:r>
      <w:r>
        <w:rPr>
          <w:spacing w:val="-91"/>
        </w:rPr>
      </w:r>
      <w:r>
        <w:rPr/>
        <w:t>永续测算，预测期内利润率根据预测的收入、成本、费用计算，折现率为</w:t>
      </w:r>
      <w:r>
        <w:rPr>
          <w:rFonts w:ascii="宋体" w:hAnsi="宋体" w:cs="宋体" w:eastAsia="宋体" w:hint="default"/>
        </w:rPr>
        <w:t>13.5%</w:t>
      </w:r>
      <w:r>
        <w:rPr/>
        <w:t>。</w:t>
      </w:r>
    </w:p>
    <w:p>
      <w:pPr>
        <w:pStyle w:val="BodyText"/>
        <w:spacing w:line="352" w:lineRule="auto" w:before="31"/>
        <w:ind w:left="633" w:right="7393"/>
        <w:jc w:val="left"/>
      </w:pPr>
      <w:r>
        <w:rPr/>
        <w:t>商誉减值测试的影响 商誉减值测试的影响及结果</w:t>
      </w:r>
    </w:p>
    <w:p>
      <w:pPr>
        <w:pStyle w:val="BodyText"/>
        <w:spacing w:line="240" w:lineRule="auto" w:before="34"/>
        <w:ind w:left="633" w:right="996"/>
        <w:jc w:val="left"/>
      </w:pPr>
      <w:r>
        <w:rPr/>
        <w:t>根据公司聘请的中联资产评估集团有限公司出具的中联评报字</w:t>
      </w:r>
      <w:r>
        <w:rPr>
          <w:rFonts w:ascii="宋体" w:hAnsi="宋体" w:cs="宋体" w:eastAsia="宋体" w:hint="default"/>
        </w:rPr>
        <w:t>[2020]</w:t>
      </w:r>
      <w:r>
        <w:rPr/>
        <w:t>第</w:t>
      </w:r>
      <w:r>
        <w:rPr>
          <w:rFonts w:ascii="宋体" w:hAnsi="宋体" w:cs="宋体" w:eastAsia="宋体" w:hint="default"/>
        </w:rPr>
        <w:t>354</w:t>
      </w:r>
      <w:r>
        <w:rPr/>
        <w:t>号《资产评估</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1"/>
        <w:jc w:val="both"/>
      </w:pPr>
      <w:r>
        <w:rPr>
          <w:spacing w:val="-5"/>
        </w:rPr>
        <w:t>报告》，包含商誉的资产组可收回金额</w:t>
      </w:r>
      <w:r>
        <w:rPr>
          <w:rFonts w:ascii="宋体" w:hAnsi="宋体" w:cs="宋体" w:eastAsia="宋体" w:hint="default"/>
          <w:spacing w:val="-5"/>
        </w:rPr>
        <w:t>630.09</w:t>
      </w:r>
      <w:r>
        <w:rPr>
          <w:spacing w:val="-5"/>
        </w:rPr>
        <w:t>万元，低于包含商誉的资产组账面价值</w:t>
      </w:r>
      <w:r>
        <w:rPr>
          <w:rFonts w:ascii="宋体" w:hAnsi="宋体" w:cs="宋体" w:eastAsia="宋体" w:hint="default"/>
          <w:spacing w:val="-5"/>
        </w:rPr>
        <w:t>2,453.50</w:t>
      </w:r>
      <w:r>
        <w:rPr>
          <w:rFonts w:ascii="宋体" w:hAnsi="宋体" w:cs="宋体" w:eastAsia="宋体" w:hint="default"/>
          <w:spacing w:val="-82"/>
        </w:rPr>
        <w:t> </w:t>
      </w:r>
      <w:r>
        <w:rPr>
          <w:spacing w:val="5"/>
        </w:rPr>
        <w:t>万元，本期应确认商誉减值损失</w:t>
      </w:r>
      <w:r>
        <w:rPr>
          <w:rFonts w:ascii="宋体" w:hAnsi="宋体" w:cs="宋体" w:eastAsia="宋体" w:hint="default"/>
          <w:spacing w:val="5"/>
        </w:rPr>
        <w:t>1,811.33</w:t>
      </w:r>
      <w:r>
        <w:rPr>
          <w:spacing w:val="5"/>
        </w:rPr>
        <w:t>万元，其中归属于本公司应确认的商誉减值损失</w:t>
      </w:r>
      <w:r>
        <w:rPr>
          <w:spacing w:val="-87"/>
        </w:rPr>
        <w:t> </w:t>
      </w:r>
      <w:r>
        <w:rPr>
          <w:spacing w:val="-87"/>
        </w:rPr>
      </w:r>
      <w:r>
        <w:rPr>
          <w:rFonts w:ascii="宋体" w:hAnsi="宋体" w:cs="宋体" w:eastAsia="宋体" w:hint="default"/>
        </w:rPr>
        <w:t>923.78</w:t>
      </w:r>
      <w:r>
        <w:rPr/>
        <w:t>万元。</w:t>
      </w:r>
    </w:p>
    <w:p>
      <w:pPr>
        <w:pStyle w:val="BodyText"/>
        <w:spacing w:line="240" w:lineRule="auto" w:before="36"/>
        <w:ind w:left="633" w:right="996"/>
        <w:jc w:val="left"/>
      </w:pPr>
      <w:r>
        <w:rPr/>
        <w:t>其他说明：无</w:t>
      </w:r>
    </w:p>
    <w:p>
      <w:pPr>
        <w:spacing w:line="240" w:lineRule="auto" w:before="7"/>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29、长期待摊费用" w:id="304"/>
      <w:bookmarkEnd w:id="304"/>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8"/>
        <w:gridCol w:w="1419"/>
        <w:gridCol w:w="1416"/>
        <w:gridCol w:w="1419"/>
        <w:gridCol w:w="1453"/>
        <w:gridCol w:w="1594"/>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7"/>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9"/>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2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0"/>
              <w:ind w:left="24" w:right="24"/>
              <w:jc w:val="left"/>
              <w:rPr>
                <w:rFonts w:ascii="宋体" w:hAnsi="宋体" w:cs="宋体" w:eastAsia="宋体" w:hint="default"/>
                <w:sz w:val="21"/>
                <w:szCs w:val="21"/>
              </w:rPr>
            </w:pPr>
            <w:r>
              <w:rPr>
                <w:rFonts w:ascii="宋体" w:hAnsi="宋体" w:cs="宋体" w:eastAsia="宋体" w:hint="default"/>
                <w:sz w:val="21"/>
                <w:szCs w:val="21"/>
              </w:rPr>
              <w:t>上海申通地铁资产经营</w:t>
            </w:r>
            <w:r>
              <w:rPr>
                <w:rFonts w:ascii="宋体" w:hAnsi="宋体" w:cs="宋体" w:eastAsia="宋体" w:hint="default"/>
                <w:w w:val="100"/>
                <w:sz w:val="21"/>
                <w:szCs w:val="21"/>
              </w:rPr>
              <w:t> </w:t>
            </w:r>
            <w:r>
              <w:rPr>
                <w:rFonts w:ascii="宋体" w:hAnsi="宋体" w:cs="宋体" w:eastAsia="宋体" w:hint="default"/>
                <w:sz w:val="21"/>
                <w:szCs w:val="21"/>
              </w:rPr>
              <w:t>管理有限公司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号线经</w:t>
            </w:r>
            <w:r>
              <w:rPr>
                <w:rFonts w:ascii="宋体" w:hAnsi="宋体" w:cs="宋体" w:eastAsia="宋体" w:hint="default"/>
                <w:w w:val="100"/>
                <w:sz w:val="21"/>
                <w:szCs w:val="21"/>
              </w:rPr>
              <w:t> </w:t>
            </w:r>
            <w:r>
              <w:rPr>
                <w:rFonts w:ascii="宋体" w:hAnsi="宋体" w:cs="宋体" w:eastAsia="宋体" w:hint="default"/>
                <w:sz w:val="21"/>
                <w:szCs w:val="21"/>
              </w:rPr>
              <w:t>营权费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85" w:right="0"/>
              <w:jc w:val="left"/>
              <w:rPr>
                <w:rFonts w:ascii="Times New Roman" w:hAnsi="Times New Roman" w:cs="Times New Roman" w:eastAsia="Times New Roman" w:hint="default"/>
                <w:sz w:val="21"/>
                <w:szCs w:val="21"/>
              </w:rPr>
            </w:pPr>
            <w:r>
              <w:rPr>
                <w:rFonts w:ascii="Times New Roman"/>
                <w:sz w:val="21"/>
              </w:rPr>
              <w:t>3,843,086.27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5,440,770.99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4,905,660.38</w:t>
            </w: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4,378,196.88</w:t>
            </w: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24" w:right="131"/>
              <w:jc w:val="both"/>
              <w:rPr>
                <w:rFonts w:ascii="宋体" w:hAnsi="宋体" w:cs="宋体" w:eastAsia="宋体" w:hint="default"/>
                <w:sz w:val="21"/>
                <w:szCs w:val="21"/>
              </w:rPr>
            </w:pPr>
            <w:r>
              <w:rPr>
                <w:rFonts w:ascii="宋体" w:hAnsi="宋体" w:cs="宋体" w:eastAsia="宋体" w:hint="default"/>
                <w:spacing w:val="-2"/>
                <w:sz w:val="21"/>
                <w:szCs w:val="21"/>
              </w:rPr>
              <w:t>上海申通德高地铁广告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有限公司上海地铁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线广告经营权费用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85" w:right="0"/>
              <w:jc w:val="left"/>
              <w:rPr>
                <w:rFonts w:ascii="Times New Roman" w:hAnsi="Times New Roman" w:cs="Times New Roman" w:eastAsia="Times New Roman" w:hint="default"/>
                <w:sz w:val="21"/>
                <w:szCs w:val="21"/>
              </w:rPr>
            </w:pPr>
            <w:r>
              <w:rPr>
                <w:rFonts w:ascii="Times New Roman"/>
                <w:sz w:val="21"/>
              </w:rPr>
              <w:t>1,489,369.86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3,275,400.00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3,240,637.81</w:t>
            </w: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1,524,132.05</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5" w:right="0"/>
              <w:jc w:val="left"/>
              <w:rPr>
                <w:rFonts w:ascii="Times New Roman" w:hAnsi="Times New Roman" w:cs="Times New Roman" w:eastAsia="Times New Roman" w:hint="default"/>
                <w:sz w:val="21"/>
                <w:szCs w:val="21"/>
              </w:rPr>
            </w:pPr>
            <w:r>
              <w:rPr>
                <w:rFonts w:ascii="Times New Roman"/>
                <w:sz w:val="21"/>
              </w:rPr>
              <w:t>5,332,456.13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8,716,170.99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8,146,298.19</w:t>
            </w:r>
          </w:p>
        </w:tc>
        <w:tc>
          <w:tcPr>
            <w:tcW w:w="145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5,902,328.93</w:t>
            </w:r>
          </w:p>
        </w:tc>
      </w:tr>
    </w:tbl>
    <w:p>
      <w:pPr>
        <w:spacing w:line="240" w:lineRule="auto" w:before="9"/>
        <w:rPr>
          <w:rFonts w:ascii="宋体" w:hAnsi="宋体" w:cs="宋体" w:eastAsia="宋体" w:hint="default"/>
          <w:sz w:val="4"/>
          <w:szCs w:val="4"/>
        </w:rPr>
      </w:pPr>
    </w:p>
    <w:p>
      <w:pPr>
        <w:pStyle w:val="BodyText"/>
        <w:spacing w:line="240" w:lineRule="auto" w:before="26"/>
        <w:ind w:left="633" w:right="996"/>
        <w:jc w:val="left"/>
      </w:pPr>
      <w:r>
        <w:rPr/>
        <w:t>其他说明：无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0、递延所得税资产/递延所得税负债" w:id="305"/>
      <w:bookmarkEnd w:id="305"/>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未经抵销的递延所得税资产"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220,226,159.00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33,033,923.84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133,326,680.00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19,999,001.99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87,530,607.00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13,077,266.30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115,879,446.00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17,353,908.98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4"/>
              <w:jc w:val="left"/>
              <w:rPr>
                <w:rFonts w:ascii="宋体" w:hAnsi="宋体" w:cs="宋体" w:eastAsia="宋体" w:hint="default"/>
                <w:sz w:val="21"/>
                <w:szCs w:val="21"/>
              </w:rPr>
            </w:pPr>
            <w:r>
              <w:rPr>
                <w:rFonts w:ascii="宋体" w:hAnsi="宋体" w:cs="宋体" w:eastAsia="宋体" w:hint="default"/>
                <w:sz w:val="21"/>
                <w:szCs w:val="21"/>
              </w:rPr>
              <w:t>其他应收款坏账准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1,527,872.00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312,455.25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2,135,704.00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361,187.76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应收票据坏账准备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3,122,493.00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468,373.92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53,086,070.00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7,962,910.43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30,369,328.00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4,555,399.16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内部交易未实现利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39,683,955.93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5,952,593.40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36,331,796.92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5,449,769.57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16,500,000.00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其他非流动金融资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19,826,900.00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2,974,035.00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535,004,056.93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80,281,558.14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318,042,954.92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47,719,267.46</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2）未经抵销的递延所得税负债"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119,410,903.13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17,911,635.47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89,360,345.78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13,404,051.87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13,735.21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2,060.28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35,115.00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119,658,738.34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17,948,810.75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89,360,345.78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13,404,051.87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以抵销后净额列示的递延所得税资产或负债"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161" w:hRule="exact"/>
        </w:trPr>
        <w:tc>
          <w:tcPr>
            <w:tcW w:w="1901" w:type="dxa"/>
            <w:vMerge w:val="restart"/>
            <w:tcBorders>
              <w:top w:val="single" w:sz="4" w:space="0" w:color="000000"/>
              <w:left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113" w:right="108"/>
              <w:jc w:val="center"/>
              <w:rPr>
                <w:rFonts w:ascii="宋体" w:hAnsi="宋体" w:cs="宋体" w:eastAsia="宋体" w:hint="default"/>
                <w:sz w:val="21"/>
                <w:szCs w:val="21"/>
              </w:rPr>
            </w:pPr>
            <w:r>
              <w:rPr>
                <w:rFonts w:ascii="宋体" w:hAnsi="宋体" w:cs="宋体" w:eastAsia="宋体" w:hint="default"/>
                <w:spacing w:val="-2"/>
                <w:sz w:val="21"/>
                <w:szCs w:val="21"/>
              </w:rPr>
              <w:t>抵销后递延所得税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资产或负债期初余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r>
      <w:tr>
        <w:trPr>
          <w:trHeight w:val="15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24" w:right="108"/>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负债期末互抵金额</w:t>
            </w:r>
          </w:p>
        </w:tc>
        <w:tc>
          <w:tcPr>
            <w:tcW w:w="191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12" w:right="105"/>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w w:val="100"/>
                <w:sz w:val="21"/>
                <w:szCs w:val="21"/>
              </w:rPr>
              <w:t> </w:t>
            </w:r>
            <w:r>
              <w:rPr>
                <w:rFonts w:ascii="宋体" w:hAnsi="宋体" w:cs="宋体" w:eastAsia="宋体" w:hint="default"/>
                <w:sz w:val="21"/>
                <w:szCs w:val="21"/>
              </w:rPr>
              <w:t>负债期初互抵金额</w:t>
            </w:r>
          </w:p>
        </w:tc>
        <w:tc>
          <w:tcPr>
            <w:tcW w:w="1916" w:type="dxa"/>
            <w:vMerge/>
            <w:tcBorders>
              <w:left w:val="single" w:sz="4" w:space="0" w:color="000000"/>
              <w:right w:val="single" w:sz="4" w:space="0" w:color="000000"/>
            </w:tcBorders>
            <w:shd w:val="clear" w:color="auto" w:fill="D2D2D2"/>
          </w:tcPr>
          <w:p>
            <w:pP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6" w:hRule="exact"/>
        </w:trPr>
        <w:tc>
          <w:tcPr>
            <w:tcW w:w="1901" w:type="dxa"/>
            <w:vMerge w:val="restart"/>
            <w:tcBorders>
              <w:top w:val="nil" w:sz="6" w:space="0" w:color="auto"/>
              <w:left w:val="single" w:sz="4" w:space="0" w:color="000000"/>
              <w:right w:val="single" w:sz="4" w:space="0" w:color="000000"/>
            </w:tcBorders>
            <w:shd w:val="clear" w:color="auto" w:fill="D2D2D2"/>
          </w:tcPr>
          <w:p>
            <w:pPr/>
          </w:p>
        </w:tc>
        <w:tc>
          <w:tcPr>
            <w:tcW w:w="1928"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single" w:sz="4" w:space="0" w:color="000000"/>
              <w:right w:val="single" w:sz="4" w:space="0" w:color="000000"/>
            </w:tcBorders>
            <w:shd w:val="clear" w:color="auto" w:fill="D2D2D2"/>
          </w:tcPr>
          <w:p>
            <w:pPr/>
          </w:p>
        </w:tc>
        <w:tc>
          <w:tcPr>
            <w:tcW w:w="19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80,281,558.14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47,719,267.46</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17,948,810.75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13,404,051.87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4）未确认递延所得税资产明细"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212,374,052.30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317,770,366.35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60,219,212.54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23,981,119.01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272,593,264.84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341,751,485.36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5）未确认递延所得税资产的可抵扣亏损将于以下年度到期"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0"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2,184,753.62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2,184,753.62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7,287,847.63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7,287,847.63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14,508,517.76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14,508,517.76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36,238,093.53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60,219,212.54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2"/>
                <w:sz w:val="21"/>
              </w:rPr>
              <w:t>23,981,119.01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31、其他非流动资产" w:id="311"/>
      <w:bookmarkEnd w:id="311"/>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right="996"/>
        <w:jc w:val="left"/>
      </w:pPr>
      <w:r>
        <w:rPr/>
        <w:t>是否已执行新收入准则</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5" w:footer="980" w:top="1060" w:bottom="1160" w:left="980" w:right="0"/>
        </w:sectPr>
      </w:pPr>
    </w:p>
    <w:p>
      <w:pPr>
        <w:pStyle w:val="BodyText"/>
        <w:spacing w:line="240" w:lineRule="auto" w:before="26"/>
        <w:ind w:left="633"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before="164"/>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1750" w:space="6465"/>
            <w:col w:w="271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预付工程及设备款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6,702,833.52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3,865,709.39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6,702,833.52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3,865,709.39</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w:t>
      </w:r>
    </w:p>
    <w:p>
      <w:pPr>
        <w:pStyle w:val="BodyText"/>
        <w:spacing w:line="331" w:lineRule="auto" w:before="185"/>
        <w:ind w:right="1137" w:firstLine="480"/>
        <w:jc w:val="left"/>
      </w:pPr>
      <w:r>
        <w:rPr/>
        <w:t>其他非流动资产期末余额较上年余额增加</w:t>
      </w:r>
      <w:r>
        <w:rPr>
          <w:spacing w:val="-61"/>
        </w:rPr>
        <w:t> </w:t>
      </w:r>
      <w:r>
        <w:rPr>
          <w:rFonts w:ascii="Times New Roman" w:hAnsi="Times New Roman" w:cs="Times New Roman" w:eastAsia="Times New Roman" w:hint="default"/>
        </w:rPr>
        <w:t>2,837,124.13</w:t>
      </w:r>
      <w:r>
        <w:rPr>
          <w:rFonts w:ascii="Times New Roman" w:hAnsi="Times New Roman" w:cs="Times New Roman" w:eastAsia="Times New Roman" w:hint="default"/>
          <w:spacing w:val="-1"/>
        </w:rPr>
        <w:t> </w:t>
      </w:r>
      <w:r>
        <w:rPr/>
        <w:t>元，增加比例</w:t>
      </w:r>
      <w:r>
        <w:rPr>
          <w:spacing w:val="-61"/>
        </w:rPr>
        <w:t> </w:t>
      </w:r>
      <w:r>
        <w:rPr>
          <w:rFonts w:ascii="Times New Roman" w:hAnsi="Times New Roman" w:cs="Times New Roman" w:eastAsia="Times New Roman" w:hint="default"/>
        </w:rPr>
        <w:t>73.39%</w:t>
      </w:r>
      <w:r>
        <w:rPr/>
        <w:t>，主要系本 期在建工程新厂区投入建设，预付工程款增加所致。</w:t>
      </w:r>
    </w:p>
    <w:p>
      <w:pPr>
        <w:spacing w:line="240" w:lineRule="auto" w:before="8"/>
        <w:rPr>
          <w:rFonts w:ascii="宋体" w:hAnsi="宋体" w:cs="宋体" w:eastAsia="宋体" w:hint="default"/>
          <w:sz w:val="19"/>
          <w:szCs w:val="19"/>
        </w:rPr>
      </w:pPr>
    </w:p>
    <w:p>
      <w:pPr>
        <w:spacing w:before="0"/>
        <w:ind w:left="152" w:right="996" w:firstLine="0"/>
        <w:jc w:val="left"/>
        <w:rPr>
          <w:rFonts w:ascii="宋体" w:hAnsi="宋体" w:cs="宋体" w:eastAsia="宋体" w:hint="default"/>
          <w:sz w:val="21"/>
          <w:szCs w:val="21"/>
        </w:rPr>
      </w:pPr>
      <w:bookmarkStart w:name="32、短期借款" w:id="312"/>
      <w:bookmarkEnd w:id="312"/>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短期借款分类"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17,212,721.09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178,056,443.14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20,212,721.09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178,056,443.14</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短期借款分类的说明：</w:t>
      </w:r>
    </w:p>
    <w:p>
      <w:pPr>
        <w:pStyle w:val="BodyText"/>
        <w:spacing w:line="240" w:lineRule="auto" w:before="185"/>
        <w:ind w:left="633" w:right="996"/>
        <w:jc w:val="left"/>
      </w:pPr>
      <w:r>
        <w:rPr/>
        <w:t>本公司之子公司成都西南交大驱动技术有限责任公司</w:t>
      </w:r>
      <w:r>
        <w:rPr>
          <w:spacing w:val="-7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7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日与成都银行郫都支</w:t>
      </w:r>
    </w:p>
    <w:p>
      <w:pPr>
        <w:pStyle w:val="BodyText"/>
        <w:spacing w:line="240" w:lineRule="auto" w:before="126"/>
        <w:ind w:right="996"/>
        <w:jc w:val="left"/>
        <w:rPr>
          <w:rFonts w:ascii="Times New Roman" w:hAnsi="Times New Roman" w:cs="Times New Roman" w:eastAsia="Times New Roman" w:hint="default"/>
        </w:rPr>
      </w:pPr>
      <w:r>
        <w:rPr/>
        <w:t>行签订保证借款合同，借款金额为</w:t>
      </w:r>
      <w:r>
        <w:rPr>
          <w:spacing w:val="-59"/>
        </w:rPr>
        <w:t> </w:t>
      </w:r>
      <w:r>
        <w:rPr>
          <w:rFonts w:ascii="Times New Roman" w:hAnsi="Times New Roman" w:cs="Times New Roman" w:eastAsia="Times New Roman" w:hint="default"/>
        </w:rPr>
        <w:t>300.00 </w:t>
      </w:r>
      <w:r>
        <w:rPr/>
        <w:t>万元人民币，借款期限为</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8 </w:t>
      </w:r>
      <w:r>
        <w:rPr/>
        <w:t>日至</w:t>
      </w:r>
      <w:r>
        <w:rPr>
          <w:spacing w:val="-60"/>
        </w:rPr>
        <w:t> </w:t>
      </w:r>
      <w:r>
        <w:rPr>
          <w:rFonts w:ascii="Times New Roman" w:hAnsi="Times New Roman" w:cs="Times New Roman" w:eastAsia="Times New Roman" w:hint="default"/>
        </w:rPr>
        <w:t>2020</w:t>
      </w:r>
    </w:p>
    <w:p>
      <w:pPr>
        <w:pStyle w:val="BodyText"/>
        <w:spacing w:line="333" w:lineRule="auto" w:before="128"/>
        <w:ind w:right="1120"/>
        <w:jc w:val="left"/>
      </w:pP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3"/>
        </w:rPr>
        <w:t>日，该笔借款由成都市中小企业融资担保有限公司、王国志、吴文海、柯坚、秦剑</w:t>
      </w:r>
      <w:r>
        <w:rPr/>
        <w:t> 提供担保。</w:t>
      </w:r>
    </w:p>
    <w:p>
      <w:pPr>
        <w:spacing w:line="240" w:lineRule="auto" w:before="3"/>
        <w:rPr>
          <w:rFonts w:ascii="宋体" w:hAnsi="宋体" w:cs="宋体" w:eastAsia="宋体" w:hint="default"/>
          <w:sz w:val="19"/>
          <w:szCs w:val="19"/>
        </w:rPr>
      </w:pPr>
    </w:p>
    <w:p>
      <w:pPr>
        <w:spacing w:before="0"/>
        <w:ind w:left="152" w:right="996" w:firstLine="0"/>
        <w:jc w:val="left"/>
        <w:rPr>
          <w:rFonts w:ascii="宋体" w:hAnsi="宋体" w:cs="宋体" w:eastAsia="宋体" w:hint="default"/>
          <w:sz w:val="21"/>
          <w:szCs w:val="21"/>
        </w:rPr>
      </w:pPr>
      <w:bookmarkStart w:name="（2）已逾期未偿还的短期借款情况"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3、交易性金融负债" w:id="315"/>
      <w:bookmarkEnd w:id="315"/>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34、衍生金融负债" w:id="316"/>
      <w:bookmarkEnd w:id="3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5、应付票据" w:id="317"/>
      <w:bookmarkEnd w:id="317"/>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6、应付账款" w:id="318"/>
      <w:bookmarkEnd w:id="318"/>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应付账款列示"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147,604,826.79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158,241,184.66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8,214,852.39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12,549,871.16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2,598,631.43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490,227.50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2,535,453.00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2,741,541.35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161,253,763.61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174,622,824.67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账龄超过1年的重要应付账款"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绵阳市维博电子有限责任公司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7,123,664.33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上海华铭智能终端设备股份有限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6,990,693.60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南瑞集团有限公司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2,382,394.15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东方电子股份有限公司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焦作市忠诚卫士复合材料有限公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1,895,850.00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20,392,602.08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7、预收款项" w:id="321"/>
      <w:bookmarkEnd w:id="321"/>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633" w:right="996"/>
        <w:jc w:val="left"/>
      </w:pPr>
      <w:r>
        <w:rPr/>
        <w:t>是否已执行新收入准则</w:t>
      </w:r>
    </w:p>
    <w:p>
      <w:pPr>
        <w:pStyle w:val="BodyText"/>
        <w:spacing w:line="240" w:lineRule="auto" w:before="187"/>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1）预收款项列示"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67,958,275.01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50,962,655.46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67,958,275.01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50,962,655.46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账龄超过1年的重要预收款项"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上海纳尔广告传媒有限公司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11,950,684.87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预收广告经营费</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7"/>
              <w:jc w:val="left"/>
              <w:rPr>
                <w:rFonts w:ascii="宋体" w:hAnsi="宋体" w:cs="宋体" w:eastAsia="宋体" w:hint="default"/>
                <w:sz w:val="21"/>
                <w:szCs w:val="21"/>
              </w:rPr>
            </w:pPr>
            <w:r>
              <w:rPr>
                <w:rFonts w:ascii="宋体" w:hAnsi="宋体" w:cs="宋体" w:eastAsia="宋体" w:hint="default"/>
                <w:spacing w:val="-2"/>
                <w:sz w:val="21"/>
                <w:szCs w:val="21"/>
              </w:rPr>
              <w:t>中国铁路上海局集团有限公司杭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州铁路枢纽工程建设指挥部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3,470,024.89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预收货款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陕西靖神铁路有限责任公司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1,931,476.01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预收货款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17,352,185.77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7"/>
          <w:szCs w:val="7"/>
        </w:rPr>
      </w:pPr>
    </w:p>
    <w:p>
      <w:pPr>
        <w:pStyle w:val="BodyText"/>
        <w:spacing w:line="381" w:lineRule="auto" w:before="26"/>
        <w:ind w:left="633" w:right="9073"/>
        <w:jc w:val="left"/>
      </w:pPr>
      <w:r>
        <w:rPr/>
        <w:t>其他说明： 无</w:t>
      </w:r>
    </w:p>
    <w:p>
      <w:pPr>
        <w:spacing w:before="203"/>
        <w:ind w:left="152" w:right="996" w:firstLine="0"/>
        <w:jc w:val="left"/>
        <w:rPr>
          <w:rFonts w:ascii="宋体" w:hAnsi="宋体" w:cs="宋体" w:eastAsia="宋体" w:hint="default"/>
          <w:sz w:val="21"/>
          <w:szCs w:val="21"/>
        </w:rPr>
      </w:pPr>
      <w:bookmarkStart w:name="38、合同负债" w:id="324"/>
      <w:bookmarkEnd w:id="324"/>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9、应付职工薪酬" w:id="325"/>
      <w:bookmarkEnd w:id="325"/>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应付职工薪酬列示"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12,054,408.88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94,744,904.17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90,122,310.99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16,677,002.06</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12" w:right="7"/>
              <w:jc w:val="left"/>
              <w:rPr>
                <w:rFonts w:ascii="宋体" w:hAnsi="宋体" w:cs="宋体" w:eastAsia="宋体" w:hint="default"/>
                <w:sz w:val="21"/>
                <w:szCs w:val="21"/>
              </w:rPr>
            </w:pPr>
            <w:r>
              <w:rPr>
                <w:rFonts w:ascii="宋体" w:hAnsi="宋体" w:cs="宋体" w:eastAsia="宋体" w:hint="default"/>
                <w:spacing w:val="-12"/>
                <w:w w:val="100"/>
                <w:sz w:val="21"/>
                <w:szCs w:val="21"/>
              </w:rPr>
              <w:t>二、离职后福利</w:t>
            </w:r>
            <w:r>
              <w:rPr>
                <w:rFonts w:ascii="Times New Roman" w:hAnsi="Times New Roman" w:cs="Times New Roman" w:eastAsia="Times New Roman" w:hint="default"/>
                <w:spacing w:val="-12"/>
                <w:w w:val="100"/>
                <w:sz w:val="21"/>
                <w:szCs w:val="21"/>
              </w:rPr>
              <w:t>-</w:t>
            </w:r>
            <w:r>
              <w:rPr>
                <w:rFonts w:ascii="宋体" w:hAnsi="宋体" w:cs="宋体" w:eastAsia="宋体" w:hint="default"/>
                <w:spacing w:val="-12"/>
                <w:w w:val="100"/>
                <w:sz w:val="21"/>
                <w:szCs w:val="21"/>
              </w:rPr>
              <w:t>设定</w:t>
            </w:r>
            <w:r>
              <w:rPr>
                <w:rFonts w:ascii="宋体" w:hAnsi="宋体" w:cs="宋体" w:eastAsia="宋体" w:hint="default"/>
                <w:spacing w:val="-102"/>
                <w:w w:val="100"/>
                <w:sz w:val="21"/>
                <w:szCs w:val="21"/>
              </w:rPr>
              <w:t> </w:t>
            </w:r>
            <w:r>
              <w:rPr>
                <w:rFonts w:ascii="宋体" w:hAnsi="宋体" w:cs="宋体" w:eastAsia="宋体" w:hint="default"/>
                <w:sz w:val="21"/>
                <w:szCs w:val="21"/>
              </w:rPr>
              <w:t>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28,379.52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7,261,348.92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7,265,016.13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24,712.31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12,082,788.40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102,006,253.09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97,387,327.12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16,701,714.37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短期薪酬列示"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8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w:t>
            </w:r>
            <w:r>
              <w:rPr>
                <w:rFonts w:ascii="宋体" w:hAnsi="宋体" w:cs="宋体" w:eastAsia="宋体" w:hint="default"/>
                <w:w w:val="100"/>
                <w:sz w:val="21"/>
                <w:szCs w:val="21"/>
              </w:rPr>
              <w:t> </w:t>
            </w:r>
            <w:r>
              <w:rPr>
                <w:rFonts w:ascii="宋体" w:hAnsi="宋体" w:cs="宋体" w:eastAsia="宋体" w:hint="default"/>
                <w:sz w:val="21"/>
                <w:szCs w:val="21"/>
              </w:rPr>
              <w:t>贴和补贴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9,837,728.18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80,447,030.48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75,486,434.43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14,798,324.23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5,259,135.30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5,259,135.30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289,466.91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4,195,251.86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4,197,097.86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287,620.91</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pacing w:val="-7"/>
                <w:sz w:val="21"/>
                <w:szCs w:val="21"/>
              </w:rPr>
              <w:t>其中：医疗保险</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287,305.24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3,646,663.70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3,648,287.07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285,681.87</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678.19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168,189.79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168,290.13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577.85</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1,483.48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380,398.37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380,520.66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1,361.19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3,978,960.00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3,978,960.00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2" w:right="88"/>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、工会经费和职工</w:t>
            </w:r>
            <w:r>
              <w:rPr>
                <w:rFonts w:ascii="宋体" w:hAnsi="宋体" w:cs="宋体" w:eastAsia="宋体" w:hint="default"/>
                <w:w w:val="100"/>
                <w:sz w:val="21"/>
                <w:szCs w:val="21"/>
              </w:rPr>
              <w:t> </w:t>
            </w:r>
            <w:r>
              <w:rPr>
                <w:rFonts w:ascii="宋体" w:hAnsi="宋体" w:cs="宋体" w:eastAsia="宋体" w:hint="default"/>
                <w:sz w:val="21"/>
                <w:szCs w:val="21"/>
              </w:rPr>
              <w:t>教育经费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1,927,213.79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864,526.53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1,200,683.40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1,591,056.92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12,054,408.88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94,744,904.17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90,122,310.99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16,677,002.06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设定提存计划列示"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27,233.27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6,976,934.66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6,980,632.41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23,535.52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284,414.26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284,383.72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1,176.79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28,379.52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7,261,348.92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7,265,016.13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24,712.31</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40、应交税费" w:id="329"/>
      <w:bookmarkEnd w:id="329"/>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5,534,311.18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12,495,197.20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11,145,447.77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7,832,397.72</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134,697.20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102,081.32</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387,401.79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892,182.80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276,715.57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637,273.45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74,017.79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74,017.80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124,639.77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124,639.77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5,160.12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9,530.70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防洪工程维护费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148.99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17,682,391.19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22,167,469.75</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41、其他应付款" w:id="330"/>
      <w:bookmarkEnd w:id="330"/>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9,943,386.51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9,255,533.14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9,943,386.51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9,255,533.14</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其他说明，包括重要的超过</w:t>
      </w:r>
      <w:r>
        <w:rPr>
          <w:spacing w:val="-60"/>
        </w:rPr>
        <w:t> </w:t>
      </w:r>
      <w:r>
        <w:rPr>
          <w:rFonts w:ascii="Times New Roman" w:hAnsi="Times New Roman" w:cs="Times New Roman" w:eastAsia="Times New Roman" w:hint="default"/>
        </w:rPr>
        <w:t>1 </w:t>
      </w:r>
      <w:r>
        <w:rPr/>
        <w:t>年未支付的应付股利，应披露未支付原因：无</w:t>
      </w:r>
    </w:p>
    <w:p>
      <w:pPr>
        <w:spacing w:line="240" w:lineRule="auto" w:before="1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bookmarkStart w:name="（3）其他应付款"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按款项性质列示其他应付款" w:id="332"/>
      <w:bookmarkEnd w:id="3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4,528,330.18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4,841,397.34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1,153,887.04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111,745.53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2,890,956.43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3,024,742.17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490,124.30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413,500.00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862,688.56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826,404.26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招投标费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37,743.84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9,943,386.51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9,255,533.14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账龄超过1年的重要其他应付款" w:id="333"/>
      <w:bookmarkEnd w:id="3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2、持有待售负债" w:id="334"/>
      <w:bookmarkEnd w:id="33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3、一年内到期的非流动负债" w:id="335"/>
      <w:bookmarkEnd w:id="335"/>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一年内到期的租赁负债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spacing w:before="36"/>
        <w:ind w:left="152" w:right="996" w:firstLine="0"/>
        <w:jc w:val="left"/>
        <w:rPr>
          <w:rFonts w:ascii="宋体" w:hAnsi="宋体" w:cs="宋体" w:eastAsia="宋体" w:hint="default"/>
          <w:sz w:val="21"/>
          <w:szCs w:val="21"/>
        </w:rPr>
      </w:pPr>
      <w:bookmarkStart w:name="44、其他流动负债" w:id="336"/>
      <w:bookmarkEnd w:id="336"/>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是否已执行新收入准则</w:t>
      </w:r>
    </w:p>
    <w:p>
      <w:pPr>
        <w:pStyle w:val="BodyText"/>
        <w:spacing w:line="240" w:lineRule="auto" w:before="185"/>
        <w:ind w:left="633" w:right="99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1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bookmarkStart w:name="45、长期借款" w:id="337"/>
      <w:bookmarkEnd w:id="337"/>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长期借款分类"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77,000,000.00</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其他说明，包括利率区间：无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6、应付债券" w:id="339"/>
      <w:bookmarkEnd w:id="339"/>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7、租赁负债" w:id="340"/>
      <w:bookmarkEnd w:id="340"/>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8、长期应付款" w:id="341"/>
      <w:bookmarkEnd w:id="341"/>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5"/>
          <w:szCs w:val="15"/>
        </w:rPr>
      </w:pPr>
    </w:p>
    <w:p>
      <w:pPr>
        <w:spacing w:before="0"/>
        <w:ind w:left="513"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49、长期应付职工薪酬" w:id="342"/>
      <w:bookmarkEnd w:id="342"/>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5"/>
          <w:szCs w:val="15"/>
        </w:rPr>
      </w:pPr>
    </w:p>
    <w:p>
      <w:pPr>
        <w:spacing w:before="0"/>
        <w:ind w:left="513"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50、预计负债" w:id="343"/>
      <w:bookmarkEnd w:id="343"/>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是否已执行新收入准则</w:t>
      </w:r>
    </w:p>
    <w:p>
      <w:pPr>
        <w:pStyle w:val="BodyText"/>
        <w:spacing w:line="360" w:lineRule="auto" w:before="185"/>
        <w:ind w:left="633" w:right="9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无</w:t>
      </w:r>
    </w:p>
    <w:p>
      <w:pPr>
        <w:spacing w:after="0" w:line="36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51、递延收益" w:id="344"/>
      <w:bookmarkEnd w:id="344"/>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4"/>
              <w:jc w:val="left"/>
              <w:rPr>
                <w:rFonts w:ascii="宋体" w:hAnsi="宋体" w:cs="宋体" w:eastAsia="宋体" w:hint="default"/>
                <w:sz w:val="21"/>
                <w:szCs w:val="21"/>
              </w:rPr>
            </w:pPr>
            <w:r>
              <w:rPr>
                <w:rFonts w:ascii="宋体" w:hAnsi="宋体" w:cs="宋体" w:eastAsia="宋体" w:hint="default"/>
                <w:sz w:val="21"/>
                <w:szCs w:val="21"/>
              </w:rPr>
              <w:t>与资产相关政府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详见下表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745" w:footer="980" w:top="1060" w:bottom="1160" w:left="980" w:right="0"/>
        </w:sectPr>
      </w:pPr>
    </w:p>
    <w:p>
      <w:pPr>
        <w:pStyle w:val="BodyText"/>
        <w:spacing w:line="240" w:lineRule="auto" w:before="26"/>
        <w:ind w:left="633" w:right="-20"/>
        <w:jc w:val="left"/>
      </w:pPr>
      <w:r>
        <w:rPr/>
        <w:t>涉及政府补助的项目：</w:t>
      </w:r>
    </w:p>
    <w:p>
      <w:pPr>
        <w:spacing w:line="240" w:lineRule="auto" w:before="0"/>
        <w:rPr>
          <w:rFonts w:ascii="宋体" w:hAnsi="宋体" w:cs="宋体" w:eastAsia="宋体" w:hint="default"/>
          <w:sz w:val="20"/>
          <w:szCs w:val="20"/>
        </w:rPr>
      </w:pPr>
      <w:r>
        <w:rPr/>
        <w:br w:type="column"/>
      </w:r>
      <w:r>
        <w:rPr>
          <w:rFonts w:ascii="宋体"/>
          <w:sz w:val="20"/>
        </w:rPr>
      </w:r>
    </w:p>
    <w:p>
      <w:pPr>
        <w:spacing w:before="164"/>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034" w:space="5181"/>
            <w:col w:w="271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9" w:right="77"/>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7"/>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7"/>
              <w:jc w:val="center"/>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4"/>
              <w:jc w:val="center"/>
              <w:rPr>
                <w:rFonts w:ascii="宋体" w:hAnsi="宋体" w:cs="宋体" w:eastAsia="宋体" w:hint="default"/>
                <w:sz w:val="21"/>
                <w:szCs w:val="21"/>
              </w:rPr>
            </w:pPr>
            <w:r>
              <w:rPr>
                <w:rFonts w:ascii="宋体" w:hAnsi="宋体" w:cs="宋体" w:eastAsia="宋体" w:hint="default"/>
                <w:sz w:val="21"/>
                <w:szCs w:val="21"/>
              </w:rPr>
              <w:t>本期冲减</w:t>
            </w:r>
            <w:r>
              <w:rPr>
                <w:rFonts w:ascii="宋体" w:hAnsi="宋体" w:cs="宋体" w:eastAsia="宋体" w:hint="default"/>
                <w:w w:val="100"/>
                <w:sz w:val="21"/>
                <w:szCs w:val="21"/>
              </w:rPr>
              <w:t> </w:t>
            </w:r>
            <w:r>
              <w:rPr>
                <w:rFonts w:ascii="宋体" w:hAnsi="宋体" w:cs="宋体" w:eastAsia="宋体" w:hint="default"/>
                <w:sz w:val="21"/>
                <w:szCs w:val="21"/>
              </w:rPr>
              <w:t>成本费用</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50" w:right="48"/>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1"/>
                <w:sz w:val="21"/>
                <w:szCs w:val="21"/>
              </w:rPr>
              <w:t>关</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与收益</w:t>
            </w:r>
            <w:r>
              <w:rPr>
                <w:rFonts w:ascii="宋体" w:hAnsi="宋体" w:cs="宋体" w:eastAsia="宋体" w:hint="default"/>
                <w:w w:val="100"/>
                <w:sz w:val="21"/>
                <w:szCs w:val="21"/>
              </w:rPr>
              <w:t> </w:t>
            </w:r>
            <w:r>
              <w:rPr>
                <w:rFonts w:ascii="宋体" w:hAnsi="宋体" w:cs="宋体" w:eastAsia="宋体" w:hint="default"/>
                <w:sz w:val="21"/>
                <w:szCs w:val="21"/>
              </w:rPr>
              <w:t>相关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4"/>
              <w:jc w:val="both"/>
              <w:rPr>
                <w:rFonts w:ascii="宋体" w:hAnsi="宋体" w:cs="宋体" w:eastAsia="宋体" w:hint="default"/>
                <w:sz w:val="21"/>
                <w:szCs w:val="21"/>
              </w:rPr>
            </w:pPr>
            <w:r>
              <w:rPr>
                <w:rFonts w:ascii="宋体" w:hAnsi="宋体" w:cs="宋体" w:eastAsia="宋体" w:hint="default"/>
                <w:sz w:val="21"/>
                <w:szCs w:val="21"/>
              </w:rPr>
              <w:t>轨道交通</w:t>
            </w:r>
            <w:r>
              <w:rPr>
                <w:rFonts w:ascii="宋体" w:hAnsi="宋体" w:cs="宋体" w:eastAsia="宋体" w:hint="default"/>
                <w:w w:val="100"/>
                <w:sz w:val="21"/>
                <w:szCs w:val="21"/>
              </w:rPr>
              <w:t> </w:t>
            </w:r>
            <w:r>
              <w:rPr>
                <w:rFonts w:ascii="宋体" w:hAnsi="宋体" w:cs="宋体" w:eastAsia="宋体" w:hint="default"/>
                <w:sz w:val="21"/>
                <w:szCs w:val="21"/>
              </w:rPr>
              <w:t>信息集成</w:t>
            </w:r>
            <w:r>
              <w:rPr>
                <w:rFonts w:ascii="宋体" w:hAnsi="宋体" w:cs="宋体" w:eastAsia="宋体" w:hint="default"/>
                <w:w w:val="100"/>
                <w:sz w:val="21"/>
                <w:szCs w:val="21"/>
              </w:rPr>
              <w:t> </w:t>
            </w:r>
            <w:r>
              <w:rPr>
                <w:rFonts w:ascii="宋体" w:hAnsi="宋体" w:cs="宋体" w:eastAsia="宋体" w:hint="default"/>
                <w:sz w:val="21"/>
                <w:szCs w:val="21"/>
              </w:rPr>
              <w:t>与网络化</w:t>
            </w:r>
            <w:r>
              <w:rPr>
                <w:rFonts w:ascii="宋体" w:hAnsi="宋体" w:cs="宋体" w:eastAsia="宋体" w:hint="default"/>
                <w:w w:val="100"/>
                <w:sz w:val="21"/>
                <w:szCs w:val="21"/>
              </w:rPr>
              <w:t> </w:t>
            </w:r>
            <w:r>
              <w:rPr>
                <w:rFonts w:ascii="宋体" w:hAnsi="宋体" w:cs="宋体" w:eastAsia="宋体" w:hint="default"/>
                <w:sz w:val="21"/>
                <w:szCs w:val="21"/>
              </w:rPr>
              <w:t>运营调度</w:t>
            </w:r>
            <w:r>
              <w:rPr>
                <w:rFonts w:ascii="宋体" w:hAnsi="宋体" w:cs="宋体" w:eastAsia="宋体" w:hint="default"/>
                <w:w w:val="100"/>
                <w:sz w:val="21"/>
                <w:szCs w:val="21"/>
              </w:rPr>
              <w:t> </w:t>
            </w:r>
            <w:r>
              <w:rPr>
                <w:rFonts w:ascii="宋体" w:hAnsi="宋体" w:cs="宋体" w:eastAsia="宋体" w:hint="default"/>
                <w:sz w:val="21"/>
                <w:szCs w:val="21"/>
              </w:rPr>
              <w:t>指挥系统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96" w:right="0"/>
              <w:jc w:val="center"/>
              <w:rPr>
                <w:rFonts w:ascii="Times New Roman" w:hAnsi="Times New Roman" w:cs="Times New Roman" w:eastAsia="Times New Roman" w:hint="default"/>
                <w:sz w:val="21"/>
                <w:szCs w:val="21"/>
              </w:rPr>
            </w:pPr>
            <w:r>
              <w:rPr>
                <w:rFonts w:ascii="Times New Roman"/>
                <w:sz w:val="21"/>
              </w:rPr>
              <w:t>2,000,000.00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132"/>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w:t>
      </w:r>
    </w:p>
    <w:p>
      <w:pPr>
        <w:pStyle w:val="BodyText"/>
        <w:spacing w:line="331" w:lineRule="auto" w:before="185"/>
        <w:ind w:right="1131" w:firstLine="480"/>
        <w:jc w:val="both"/>
      </w:pPr>
      <w:r>
        <w:rPr/>
        <w:t>根据郑科计</w:t>
      </w:r>
      <w:r>
        <w:rPr>
          <w:rFonts w:ascii="Times New Roman" w:hAnsi="Times New Roman" w:cs="Times New Roman" w:eastAsia="Times New Roman" w:hint="default"/>
        </w:rPr>
        <w:t>[2013]4</w:t>
      </w:r>
      <w:r>
        <w:rPr>
          <w:rFonts w:ascii="Times New Roman" w:hAnsi="Times New Roman" w:cs="Times New Roman" w:eastAsia="Times New Roman" w:hint="default"/>
          <w:spacing w:val="-1"/>
        </w:rPr>
        <w:t> </w:t>
      </w:r>
      <w:r>
        <w:rPr/>
        <w:t>号关于下达郑州市</w:t>
      </w:r>
      <w:r>
        <w:rPr>
          <w:spacing w:val="-6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年第一批科技计划项目经费的通知，轨道交 通信息集成与网络化运营调度指挥系统项目收到郑州市财政局专项资金</w:t>
      </w:r>
      <w:r>
        <w:rPr>
          <w:spacing w:val="-59"/>
        </w:rPr>
        <w:t> </w:t>
      </w:r>
      <w:r>
        <w:rPr>
          <w:rFonts w:ascii="Times New Roman" w:hAnsi="Times New Roman" w:cs="Times New Roman" w:eastAsia="Times New Roman" w:hint="default"/>
        </w:rPr>
        <w:t>100.00 </w:t>
      </w:r>
      <w:r>
        <w:rPr>
          <w:spacing w:val="-4"/>
        </w:rPr>
        <w:t>万元，根据郑</w:t>
      </w:r>
      <w:r>
        <w:rPr/>
        <w:t> 科计</w:t>
      </w:r>
      <w:r>
        <w:rPr>
          <w:rFonts w:ascii="Times New Roman" w:hAnsi="Times New Roman" w:cs="Times New Roman" w:eastAsia="Times New Roman" w:hint="default"/>
        </w:rPr>
        <w:t>[2014]4</w:t>
      </w:r>
      <w:r>
        <w:rPr>
          <w:rFonts w:ascii="Times New Roman" w:hAnsi="Times New Roman" w:cs="Times New Roman" w:eastAsia="Times New Roman" w:hint="default"/>
          <w:spacing w:val="-1"/>
        </w:rPr>
        <w:t> </w:t>
      </w:r>
      <w:r>
        <w:rPr/>
        <w:t>号关于下达郑州市</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年第二批科技计划项目经费的通知，轨道交通信息集成 与网络化运营调度指挥系统项目收到郑州市财政局专项资金</w:t>
      </w:r>
      <w:r>
        <w:rPr>
          <w:spacing w:val="-59"/>
        </w:rPr>
        <w:t> </w:t>
      </w:r>
      <w:r>
        <w:rPr>
          <w:rFonts w:ascii="Times New Roman" w:hAnsi="Times New Roman" w:cs="Times New Roman" w:eastAsia="Times New Roman" w:hint="default"/>
        </w:rPr>
        <w:t>100.00 </w:t>
      </w:r>
      <w:r>
        <w:rPr>
          <w:spacing w:val="-5"/>
        </w:rPr>
        <w:t>万元，截至</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p>
    <w:p>
      <w:pPr>
        <w:pStyle w:val="BodyText"/>
        <w:spacing w:line="240" w:lineRule="auto" w:before="25"/>
        <w:ind w:right="996"/>
        <w:jc w:val="left"/>
      </w:pPr>
      <w:r>
        <w:rPr>
          <w:rFonts w:ascii="Times New Roman" w:hAnsi="Times New Roman" w:cs="Times New Roman" w:eastAsia="Times New Roman" w:hint="default"/>
        </w:rPr>
        <w:t>31 </w:t>
      </w:r>
      <w:r>
        <w:rPr/>
        <w:t>日止，该项目已完工结项。</w:t>
      </w:r>
    </w:p>
    <w:p>
      <w:pPr>
        <w:spacing w:line="240" w:lineRule="auto" w:before="2"/>
        <w:rPr>
          <w:rFonts w:ascii="宋体" w:hAnsi="宋体" w:cs="宋体" w:eastAsia="宋体" w:hint="default"/>
          <w:sz w:val="25"/>
          <w:szCs w:val="25"/>
        </w:rPr>
      </w:pPr>
    </w:p>
    <w:p>
      <w:pPr>
        <w:spacing w:before="0"/>
        <w:ind w:left="152" w:right="996" w:firstLine="0"/>
        <w:jc w:val="left"/>
        <w:rPr>
          <w:rFonts w:ascii="宋体" w:hAnsi="宋体" w:cs="宋体" w:eastAsia="宋体" w:hint="default"/>
          <w:sz w:val="21"/>
          <w:szCs w:val="21"/>
        </w:rPr>
      </w:pPr>
      <w:bookmarkStart w:name="52、其他非流动负债" w:id="345"/>
      <w:bookmarkEnd w:id="345"/>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是否已执行新收入准则</w:t>
      </w:r>
    </w:p>
    <w:p>
      <w:pPr>
        <w:pStyle w:val="BodyText"/>
        <w:spacing w:line="360" w:lineRule="auto" w:before="185"/>
        <w:ind w:left="633" w:right="90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无</w:t>
      </w:r>
    </w:p>
    <w:p>
      <w:pPr>
        <w:spacing w:line="240" w:lineRule="auto" w:before="5"/>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53、股本" w:id="346"/>
      <w:bookmarkEnd w:id="346"/>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376,656,420.</w:t>
            </w:r>
          </w:p>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z w:val="21"/>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376,656,420.</w:t>
            </w:r>
          </w:p>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z w:val="21"/>
              </w:rPr>
              <w:t>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54、其他权益工具" w:id="347"/>
      <w:bookmarkEnd w:id="347"/>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5、资本公积" w:id="348"/>
      <w:bookmarkEnd w:id="348"/>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54"/>
        <w:gridCol w:w="1712"/>
        <w:gridCol w:w="1560"/>
        <w:gridCol w:w="1418"/>
        <w:gridCol w:w="1916"/>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635,366,386.52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635,366,386.52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30,892,333.20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9,037,502.28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39,929,835.48</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666,258,719.72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9,037,502.28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675,296,222.00</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其他说明，包括本期增减变动情况、变动原因说明：</w:t>
      </w:r>
    </w:p>
    <w:p>
      <w:pPr>
        <w:pStyle w:val="BodyText"/>
        <w:spacing w:line="343" w:lineRule="auto" w:before="185"/>
        <w:ind w:right="1151" w:firstLine="480"/>
        <w:jc w:val="both"/>
      </w:pPr>
      <w:r>
        <w:rPr/>
        <w:t>资本公积</w:t>
      </w:r>
      <w:r>
        <w:rPr>
          <w:rFonts w:ascii="Times New Roman" w:hAnsi="Times New Roman" w:cs="Times New Roman" w:eastAsia="Times New Roman" w:hint="default"/>
        </w:rPr>
        <w:t>-</w:t>
      </w:r>
      <w:r>
        <w:rPr/>
        <w:t>其他资本公积期末余额较期初余额增加</w:t>
      </w:r>
      <w:r>
        <w:rPr>
          <w:spacing w:val="-60"/>
        </w:rPr>
        <w:t> </w:t>
      </w:r>
      <w:r>
        <w:rPr>
          <w:rFonts w:ascii="Times New Roman" w:hAnsi="Times New Roman" w:cs="Times New Roman" w:eastAsia="Times New Roman" w:hint="default"/>
        </w:rPr>
        <w:t>9,037,502.28</w:t>
      </w:r>
      <w:r>
        <w:rPr>
          <w:rFonts w:ascii="Times New Roman" w:hAnsi="Times New Roman" w:cs="Times New Roman" w:eastAsia="Times New Roman" w:hint="default"/>
          <w:spacing w:val="-1"/>
        </w:rPr>
        <w:t> </w:t>
      </w:r>
      <w:r>
        <w:rPr/>
        <w:t>元，系公司的参股企业飞 天联合其他股东增资后，导致公司享有飞天联合所有者权益变动；收到子公司交大驱动业绩 补偿款所致。</w:t>
      </w:r>
    </w:p>
    <w:p>
      <w:pPr>
        <w:spacing w:line="240" w:lineRule="auto" w:before="6"/>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56、库存股" w:id="349"/>
      <w:bookmarkEnd w:id="349"/>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7、其他综合收益" w:id="350"/>
      <w:bookmarkEnd w:id="350"/>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3"/>
        <w:gridCol w:w="840"/>
        <w:gridCol w:w="863"/>
        <w:gridCol w:w="853"/>
        <w:gridCol w:w="852"/>
        <w:gridCol w:w="727"/>
      </w:tblGrid>
      <w:tr>
        <w:trPr>
          <w:trHeight w:val="396"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32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2" w:right="6"/>
              <w:jc w:val="center"/>
              <w:rPr>
                <w:rFonts w:ascii="宋体" w:hAnsi="宋体" w:cs="宋体" w:eastAsia="宋体" w:hint="default"/>
                <w:sz w:val="21"/>
                <w:szCs w:val="21"/>
              </w:rPr>
            </w:pPr>
            <w:r>
              <w:rPr>
                <w:rFonts w:ascii="宋体" w:hAnsi="宋体" w:cs="宋体" w:eastAsia="宋体" w:hint="default"/>
                <w:spacing w:val="-12"/>
                <w:sz w:val="21"/>
                <w:szCs w:val="21"/>
              </w:rPr>
              <w:t>减：前期</w:t>
            </w:r>
            <w:r>
              <w:rPr>
                <w:rFonts w:ascii="宋体" w:hAnsi="宋体" w:cs="宋体" w:eastAsia="宋体" w:hint="default"/>
                <w:w w:val="100"/>
                <w:sz w:val="21"/>
                <w:szCs w:val="21"/>
              </w:rPr>
              <w:t> </w:t>
            </w:r>
            <w:r>
              <w:rPr>
                <w:rFonts w:ascii="宋体" w:hAnsi="宋体" w:cs="宋体" w:eastAsia="宋体" w:hint="default"/>
                <w:sz w:val="21"/>
                <w:szCs w:val="21"/>
              </w:rPr>
              <w:t>计入其</w:t>
            </w:r>
            <w:r>
              <w:rPr>
                <w:rFonts w:ascii="宋体" w:hAnsi="宋体" w:cs="宋体" w:eastAsia="宋体" w:hint="default"/>
                <w:w w:val="100"/>
                <w:sz w:val="21"/>
                <w:szCs w:val="21"/>
              </w:rPr>
              <w:t> </w:t>
            </w:r>
            <w:r>
              <w:rPr>
                <w:rFonts w:ascii="宋体" w:hAnsi="宋体" w:cs="宋体" w:eastAsia="宋体" w:hint="default"/>
                <w:sz w:val="21"/>
                <w:szCs w:val="21"/>
              </w:rPr>
              <w:t>他综合</w:t>
            </w:r>
            <w:r>
              <w:rPr>
                <w:rFonts w:ascii="宋体" w:hAnsi="宋体" w:cs="宋体" w:eastAsia="宋体" w:hint="default"/>
                <w:w w:val="100"/>
                <w:sz w:val="21"/>
                <w:szCs w:val="21"/>
              </w:rPr>
              <w:t> </w:t>
            </w:r>
            <w:r>
              <w:rPr>
                <w:rFonts w:ascii="宋体" w:hAnsi="宋体" w:cs="宋体" w:eastAsia="宋体" w:hint="default"/>
                <w:sz w:val="21"/>
                <w:szCs w:val="21"/>
              </w:rPr>
              <w:t>收益当</w:t>
            </w:r>
            <w:r>
              <w:rPr>
                <w:rFonts w:ascii="宋体" w:hAnsi="宋体" w:cs="宋体" w:eastAsia="宋体" w:hint="default"/>
                <w:w w:val="100"/>
                <w:sz w:val="21"/>
                <w:szCs w:val="21"/>
              </w:rPr>
              <w:t> </w:t>
            </w:r>
            <w:r>
              <w:rPr>
                <w:rFonts w:ascii="宋体" w:hAnsi="宋体" w:cs="宋体" w:eastAsia="宋体" w:hint="default"/>
                <w:sz w:val="21"/>
                <w:szCs w:val="21"/>
              </w:rPr>
              <w:t>期转入</w:t>
            </w:r>
            <w:r>
              <w:rPr>
                <w:rFonts w:ascii="宋体" w:hAnsi="宋体" w:cs="宋体" w:eastAsia="宋体" w:hint="default"/>
                <w:w w:val="100"/>
                <w:sz w:val="21"/>
                <w:szCs w:val="21"/>
              </w:rPr>
              <w:t> </w:t>
            </w:r>
            <w:r>
              <w:rPr>
                <w:rFonts w:ascii="宋体" w:hAnsi="宋体" w:cs="宋体" w:eastAsia="宋体" w:hint="default"/>
                <w:sz w:val="21"/>
                <w:szCs w:val="21"/>
              </w:rPr>
              <w:t>留存收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63"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31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23" w:right="21"/>
              <w:jc w:val="center"/>
              <w:rPr>
                <w:rFonts w:ascii="宋体" w:hAnsi="宋体" w:cs="宋体" w:eastAsia="宋体" w:hint="default"/>
                <w:sz w:val="21"/>
                <w:szCs w:val="21"/>
              </w:rPr>
            </w:pPr>
            <w:r>
              <w:rPr>
                <w:rFonts w:ascii="宋体" w:hAnsi="宋体" w:cs="宋体" w:eastAsia="宋体" w:hint="default"/>
                <w:spacing w:val="-13"/>
                <w:sz w:val="21"/>
                <w:szCs w:val="21"/>
              </w:rPr>
              <w:t>减：前期计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入其他综</w:t>
            </w:r>
            <w:r>
              <w:rPr>
                <w:rFonts w:ascii="宋体" w:hAnsi="宋体" w:cs="宋体" w:eastAsia="宋体" w:hint="default"/>
                <w:w w:val="100"/>
                <w:sz w:val="21"/>
                <w:szCs w:val="21"/>
              </w:rPr>
              <w:t> </w:t>
            </w:r>
            <w:r>
              <w:rPr>
                <w:rFonts w:ascii="宋体" w:hAnsi="宋体" w:cs="宋体" w:eastAsia="宋体" w:hint="default"/>
                <w:sz w:val="21"/>
                <w:szCs w:val="21"/>
              </w:rPr>
              <w:t>合收益当</w:t>
            </w:r>
            <w:r>
              <w:rPr>
                <w:rFonts w:ascii="宋体" w:hAnsi="宋体" w:cs="宋体" w:eastAsia="宋体" w:hint="default"/>
                <w:w w:val="100"/>
                <w:sz w:val="21"/>
                <w:szCs w:val="21"/>
              </w:rPr>
              <w:t> </w:t>
            </w:r>
            <w:r>
              <w:rPr>
                <w:rFonts w:ascii="宋体" w:hAnsi="宋体" w:cs="宋体" w:eastAsia="宋体" w:hint="default"/>
                <w:sz w:val="21"/>
                <w:szCs w:val="21"/>
              </w:rPr>
              <w:t>期转入损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5" w:right="101"/>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5" w:right="101"/>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5" w:right="101"/>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70"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52"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0"/>
              <w:ind w:left="116" w:right="17" w:hanging="82"/>
              <w:jc w:val="left"/>
              <w:rPr>
                <w:rFonts w:ascii="宋体" w:hAnsi="宋体" w:cs="宋体" w:eastAsia="宋体" w:hint="default"/>
                <w:sz w:val="21"/>
                <w:szCs w:val="21"/>
              </w:rPr>
            </w:pPr>
            <w:r>
              <w:rPr>
                <w:rFonts w:ascii="宋体" w:hAnsi="宋体" w:cs="宋体" w:eastAsia="宋体" w:hint="default"/>
                <w:spacing w:val="-12"/>
                <w:sz w:val="21"/>
                <w:szCs w:val="21"/>
              </w:rPr>
              <w:t>减：所得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税费用</w:t>
            </w: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31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317"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一、不能重分类进损益的其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他综合收益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3" w:right="0"/>
              <w:jc w:val="left"/>
              <w:rPr>
                <w:rFonts w:ascii="Times New Roman" w:hAnsi="Times New Roman" w:cs="Times New Roman" w:eastAsia="Times New Roman" w:hint="default"/>
                <w:sz w:val="21"/>
                <w:szCs w:val="21"/>
              </w:rPr>
            </w:pPr>
            <w:r>
              <w:rPr>
                <w:rFonts w:ascii="Times New Roman"/>
                <w:sz w:val="21"/>
              </w:rPr>
              <w:t>-114,634,1</w:t>
            </w:r>
          </w:p>
          <w:p>
            <w:pPr>
              <w:pStyle w:val="TableParagraph"/>
              <w:spacing w:line="240" w:lineRule="auto" w:before="68"/>
              <w:ind w:left="463" w:right="0"/>
              <w:jc w:val="left"/>
              <w:rPr>
                <w:rFonts w:ascii="Times New Roman" w:hAnsi="Times New Roman" w:cs="Times New Roman" w:eastAsia="Times New Roman" w:hint="default"/>
                <w:sz w:val="21"/>
                <w:szCs w:val="21"/>
              </w:rPr>
            </w:pPr>
            <w:r>
              <w:rPr>
                <w:rFonts w:ascii="Times New Roman"/>
                <w:sz w:val="21"/>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4,868,20</w:t>
            </w:r>
          </w:p>
          <w:p>
            <w:pPr>
              <w:pStyle w:val="TableParagraph"/>
              <w:spacing w:line="240" w:lineRule="auto" w:before="68"/>
              <w:ind w:left="453" w:right="0"/>
              <w:jc w:val="left"/>
              <w:rPr>
                <w:rFonts w:ascii="Times New Roman" w:hAnsi="Times New Roman" w:cs="Times New Roman" w:eastAsia="Times New Roman" w:hint="default"/>
                <w:sz w:val="21"/>
                <w:szCs w:val="21"/>
              </w:rPr>
            </w:pPr>
            <w:r>
              <w:rPr>
                <w:rFonts w:ascii="Times New Roman"/>
                <w:sz w:val="21"/>
              </w:rPr>
              <w:t>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9" w:right="0"/>
              <w:jc w:val="center"/>
              <w:rPr>
                <w:rFonts w:ascii="Times New Roman" w:hAnsi="Times New Roman" w:cs="Times New Roman" w:eastAsia="Times New Roman" w:hint="default"/>
                <w:sz w:val="21"/>
                <w:szCs w:val="21"/>
              </w:rPr>
            </w:pPr>
            <w:r>
              <w:rPr>
                <w:rFonts w:ascii="Times New Roman"/>
                <w:sz w:val="21"/>
              </w:rPr>
              <w:t>-16,464,</w:t>
            </w:r>
          </w:p>
          <w:p>
            <w:pPr>
              <w:pStyle w:val="TableParagraph"/>
              <w:spacing w:line="240" w:lineRule="auto" w:before="68"/>
              <w:ind w:left="234" w:right="0"/>
              <w:jc w:val="center"/>
              <w:rPr>
                <w:rFonts w:ascii="Times New Roman" w:hAnsi="Times New Roman" w:cs="Times New Roman" w:eastAsia="Times New Roman" w:hint="default"/>
                <w:sz w:val="21"/>
                <w:szCs w:val="21"/>
              </w:rPr>
            </w:pPr>
            <w:r>
              <w:rPr>
                <w:rFonts w:ascii="Times New Roman"/>
                <w:sz w:val="21"/>
              </w:rPr>
              <w:t>885.00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21,333,0</w:t>
            </w:r>
          </w:p>
          <w:p>
            <w:pPr>
              <w:pStyle w:val="TableParagraph"/>
              <w:spacing w:line="240" w:lineRule="auto" w:before="68"/>
              <w:ind w:left="347" w:right="0"/>
              <w:jc w:val="left"/>
              <w:rPr>
                <w:rFonts w:ascii="Times New Roman" w:hAnsi="Times New Roman" w:cs="Times New Roman" w:eastAsia="Times New Roman" w:hint="default"/>
                <w:sz w:val="21"/>
                <w:szCs w:val="21"/>
              </w:rPr>
            </w:pPr>
            <w:r>
              <w:rPr>
                <w:rFonts w:ascii="Times New Roman"/>
                <w:sz w:val="21"/>
              </w:rPr>
              <w:t>85.00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-93,301</w:t>
            </w:r>
          </w:p>
          <w:p>
            <w:pPr>
              <w:pStyle w:val="TableParagraph"/>
              <w:spacing w:line="240" w:lineRule="auto" w:before="68"/>
              <w:ind w:left="62" w:right="0"/>
              <w:jc w:val="left"/>
              <w:rPr>
                <w:rFonts w:ascii="Times New Roman" w:hAnsi="Times New Roman" w:cs="Times New Roman" w:eastAsia="Times New Roman" w:hint="default"/>
                <w:sz w:val="21"/>
                <w:szCs w:val="21"/>
              </w:rPr>
            </w:pPr>
            <w:r>
              <w:rPr>
                <w:rFonts w:ascii="Times New Roman"/>
                <w:sz w:val="21"/>
              </w:rPr>
              <w:t>,015.00</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06" w:firstLine="631"/>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w w:val="100"/>
                <w:sz w:val="21"/>
                <w:szCs w:val="21"/>
              </w:rPr>
              <w:t> </w:t>
            </w:r>
            <w:r>
              <w:rPr>
                <w:rFonts w:ascii="宋体" w:hAnsi="宋体" w:cs="宋体" w:eastAsia="宋体" w:hint="default"/>
                <w:sz w:val="21"/>
                <w:szCs w:val="21"/>
              </w:rPr>
              <w:t>公允价值变动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33" w:right="0"/>
              <w:jc w:val="left"/>
              <w:rPr>
                <w:rFonts w:ascii="Times New Roman" w:hAnsi="Times New Roman" w:cs="Times New Roman" w:eastAsia="Times New Roman" w:hint="default"/>
                <w:sz w:val="21"/>
                <w:szCs w:val="21"/>
              </w:rPr>
            </w:pPr>
            <w:r>
              <w:rPr>
                <w:rFonts w:ascii="Times New Roman"/>
                <w:sz w:val="21"/>
              </w:rPr>
              <w:t>-114,634,1</w:t>
            </w:r>
          </w:p>
          <w:p>
            <w:pPr>
              <w:pStyle w:val="TableParagraph"/>
              <w:spacing w:line="240" w:lineRule="auto" w:before="70"/>
              <w:ind w:left="463" w:right="0"/>
              <w:jc w:val="left"/>
              <w:rPr>
                <w:rFonts w:ascii="Times New Roman" w:hAnsi="Times New Roman" w:cs="Times New Roman" w:eastAsia="Times New Roman" w:hint="default"/>
                <w:sz w:val="21"/>
                <w:szCs w:val="21"/>
              </w:rPr>
            </w:pPr>
            <w:r>
              <w:rPr>
                <w:rFonts w:ascii="Times New Roman"/>
                <w:sz w:val="21"/>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4,868,20</w:t>
            </w:r>
          </w:p>
          <w:p>
            <w:pPr>
              <w:pStyle w:val="TableParagraph"/>
              <w:spacing w:line="240" w:lineRule="auto" w:before="70"/>
              <w:ind w:left="453" w:right="0"/>
              <w:jc w:val="left"/>
              <w:rPr>
                <w:rFonts w:ascii="Times New Roman" w:hAnsi="Times New Roman" w:cs="Times New Roman" w:eastAsia="Times New Roman" w:hint="default"/>
                <w:sz w:val="21"/>
                <w:szCs w:val="21"/>
              </w:rPr>
            </w:pPr>
            <w:r>
              <w:rPr>
                <w:rFonts w:ascii="Times New Roman"/>
                <w:sz w:val="21"/>
              </w:rPr>
              <w:t>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9" w:right="0"/>
              <w:jc w:val="center"/>
              <w:rPr>
                <w:rFonts w:ascii="Times New Roman" w:hAnsi="Times New Roman" w:cs="Times New Roman" w:eastAsia="Times New Roman" w:hint="default"/>
                <w:sz w:val="21"/>
                <w:szCs w:val="21"/>
              </w:rPr>
            </w:pPr>
            <w:r>
              <w:rPr>
                <w:rFonts w:ascii="Times New Roman"/>
                <w:sz w:val="21"/>
              </w:rPr>
              <w:t>-16,464,</w:t>
            </w:r>
          </w:p>
          <w:p>
            <w:pPr>
              <w:pStyle w:val="TableParagraph"/>
              <w:spacing w:line="240" w:lineRule="auto" w:before="70"/>
              <w:ind w:left="234" w:right="0"/>
              <w:jc w:val="center"/>
              <w:rPr>
                <w:rFonts w:ascii="Times New Roman" w:hAnsi="Times New Roman" w:cs="Times New Roman" w:eastAsia="Times New Roman" w:hint="default"/>
                <w:sz w:val="21"/>
                <w:szCs w:val="21"/>
              </w:rPr>
            </w:pPr>
            <w:r>
              <w:rPr>
                <w:rFonts w:ascii="Times New Roman"/>
                <w:sz w:val="21"/>
              </w:rPr>
              <w:t>885.00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 w:right="0"/>
              <w:jc w:val="left"/>
              <w:rPr>
                <w:rFonts w:ascii="Times New Roman" w:hAnsi="Times New Roman" w:cs="Times New Roman" w:eastAsia="Times New Roman" w:hint="default"/>
                <w:sz w:val="21"/>
                <w:szCs w:val="21"/>
              </w:rPr>
            </w:pPr>
            <w:r>
              <w:rPr>
                <w:rFonts w:ascii="Times New Roman"/>
                <w:sz w:val="21"/>
              </w:rPr>
              <w:t>21,333,0</w:t>
            </w:r>
          </w:p>
          <w:p>
            <w:pPr>
              <w:pStyle w:val="TableParagraph"/>
              <w:spacing w:line="240" w:lineRule="auto" w:before="70"/>
              <w:ind w:left="347" w:right="0"/>
              <w:jc w:val="left"/>
              <w:rPr>
                <w:rFonts w:ascii="Times New Roman" w:hAnsi="Times New Roman" w:cs="Times New Roman" w:eastAsia="Times New Roman" w:hint="default"/>
                <w:sz w:val="21"/>
                <w:szCs w:val="21"/>
              </w:rPr>
            </w:pPr>
            <w:r>
              <w:rPr>
                <w:rFonts w:ascii="Times New Roman"/>
                <w:sz w:val="21"/>
              </w:rPr>
              <w:t>85.00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21"/>
                <w:szCs w:val="21"/>
              </w:rPr>
            </w:pPr>
            <w:r>
              <w:rPr>
                <w:rFonts w:ascii="Times New Roman"/>
                <w:sz w:val="21"/>
              </w:rPr>
              <w:t>-93,301</w:t>
            </w:r>
          </w:p>
          <w:p>
            <w:pPr>
              <w:pStyle w:val="TableParagraph"/>
              <w:spacing w:line="240" w:lineRule="auto" w:before="70"/>
              <w:ind w:left="62" w:right="0"/>
              <w:jc w:val="left"/>
              <w:rPr>
                <w:rFonts w:ascii="Times New Roman" w:hAnsi="Times New Roman" w:cs="Times New Roman" w:eastAsia="Times New Roman" w:hint="default"/>
                <w:sz w:val="21"/>
                <w:szCs w:val="21"/>
              </w:rPr>
            </w:pPr>
            <w:r>
              <w:rPr>
                <w:rFonts w:ascii="Times New Roman"/>
                <w:sz w:val="21"/>
              </w:rPr>
              <w:t>,015.00</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3"/>
                <w:sz w:val="21"/>
                <w:szCs w:val="21"/>
              </w:rPr>
              <w:t>二、将重分类进损益的其他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综合收益</w:t>
            </w:r>
          </w:p>
        </w:tc>
        <w:tc>
          <w:tcPr>
            <w:tcW w:w="9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8</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16,179.</w:t>
            </w:r>
          </w:p>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z w:val="21"/>
              </w:rPr>
              <w:t>78</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jc w:val="left"/>
              <w:rPr>
                <w:rFonts w:ascii="宋体" w:hAnsi="宋体" w:cs="宋体" w:eastAsia="宋体" w:hint="default"/>
                <w:sz w:val="21"/>
                <w:szCs w:val="21"/>
              </w:rPr>
            </w:pPr>
            <w:r>
              <w:rPr>
                <w:rFonts w:ascii="宋体" w:hAnsi="宋体" w:cs="宋体" w:eastAsia="宋体" w:hint="default"/>
                <w:spacing w:val="-3"/>
                <w:sz w:val="21"/>
                <w:szCs w:val="21"/>
              </w:rPr>
              <w:t>其中：权益法下可转损益的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其他综合收益</w:t>
            </w:r>
          </w:p>
        </w:tc>
        <w:tc>
          <w:tcPr>
            <w:tcW w:w="9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8</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16,179.7</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16,179.</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sz w:val="21"/>
              </w:rPr>
              <w:t>78</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 w:right="0"/>
              <w:jc w:val="left"/>
              <w:rPr>
                <w:rFonts w:ascii="Times New Roman" w:hAnsi="Times New Roman" w:cs="Times New Roman" w:eastAsia="Times New Roman" w:hint="default"/>
                <w:sz w:val="21"/>
                <w:szCs w:val="21"/>
              </w:rPr>
            </w:pPr>
            <w:r>
              <w:rPr>
                <w:rFonts w:ascii="Times New Roman"/>
                <w:sz w:val="21"/>
              </w:rPr>
              <w:t>-114,634,1</w:t>
            </w:r>
          </w:p>
          <w:p>
            <w:pPr>
              <w:pStyle w:val="TableParagraph"/>
              <w:spacing w:line="240" w:lineRule="auto" w:before="70"/>
              <w:ind w:left="471" w:right="0"/>
              <w:jc w:val="left"/>
              <w:rPr>
                <w:rFonts w:ascii="Times New Roman" w:hAnsi="Times New Roman" w:cs="Times New Roman" w:eastAsia="Times New Roman" w:hint="default"/>
                <w:sz w:val="21"/>
                <w:szCs w:val="21"/>
              </w:rPr>
            </w:pPr>
            <w:r>
              <w:rPr>
                <w:rFonts w:ascii="Times New Roman"/>
                <w:sz w:val="21"/>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4,884,379.7</w:t>
            </w:r>
            <w:r>
              <w:rPr>
                <w:rFonts w:ascii="Arial"/>
                <w:spacing w:val="-1"/>
                <w:sz w:val="18"/>
              </w:rPr>
            </w:r>
          </w:p>
          <w:p>
            <w:pPr>
              <w:pStyle w:val="TableParagraph"/>
              <w:spacing w:line="240" w:lineRule="auto" w:before="105"/>
              <w:ind w:right="19"/>
              <w:jc w:val="right"/>
              <w:rPr>
                <w:rFonts w:ascii="Arial" w:hAnsi="Arial" w:cs="Arial" w:eastAsia="Arial" w:hint="default"/>
                <w:sz w:val="18"/>
                <w:szCs w:val="18"/>
              </w:rPr>
            </w:pPr>
            <w:r>
              <w:rPr>
                <w:rFonts w:ascii="Arial"/>
                <w:w w:val="82"/>
                <w:sz w:val="18"/>
              </w:rPr>
              <w:t>8</w:t>
            </w:r>
            <w:r>
              <w:rPr>
                <w:rFonts w:ascii="Arial"/>
                <w:sz w:val="18"/>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-16,464,885</w:t>
            </w:r>
            <w:r>
              <w:rPr>
                <w:rFonts w:ascii="Arial"/>
                <w:spacing w:val="-1"/>
                <w:sz w:val="18"/>
              </w:rPr>
            </w:r>
          </w:p>
          <w:p>
            <w:pPr>
              <w:pStyle w:val="TableParagraph"/>
              <w:spacing w:line="240" w:lineRule="auto" w:before="105"/>
              <w:ind w:right="21"/>
              <w:jc w:val="right"/>
              <w:rPr>
                <w:rFonts w:ascii="Arial" w:hAnsi="Arial" w:cs="Arial" w:eastAsia="Arial" w:hint="default"/>
                <w:sz w:val="18"/>
                <w:szCs w:val="18"/>
              </w:rPr>
            </w:pPr>
            <w:r>
              <w:rPr>
                <w:rFonts w:ascii="Arial"/>
                <w:spacing w:val="-1"/>
                <w:w w:val="80"/>
                <w:sz w:val="18"/>
              </w:rPr>
              <w:t>.00</w:t>
            </w:r>
            <w:r>
              <w:rPr>
                <w:rFonts w:ascii="Arial"/>
                <w:spacing w:val="-1"/>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21,349,264.</w:t>
            </w:r>
            <w:r>
              <w:rPr>
                <w:rFonts w:ascii="Arial"/>
                <w:spacing w:val="-1"/>
                <w:sz w:val="18"/>
              </w:rPr>
            </w:r>
          </w:p>
          <w:p>
            <w:pPr>
              <w:pStyle w:val="TableParagraph"/>
              <w:spacing w:line="240" w:lineRule="auto" w:before="105"/>
              <w:ind w:right="19"/>
              <w:jc w:val="right"/>
              <w:rPr>
                <w:rFonts w:ascii="Arial" w:hAnsi="Arial" w:cs="Arial" w:eastAsia="Arial" w:hint="default"/>
                <w:sz w:val="18"/>
                <w:szCs w:val="18"/>
              </w:rPr>
            </w:pPr>
            <w:r>
              <w:rPr>
                <w:rFonts w:ascii="Arial"/>
                <w:spacing w:val="-2"/>
                <w:w w:val="80"/>
                <w:sz w:val="18"/>
              </w:rPr>
              <w:t>78</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9" w:right="0"/>
              <w:jc w:val="left"/>
              <w:rPr>
                <w:rFonts w:ascii="Arial" w:hAnsi="Arial" w:cs="Arial" w:eastAsia="Arial" w:hint="default"/>
                <w:sz w:val="18"/>
                <w:szCs w:val="18"/>
              </w:rPr>
            </w:pPr>
            <w:r>
              <w:rPr>
                <w:rFonts w:ascii="Arial"/>
                <w:w w:val="80"/>
                <w:sz w:val="18"/>
              </w:rPr>
              <w:t>-93,284,8</w:t>
            </w:r>
            <w:r>
              <w:rPr>
                <w:rFonts w:ascii="Arial"/>
                <w:sz w:val="18"/>
              </w:rPr>
            </w:r>
          </w:p>
          <w:p>
            <w:pPr>
              <w:pStyle w:val="TableParagraph"/>
              <w:spacing w:line="240" w:lineRule="auto" w:before="105"/>
              <w:ind w:left="324" w:right="0"/>
              <w:jc w:val="left"/>
              <w:rPr>
                <w:rFonts w:ascii="Arial" w:hAnsi="Arial" w:cs="Arial" w:eastAsia="Arial" w:hint="default"/>
                <w:sz w:val="18"/>
                <w:szCs w:val="18"/>
              </w:rPr>
            </w:pPr>
            <w:r>
              <w:rPr>
                <w:rFonts w:ascii="Arial"/>
                <w:w w:val="85"/>
                <w:sz w:val="18"/>
              </w:rPr>
              <w:t>35.22</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0" w:right="9353" w:firstLine="0"/>
        <w:jc w:val="center"/>
        <w:rPr>
          <w:rFonts w:ascii="宋体" w:hAnsi="宋体" w:cs="宋体" w:eastAsia="宋体" w:hint="default"/>
          <w:sz w:val="21"/>
          <w:szCs w:val="21"/>
        </w:rPr>
      </w:pPr>
      <w:bookmarkStart w:name="58、专项储备" w:id="351"/>
      <w:bookmarkEnd w:id="351"/>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0" w:right="9417"/>
        <w:jc w:val="center"/>
      </w:pPr>
      <w:r>
        <w:rPr/>
        <w:t>无</w:t>
      </w:r>
    </w:p>
    <w:p>
      <w:pPr>
        <w:spacing w:line="240" w:lineRule="auto" w:before="5"/>
        <w:rPr>
          <w:rFonts w:ascii="宋体" w:hAnsi="宋体" w:cs="宋体" w:eastAsia="宋体" w:hint="default"/>
          <w:sz w:val="26"/>
          <w:szCs w:val="26"/>
        </w:rPr>
      </w:pPr>
    </w:p>
    <w:p>
      <w:pPr>
        <w:spacing w:before="0"/>
        <w:ind w:left="0" w:right="9353" w:firstLine="0"/>
        <w:jc w:val="center"/>
        <w:rPr>
          <w:rFonts w:ascii="宋体" w:hAnsi="宋体" w:cs="宋体" w:eastAsia="宋体" w:hint="default"/>
          <w:sz w:val="21"/>
          <w:szCs w:val="21"/>
        </w:rPr>
      </w:pPr>
      <w:bookmarkStart w:name="59、盈余公积" w:id="352"/>
      <w:bookmarkEnd w:id="352"/>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68,270,222.97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5,285,900.00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73,556,122.97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68,270,222.97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5,285,900.00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73,556,122.97</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盈余公积说明，包括本期增减变动情况、变动原因说明：无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60、未分配利润" w:id="353"/>
      <w:bookmarkEnd w:id="353"/>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317,047,183.23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292,674,542.28</w:t>
            </w:r>
          </w:p>
        </w:tc>
      </w:tr>
      <w:tr>
        <w:trPr>
          <w:trHeight w:val="71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2" w:right="18"/>
              <w:jc w:val="left"/>
              <w:rPr>
                <w:rFonts w:ascii="宋体" w:hAnsi="宋体" w:cs="宋体" w:eastAsia="宋体" w:hint="default"/>
                <w:sz w:val="21"/>
                <w:szCs w:val="21"/>
              </w:rPr>
            </w:pPr>
            <w:r>
              <w:rPr>
                <w:rFonts w:ascii="宋体" w:hAnsi="宋体" w:cs="宋体" w:eastAsia="宋体" w:hint="default"/>
                <w:spacing w:val="-3"/>
                <w:sz w:val="21"/>
                <w:szCs w:val="21"/>
              </w:rPr>
              <w:t>调整期初未分配利润合计数（调增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，调</w:t>
            </w:r>
            <w:r>
              <w:rPr>
                <w:rFonts w:ascii="宋体" w:hAnsi="宋体" w:cs="宋体" w:eastAsia="宋体" w:hint="default"/>
                <w:spacing w:val="-84"/>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114,634,100.00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431,681,283.23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292,674,542.28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67,034,018.98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27,732,998.08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5,285,900.00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Times New Roman" w:hAnsi="Times New Roman" w:cs="Times New Roman" w:eastAsia="Times New Roman" w:hint="default"/>
                <w:sz w:val="21"/>
                <w:szCs w:val="21"/>
              </w:rPr>
            </w:pPr>
            <w:r>
              <w:rPr>
                <w:rFonts w:ascii="Times New Roman"/>
                <w:spacing w:val="-1"/>
                <w:sz w:val="21"/>
              </w:rPr>
              <w:t>3,360,357.13</w:t>
            </w:r>
          </w:p>
        </w:tc>
      </w:tr>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493,429,402.21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317,047,183.23</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调整期初未分配利润明细：</w:t>
      </w:r>
    </w:p>
    <w:p>
      <w:pPr>
        <w:pStyle w:val="BodyText"/>
        <w:spacing w:line="240" w:lineRule="auto" w:before="185"/>
        <w:ind w:left="633"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w:t>
      </w:r>
      <w:r>
        <w:rPr>
          <w:spacing w:val="-59"/>
        </w:rPr>
        <w:t> </w:t>
      </w:r>
      <w:r>
        <w:rPr>
          <w:rFonts w:ascii="Times New Roman" w:hAnsi="Times New Roman" w:cs="Times New Roman" w:eastAsia="Times New Roman" w:hint="default"/>
        </w:rPr>
        <w:t>0.00 </w:t>
      </w:r>
      <w:r>
        <w:rPr/>
        <w:t>元。</w:t>
      </w:r>
    </w:p>
    <w:p>
      <w:pPr>
        <w:pStyle w:val="BodyText"/>
        <w:spacing w:line="240" w:lineRule="auto" w:before="167"/>
        <w:ind w:left="633" w:right="996"/>
        <w:jc w:val="left"/>
      </w:pPr>
      <w:r>
        <w:rPr>
          <w:rFonts w:ascii="Times New Roman" w:hAnsi="Times New Roman" w:cs="Times New Roman" w:eastAsia="Times New Roman" w:hint="default"/>
        </w:rPr>
        <w:t>2)</w:t>
      </w:r>
      <w:r>
        <w:rPr/>
        <w:t>、由于会计政策变更，影响期初未分配利润</w:t>
      </w:r>
      <w:r>
        <w:rPr>
          <w:spacing w:val="-66"/>
        </w:rPr>
        <w:t> </w:t>
      </w:r>
      <w:r>
        <w:rPr>
          <w:rFonts w:ascii="Times New Roman" w:hAnsi="Times New Roman" w:cs="Times New Roman" w:eastAsia="Times New Roman" w:hint="default"/>
        </w:rPr>
        <w:t>114,634,100.00</w:t>
      </w:r>
      <w:r>
        <w:rPr>
          <w:rFonts w:ascii="Times New Roman" w:hAnsi="Times New Roman" w:cs="Times New Roman" w:eastAsia="Times New Roman" w:hint="default"/>
          <w:spacing w:val="-6"/>
        </w:rPr>
        <w:t> </w:t>
      </w:r>
      <w:r>
        <w:rPr/>
        <w:t>元。</w:t>
      </w:r>
    </w:p>
    <w:p>
      <w:pPr>
        <w:pStyle w:val="BodyText"/>
        <w:spacing w:line="240" w:lineRule="auto" w:before="167"/>
        <w:ind w:left="633" w:right="996"/>
        <w:jc w:val="left"/>
      </w:pPr>
      <w:r>
        <w:rPr>
          <w:rFonts w:ascii="Times New Roman" w:hAnsi="Times New Roman" w:cs="Times New Roman" w:eastAsia="Times New Roman" w:hint="default"/>
        </w:rPr>
        <w:t>3)</w:t>
      </w:r>
      <w:r>
        <w:rPr/>
        <w:t>、由于重大会计差错更正，影响期初未分配利润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633" w:right="996"/>
        <w:jc w:val="left"/>
      </w:pPr>
      <w:r>
        <w:rPr>
          <w:rFonts w:ascii="Times New Roman" w:hAnsi="Times New Roman" w:cs="Times New Roman" w:eastAsia="Times New Roman" w:hint="default"/>
        </w:rPr>
        <w:t>4)</w:t>
      </w:r>
      <w:r>
        <w:rPr/>
        <w:t>、由于同一控制导致的合并范围变更，影响期初未分配利润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98"/>
        <w:ind w:left="633" w:right="996"/>
        <w:jc w:val="left"/>
      </w:pPr>
      <w:r>
        <w:rPr>
          <w:rFonts w:ascii="Times New Roman" w:hAnsi="Times New Roman" w:cs="Times New Roman" w:eastAsia="Times New Roman" w:hint="default"/>
        </w:rPr>
        <w:t>5)</w:t>
      </w:r>
      <w:r>
        <w:rPr/>
        <w:t>、其他调整合计影响期初未分配利润</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bookmarkStart w:name="61、营业收入和营业成本" w:id="354"/>
      <w:bookmarkEnd w:id="354"/>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432,292,601.86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261,891,951.30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461,176,558.07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257,305,726.61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72,116,308.31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23,482,072.93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67,531,646.96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21,135,655.75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504,408,910.17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285,374,024.23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528,708,205.03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278,441,382.36</w:t>
            </w:r>
          </w:p>
        </w:tc>
      </w:tr>
    </w:tbl>
    <w:p>
      <w:pPr>
        <w:spacing w:line="240" w:lineRule="auto" w:before="11"/>
        <w:rPr>
          <w:rFonts w:ascii="宋体" w:hAnsi="宋体" w:cs="宋体" w:eastAsia="宋体" w:hint="default"/>
          <w:sz w:val="7"/>
          <w:szCs w:val="7"/>
        </w:rPr>
      </w:pPr>
    </w:p>
    <w:p>
      <w:pPr>
        <w:pStyle w:val="BodyText"/>
        <w:spacing w:line="240" w:lineRule="auto" w:before="26"/>
        <w:ind w:left="633" w:right="996"/>
        <w:jc w:val="left"/>
      </w:pPr>
      <w:r>
        <w:rPr/>
        <w:t>是否已执行新收入准则</w:t>
      </w:r>
    </w:p>
    <w:p>
      <w:pPr>
        <w:pStyle w:val="BodyText"/>
        <w:spacing w:line="372" w:lineRule="auto" w:before="185"/>
        <w:ind w:left="633"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其他说明 无</w:t>
      </w:r>
    </w:p>
    <w:p>
      <w:pPr>
        <w:spacing w:before="215"/>
        <w:ind w:left="152" w:right="996" w:firstLine="0"/>
        <w:jc w:val="left"/>
        <w:rPr>
          <w:rFonts w:ascii="宋体" w:hAnsi="宋体" w:cs="宋体" w:eastAsia="宋体" w:hint="default"/>
          <w:sz w:val="21"/>
          <w:szCs w:val="21"/>
        </w:rPr>
      </w:pPr>
      <w:bookmarkStart w:name="62、税金及附加" w:id="355"/>
      <w:bookmarkEnd w:id="355"/>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2,681,200.97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2,998,193.91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1,914,020.22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2,141,567.14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1,060,286.24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892,111.45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599,324.28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527,109.16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37,830.00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357,548.82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736,386.42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防洪维护工程费</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15,560.27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应交文化事业建设费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28,800.00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6,659,526.53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7,377,558.35</w:t>
            </w:r>
          </w:p>
        </w:tc>
      </w:tr>
    </w:tbl>
    <w:p>
      <w:pPr>
        <w:spacing w:line="240" w:lineRule="auto" w:before="10"/>
        <w:rPr>
          <w:rFonts w:ascii="宋体" w:hAnsi="宋体" w:cs="宋体" w:eastAsia="宋体" w:hint="default"/>
          <w:sz w:val="7"/>
          <w:szCs w:val="7"/>
        </w:rPr>
      </w:pPr>
    </w:p>
    <w:p>
      <w:pPr>
        <w:pStyle w:val="BodyText"/>
        <w:spacing w:line="381" w:lineRule="auto" w:before="26"/>
        <w:ind w:left="633" w:right="9073"/>
        <w:jc w:val="left"/>
      </w:pPr>
      <w:r>
        <w:rPr/>
        <w:t>其他说明： 无</w:t>
      </w:r>
    </w:p>
    <w:p>
      <w:pPr>
        <w:spacing w:before="205"/>
        <w:ind w:left="152" w:right="996" w:firstLine="0"/>
        <w:jc w:val="left"/>
        <w:rPr>
          <w:rFonts w:ascii="宋体" w:hAnsi="宋体" w:cs="宋体" w:eastAsia="宋体" w:hint="default"/>
          <w:sz w:val="21"/>
          <w:szCs w:val="21"/>
        </w:rPr>
      </w:pPr>
      <w:bookmarkStart w:name="63、销售费用" w:id="356"/>
      <w:bookmarkEnd w:id="356"/>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11,925,010.25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10,788,540.34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运输及维修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2,043,997.67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1,263,512.69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840,329.62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908,084.25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806,837.41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167,156.71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414,361.78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670,020.75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15,290,782.33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15,117,607.50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5,491,968.24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5,950,160.04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招标及咨询费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3,835,661.81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2,536,292.37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192,661.43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185,482.29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41,732.82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34,925.82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622,342.14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731,391.10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41,505,685.50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38,353,173.86</w:t>
            </w:r>
          </w:p>
        </w:tc>
      </w:tr>
    </w:tbl>
    <w:p>
      <w:pPr>
        <w:spacing w:line="240" w:lineRule="auto" w:before="10"/>
        <w:rPr>
          <w:rFonts w:ascii="宋体" w:hAnsi="宋体" w:cs="宋体" w:eastAsia="宋体" w:hint="default"/>
          <w:sz w:val="7"/>
          <w:szCs w:val="7"/>
        </w:rPr>
      </w:pPr>
    </w:p>
    <w:p>
      <w:pPr>
        <w:pStyle w:val="BodyText"/>
        <w:spacing w:line="381" w:lineRule="auto" w:before="26"/>
        <w:ind w:left="633" w:right="9073"/>
        <w:jc w:val="left"/>
      </w:pPr>
      <w:r>
        <w:rPr/>
        <w:t>其他说明： 无</w:t>
      </w:r>
    </w:p>
    <w:p>
      <w:pPr>
        <w:spacing w:before="203"/>
        <w:ind w:left="152" w:right="996" w:firstLine="0"/>
        <w:jc w:val="left"/>
        <w:rPr>
          <w:rFonts w:ascii="宋体" w:hAnsi="宋体" w:cs="宋体" w:eastAsia="宋体" w:hint="default"/>
          <w:sz w:val="21"/>
          <w:szCs w:val="21"/>
        </w:rPr>
      </w:pPr>
      <w:bookmarkStart w:name="64、管理费用" w:id="357"/>
      <w:bookmarkEnd w:id="357"/>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18,633,554.48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15,245,074.64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修理及运输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408,516.43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636,483.20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3,956,812.33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4,262,681.38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3,939,192.49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3,156,385.34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1,180,090.37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1,528,945.10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1,897,445.19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2,041,237.19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3,826,751.22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3,413,554.66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4,480,641.29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4,695,427.23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38,323,003.80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34,979,788.74</w:t>
            </w:r>
          </w:p>
        </w:tc>
      </w:tr>
    </w:tbl>
    <w:p>
      <w:pPr>
        <w:spacing w:line="240" w:lineRule="auto" w:before="10"/>
        <w:rPr>
          <w:rFonts w:ascii="宋体" w:hAnsi="宋体" w:cs="宋体" w:eastAsia="宋体" w:hint="default"/>
          <w:sz w:val="7"/>
          <w:szCs w:val="7"/>
        </w:rPr>
      </w:pPr>
    </w:p>
    <w:p>
      <w:pPr>
        <w:pStyle w:val="BodyText"/>
        <w:spacing w:line="381" w:lineRule="auto" w:before="26"/>
        <w:ind w:left="633" w:right="9073"/>
        <w:jc w:val="left"/>
      </w:pPr>
      <w:r>
        <w:rPr/>
        <w:t>其他说明： 无</w:t>
      </w:r>
    </w:p>
    <w:p>
      <w:pPr>
        <w:spacing w:before="205"/>
        <w:ind w:left="152" w:right="996" w:firstLine="0"/>
        <w:jc w:val="left"/>
        <w:rPr>
          <w:rFonts w:ascii="宋体" w:hAnsi="宋体" w:cs="宋体" w:eastAsia="宋体" w:hint="default"/>
          <w:sz w:val="21"/>
          <w:szCs w:val="21"/>
        </w:rPr>
      </w:pPr>
      <w:bookmarkStart w:name="65、研发费用" w:id="358"/>
      <w:bookmarkEnd w:id="358"/>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39,615,348.54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30,488,662.81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研发折旧费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5,594,824.16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1,777,161.06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405,755.59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557,211.60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3,457.00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13,668,139.69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10,759,591.34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760,086.64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725,679.38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4,244,263.02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4,558,874.73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11,109,912.05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14,196,837.54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2,310,940.76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1,258,835.98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77,709,270.45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64,326,311.44</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w:t>
      </w:r>
    </w:p>
    <w:p>
      <w:pPr>
        <w:pStyle w:val="BodyText"/>
        <w:spacing w:line="333" w:lineRule="auto" w:before="185"/>
        <w:ind w:right="1120" w:firstLine="480"/>
        <w:jc w:val="left"/>
      </w:pPr>
      <w:r>
        <w:rPr/>
        <w:t>研发费用本期发生额较上期增加</w:t>
      </w:r>
      <w:r>
        <w:rPr>
          <w:spacing w:val="-58"/>
        </w:rPr>
        <w:t> </w:t>
      </w:r>
      <w:r>
        <w:rPr>
          <w:rFonts w:ascii="Times New Roman" w:hAnsi="Times New Roman" w:cs="Times New Roman" w:eastAsia="Times New Roman" w:hint="default"/>
        </w:rPr>
        <w:t>13,382,959.01</w:t>
      </w:r>
      <w:r>
        <w:rPr>
          <w:rFonts w:ascii="Times New Roman" w:hAnsi="Times New Roman" w:cs="Times New Roman" w:eastAsia="Times New Roman" w:hint="default"/>
          <w:spacing w:val="2"/>
        </w:rPr>
        <w:t> </w:t>
      </w:r>
      <w:r>
        <w:rPr>
          <w:spacing w:val="-8"/>
        </w:rPr>
        <w:t>元，增加比例为</w:t>
      </w:r>
      <w:r>
        <w:rPr>
          <w:spacing w:val="-58"/>
        </w:rPr>
        <w:t> </w:t>
      </w:r>
      <w:r>
        <w:rPr>
          <w:rFonts w:ascii="Times New Roman" w:hAnsi="Times New Roman" w:cs="Times New Roman" w:eastAsia="Times New Roman" w:hint="default"/>
          <w:spacing w:val="-4"/>
        </w:rPr>
        <w:t>20.80%</w:t>
      </w:r>
      <w:r>
        <w:rPr>
          <w:spacing w:val="-4"/>
        </w:rPr>
        <w:t>，主要系本年公司</w:t>
      </w:r>
      <w:r>
        <w:rPr/>
        <w:t> 扩大研发项目范围和规模，增加研发投入所致。</w:t>
      </w:r>
    </w:p>
    <w:p>
      <w:pPr>
        <w:spacing w:line="240" w:lineRule="auto" w:before="3"/>
        <w:rPr>
          <w:rFonts w:ascii="宋体" w:hAnsi="宋体" w:cs="宋体" w:eastAsia="宋体" w:hint="default"/>
          <w:sz w:val="19"/>
          <w:szCs w:val="19"/>
        </w:rPr>
      </w:pPr>
    </w:p>
    <w:p>
      <w:pPr>
        <w:spacing w:before="0"/>
        <w:ind w:left="152" w:right="996" w:firstLine="0"/>
        <w:jc w:val="left"/>
        <w:rPr>
          <w:rFonts w:ascii="宋体" w:hAnsi="宋体" w:cs="宋体" w:eastAsia="宋体" w:hint="default"/>
          <w:sz w:val="21"/>
          <w:szCs w:val="21"/>
        </w:rPr>
      </w:pPr>
      <w:bookmarkStart w:name="66、财务费用" w:id="359"/>
      <w:bookmarkEnd w:id="359"/>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5,040,889.37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21,588,580.36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-3,223,138.15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-8,777,656.10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1,102,379.00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803,205.11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2,920,130.22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13,614,129.37</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w:t>
      </w:r>
    </w:p>
    <w:p>
      <w:pPr>
        <w:pStyle w:val="BodyText"/>
        <w:spacing w:line="333" w:lineRule="auto" w:before="185"/>
        <w:ind w:right="1120" w:firstLine="480"/>
        <w:jc w:val="left"/>
      </w:pPr>
      <w:r>
        <w:rPr/>
        <w:t>财务费用本期发生额较上期减少</w:t>
      </w:r>
      <w:r>
        <w:rPr>
          <w:spacing w:val="-58"/>
        </w:rPr>
        <w:t> </w:t>
      </w:r>
      <w:r>
        <w:rPr>
          <w:rFonts w:ascii="Times New Roman" w:hAnsi="Times New Roman" w:cs="Times New Roman" w:eastAsia="Times New Roman" w:hint="default"/>
        </w:rPr>
        <w:t>10,693,999.15</w:t>
      </w:r>
      <w:r>
        <w:rPr>
          <w:rFonts w:ascii="Times New Roman" w:hAnsi="Times New Roman" w:cs="Times New Roman" w:eastAsia="Times New Roman" w:hint="default"/>
          <w:spacing w:val="2"/>
        </w:rPr>
        <w:t> </w:t>
      </w:r>
      <w:r>
        <w:rPr>
          <w:spacing w:val="-8"/>
        </w:rPr>
        <w:t>元，减少比例为</w:t>
      </w:r>
      <w:r>
        <w:rPr>
          <w:spacing w:val="-58"/>
        </w:rPr>
        <w:t> </w:t>
      </w:r>
      <w:r>
        <w:rPr>
          <w:rFonts w:ascii="Times New Roman" w:hAnsi="Times New Roman" w:cs="Times New Roman" w:eastAsia="Times New Roman" w:hint="default"/>
          <w:spacing w:val="-4"/>
        </w:rPr>
        <w:t>78.55%</w:t>
      </w:r>
      <w:r>
        <w:rPr>
          <w:spacing w:val="-4"/>
        </w:rPr>
        <w:t>，主要系本年公司</w:t>
      </w:r>
      <w:r>
        <w:rPr/>
        <w:t> 借款减少，利息支出减少所致。</w:t>
      </w:r>
    </w:p>
    <w:p>
      <w:pPr>
        <w:spacing w:line="240" w:lineRule="auto" w:before="3"/>
        <w:rPr>
          <w:rFonts w:ascii="宋体" w:hAnsi="宋体" w:cs="宋体" w:eastAsia="宋体" w:hint="default"/>
          <w:sz w:val="19"/>
          <w:szCs w:val="19"/>
        </w:rPr>
      </w:pPr>
    </w:p>
    <w:p>
      <w:pPr>
        <w:spacing w:before="0"/>
        <w:ind w:left="152" w:right="996" w:firstLine="0"/>
        <w:jc w:val="left"/>
        <w:rPr>
          <w:rFonts w:ascii="宋体" w:hAnsi="宋体" w:cs="宋体" w:eastAsia="宋体" w:hint="default"/>
          <w:sz w:val="21"/>
          <w:szCs w:val="21"/>
        </w:rPr>
      </w:pPr>
      <w:bookmarkStart w:name="67、其他收益" w:id="360"/>
      <w:bookmarkEnd w:id="360"/>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12,804,202.07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2,697,456.85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增值税超税负返还收入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24,264,139.27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19,152,802.19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2,023.89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56,650.68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递延收益摊销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39,070,365.23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24,406,909.72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68、投资收益" w:id="361"/>
      <w:bookmarkEnd w:id="361"/>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-16,764,454.08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-8,100,836.71</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8"/>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4,791,716.54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12,840,775.90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-11,972,737.54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4,739,939.19</w:t>
            </w:r>
          </w:p>
        </w:tc>
      </w:tr>
    </w:tbl>
    <w:p>
      <w:pPr>
        <w:spacing w:line="240" w:lineRule="auto" w:before="10"/>
        <w:rPr>
          <w:rFonts w:ascii="宋体" w:hAnsi="宋体" w:cs="宋体" w:eastAsia="宋体" w:hint="default"/>
          <w:sz w:val="7"/>
          <w:szCs w:val="7"/>
        </w:rPr>
      </w:pPr>
    </w:p>
    <w:p>
      <w:pPr>
        <w:pStyle w:val="BodyText"/>
        <w:spacing w:line="240" w:lineRule="auto" w:before="26"/>
        <w:ind w:left="633" w:right="996"/>
        <w:jc w:val="left"/>
      </w:pPr>
      <w:r>
        <w:rPr/>
        <w:t>其他说明：</w:t>
      </w:r>
    </w:p>
    <w:p>
      <w:pPr>
        <w:pStyle w:val="BodyText"/>
        <w:spacing w:line="333" w:lineRule="auto" w:before="185"/>
        <w:ind w:right="1116" w:firstLine="480"/>
        <w:jc w:val="left"/>
      </w:pPr>
      <w:r>
        <w:rPr/>
        <w:t>投资收益本期发生额较上期发生额减少</w:t>
      </w:r>
      <w:r>
        <w:rPr>
          <w:spacing w:val="-71"/>
        </w:rPr>
        <w:t> </w:t>
      </w:r>
      <w:r>
        <w:rPr>
          <w:rFonts w:ascii="Times New Roman" w:hAnsi="Times New Roman" w:cs="Times New Roman" w:eastAsia="Times New Roman" w:hint="default"/>
        </w:rPr>
        <w:t>16,712,676.73</w:t>
      </w:r>
      <w:r>
        <w:rPr>
          <w:rFonts w:ascii="Times New Roman" w:hAnsi="Times New Roman" w:cs="Times New Roman" w:eastAsia="Times New Roman" w:hint="default"/>
          <w:spacing w:val="-11"/>
        </w:rPr>
        <w:t> </w:t>
      </w:r>
      <w:r>
        <w:rPr/>
        <w:t>元，主要系理财产品收益减少及联 营企业亏损所致。</w:t>
      </w:r>
    </w:p>
    <w:p>
      <w:pPr>
        <w:spacing w:line="240" w:lineRule="auto" w:before="3"/>
        <w:rPr>
          <w:rFonts w:ascii="宋体" w:hAnsi="宋体" w:cs="宋体" w:eastAsia="宋体" w:hint="default"/>
          <w:sz w:val="19"/>
          <w:szCs w:val="19"/>
        </w:rPr>
      </w:pPr>
    </w:p>
    <w:p>
      <w:pPr>
        <w:spacing w:before="0"/>
        <w:ind w:left="152" w:right="996" w:firstLine="0"/>
        <w:jc w:val="left"/>
        <w:rPr>
          <w:rFonts w:ascii="宋体" w:hAnsi="宋体" w:cs="宋体" w:eastAsia="宋体" w:hint="default"/>
          <w:sz w:val="21"/>
          <w:szCs w:val="21"/>
        </w:rPr>
      </w:pPr>
      <w:bookmarkStart w:name="69、净敞口套期收益" w:id="362"/>
      <w:bookmarkEnd w:id="362"/>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、净敞口套期收益</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63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70、公允价值变动收益" w:id="363"/>
      <w:bookmarkEnd w:id="363"/>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13,735.21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-19,826,900.00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-19,813,164.79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381" w:lineRule="auto" w:before="26"/>
        <w:ind w:left="633" w:right="1233"/>
        <w:jc w:val="left"/>
      </w:pPr>
      <w:r>
        <w:rPr/>
        <w:t>其他说明： 根据管理金融资产的业务模式，本期将对深圳丰图辉煌基金管理中心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的投资</w:t>
      </w:r>
    </w:p>
    <w:p>
      <w:pPr>
        <w:pStyle w:val="BodyText"/>
        <w:spacing w:line="286" w:lineRule="exact"/>
        <w:ind w:right="996"/>
        <w:jc w:val="left"/>
      </w:pPr>
      <w:r>
        <w:rPr/>
        <w:t>分类为以公允价值计量且其变动计入当期损益的金融资产，并根据其流动性放在其他非流动</w:t>
      </w:r>
    </w:p>
    <w:p>
      <w:pPr>
        <w:pStyle w:val="BodyText"/>
        <w:spacing w:line="240" w:lineRule="auto" w:before="146"/>
        <w:ind w:right="996"/>
        <w:jc w:val="left"/>
      </w:pPr>
      <w:r>
        <w:rPr/>
        <w:t>金融资产科目核算，本期公允价值变动计入公允价值变动收益。</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71、信用减值损失" w:id="364"/>
      <w:bookmarkEnd w:id="364"/>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25,396,436.96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25,396,436.96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72、资产减值损失" w:id="365"/>
      <w:bookmarkEnd w:id="365"/>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pPr>
      <w:r>
        <w:rPr/>
        <w:t>是否已执行新收入准则</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45" w:footer="980" w:top="1060" w:bottom="1160" w:left="980" w:right="0"/>
        </w:sectPr>
      </w:pPr>
    </w:p>
    <w:p>
      <w:pPr>
        <w:pStyle w:val="BodyText"/>
        <w:spacing w:line="240" w:lineRule="auto" w:before="26"/>
        <w:ind w:left="633"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before="164"/>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1750" w:space="6465"/>
            <w:col w:w="2715"/>
          </w:cols>
        </w:sectPr>
      </w:pP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-9,427,974.18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-9,237,785.95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-60,828,805.98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-9,237,785.95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-70,256,780.16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73、资产处置收益" w:id="366"/>
      <w:bookmarkEnd w:id="366"/>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26,573.30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26,573.30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74、营业外收入" w:id="367"/>
      <w:bookmarkEnd w:id="36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29,899.63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30,865.89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29,899.63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29,899.63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290,865.89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29,899.63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75、营业外支出" w:id="368"/>
      <w:bookmarkEnd w:id="368"/>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286,938.70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286,938.70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10,000.00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pacing w:val="-1"/>
                <w:sz w:val="21"/>
              </w:rPr>
              <w:t>137,216.16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145,761.44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137,216.16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9,749.41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9,749.41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634.50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111,200.00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634.50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pacing w:val="-1"/>
                <w:sz w:val="21"/>
              </w:rPr>
              <w:t>444,538.77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256,961.44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444,538.77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381" w:lineRule="auto" w:before="198"/>
        <w:ind w:left="633" w:right="1153"/>
        <w:jc w:val="left"/>
      </w:pPr>
      <w:r>
        <w:rPr/>
        <w:t>其他说明： 债务重组损失主要系对中铁二十五局集团电务工程有限公司、中铁三局集团电务工程有</w:t>
      </w:r>
    </w:p>
    <w:p>
      <w:pPr>
        <w:pStyle w:val="BodyText"/>
        <w:spacing w:line="350" w:lineRule="auto" w:before="5"/>
        <w:ind w:right="1170"/>
        <w:jc w:val="both"/>
      </w:pPr>
      <w:r>
        <w:rPr/>
        <w:t>限公司、中铁十七局循环经济园专用铁路项目部、中铁一局集团电务公司工程有限公司未支 付的货款余款进行免除，经双方协商，一致同意进行打折支付，协议约定对于支付后剩余的 欠款公司主动放弃债权及其他债权追索权。</w:t>
      </w:r>
    </w:p>
    <w:p>
      <w:pPr>
        <w:spacing w:line="240" w:lineRule="auto" w:before="1"/>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76、所得税费用" w:id="369"/>
      <w:bookmarkEnd w:id="369"/>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所得税费用表"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20,785,172.95</w:t>
            </w:r>
            <w:r>
              <w:rPr>
                <w:rFonts w:ascii="Arial"/>
                <w:spacing w:val="-1"/>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20,644,854.84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-11,552,646.80</w:t>
            </w:r>
            <w:r>
              <w:rPr>
                <w:rFonts w:ascii="Arial"/>
                <w:spacing w:val="-1"/>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-4,559,488.87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9,232,526.15</w:t>
            </w:r>
            <w:r>
              <w:rPr>
                <w:rFonts w:ascii="Arial"/>
                <w:spacing w:val="-1"/>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16,085,365.97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152" w:right="996" w:firstLine="0"/>
        <w:jc w:val="left"/>
        <w:rPr>
          <w:rFonts w:ascii="宋体" w:hAnsi="宋体" w:cs="宋体" w:eastAsia="宋体" w:hint="default"/>
          <w:sz w:val="21"/>
          <w:szCs w:val="21"/>
        </w:rPr>
      </w:pPr>
      <w:bookmarkStart w:name="（2）会计利润与所得税费用调整过程"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209"/>
        <w:gridCol w:w="2350"/>
      </w:tblGrid>
      <w:tr>
        <w:trPr>
          <w:trHeight w:val="401"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1"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3"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74,972,317.51</w:t>
            </w:r>
            <w:r>
              <w:rPr>
                <w:rFonts w:ascii="Arial"/>
                <w:spacing w:val="-1"/>
                <w:sz w:val="18"/>
              </w:rPr>
            </w:r>
          </w:p>
        </w:tc>
      </w:tr>
      <w:tr>
        <w:trPr>
          <w:trHeight w:val="401"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11,724,058.94</w:t>
            </w:r>
            <w:r>
              <w:rPr>
                <w:rFonts w:ascii="Arial"/>
                <w:spacing w:val="-1"/>
                <w:sz w:val="18"/>
              </w:rPr>
            </w:r>
          </w:p>
        </w:tc>
      </w:tr>
      <w:tr>
        <w:trPr>
          <w:trHeight w:val="403"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-4,855,862.02</w:t>
            </w:r>
            <w:r>
              <w:rPr>
                <w:rFonts w:ascii="Arial"/>
                <w:spacing w:val="-1"/>
                <w:sz w:val="18"/>
              </w:rPr>
            </w:r>
          </w:p>
        </w:tc>
      </w:tr>
      <w:tr>
        <w:trPr>
          <w:trHeight w:val="401"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-784,435.77</w:t>
            </w:r>
          </w:p>
        </w:tc>
      </w:tr>
      <w:tr>
        <w:trPr>
          <w:trHeight w:val="403"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2,349,270.61</w:t>
            </w:r>
            <w:r>
              <w:rPr>
                <w:rFonts w:ascii="Arial"/>
                <w:spacing w:val="-1"/>
                <w:sz w:val="18"/>
              </w:rPr>
            </w:r>
          </w:p>
        </w:tc>
      </w:tr>
      <w:tr>
        <w:trPr>
          <w:trHeight w:val="401"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955,725.13</w:t>
            </w:r>
            <w:r>
              <w:rPr>
                <w:rFonts w:ascii="Arial"/>
                <w:spacing w:val="-1"/>
                <w:sz w:val="18"/>
              </w:rPr>
            </w:r>
          </w:p>
        </w:tc>
      </w:tr>
      <w:tr>
        <w:trPr>
          <w:trHeight w:val="403"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-3,515.73</w:t>
            </w:r>
          </w:p>
        </w:tc>
      </w:tr>
      <w:tr>
        <w:trPr>
          <w:trHeight w:val="401"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3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6,721,471.07</w:t>
            </w:r>
            <w:r>
              <w:rPr>
                <w:rFonts w:ascii="Arial"/>
                <w:spacing w:val="-1"/>
                <w:sz w:val="18"/>
              </w:rPr>
            </w:r>
          </w:p>
        </w:tc>
      </w:tr>
      <w:tr>
        <w:trPr>
          <w:trHeight w:val="403" w:hRule="exact"/>
        </w:trPr>
        <w:tc>
          <w:tcPr>
            <w:tcW w:w="7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研发加计扣除的影响</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-6,933,138.24</w:t>
            </w:r>
            <w:r>
              <w:rPr>
                <w:rFonts w:ascii="Arial"/>
                <w:spacing w:val="-1"/>
                <w:sz w:val="18"/>
              </w:rPr>
            </w:r>
          </w:p>
        </w:tc>
      </w:tr>
      <w:tr>
        <w:trPr>
          <w:trHeight w:val="401" w:hRule="exact"/>
        </w:trPr>
        <w:tc>
          <w:tcPr>
            <w:tcW w:w="7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58,952.16</w:t>
            </w:r>
            <w:r>
              <w:rPr>
                <w:rFonts w:ascii="Arial"/>
                <w:spacing w:val="-1"/>
                <w:sz w:val="18"/>
              </w:rPr>
            </w:r>
          </w:p>
        </w:tc>
      </w:tr>
      <w:tr>
        <w:trPr>
          <w:trHeight w:val="403" w:hRule="exact"/>
        </w:trPr>
        <w:tc>
          <w:tcPr>
            <w:tcW w:w="7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9,232,526.15</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77、其他综合收益" w:id="372"/>
      <w:bookmarkEnd w:id="372"/>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633" w:right="996"/>
        <w:jc w:val="left"/>
        <w:rPr>
          <w:rFonts w:ascii="Times New Roman" w:hAnsi="Times New Roman" w:cs="Times New Roman" w:eastAsia="Times New Roman" w:hint="default"/>
        </w:rPr>
      </w:pPr>
      <w:r>
        <w:rPr/>
        <w:t>详见附注七</w:t>
      </w:r>
      <w:r>
        <w:rPr>
          <w:rFonts w:ascii="Times New Roman" w:hAnsi="Times New Roman" w:cs="Times New Roman" w:eastAsia="Times New Roman" w:hint="default"/>
        </w:rPr>
        <w:t>.57</w:t>
      </w:r>
    </w:p>
    <w:p>
      <w:pPr>
        <w:spacing w:line="240" w:lineRule="auto" w:before="5"/>
        <w:rPr>
          <w:rFonts w:ascii="Times New Roman" w:hAnsi="Times New Roman" w:cs="Times New Roman" w:eastAsia="Times New Roman" w:hint="default"/>
          <w:sz w:val="28"/>
          <w:szCs w:val="28"/>
        </w:rPr>
      </w:pPr>
    </w:p>
    <w:p>
      <w:pPr>
        <w:spacing w:before="0"/>
        <w:ind w:left="152" w:right="996" w:firstLine="0"/>
        <w:jc w:val="left"/>
        <w:rPr>
          <w:rFonts w:ascii="宋体" w:hAnsi="宋体" w:cs="宋体" w:eastAsia="宋体" w:hint="default"/>
          <w:sz w:val="21"/>
          <w:szCs w:val="21"/>
        </w:rPr>
      </w:pPr>
      <w:bookmarkStart w:name="78、现金流量表项目" w:id="373"/>
      <w:bookmarkEnd w:id="373"/>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收到的其他与经营活动有关的现金"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政府各类补助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12,804,202.07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2,697,456.85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其他收益加营业外收入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12,143.52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87,516.57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3,223,138.15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8,777,656.10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其它暂收往来款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21,188,860.71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5,602,587.69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37,228,344.45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17,165,217.21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996" w:firstLine="0"/>
        <w:jc w:val="left"/>
        <w:rPr>
          <w:rFonts w:ascii="宋体" w:hAnsi="宋体" w:cs="宋体" w:eastAsia="宋体" w:hint="default"/>
          <w:sz w:val="21"/>
          <w:szCs w:val="21"/>
        </w:rPr>
      </w:pPr>
      <w:bookmarkStart w:name="（2）支付的其他与经营活动有关的现金"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3"/>
                <w:sz w:val="21"/>
                <w:szCs w:val="21"/>
              </w:rPr>
              <w:t>销售费用、管理费用、研发费用付</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78,347,071.22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76,080,690.62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1,102,379.00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803,205.11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营业外支出付现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20,383.89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3"/>
                <w:sz w:val="21"/>
              </w:rPr>
              <w:t>111,200.00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3,660,244.71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7,806,379.81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所有权受限资产增加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4,014,092.26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8,011,021.79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87,144,171.08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92,812,497.33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收到的其他与投资活动有关的现金"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1,773,228.56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1,773,228.56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before="94"/>
        <w:ind w:left="573" w:right="996" w:firstLine="0"/>
        <w:jc w:val="left"/>
        <w:rPr>
          <w:rFonts w:ascii="宋体" w:hAnsi="宋体" w:cs="宋体" w:eastAsia="宋体" w:hint="default"/>
          <w:sz w:val="21"/>
          <w:szCs w:val="21"/>
        </w:rPr>
      </w:pPr>
      <w:r>
        <w:rPr>
          <w:rFonts w:ascii="宋体" w:hAnsi="宋体" w:cs="宋体" w:eastAsia="宋体" w:hint="default"/>
          <w:sz w:val="21"/>
          <w:szCs w:val="21"/>
        </w:rPr>
        <w:t>本期收到交大驱动原大股东业绩承诺补偿款</w:t>
      </w:r>
      <w:r>
        <w:rPr>
          <w:rFonts w:ascii="Times New Roman" w:hAnsi="Times New Roman" w:cs="Times New Roman" w:eastAsia="Times New Roman" w:hint="default"/>
          <w:sz w:val="21"/>
          <w:szCs w:val="21"/>
        </w:rPr>
        <w:t>1,773,228.56</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4）支付的其他与投资活动有关的现金" w:id="377"/>
      <w:bookmarkEnd w:id="3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5）收到的其他与筹资活动有关的现金" w:id="378"/>
      <w:bookmarkEnd w:id="3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6）支付的其他与筹资活动有关的现金"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1"/>
        <w:ind w:left="152" w:right="996" w:firstLine="0"/>
        <w:jc w:val="left"/>
        <w:rPr>
          <w:rFonts w:ascii="宋体" w:hAnsi="宋体" w:cs="宋体" w:eastAsia="宋体" w:hint="default"/>
          <w:sz w:val="21"/>
          <w:szCs w:val="21"/>
        </w:rPr>
      </w:pPr>
      <w:bookmarkStart w:name="79、现金流量表补充资料" w:id="380"/>
      <w:bookmarkEnd w:id="380"/>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现金流量表补充资料" w:id="381"/>
      <w:bookmarkEnd w:id="3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508"/>
        <w:gridCol w:w="2137"/>
        <w:gridCol w:w="1913"/>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spacing w:val="-1"/>
                <w:w w:val="80"/>
                <w:sz w:val="18"/>
              </w:rPr>
              <w:t>65,739,791.36</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34,454,468.14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-16,158,651.01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70,256,780.16</w:t>
            </w:r>
          </w:p>
        </w:tc>
      </w:tr>
      <w:tr>
        <w:trPr>
          <w:trHeight w:val="71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固定资产折旧、油气资产折耗、生产性生物资产折</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15,504,464.90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7,012,275.00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1,648,273.14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1,316,684.06</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8,146,298.19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7,962,865.86</w:t>
            </w:r>
          </w:p>
        </w:tc>
      </w:tr>
      <w:tr>
        <w:trPr>
          <w:trHeight w:val="714"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842"/>
              <w:jc w:val="left"/>
              <w:rPr>
                <w:rFonts w:ascii="宋体" w:hAnsi="宋体" w:cs="宋体" w:eastAsia="宋体" w:hint="default"/>
                <w:sz w:val="21"/>
                <w:szCs w:val="21"/>
              </w:rPr>
            </w:pPr>
            <w:r>
              <w:rPr>
                <w:rFonts w:ascii="宋体" w:hAnsi="宋体" w:cs="宋体" w:eastAsia="宋体" w:hint="default"/>
                <w:spacing w:val="-10"/>
                <w:w w:val="100"/>
                <w:sz w:val="21"/>
                <w:szCs w:val="21"/>
              </w:rPr>
              <w:t>处置固定资产、无形资产和其他长期资产的损失（收</w:t>
            </w:r>
            <w:r>
              <w:rPr>
                <w:rFonts w:ascii="宋体" w:hAnsi="宋体" w:cs="宋体" w:eastAsia="宋体" w:hint="default"/>
                <w:w w:val="100"/>
                <w:sz w:val="21"/>
                <w:szCs w:val="21"/>
              </w:rPr>
              <w:t> </w:t>
            </w: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-26,573.30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137,216.16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145,761.44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19,813,164.79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5,040,889.37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21,428,080.36</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2"/>
                <w:w w:val="80"/>
                <w:sz w:val="18"/>
              </w:rPr>
              <w:t>11,972,737.54</w:t>
            </w:r>
            <w:r>
              <w:rPr>
                <w:rFonts w:ascii="Arial"/>
                <w:spacing w:val="-2"/>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-4,739,939.19</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spacing w:val="-1"/>
                <w:w w:val="80"/>
                <w:sz w:val="18"/>
              </w:rPr>
              <w:t>-16,062,290.68</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-4,485,857.13</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4,509,643.88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-73,631.74</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-17,087,686.15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-24,613,120.80</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62"/>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127,701,586.85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-42,771,008.56</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462"/>
              <w:jc w:val="righ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spacing w:val="-1"/>
                <w:w w:val="80"/>
                <w:sz w:val="18"/>
              </w:rPr>
              <w:t>19,824,997.93</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-49,391,807.29</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230,703,862.97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16,501,550.31</w:t>
            </w:r>
          </w:p>
        </w:tc>
      </w:tr>
      <w:tr>
        <w:trPr>
          <w:trHeight w:val="402"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sz w:val="21"/>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30"/>
        <w:gridCol w:w="2126"/>
        <w:gridCol w:w="1913"/>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307,570,494.08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467,183,100.89</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467,183,100.89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875,069,643.04</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-159,612,606.81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-407,886,542.15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152" w:right="996" w:firstLine="0"/>
        <w:jc w:val="left"/>
        <w:rPr>
          <w:rFonts w:ascii="宋体" w:hAnsi="宋体" w:cs="宋体" w:eastAsia="宋体" w:hint="default"/>
          <w:sz w:val="21"/>
          <w:szCs w:val="21"/>
        </w:rPr>
      </w:pPr>
      <w:bookmarkStart w:name="（2）本期支付的取得子公司的现金净额"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3）本期收到的处置子公司的现金净额"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4）现金和现金等价物的构成"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307,570,494.08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467,183,100.89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76,639.75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110,141.18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307,493,854.33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467,072,959.71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307,570,494.08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467,183,100.89</w:t>
            </w:r>
          </w:p>
        </w:tc>
      </w:tr>
    </w:tbl>
    <w:p>
      <w:pPr>
        <w:spacing w:line="240" w:lineRule="auto" w:before="3"/>
        <w:rPr>
          <w:rFonts w:ascii="宋体" w:hAnsi="宋体" w:cs="宋体" w:eastAsia="宋体" w:hint="default"/>
          <w:sz w:val="19"/>
          <w:szCs w:val="19"/>
        </w:rPr>
      </w:pPr>
    </w:p>
    <w:p>
      <w:pPr>
        <w:spacing w:line="544" w:lineRule="auto" w:before="36"/>
        <w:ind w:left="152" w:right="5194" w:firstLine="0"/>
        <w:jc w:val="left"/>
        <w:rPr>
          <w:rFonts w:ascii="宋体" w:hAnsi="宋体" w:cs="宋体" w:eastAsia="宋体" w:hint="default"/>
          <w:sz w:val="21"/>
          <w:szCs w:val="21"/>
        </w:rPr>
      </w:pPr>
      <w:bookmarkStart w:name="80、所有者权益变动表项目注释" w:id="385"/>
      <w:bookmarkEnd w:id="385"/>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bookmarkStart w:name="81、所有权或使用权受到限制的资产" w:id="386"/>
      <w:bookmarkEnd w:id="386"/>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28"/>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25,889,717.93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25,889,717.93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996" w:firstLine="0"/>
        <w:jc w:val="left"/>
        <w:rPr>
          <w:rFonts w:ascii="宋体" w:hAnsi="宋体" w:cs="宋体" w:eastAsia="宋体" w:hint="default"/>
          <w:sz w:val="21"/>
          <w:szCs w:val="21"/>
        </w:rPr>
      </w:pPr>
      <w:bookmarkStart w:name="82、外币货币性项目" w:id="387"/>
      <w:bookmarkEnd w:id="387"/>
      <w:r>
        <w:rPr/>
      </w:r>
      <w:r>
        <w:rPr>
          <w:rFonts w:ascii="Times New Roman" w:hAnsi="Times New Roman" w:cs="Times New Roman" w:eastAsia="Times New Roman" w:hint="default"/>
          <w:b/>
          <w:bCs/>
          <w:sz w:val="21"/>
          <w:szCs w:val="21"/>
        </w:rPr>
        <w:t>82</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83、套期" w:id="388"/>
      <w:bookmarkEnd w:id="388"/>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84、政府补助" w:id="389"/>
      <w:bookmarkEnd w:id="389"/>
      <w:r>
        <w:rPr/>
      </w:r>
      <w:r>
        <w:rPr>
          <w:rFonts w:ascii="Times New Roman" w:hAnsi="Times New Roman" w:cs="Times New Roman" w:eastAsia="Times New Roman"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政府补助基本情况"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71"/>
        <w:gridCol w:w="1844"/>
        <w:gridCol w:w="1418"/>
        <w:gridCol w:w="2338"/>
      </w:tblGrid>
      <w:tr>
        <w:trPr>
          <w:trHeight w:val="401"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8"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企业研究开发财政补助资金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知识产权优秀企业奖励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59,000.00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科技型企业研发费用补助专项资金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3,740,000.00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重大科技创新项目资金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1,540,000.00</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企业研发费用补贴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专利申请资助资金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589,800.00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589,800.00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4,790,402.07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4,790,402.07</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增值税超税负返还收入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24,264,139.27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24,264,139.27</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首次认定高企奖励资金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重点新产品补助资金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155,000.00</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创新创业服务中心补贴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担保费补贴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716"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49"/>
              <w:jc w:val="left"/>
              <w:rPr>
                <w:rFonts w:ascii="宋体" w:hAnsi="宋体" w:cs="宋体" w:eastAsia="宋体" w:hint="default"/>
                <w:sz w:val="21"/>
                <w:szCs w:val="21"/>
              </w:rPr>
            </w:pPr>
            <w:r>
              <w:rPr>
                <w:rFonts w:ascii="宋体" w:hAnsi="宋体" w:cs="宋体" w:eastAsia="宋体" w:hint="default"/>
                <w:spacing w:val="-2"/>
                <w:sz w:val="21"/>
                <w:szCs w:val="21"/>
              </w:rPr>
              <w:t>轨道交通信息集成与网络化运营调度指挥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40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39,068,341.34</w:t>
            </w:r>
          </w:p>
        </w:tc>
        <w:tc>
          <w:tcPr>
            <w:tcW w:w="141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39,068,341.34</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20"/>
        <w:ind w:left="152" w:right="996" w:firstLine="0"/>
        <w:jc w:val="left"/>
        <w:rPr>
          <w:rFonts w:ascii="宋体" w:hAnsi="宋体" w:cs="宋体" w:eastAsia="宋体" w:hint="default"/>
          <w:sz w:val="21"/>
          <w:szCs w:val="21"/>
        </w:rPr>
      </w:pPr>
      <w:bookmarkStart w:name="85、其他" w:id="391"/>
      <w:bookmarkEnd w:id="391"/>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before="0"/>
        <w:ind w:right="996"/>
        <w:jc w:val="left"/>
        <w:rPr>
          <w:b w:val="0"/>
          <w:bCs w:val="0"/>
        </w:rPr>
      </w:pPr>
      <w:bookmarkStart w:name="八、合并范围的变更" w:id="392"/>
      <w:bookmarkEnd w:id="392"/>
      <w:r>
        <w:rPr>
          <w:b w:val="0"/>
          <w:bCs w:val="0"/>
        </w:rPr>
      </w:r>
      <w:r>
        <w:rPr/>
        <w:t>八、合并范围的变更</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8774" w:firstLine="0"/>
        <w:jc w:val="left"/>
        <w:rPr>
          <w:rFonts w:ascii="宋体" w:hAnsi="宋体" w:cs="宋体" w:eastAsia="宋体" w:hint="default"/>
          <w:sz w:val="18"/>
          <w:szCs w:val="18"/>
        </w:rPr>
      </w:pPr>
      <w:r>
        <w:rPr>
          <w:rFonts w:ascii="宋体" w:hAnsi="宋体" w:cs="宋体" w:eastAsia="宋体" w:hint="default"/>
          <w:sz w:val="18"/>
          <w:szCs w:val="18"/>
        </w:rPr>
        <w:t>无 其他原因的合并范围变动</w:t>
      </w:r>
    </w:p>
    <w:p>
      <w:pPr>
        <w:spacing w:before="60"/>
        <w:ind w:left="152" w:right="99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6"/>
        <w:rPr>
          <w:rFonts w:ascii="宋体" w:hAnsi="宋体" w:cs="宋体" w:eastAsia="宋体" w:hint="default"/>
          <w:sz w:val="13"/>
          <w:szCs w:val="13"/>
        </w:rPr>
      </w:pPr>
    </w:p>
    <w:p>
      <w:pPr>
        <w:spacing w:before="0"/>
        <w:ind w:left="152" w:right="996" w:firstLine="0"/>
        <w:jc w:val="left"/>
        <w:rPr>
          <w:rFonts w:ascii="宋体" w:hAnsi="宋体" w:cs="宋体" w:eastAsia="宋体" w:hint="default"/>
          <w:sz w:val="21"/>
          <w:szCs w:val="21"/>
        </w:rPr>
      </w:pPr>
      <w:r>
        <w:rPr>
          <w:rFonts w:ascii="宋体" w:hAnsi="宋体" w:cs="宋体" w:eastAsia="宋体" w:hint="default"/>
          <w:sz w:val="21"/>
          <w:szCs w:val="21"/>
        </w:rPr>
        <w:t>洛阳辉煌城轨科技有限公司自</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日新设成立，截止报表日该公司尚未开展经营。</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九、在其他主体中的权益" w:id="393"/>
      <w:bookmarkEnd w:id="393"/>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在子公司中的权益" w:id="394"/>
      <w:bookmarkEnd w:id="39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企业集团的构成"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河南辉煌软件有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郑州高新开发区 科学大道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河南辉煌信通软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郑州市高新区科 学大道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北京全路信通技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北京市丰台区南 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园区</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北京国铁路阳技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北京市丰台区南 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室</w:t>
            </w:r>
            <w:r>
              <w:rPr>
                <w:rFonts w:ascii="Times New Roman" w:hAnsi="Times New Roman" w:cs="Times New Roman" w:eastAsia="Times New Roman" w:hint="default"/>
                <w:sz w:val="18"/>
                <w:szCs w:val="18"/>
              </w:rPr>
              <w:t>(</w:t>
            </w:r>
            <w:r>
              <w:rPr>
                <w:rFonts w:ascii="宋体" w:hAnsi="宋体" w:cs="宋体" w:eastAsia="宋体" w:hint="default"/>
                <w:sz w:val="18"/>
                <w:szCs w:val="18"/>
              </w:rPr>
              <w:t>园区</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铁路信号通信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购买取得</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北京国铁路阳软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北京市丰台区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北京市丰台区南 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购买取得</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天津辉煌路阳科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天津市津南区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天津双港工业区 丽港园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34-210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铁路信号通信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购买取得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天津信通铁路电 气技术有限公司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天津市东丽区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天津市东丽区先 锋东路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号</w:t>
            </w:r>
            <w:r>
              <w:rPr>
                <w:rFonts w:ascii="Times New Roman" w:hAnsi="Times New Roman" w:cs="Times New Roman" w:eastAsia="Times New Roman" w:hint="default"/>
                <w:sz w:val="18"/>
                <w:szCs w:val="18"/>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铁路信号通信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购买取得</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河南辉煌城轨科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郑州高新开发区 科学大道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铁路信号通信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成都西南交大驱 动技术有限责任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成都高新区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成都高新区肖家 河街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铁路专用设备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购买取得</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成都新一驱动科 技有限责任公司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成都郫都区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郫县成都现代工 业港北区蜀都大 道北一段</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1907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铁路专用设备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购买取得</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洛阳辉煌城轨科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洛阳经济技术开 发区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洛阳市经济技术 开发区新伊大街 与太康路交界处 顺兴信息通产业 园内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铁路信号通信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18"/>
        <w:ind w:left="152" w:right="996" w:firstLine="0"/>
        <w:jc w:val="left"/>
        <w:rPr>
          <w:rFonts w:ascii="宋体" w:hAnsi="宋体" w:cs="宋体" w:eastAsia="宋体" w:hint="default"/>
          <w:sz w:val="21"/>
          <w:szCs w:val="21"/>
        </w:rPr>
      </w:pPr>
      <w:bookmarkStart w:name="（2）重要的非全资子公司"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2"/>
              <w:ind w:left="532" w:right="106" w:hanging="420"/>
              <w:jc w:val="left"/>
              <w:rPr>
                <w:rFonts w:ascii="宋体" w:hAnsi="宋体" w:cs="宋体" w:eastAsia="宋体" w:hint="default"/>
                <w:sz w:val="21"/>
                <w:szCs w:val="21"/>
              </w:rPr>
            </w:pPr>
            <w:r>
              <w:rPr>
                <w:rFonts w:ascii="宋体" w:hAnsi="宋体" w:cs="宋体" w:eastAsia="宋体" w:hint="default"/>
                <w:sz w:val="21"/>
                <w:szCs w:val="21"/>
              </w:rPr>
              <w:t>本期归属于少数股</w:t>
            </w:r>
            <w:r>
              <w:rPr>
                <w:rFonts w:ascii="宋体" w:hAnsi="宋体" w:cs="宋体" w:eastAsia="宋体" w:hint="default"/>
                <w:w w:val="100"/>
                <w:sz w:val="21"/>
                <w:szCs w:val="21"/>
              </w:rPr>
              <w:t> </w:t>
            </w:r>
            <w:r>
              <w:rPr>
                <w:rFonts w:ascii="宋体" w:hAnsi="宋体" w:cs="宋体" w:eastAsia="宋体" w:hint="default"/>
                <w:sz w:val="21"/>
                <w:szCs w:val="21"/>
              </w:rPr>
              <w:t>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2"/>
              <w:ind w:left="321" w:right="105" w:hanging="209"/>
              <w:jc w:val="left"/>
              <w:rPr>
                <w:rFonts w:ascii="宋体" w:hAnsi="宋体" w:cs="宋体" w:eastAsia="宋体" w:hint="default"/>
                <w:sz w:val="21"/>
                <w:szCs w:val="21"/>
              </w:rPr>
            </w:pPr>
            <w:r>
              <w:rPr>
                <w:rFonts w:ascii="宋体" w:hAnsi="宋体" w:cs="宋体" w:eastAsia="宋体" w:hint="default"/>
                <w:sz w:val="21"/>
                <w:szCs w:val="21"/>
              </w:rPr>
              <w:t>本期向少数股东宣</w:t>
            </w:r>
            <w:r>
              <w:rPr>
                <w:rFonts w:ascii="宋体" w:hAnsi="宋体" w:cs="宋体" w:eastAsia="宋体" w:hint="default"/>
                <w:w w:val="100"/>
                <w:sz w:val="21"/>
                <w:szCs w:val="21"/>
              </w:rPr>
              <w:t> </w:t>
            </w:r>
            <w:r>
              <w:rPr>
                <w:rFonts w:ascii="宋体" w:hAnsi="宋体" w:cs="宋体" w:eastAsia="宋体" w:hint="default"/>
                <w:sz w:val="21"/>
                <w:szCs w:val="21"/>
              </w:rPr>
              <w:t>告分派的股利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2"/>
              <w:ind w:left="744" w:right="105" w:hanging="629"/>
              <w:jc w:val="left"/>
              <w:rPr>
                <w:rFonts w:ascii="宋体" w:hAnsi="宋体" w:cs="宋体" w:eastAsia="宋体" w:hint="default"/>
                <w:sz w:val="21"/>
                <w:szCs w:val="21"/>
              </w:rPr>
            </w:pPr>
            <w:r>
              <w:rPr>
                <w:rFonts w:ascii="宋体" w:hAnsi="宋体" w:cs="宋体" w:eastAsia="宋体" w:hint="default"/>
                <w:sz w:val="21"/>
                <w:szCs w:val="21"/>
              </w:rPr>
              <w:t>期末少数股东权益</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成都西南交大驱动</w:t>
            </w:r>
            <w:r>
              <w:rPr>
                <w:rFonts w:ascii="宋体" w:hAnsi="宋体" w:cs="宋体" w:eastAsia="宋体" w:hint="default"/>
                <w:w w:val="100"/>
                <w:sz w:val="21"/>
                <w:szCs w:val="21"/>
              </w:rPr>
              <w:t> </w:t>
            </w:r>
            <w:r>
              <w:rPr>
                <w:rFonts w:ascii="宋体" w:hAnsi="宋体" w:cs="宋体" w:eastAsia="宋体" w:hint="default"/>
                <w:sz w:val="21"/>
                <w:szCs w:val="21"/>
              </w:rPr>
              <w:t>技术有限责任公司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34" w:right="0"/>
              <w:jc w:val="left"/>
              <w:rPr>
                <w:rFonts w:ascii="Times New Roman" w:hAnsi="Times New Roman" w:cs="Times New Roman" w:eastAsia="Times New Roman" w:hint="default"/>
                <w:sz w:val="21"/>
                <w:szCs w:val="21"/>
              </w:rPr>
            </w:pPr>
            <w:r>
              <w:rPr>
                <w:rFonts w:ascii="Times New Roman"/>
                <w:sz w:val="21"/>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08" w:right="0"/>
              <w:jc w:val="left"/>
              <w:rPr>
                <w:rFonts w:ascii="Times New Roman" w:hAnsi="Times New Roman" w:cs="Times New Roman" w:eastAsia="Times New Roman" w:hint="default"/>
                <w:sz w:val="21"/>
                <w:szCs w:val="21"/>
              </w:rPr>
            </w:pPr>
            <w:r>
              <w:rPr>
                <w:rFonts w:ascii="Times New Roman"/>
                <w:sz w:val="21"/>
              </w:rPr>
              <w:t>-1,294,227.62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77" w:right="0"/>
              <w:jc w:val="left"/>
              <w:rPr>
                <w:rFonts w:ascii="Times New Roman" w:hAnsi="Times New Roman" w:cs="Times New Roman" w:eastAsia="Times New Roman" w:hint="default"/>
                <w:sz w:val="21"/>
                <w:szCs w:val="21"/>
              </w:rPr>
            </w:pPr>
            <w:r>
              <w:rPr>
                <w:rFonts w:ascii="Times New Roman"/>
                <w:sz w:val="21"/>
              </w:rPr>
              <w:t>29,921,607.61</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18"/>
        <w:ind w:left="152" w:right="996" w:firstLine="0"/>
        <w:jc w:val="left"/>
        <w:rPr>
          <w:rFonts w:ascii="宋体" w:hAnsi="宋体" w:cs="宋体" w:eastAsia="宋体" w:hint="default"/>
          <w:sz w:val="21"/>
          <w:szCs w:val="21"/>
        </w:rPr>
      </w:pPr>
      <w:bookmarkStart w:name="（3）重要非全资子公司的主要财务信息" w:id="397"/>
      <w:bookmarkEnd w:id="3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成都西 南交大 驱动技 术有限 责任公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54,028,0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43.90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17,438,7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71,466,8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17.60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10,402,3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12.27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10,402,3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12.27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58,633,8</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27.80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18,367,4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33.14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77,001,2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13,295,4</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74.76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13,295,4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74.76</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5"/>
              <w:jc w:val="both"/>
              <w:rPr>
                <w:rFonts w:ascii="宋体" w:hAnsi="宋体" w:cs="宋体" w:eastAsia="宋体" w:hint="default"/>
                <w:sz w:val="18"/>
                <w:szCs w:val="18"/>
              </w:rPr>
            </w:pPr>
            <w:r>
              <w:rPr>
                <w:rFonts w:ascii="宋体" w:hAnsi="宋体" w:cs="宋体" w:eastAsia="宋体" w:hint="default"/>
                <w:sz w:val="18"/>
                <w:szCs w:val="18"/>
              </w:rPr>
              <w:t>成都西南交 大驱动技术 有限责任公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22,791,762.1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-2,641,280.85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-2,641,280.85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3,572,034.21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40,765,194.9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13,717,285.8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13,717,285.8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-5,258,967.99</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18"/>
        <w:ind w:left="152" w:right="996" w:firstLine="0"/>
        <w:jc w:val="left"/>
        <w:rPr>
          <w:rFonts w:ascii="宋体" w:hAnsi="宋体" w:cs="宋体" w:eastAsia="宋体" w:hint="default"/>
          <w:sz w:val="21"/>
          <w:szCs w:val="21"/>
        </w:rPr>
      </w:pPr>
      <w:bookmarkStart w:name="2、在子公司的所有者权益份额发生变化且仍控制子公司的交易" w:id="398"/>
      <w:bookmarkEnd w:id="3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3、在合营安排或联营企业中的权益" w:id="399"/>
      <w:bookmarkEnd w:id="39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重要的合营企业或联营企业"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系统技术有限公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北京市海淀区东 北旺西路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电信、广播电视 和卫星传输服务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北京赛弗网络科 技有限责任公司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北京市海淀区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 小口路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996"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在合营企业或联营企业的持股比例不同于表决权比例的说明：无</w:t>
      </w:r>
    </w:p>
    <w:p>
      <w:pPr>
        <w:spacing w:line="256" w:lineRule="auto" w:before="94"/>
        <w:ind w:left="152" w:right="1122" w:firstLine="0"/>
        <w:jc w:val="left"/>
        <w:rPr>
          <w:rFonts w:ascii="宋体" w:hAnsi="宋体" w:cs="宋体" w:eastAsia="宋体" w:hint="default"/>
          <w:sz w:val="21"/>
          <w:szCs w:val="21"/>
        </w:rPr>
      </w:pPr>
      <w:r>
        <w:rPr>
          <w:rFonts w:ascii="宋体" w:hAnsi="宋体" w:cs="宋体" w:eastAsia="宋体" w:hint="default"/>
          <w:sz w:val="18"/>
          <w:szCs w:val="18"/>
        </w:rPr>
        <w:t>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r>
        <w:rPr>
          <w:rFonts w:ascii="宋体" w:hAnsi="宋体" w:cs="宋体" w:eastAsia="宋体" w:hint="default"/>
          <w:sz w:val="21"/>
          <w:szCs w:val="21"/>
        </w:rPr>
        <w:t>向飞天联合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系统技</w:t>
      </w:r>
      <w:r>
        <w:rPr>
          <w:rFonts w:ascii="宋体" w:hAnsi="宋体" w:cs="宋体" w:eastAsia="宋体" w:hint="default"/>
          <w:spacing w:val="-3"/>
          <w:w w:val="100"/>
          <w:sz w:val="21"/>
          <w:szCs w:val="21"/>
        </w:rPr>
        <w:t> </w:t>
      </w:r>
      <w:r>
        <w:rPr>
          <w:rFonts w:ascii="宋体" w:hAnsi="宋体" w:cs="宋体" w:eastAsia="宋体" w:hint="default"/>
          <w:sz w:val="21"/>
          <w:szCs w:val="21"/>
        </w:rPr>
        <w:t>术有限公司派驻一名董事。</w:t>
      </w:r>
    </w:p>
    <w:p>
      <w:pPr>
        <w:spacing w:line="240" w:lineRule="auto" w:before="8"/>
        <w:rPr>
          <w:rFonts w:ascii="宋体" w:hAnsi="宋体" w:cs="宋体" w:eastAsia="宋体" w:hint="default"/>
          <w:sz w:val="24"/>
          <w:szCs w:val="24"/>
        </w:rPr>
      </w:pPr>
    </w:p>
    <w:p>
      <w:pPr>
        <w:spacing w:before="0"/>
        <w:ind w:left="152" w:right="996" w:firstLine="0"/>
        <w:jc w:val="left"/>
        <w:rPr>
          <w:rFonts w:ascii="宋体" w:hAnsi="宋体" w:cs="宋体" w:eastAsia="宋体" w:hint="default"/>
          <w:sz w:val="21"/>
          <w:szCs w:val="21"/>
        </w:rPr>
      </w:pPr>
      <w:bookmarkStart w:name="（2）重要合营企业的主要财务信息"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99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18"/>
        <w:ind w:left="152" w:right="996" w:firstLine="0"/>
        <w:jc w:val="left"/>
        <w:rPr>
          <w:rFonts w:ascii="宋体" w:hAnsi="宋体" w:cs="宋体" w:eastAsia="宋体" w:hint="default"/>
          <w:sz w:val="21"/>
          <w:szCs w:val="21"/>
        </w:rPr>
      </w:pPr>
      <w:bookmarkStart w:name="（3）重要联营企业的主要财务信息" w:id="402"/>
      <w:bookmarkEnd w:id="4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13" w:right="79" w:hanging="420"/>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系统技 术有限公司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92" w:right="51" w:hanging="540"/>
              <w:jc w:val="left"/>
              <w:rPr>
                <w:rFonts w:ascii="宋体" w:hAnsi="宋体" w:cs="宋体" w:eastAsia="宋体" w:hint="default"/>
                <w:sz w:val="18"/>
                <w:szCs w:val="18"/>
              </w:rPr>
            </w:pPr>
            <w:r>
              <w:rPr>
                <w:rFonts w:ascii="宋体" w:hAnsi="宋体" w:cs="宋体" w:eastAsia="宋体" w:hint="default"/>
                <w:sz w:val="18"/>
                <w:szCs w:val="18"/>
              </w:rPr>
              <w:t>北京赛弗网络科技有限 责任公司</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01" w:right="79" w:hanging="420"/>
              <w:jc w:val="left"/>
              <w:rPr>
                <w:rFonts w:ascii="宋体" w:hAnsi="宋体" w:cs="宋体" w:eastAsia="宋体" w:hint="default"/>
                <w:sz w:val="18"/>
                <w:szCs w:val="18"/>
              </w:rPr>
            </w:pPr>
            <w:r>
              <w:rPr>
                <w:rFonts w:ascii="宋体" w:hAnsi="宋体" w:cs="宋体" w:eastAsia="宋体" w:hint="default"/>
                <w:sz w:val="18"/>
                <w:szCs w:val="18"/>
              </w:rPr>
              <w:t>飞天联合</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系统技 术有限公司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93" w:right="50" w:hanging="540"/>
              <w:jc w:val="left"/>
              <w:rPr>
                <w:rFonts w:ascii="宋体" w:hAnsi="宋体" w:cs="宋体" w:eastAsia="宋体" w:hint="default"/>
                <w:sz w:val="18"/>
                <w:szCs w:val="18"/>
              </w:rPr>
            </w:pPr>
            <w:r>
              <w:rPr>
                <w:rFonts w:ascii="宋体" w:hAnsi="宋体" w:cs="宋体" w:eastAsia="宋体" w:hint="default"/>
                <w:sz w:val="18"/>
                <w:szCs w:val="18"/>
              </w:rPr>
              <w:t>北京赛弗网络科技有限 责任公司</w:t>
            </w:r>
          </w:p>
        </w:tc>
      </w:tr>
      <w:tr>
        <w:trPr>
          <w:trHeight w:val="394"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
        </w:tc>
        <w:tc>
          <w:tcPr>
            <w:tcW w:w="1925"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88,175,821.06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6,675,965.19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66,164,045.30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7,392,248.69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51,806,956.09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14,890,251.85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75,672,693.70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16,411,580.51</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139,982,777.15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21,566,217.04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141,836,739.00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23,803,829.20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82,876,996.86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1,645,975.26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50,378,536.93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843,939.88</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688,307.69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84,256,996.86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1,645,975.26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51,066,844.62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843,939.88</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189,752.91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1,142,461.85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55,536,027.38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19,920,241.78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89,627,432.53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22,959,889.32</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10,398,509.86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6,573,679.79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18,879,426.75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7,576,763.48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60,331,124.82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1,314,361.25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60,331,124.82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1,314,361.25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70,729,634.68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7,888,041.04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79,210,551.57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8,891,124.73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24,939,915.64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6,868,546.32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20,523,527.16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6,065,099.80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-84,177,817.59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-3,039,647.54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-31,423,268.26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-4,490,099.34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86,412.44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-84,091,405.15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-3,039,647.54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-31,423,268.26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-4,490,099.34</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bookmarkStart w:name="4、重要的共同经营" w:id="403"/>
      <w:bookmarkEnd w:id="40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1"/>
        <w:ind w:left="152" w:right="0" w:firstLine="0"/>
        <w:jc w:val="both"/>
        <w:rPr>
          <w:rFonts w:ascii="宋体" w:hAnsi="宋体" w:cs="宋体" w:eastAsia="宋体" w:hint="default"/>
          <w:sz w:val="21"/>
          <w:szCs w:val="21"/>
        </w:rPr>
      </w:pPr>
      <w:bookmarkStart w:name="5、在未纳入合并财务报表范围的结构化主体中的权益" w:id="404"/>
      <w:bookmarkEnd w:id="40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未纳入合并财务报表范围的结构化主体的相关说明：无</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bookmarkStart w:name="6、其他" w:id="405"/>
      <w:bookmarkEnd w:id="40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738" w:lineRule="exact" w:before="20"/>
        <w:ind w:left="573" w:right="996" w:hanging="421"/>
        <w:jc w:val="left"/>
        <w:rPr>
          <w:rFonts w:ascii="宋体" w:hAnsi="宋体" w:cs="宋体" w:eastAsia="宋体" w:hint="default"/>
          <w:sz w:val="24"/>
          <w:szCs w:val="24"/>
        </w:rPr>
      </w:pPr>
      <w:bookmarkStart w:name="十、与金融工具相关的风险" w:id="406"/>
      <w:bookmarkEnd w:id="406"/>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pacing w:val="2"/>
          <w:sz w:val="24"/>
          <w:szCs w:val="24"/>
        </w:rPr>
        <w:t>本公司的主要金融工具包括货币资金、交易性金融资产、股权投资、借款、应收款项、</w:t>
      </w:r>
      <w:r>
        <w:rPr>
          <w:rFonts w:ascii="宋体" w:hAnsi="宋体" w:cs="宋体" w:eastAsia="宋体" w:hint="default"/>
          <w:sz w:val="24"/>
          <w:szCs w:val="24"/>
        </w:rPr>
      </w:r>
    </w:p>
    <w:p>
      <w:pPr>
        <w:pStyle w:val="BodyText"/>
        <w:spacing w:line="350" w:lineRule="auto" w:before="33"/>
        <w:ind w:right="1134"/>
        <w:jc w:val="both"/>
      </w:pPr>
      <w:r>
        <w:rPr/>
        <w:t>应付款项等。在日常活动中面临各种金融工具的风险，主要包括信用风险、流动性风险、市</w:t>
      </w:r>
      <w:r>
        <w:rPr>
          <w:spacing w:val="-91"/>
        </w:rPr>
        <w:t> </w:t>
      </w:r>
      <w:r>
        <w:rPr>
          <w:spacing w:val="-91"/>
        </w:rPr>
      </w:r>
      <w:r>
        <w:rPr/>
        <w:t>场风险。与这些金融工具相关的风险，以及本公司为降低这些风险所采取的风险管理政策如</w:t>
      </w:r>
      <w:r>
        <w:rPr>
          <w:spacing w:val="-87"/>
        </w:rPr>
        <w:t> </w:t>
      </w:r>
      <w:r>
        <w:rPr>
          <w:spacing w:val="-87"/>
        </w:rPr>
      </w:r>
      <w:r>
        <w:rPr/>
        <w:t>下所述：</w:t>
      </w:r>
    </w:p>
    <w:p>
      <w:pPr>
        <w:pStyle w:val="BodyText"/>
        <w:spacing w:line="350" w:lineRule="auto" w:before="36"/>
        <w:ind w:right="996" w:firstLine="420"/>
        <w:jc w:val="left"/>
      </w:pPr>
      <w:r>
        <w:rPr>
          <w:spacing w:val="2"/>
        </w:rPr>
        <w:t>董事会负责规划并建立本公司的风险管理架构，制定本公司的风险管理政策和相关指引 </w:t>
      </w:r>
      <w:r>
        <w:rPr/>
        <w:t>并监督风险管理措施的执行情况。本公司已制定风险管理政策以识别和分析本公司所面临的</w:t>
      </w:r>
      <w:r>
        <w:rPr>
          <w:spacing w:val="-91"/>
        </w:rPr>
        <w:t> </w:t>
      </w:r>
      <w:r>
        <w:rPr>
          <w:spacing w:val="-91"/>
        </w:rPr>
      </w:r>
      <w:r>
        <w:rPr/>
        <w:t>风险，这些风险管理政策对特定风险进行了明确规定，涵盖了市场风险、信用风险和流动性</w:t>
      </w:r>
      <w:r>
        <w:rPr>
          <w:spacing w:val="-91"/>
        </w:rPr>
        <w:t> </w:t>
      </w:r>
      <w:r>
        <w:rPr>
          <w:spacing w:val="-91"/>
        </w:rPr>
      </w:r>
      <w:r>
        <w:rPr/>
        <w:t>风险管理等诸多方面。本公司定期评估市场环境及本公司经营活动的变化以决定是否对风险</w:t>
      </w:r>
      <w:r>
        <w:rPr>
          <w:spacing w:val="-91"/>
        </w:rPr>
        <w:t> </w:t>
      </w:r>
      <w:r>
        <w:rPr>
          <w:spacing w:val="-91"/>
        </w:rPr>
      </w:r>
      <w:r>
        <w:rPr>
          <w:spacing w:val="-2"/>
        </w:rPr>
        <w:t>管理政策及系统进行更新。本公司的风险管理由风险管理委员会按照董事会批准的政策开展。</w:t>
      </w:r>
      <w:r>
        <w:rPr/>
        <w:t> 风险管理委员会通过与本公司其他业务部门的紧密合作来识别、评价和规避相关风险。本公</w:t>
      </w:r>
      <w:r>
        <w:rPr>
          <w:spacing w:val="-91"/>
        </w:rPr>
        <w:t> </w:t>
      </w:r>
      <w:r>
        <w:rPr>
          <w:spacing w:val="-91"/>
        </w:rPr>
      </w:r>
      <w:r>
        <w:rPr/>
        <w:t>司内部审计部门就风险管理控制及程序进行定期的审核，并将审核结果上报本公司的审计委</w:t>
      </w:r>
      <w:r>
        <w:rPr>
          <w:spacing w:val="-91"/>
        </w:rPr>
        <w:t> </w:t>
      </w:r>
      <w:r>
        <w:rPr>
          <w:spacing w:val="-91"/>
        </w:rPr>
      </w:r>
      <w:r>
        <w:rPr/>
        <w:t>员会。本公司通过适当的多样化投资及业务组合来分散金融工具风险，并通过制定相应的风</w:t>
      </w:r>
      <w:r>
        <w:rPr>
          <w:spacing w:val="-91"/>
        </w:rPr>
        <w:t> </w:t>
      </w:r>
      <w:r>
        <w:rPr>
          <w:spacing w:val="-91"/>
        </w:rPr>
      </w:r>
      <w:r>
        <w:rPr/>
        <w:t>险管理政策减少集中于单一行业、特定地区或特定交易对手的风险。</w:t>
      </w:r>
    </w:p>
    <w:p>
      <w:pPr>
        <w:pStyle w:val="BodyText"/>
        <w:spacing w:line="240" w:lineRule="auto" w:before="36"/>
        <w:ind w:left="573" w:right="996"/>
        <w:jc w:val="left"/>
      </w:pPr>
      <w:r>
        <w:rPr>
          <w:rFonts w:ascii="宋体" w:hAnsi="宋体" w:cs="宋体" w:eastAsia="宋体" w:hint="default"/>
        </w:rPr>
        <w:t>1</w:t>
      </w:r>
      <w:r>
        <w:rPr/>
        <w:t>、信用风险</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33" w:firstLine="420"/>
        <w:jc w:val="both"/>
      </w:pPr>
      <w:r>
        <w:rPr>
          <w:spacing w:val="2"/>
        </w:rPr>
        <w:t>信用风险是指交易对手未能履行合同义务而导致本公司产生财务损失的风险，管理层已 </w:t>
      </w:r>
      <w:r>
        <w:rPr/>
        <w:t>制定适当的信用政策，并且不断监察信用风险的敞口。</w:t>
      </w:r>
    </w:p>
    <w:p>
      <w:pPr>
        <w:pStyle w:val="BodyText"/>
        <w:spacing w:line="352" w:lineRule="auto" w:before="31"/>
        <w:ind w:right="996" w:firstLine="420"/>
        <w:jc w:val="left"/>
      </w:pPr>
      <w:r>
        <w:rPr>
          <w:spacing w:val="2"/>
        </w:rPr>
        <w:t>本公司已采取政策只与信用良好的交易对手进行交易。另外，本公司基于对客户的财务 </w:t>
      </w:r>
      <w:r>
        <w:rPr/>
        <w:t>状况、从第三方获取担保的可能性、信用记录及其它因素诸如目前市场状况等评估客户的信</w:t>
      </w:r>
      <w:r>
        <w:rPr>
          <w:spacing w:val="-86"/>
        </w:rPr>
        <w:t> </w:t>
      </w:r>
      <w:r>
        <w:rPr>
          <w:spacing w:val="-86"/>
        </w:rPr>
      </w:r>
      <w:r>
        <w:rPr/>
        <w:t>用资质并设置相应信用期。本公司对应收票据、应收账款余额及收回情况进行持续监控，对</w:t>
      </w:r>
      <w:r>
        <w:rPr>
          <w:spacing w:val="-91"/>
        </w:rPr>
        <w:t> </w:t>
      </w:r>
      <w:r>
        <w:rPr>
          <w:spacing w:val="-91"/>
        </w:rPr>
      </w:r>
      <w:r>
        <w:rPr/>
        <w:t>于信用记录不良的客户，本公司会采用书面催款、缩短信用期或取消信用期等方式，以确保</w:t>
      </w:r>
      <w:r>
        <w:rPr>
          <w:spacing w:val="-91"/>
        </w:rPr>
        <w:t> </w:t>
      </w:r>
      <w:r>
        <w:rPr>
          <w:spacing w:val="-91"/>
        </w:rPr>
      </w:r>
      <w:r>
        <w:rPr>
          <w:spacing w:val="-2"/>
        </w:rPr>
        <w:t>本公司不致面临重大信用损失。此外，本公司于每个资产负债表日审核金融资产的回收情况，</w:t>
      </w:r>
      <w:r>
        <w:rPr/>
        <w:t> 以确保相关金融资产计提了充分的预期信用损失准备。</w:t>
      </w:r>
    </w:p>
    <w:p>
      <w:pPr>
        <w:pStyle w:val="BodyText"/>
        <w:spacing w:line="352" w:lineRule="auto" w:before="32"/>
        <w:ind w:right="1133" w:firstLine="420"/>
        <w:jc w:val="both"/>
      </w:pPr>
      <w:r>
        <w:rPr>
          <w:spacing w:val="2"/>
        </w:rPr>
        <w:t>本公司其他金融资产包括货币资金、其他应收款等，这些金融资产的信用风险源自于交 </w:t>
      </w:r>
      <w:r>
        <w:rPr/>
        <w:t>易对手违约，最大信用风险敞口为资产负债表中每项金融资产的账面金额。</w:t>
      </w:r>
    </w:p>
    <w:p>
      <w:pPr>
        <w:pStyle w:val="BodyText"/>
        <w:spacing w:line="350" w:lineRule="auto" w:before="34"/>
        <w:ind w:right="1133" w:firstLine="420"/>
        <w:jc w:val="both"/>
      </w:pPr>
      <w:r>
        <w:rPr>
          <w:spacing w:val="2"/>
        </w:rPr>
        <w:t>本公司持有的货币资金主要存放于国有控股银行和其他大中型商业银行等金融机构，管</w:t>
      </w:r>
      <w:r>
        <w:rPr/>
        <w:t> 理层认为这些商业银行具备较高信誉和资产状况，不存在重大的信用风险，不会产生因对方</w:t>
      </w:r>
      <w:r>
        <w:rPr>
          <w:spacing w:val="-91"/>
        </w:rPr>
        <w:t> </w:t>
      </w:r>
      <w:r>
        <w:rPr>
          <w:spacing w:val="-91"/>
        </w:rPr>
      </w:r>
      <w:r>
        <w:rPr/>
        <w:t>单位违约而导致的任何重大损失。本公司的政策是根据各知名金融机构的市场信誉、经营规</w:t>
      </w:r>
      <w:r>
        <w:rPr>
          <w:spacing w:val="-91"/>
        </w:rPr>
        <w:t> </w:t>
      </w:r>
      <w:r>
        <w:rPr>
          <w:spacing w:val="-91"/>
        </w:rPr>
      </w:r>
      <w:r>
        <w:rPr/>
        <w:t>模及财务背景来控制存放当中的存款金额，以限制对任何单个金融机构的信用风险金额。</w:t>
      </w:r>
    </w:p>
    <w:p>
      <w:pPr>
        <w:pStyle w:val="BodyText"/>
        <w:spacing w:line="350" w:lineRule="auto" w:before="34"/>
        <w:ind w:right="1129" w:firstLine="420"/>
        <w:jc w:val="both"/>
      </w:pPr>
      <w:r>
        <w:rPr>
          <w:spacing w:val="2"/>
        </w:rPr>
        <w:t>作为本公司信用风险资产管理的一部分，本公司利用账龄来评估应收账款和其他应收款 </w:t>
      </w:r>
      <w:r>
        <w:rPr/>
        <w:t>的减值损失。本公司的应收账款和其他应收款涉及大量客户，账龄信息可以反映这些客户对</w:t>
      </w:r>
      <w:r>
        <w:rPr>
          <w:spacing w:val="-91"/>
        </w:rPr>
        <w:t> </w:t>
      </w:r>
      <w:r>
        <w:rPr>
          <w:spacing w:val="-91"/>
        </w:rPr>
      </w:r>
      <w:r>
        <w:rPr/>
        <w:t>于应收账款和其他应收款的偿付能力和坏账风险。本公司根据历史数据计算不同账龄期间的</w:t>
      </w:r>
      <w:r>
        <w:rPr>
          <w:spacing w:val="-91"/>
        </w:rPr>
        <w:t> </w:t>
      </w:r>
      <w:r>
        <w:rPr>
          <w:spacing w:val="-91"/>
        </w:rPr>
      </w:r>
      <w:r>
        <w:rPr>
          <w:spacing w:val="-2"/>
        </w:rPr>
        <w:t>历史实际坏账率，并考虑了当前及未来经济状况的预测，如国家</w:t>
      </w:r>
      <w:r>
        <w:rPr>
          <w:rFonts w:ascii="宋体" w:hAnsi="宋体" w:cs="宋体" w:eastAsia="宋体" w:hint="default"/>
          <w:spacing w:val="-2"/>
        </w:rPr>
        <w:t>GDP</w:t>
      </w:r>
      <w:r>
        <w:rPr>
          <w:spacing w:val="-2"/>
        </w:rPr>
        <w:t>增速、基建投资总额、国</w:t>
      </w:r>
      <w:r>
        <w:rPr>
          <w:spacing w:val="-117"/>
        </w:rPr>
        <w:t> </w:t>
      </w:r>
      <w:r>
        <w:rPr>
          <w:spacing w:val="-117"/>
        </w:rPr>
      </w:r>
      <w:r>
        <w:rPr/>
        <w:t>家货币政策等前瞻性信息进行调整得出预期损失率。对于长期应收款，本公司综合考虑结算</w:t>
      </w:r>
      <w:r>
        <w:rPr>
          <w:spacing w:val="-91"/>
        </w:rPr>
        <w:t> </w:t>
      </w:r>
      <w:r>
        <w:rPr>
          <w:spacing w:val="-91"/>
        </w:rPr>
      </w:r>
      <w:r>
        <w:rPr/>
        <w:t>期、合同约定付款期、债务人的财务状况和债务人所处行业的经济形势，并考虑上述前瞻性</w:t>
      </w:r>
      <w:r>
        <w:rPr>
          <w:spacing w:val="-91"/>
        </w:rPr>
        <w:t> </w:t>
      </w:r>
      <w:r>
        <w:rPr>
          <w:spacing w:val="-91"/>
        </w:rPr>
      </w:r>
      <w:r>
        <w:rPr/>
        <w:t>信息进行调整后对于预期信用损失进行合理评估。</w:t>
      </w:r>
    </w:p>
    <w:p>
      <w:pPr>
        <w:pStyle w:val="BodyText"/>
        <w:spacing w:line="240" w:lineRule="auto" w:before="36"/>
        <w:ind w:left="573" w:right="996"/>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日，相关资产的账面余额与预期信用减值损失情况如下：</w:t>
      </w:r>
    </w:p>
    <w:p>
      <w:pPr>
        <w:spacing w:line="240" w:lineRule="auto" w:before="8"/>
        <w:rPr>
          <w:rFonts w:ascii="宋体" w:hAnsi="宋体" w:cs="宋体" w:eastAsia="宋体" w:hint="default"/>
          <w:sz w:val="4"/>
          <w:szCs w:val="4"/>
        </w:rPr>
      </w:pPr>
    </w:p>
    <w:tbl>
      <w:tblPr>
        <w:tblW w:w="0" w:type="auto"/>
        <w:jc w:val="left"/>
        <w:tblInd w:w="810" w:type="dxa"/>
        <w:tblLayout w:type="fixed"/>
        <w:tblCellMar>
          <w:top w:w="0" w:type="dxa"/>
          <w:left w:w="0" w:type="dxa"/>
          <w:bottom w:w="0" w:type="dxa"/>
          <w:right w:w="0" w:type="dxa"/>
        </w:tblCellMar>
        <w:tblLook w:val="01E0"/>
      </w:tblPr>
      <w:tblGrid>
        <w:gridCol w:w="3147"/>
        <w:gridCol w:w="2624"/>
        <w:gridCol w:w="2545"/>
      </w:tblGrid>
      <w:tr>
        <w:trPr>
          <w:trHeight w:val="341"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354"/>
              <w:jc w:val="right"/>
              <w:rPr>
                <w:rFonts w:ascii="宋体" w:hAnsi="宋体" w:cs="宋体" w:eastAsia="宋体" w:hint="default"/>
                <w:sz w:val="21"/>
                <w:szCs w:val="21"/>
              </w:rPr>
            </w:pPr>
            <w:r>
              <w:rPr>
                <w:rFonts w:ascii="宋体" w:hAnsi="宋体" w:cs="宋体" w:eastAsia="宋体" w:hint="default"/>
                <w:sz w:val="21"/>
                <w:szCs w:val="21"/>
              </w:rPr>
              <w:t>账龄</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r>
      <w:tr>
        <w:trPr>
          <w:trHeight w:val="34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81,966,039.05</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3,122,492.79</w:t>
            </w:r>
          </w:p>
        </w:tc>
      </w:tr>
      <w:tr>
        <w:trPr>
          <w:trHeight w:val="341"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474,738,432.28</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87,527,856.56</w:t>
            </w:r>
          </w:p>
        </w:tc>
      </w:tr>
      <w:tr>
        <w:trPr>
          <w:trHeight w:val="343"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20,059,724.08</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1,990,864.08</w:t>
            </w:r>
          </w:p>
        </w:tc>
      </w:tr>
      <w:tr>
        <w:trPr>
          <w:trHeight w:val="341" w:hRule="exact"/>
        </w:trPr>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354"/>
              <w:jc w:val="right"/>
              <w:rPr>
                <w:rFonts w:ascii="宋体" w:hAnsi="宋体" w:cs="宋体" w:eastAsia="宋体" w:hint="default"/>
                <w:sz w:val="21"/>
                <w:szCs w:val="21"/>
              </w:rPr>
            </w:pPr>
            <w:r>
              <w:rPr>
                <w:rFonts w:ascii="宋体" w:hAnsi="宋体" w:cs="宋体" w:eastAsia="宋体" w:hint="default"/>
                <w:sz w:val="21"/>
                <w:szCs w:val="21"/>
              </w:rPr>
              <w:t>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576,764,195.41</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92,641,213.43</w:t>
            </w:r>
          </w:p>
        </w:tc>
      </w:tr>
    </w:tbl>
    <w:p>
      <w:pPr>
        <w:spacing w:line="240" w:lineRule="auto" w:before="9"/>
        <w:rPr>
          <w:rFonts w:ascii="宋体" w:hAnsi="宋体" w:cs="宋体" w:eastAsia="宋体" w:hint="default"/>
          <w:sz w:val="4"/>
          <w:szCs w:val="4"/>
        </w:rPr>
      </w:pPr>
    </w:p>
    <w:p>
      <w:pPr>
        <w:pStyle w:val="BodyText"/>
        <w:spacing w:line="352" w:lineRule="auto" w:before="26"/>
        <w:ind w:right="996" w:firstLine="420"/>
        <w:jc w:val="left"/>
      </w:pPr>
      <w:r>
        <w:rPr>
          <w:spacing w:val="2"/>
        </w:rPr>
        <w:t>本公司的主要客户具有可靠及良好的信誉，因此，本公司认为该等客户并无重大信用风 </w:t>
      </w:r>
      <w:r>
        <w:rPr/>
        <w:t>险。由于本公司的客户广泛，因此没有重大的信用集中风险。</w:t>
      </w:r>
    </w:p>
    <w:p>
      <w:pPr>
        <w:pStyle w:val="BodyText"/>
        <w:spacing w:line="350" w:lineRule="auto" w:before="34"/>
        <w:ind w:left="573" w:right="1213"/>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日，本公司的前五大客户的应收账款占本公司应收账款总额</w:t>
      </w:r>
      <w:r>
        <w:rPr>
          <w:rFonts w:ascii="宋体" w:hAnsi="宋体" w:cs="宋体" w:eastAsia="宋体" w:hint="default"/>
        </w:rPr>
        <w:t>11.70%</w:t>
      </w:r>
      <w:r>
        <w:rPr/>
        <w:t>。 </w:t>
      </w:r>
      <w:r>
        <w:rPr>
          <w:rFonts w:ascii="宋体" w:hAnsi="宋体" w:cs="宋体" w:eastAsia="宋体" w:hint="default"/>
        </w:rPr>
        <w:t>2</w:t>
      </w:r>
      <w:r>
        <w:rPr/>
        <w:t>、流动性风险</w:t>
      </w:r>
    </w:p>
    <w:p>
      <w:pPr>
        <w:spacing w:after="0" w:line="35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0" w:lineRule="auto" w:before="198"/>
        <w:ind w:right="1133" w:firstLine="420"/>
        <w:jc w:val="both"/>
      </w:pPr>
      <w:r>
        <w:rPr/>
        <w:pict>
          <v:shape style="position:absolute;margin-left:67.704002pt;margin-top:143.555603pt;width:460.2pt;height:120.3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6"/>
                    <w:gridCol w:w="2547"/>
                    <w:gridCol w:w="2547"/>
                    <w:gridCol w:w="2549"/>
                  </w:tblGrid>
                  <w:tr>
                    <w:trPr>
                      <w:trHeight w:val="343" w:hRule="exact"/>
                    </w:trPr>
                    <w:tc>
                      <w:tcPr>
                        <w:tcW w:w="1546" w:type="dxa"/>
                        <w:vMerge w:val="restart"/>
                        <w:tcBorders>
                          <w:top w:val="single" w:sz="4" w:space="0" w:color="000000"/>
                          <w:left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1" w:hRule="exact"/>
                    </w:trPr>
                    <w:tc>
                      <w:tcPr>
                        <w:tcW w:w="1546" w:type="dxa"/>
                        <w:vMerge/>
                        <w:tcBorders>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年以上</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非衍生金融负债</w:t>
                        </w:r>
                      </w:p>
                    </w:tc>
                    <w:tc>
                      <w:tcPr>
                        <w:tcW w:w="2547" w:type="dxa"/>
                        <w:tcBorders>
                          <w:top w:val="single" w:sz="4" w:space="0" w:color="000000"/>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20,212,721.09</w:t>
                        </w:r>
                      </w:p>
                    </w:tc>
                    <w:tc>
                      <w:tcPr>
                        <w:tcW w:w="2547"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20,212,721.09</w:t>
                        </w:r>
                      </w:p>
                    </w:tc>
                  </w:tr>
                  <w:tr>
                    <w:trPr>
                      <w:trHeight w:val="34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161,253,763.61</w:t>
                        </w:r>
                      </w:p>
                    </w:tc>
                    <w:tc>
                      <w:tcPr>
                        <w:tcW w:w="2547"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161,253,763.61</w:t>
                        </w:r>
                      </w:p>
                    </w:tc>
                  </w:tr>
                  <w:tr>
                    <w:trPr>
                      <w:trHeight w:val="34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9,943,386.51</w:t>
                        </w:r>
                      </w:p>
                    </w:tc>
                    <w:tc>
                      <w:tcPr>
                        <w:tcW w:w="2547"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9,943,386.51</w:t>
                        </w:r>
                      </w:p>
                    </w:tc>
                  </w:tr>
                  <w:tr>
                    <w:trPr>
                      <w:trHeight w:val="34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191,409,871.21</w:t>
                        </w:r>
                      </w:p>
                    </w:tc>
                    <w:tc>
                      <w:tcPr>
                        <w:tcW w:w="2547"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191,409,871.21</w:t>
                        </w:r>
                      </w:p>
                    </w:tc>
                  </w:tr>
                </w:tbl>
                <w:p>
                  <w:pPr/>
                </w:p>
              </w:txbxContent>
            </v:textbox>
            <w10:wrap type="none"/>
          </v:shape>
        </w:pict>
      </w:r>
      <w:r>
        <w:rPr>
          <w:spacing w:val="2"/>
        </w:rPr>
        <w:t>流动性风险是指本公司在履行以交付现金或其他金融资产的方式结算的义务时发生资金 </w:t>
      </w:r>
      <w:r>
        <w:rPr/>
        <w:t>短缺的风险。本公司下属成员企业各自负责其现金流量预测。公司下属财务部门基于各成员</w:t>
      </w:r>
      <w:r>
        <w:rPr>
          <w:spacing w:val="-87"/>
        </w:rPr>
        <w:t> </w:t>
      </w:r>
      <w:r>
        <w:rPr>
          <w:spacing w:val="-87"/>
        </w:rPr>
      </w:r>
      <w:r>
        <w:rPr/>
        <w:t>企业的现金流量预测结果，在公司层面持续监控公司短期和长期的资金需求，以确保维持充</w:t>
      </w:r>
      <w:r>
        <w:rPr>
          <w:spacing w:val="-91"/>
        </w:rPr>
        <w:t> </w:t>
      </w:r>
      <w:r>
        <w:rPr>
          <w:spacing w:val="-91"/>
        </w:rPr>
      </w:r>
      <w:r>
        <w:rPr/>
        <w:t>裕的现金储备；同时持续监控是否符合借款协议的规定，从主要金融机构获得提供足够备用</w:t>
      </w:r>
      <w:r>
        <w:rPr>
          <w:spacing w:val="-91"/>
        </w:rPr>
        <w:t> </w:t>
      </w:r>
      <w:r>
        <w:rPr>
          <w:spacing w:val="-91"/>
        </w:rPr>
      </w:r>
      <w:r>
        <w:rPr/>
        <w:t>资金的承诺，以满足短期和长期的资金需求。截止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日，本公司金融负债和表外</w:t>
      </w:r>
      <w:r>
        <w:rPr>
          <w:spacing w:val="-88"/>
        </w:rPr>
        <w:t> </w:t>
      </w:r>
      <w:r>
        <w:rPr>
          <w:spacing w:val="-88"/>
        </w:rPr>
      </w:r>
      <w:r>
        <w:rPr/>
        <w:t>担保项目以未折现的合同现金流量按合同剩余期限列示如下：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26"/>
        <w:ind w:left="573" w:right="996"/>
        <w:jc w:val="left"/>
      </w:pPr>
      <w:r>
        <w:rPr>
          <w:rFonts w:ascii="宋体" w:hAnsi="宋体" w:cs="宋体" w:eastAsia="宋体" w:hint="default"/>
        </w:rPr>
        <w:t>3</w:t>
      </w:r>
      <w:r>
        <w:rPr/>
        <w:t>、市场风险</w:t>
      </w:r>
    </w:p>
    <w:p>
      <w:pPr>
        <w:pStyle w:val="BodyText"/>
        <w:spacing w:line="352" w:lineRule="auto" w:before="144"/>
        <w:ind w:left="573" w:right="996"/>
        <w:jc w:val="left"/>
      </w:pPr>
      <w:r>
        <w:rPr/>
        <w:t>（</w:t>
      </w:r>
      <w:r>
        <w:rPr>
          <w:rFonts w:ascii="宋体" w:hAnsi="宋体" w:cs="宋体" w:eastAsia="宋体" w:hint="default"/>
        </w:rPr>
        <w:t>1</w:t>
      </w:r>
      <w:r>
        <w:rPr/>
        <w:t>）利率风险 </w:t>
      </w:r>
      <w:r>
        <w:rPr>
          <w:spacing w:val="2"/>
        </w:rPr>
        <w:t>本公司的利率风险主要产生于银行借款等。浮动利率的金融负债使本公司面临现金流量</w:t>
      </w:r>
      <w:r>
        <w:rPr/>
      </w:r>
    </w:p>
    <w:p>
      <w:pPr>
        <w:pStyle w:val="BodyText"/>
        <w:spacing w:line="350" w:lineRule="auto" w:before="34"/>
        <w:ind w:right="996"/>
        <w:jc w:val="left"/>
      </w:pPr>
      <w:r>
        <w:rPr/>
        <w:t>利率风险，固定利率的金融负债使本公司面临公允价值利率风险。本公司根据当时的市场环</w:t>
      </w:r>
      <w:r>
        <w:rPr>
          <w:spacing w:val="-91"/>
        </w:rPr>
        <w:t> </w:t>
      </w:r>
      <w:r>
        <w:rPr>
          <w:spacing w:val="-91"/>
        </w:rPr>
      </w:r>
      <w:r>
        <w:rPr/>
        <w:t>境来决定固定利率及浮动利率合同的相对比例。</w:t>
      </w:r>
    </w:p>
    <w:p>
      <w:pPr>
        <w:pStyle w:val="BodyText"/>
        <w:spacing w:line="350" w:lineRule="auto" w:before="36"/>
        <w:ind w:right="1133" w:firstLine="420"/>
        <w:jc w:val="both"/>
      </w:pPr>
      <w:r>
        <w:rPr>
          <w:spacing w:val="2"/>
        </w:rPr>
        <w:t>本公司财务部门持续监控公司利率水平。利率上升会增加新增带息债务的成本以及本公 </w:t>
      </w:r>
      <w:r>
        <w:rPr/>
        <w:t>司尚未付清的以浮动利率计息的带息债务的利息支出，并对本公司的财务业绩产生一定的不</w:t>
      </w:r>
      <w:r>
        <w:rPr>
          <w:spacing w:val="-89"/>
        </w:rPr>
        <w:t> </w:t>
      </w:r>
      <w:r>
        <w:rPr>
          <w:spacing w:val="-89"/>
        </w:rPr>
      </w:r>
      <w:r>
        <w:rPr/>
        <w:t>利影响，管理层会依据最新的市场状况及时做出调整。</w:t>
      </w:r>
    </w:p>
    <w:p>
      <w:pPr>
        <w:pStyle w:val="BodyText"/>
        <w:spacing w:line="240" w:lineRule="auto" w:before="36"/>
        <w:ind w:left="573" w:right="996"/>
        <w:jc w:val="left"/>
      </w:pPr>
      <w:r>
        <w:rPr/>
        <w:t>① 本年度公司无利率互换安排。</w:t>
      </w:r>
    </w:p>
    <w:p>
      <w:pPr>
        <w:pStyle w:val="BodyText"/>
        <w:spacing w:line="350" w:lineRule="auto" w:before="146"/>
        <w:ind w:right="1049" w:firstLine="420"/>
        <w:jc w:val="both"/>
      </w:pPr>
      <w:r>
        <w:rPr/>
        <w:t>②</w:t>
      </w:r>
      <w:r>
        <w:rPr>
          <w:spacing w:val="-1"/>
        </w:rPr>
        <w:t> </w:t>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日，本公司长短期带息债务中部分为以民币计价的固定利率合同， 金额为</w:t>
      </w:r>
      <w:r>
        <w:rPr>
          <w:rFonts w:ascii="宋体" w:hAnsi="宋体" w:cs="宋体" w:eastAsia="宋体" w:hint="default"/>
        </w:rPr>
        <w:t>17,212,721.09</w:t>
      </w:r>
      <w:r>
        <w:rPr/>
        <w:t>元。部分为以人民币计价的浮动利率合同，金额为：</w:t>
      </w:r>
      <w:r>
        <w:rPr>
          <w:rFonts w:ascii="宋体" w:hAnsi="宋体" w:cs="宋体" w:eastAsia="宋体" w:hint="default"/>
        </w:rPr>
        <w:t>3,000,000.00</w:t>
      </w:r>
      <w:r>
        <w:rPr/>
        <w:t>元。</w:t>
      </w:r>
    </w:p>
    <w:p>
      <w:pPr>
        <w:pStyle w:val="BodyText"/>
        <w:spacing w:line="352" w:lineRule="auto" w:before="36"/>
        <w:ind w:left="573" w:right="1127"/>
        <w:jc w:val="left"/>
      </w:pPr>
      <w:r>
        <w:rPr/>
        <w:t>③ 敏感性分析： </w:t>
      </w: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日，如果以浮动利率计算的借款利率上升或下降</w:t>
      </w:r>
      <w:r>
        <w:rPr>
          <w:rFonts w:ascii="宋体" w:hAnsi="宋体" w:cs="宋体" w:eastAsia="宋体" w:hint="default"/>
          <w:spacing w:val="2"/>
        </w:rPr>
        <w:t>50</w:t>
      </w:r>
      <w:r>
        <w:rPr>
          <w:spacing w:val="2"/>
        </w:rPr>
        <w:t>个基点，而其他因</w:t>
      </w:r>
      <w:r>
        <w:rPr/>
      </w:r>
    </w:p>
    <w:p>
      <w:pPr>
        <w:pStyle w:val="BodyText"/>
        <w:spacing w:line="352" w:lineRule="auto" w:before="31"/>
        <w:ind w:left="573" w:right="1137" w:hanging="421"/>
        <w:jc w:val="left"/>
      </w:pPr>
      <w:r>
        <w:rPr/>
        <w:t>素保持不变，本公司的净利润会减少或增加约</w:t>
      </w:r>
      <w:r>
        <w:rPr>
          <w:rFonts w:ascii="宋体" w:hAnsi="宋体" w:cs="宋体" w:eastAsia="宋体" w:hint="default"/>
        </w:rPr>
        <w:t>44,000</w:t>
      </w:r>
      <w:r>
        <w:rPr/>
        <w:t>元。 </w:t>
      </w:r>
      <w:r>
        <w:rPr>
          <w:spacing w:val="2"/>
        </w:rPr>
        <w:t>上述敏感性分析假定在资产负债表日已发生利率变动，并且已应用于本公司所有按浮动</w:t>
      </w:r>
    </w:p>
    <w:p>
      <w:pPr>
        <w:pStyle w:val="BodyText"/>
        <w:spacing w:line="240" w:lineRule="auto" w:before="34"/>
        <w:ind w:right="996"/>
        <w:jc w:val="left"/>
      </w:pPr>
      <w:r>
        <w:rPr/>
        <w:t>利率获得的借款。</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十一、公允价值的披露" w:id="407"/>
      <w:bookmarkEnd w:id="407"/>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以公允价值计量的资产和负债的期末公允价值" w:id="408"/>
      <w:bookmarkEnd w:id="4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12,013,735.21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134,173,100.00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146,186,835.21</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12,013,735.21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134,173,100.00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146,186,835.21</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173,100.00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12,013,735.21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146,013,735.21</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20,234,100.00</w:t>
            </w:r>
            <w:r>
              <w:rPr>
                <w:rFonts w:ascii="Arial"/>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20,234,100.00</w:t>
            </w:r>
            <w:r>
              <w:rPr>
                <w:rFonts w:ascii="Arial"/>
                <w:spacing w:val="-1"/>
                <w:sz w:val="18"/>
              </w:rPr>
            </w:r>
          </w:p>
        </w:tc>
      </w:tr>
      <w:tr>
        <w:trPr>
          <w:trHeight w:val="71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12,013,735.21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154,407,200.00</w:t>
            </w:r>
            <w:r>
              <w:rPr>
                <w:rFonts w:ascii="Arial"/>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166,420,935.21</w:t>
            </w:r>
            <w:r>
              <w:rPr>
                <w:rFonts w:ascii="Arial"/>
                <w:spacing w:val="-1"/>
                <w:sz w:val="18"/>
              </w:rPr>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持续和非持续第一层次公允价值计量项目市价的确定依据" w:id="409"/>
      <w:bookmarkEnd w:id="4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第一层次：是在计量日能够取得的相同资产或负债在活跃市场上未经调整的报价。</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持续和非持续第二层次公允价值计量项目，采用的估值技术和重要参数的定性及定量信" w:id="410"/>
      <w:bookmarkEnd w:id="4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0" w:lineRule="auto"/>
        <w:ind w:left="573" w:right="996"/>
        <w:jc w:val="left"/>
      </w:pPr>
      <w:r>
        <w:rPr/>
        <w:t>第二层次：是除第一层次输入值外相关资产或负债直接或间接可观察的输入值； </w:t>
      </w:r>
      <w:r>
        <w:rPr>
          <w:spacing w:val="2"/>
        </w:rPr>
        <w:t>第二层次输入值包括：</w:t>
      </w:r>
      <w:r>
        <w:rPr>
          <w:rFonts w:ascii="宋体" w:hAnsi="宋体" w:cs="宋体" w:eastAsia="宋体" w:hint="default"/>
          <w:spacing w:val="2"/>
        </w:rPr>
        <w:t>1</w:t>
      </w:r>
      <w:r>
        <w:rPr>
          <w:spacing w:val="2"/>
        </w:rPr>
        <w:t>）活跃市场中类似资产或负债的报价；</w:t>
      </w:r>
      <w:r>
        <w:rPr>
          <w:rFonts w:ascii="宋体" w:hAnsi="宋体" w:cs="宋体" w:eastAsia="宋体" w:hint="default"/>
          <w:spacing w:val="2"/>
        </w:rPr>
        <w:t>2</w:t>
      </w:r>
      <w:r>
        <w:rPr>
          <w:spacing w:val="2"/>
        </w:rPr>
        <w:t>）非活跃市场中相同或</w:t>
      </w:r>
    </w:p>
    <w:p>
      <w:pPr>
        <w:pStyle w:val="BodyText"/>
        <w:spacing w:line="352" w:lineRule="auto" w:before="36"/>
        <w:ind w:right="996"/>
        <w:jc w:val="left"/>
      </w:pPr>
      <w:r>
        <w:rPr>
          <w:spacing w:val="-3"/>
        </w:rPr>
        <w:t>类似资产或负债的报价；</w:t>
      </w:r>
      <w:r>
        <w:rPr>
          <w:rFonts w:ascii="宋体" w:hAnsi="宋体" w:cs="宋体" w:eastAsia="宋体" w:hint="default"/>
          <w:spacing w:val="-3"/>
        </w:rPr>
        <w:t>3</w:t>
      </w:r>
      <w:r>
        <w:rPr>
          <w:spacing w:val="-3"/>
        </w:rPr>
        <w:t>）除报价以外的其他可观察输入值，包括在正常报价间隔期间可观</w:t>
      </w:r>
      <w:r>
        <w:rPr>
          <w:spacing w:val="-80"/>
        </w:rPr>
        <w:t> </w:t>
      </w:r>
      <w:r>
        <w:rPr>
          <w:spacing w:val="-80"/>
        </w:rPr>
      </w:r>
      <w:r>
        <w:rPr/>
        <w:t>察的利率和收益率曲线、隐含波动率和信用利差等；</w:t>
      </w:r>
      <w:r>
        <w:rPr>
          <w:rFonts w:ascii="宋体" w:hAnsi="宋体" w:cs="宋体" w:eastAsia="宋体" w:hint="default"/>
        </w:rPr>
        <w:t>4</w:t>
      </w:r>
      <w:r>
        <w:rPr/>
        <w:t>）市场验证的输入值等。</w:t>
      </w:r>
    </w:p>
    <w:p>
      <w:pPr>
        <w:spacing w:line="240" w:lineRule="auto" w:before="10"/>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4、持续和非持续第三层次公允价值计量项目，采用的估值技术和重要参数的定性及定量信" w:id="411"/>
      <w:bookmarkEnd w:id="41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573" w:right="996"/>
        <w:jc w:val="left"/>
      </w:pPr>
      <w:r>
        <w:rPr/>
        <w:t>第三层次：是相关资产或负债的不可观察输入值。</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5、持续的第三层次公允价值计量项目，期初与期末账面价值间的调节信息及不可观察参数" w:id="412"/>
      <w:bookmarkEnd w:id="41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6、持续的公允价值计量项目，本期内发生各层级之间转换的，转换的原因及确定转换时点" w:id="413"/>
      <w:bookmarkEnd w:id="41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7、本期内发生的估值技术变更及变更原因" w:id="414"/>
      <w:bookmarkEnd w:id="41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8"/>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8、不以公允价值计量的金融资产和金融负债的公允价值情况" w:id="415"/>
      <w:bookmarkEnd w:id="41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352" w:lineRule="auto"/>
        <w:ind w:left="573" w:right="1453"/>
        <w:jc w:val="left"/>
      </w:pPr>
      <w:r>
        <w:rPr/>
        <w:t>不以公允价值计量的金融资产和负债主要包括：应收款项、短期借款、应付款项等。 上述不以公允价值计量的金融资产和负债的账面价值与公允价值相差很小。</w:t>
      </w:r>
    </w:p>
    <w:p>
      <w:pPr>
        <w:spacing w:line="240" w:lineRule="auto" w:before="10"/>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9、其他" w:id="416"/>
      <w:bookmarkEnd w:id="41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2" w:lineRule="auto"/>
        <w:ind w:right="1094" w:firstLine="420"/>
        <w:jc w:val="left"/>
      </w:pPr>
      <w:r>
        <w:rPr/>
        <w:t>（</w:t>
      </w:r>
      <w:r>
        <w:rPr>
          <w:rFonts w:ascii="宋体" w:hAnsi="宋体" w:cs="宋体" w:eastAsia="宋体" w:hint="default"/>
        </w:rPr>
        <w:t>1</w:t>
      </w:r>
      <w:r>
        <w:rPr/>
        <w:t>）以公允价值计量且其变动计入当期损益的金融资产中银行理财主要为结构性存款， 其公允价值按预期收益率进行测算。资管计划以期末市价作为其公允价值。</w:t>
      </w:r>
    </w:p>
    <w:p>
      <w:pPr>
        <w:pStyle w:val="BodyText"/>
        <w:spacing w:line="352" w:lineRule="auto" w:before="32"/>
        <w:ind w:right="996" w:firstLine="420"/>
        <w:jc w:val="left"/>
      </w:pPr>
      <w:r>
        <w:rPr>
          <w:spacing w:val="-1"/>
        </w:rPr>
        <w:t>（</w:t>
      </w:r>
      <w:r>
        <w:rPr>
          <w:rFonts w:ascii="宋体" w:hAnsi="宋体" w:cs="宋体" w:eastAsia="宋体" w:hint="default"/>
          <w:spacing w:val="-1"/>
        </w:rPr>
        <w:t>2</w:t>
      </w:r>
      <w:r>
        <w:rPr>
          <w:spacing w:val="-1"/>
        </w:rPr>
        <w:t>）其他权益工具投资中对北京智慧图科技有限责任公司</w:t>
      </w:r>
      <w:r>
        <w:rPr>
          <w:rFonts w:ascii="宋体" w:hAnsi="宋体" w:cs="宋体" w:eastAsia="宋体" w:hint="default"/>
          <w:spacing w:val="-1"/>
        </w:rPr>
        <w:t>(</w:t>
      </w:r>
      <w:r>
        <w:rPr>
          <w:spacing w:val="-1"/>
        </w:rPr>
        <w:t>以下简称智慧图</w:t>
      </w:r>
      <w:r>
        <w:rPr>
          <w:rFonts w:ascii="宋体" w:hAnsi="宋体" w:cs="宋体" w:eastAsia="宋体" w:hint="default"/>
          <w:spacing w:val="-1"/>
        </w:rPr>
        <w:t>)</w:t>
      </w:r>
      <w:r>
        <w:rPr>
          <w:spacing w:val="-1"/>
        </w:rPr>
        <w:t>投资，参考</w:t>
      </w:r>
      <w:r>
        <w:rPr/>
        <w:t> 利用外部评估专家的评估值作为期末公允价值的依据。</w:t>
      </w:r>
    </w:p>
    <w:p>
      <w:pPr>
        <w:spacing w:line="484" w:lineRule="auto" w:before="34"/>
        <w:ind w:left="152" w:right="1334" w:firstLine="42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）其他非流动金融资产参考利用外部评估专家的评估值作为期末公允价值的依据。 </w:t>
      </w:r>
      <w:bookmarkStart w:name="十二、关联方及关联交易" w:id="417"/>
      <w:bookmarkEnd w:id="417"/>
      <w:r>
        <w:rPr>
          <w:rFonts w:ascii="宋体" w:hAnsi="宋体" w:cs="宋体" w:eastAsia="宋体" w:hint="default"/>
          <w:sz w:val="24"/>
          <w:szCs w:val="24"/>
        </w:rPr>
      </w:r>
      <w:r>
        <w:rPr>
          <w:rFonts w:ascii="宋体" w:hAnsi="宋体" w:cs="宋体" w:eastAsia="宋体" w:hint="default"/>
          <w:b/>
          <w:bCs/>
          <w:sz w:val="24"/>
          <w:szCs w:val="24"/>
        </w:rPr>
        <w:t>十二、关联方及关联交易</w:t>
      </w:r>
      <w:r>
        <w:rPr>
          <w:rFonts w:ascii="宋体" w:hAnsi="宋体" w:cs="宋体" w:eastAsia="宋体" w:hint="default"/>
          <w:sz w:val="24"/>
          <w:szCs w:val="24"/>
        </w:rPr>
      </w:r>
    </w:p>
    <w:p>
      <w:pPr>
        <w:spacing w:before="81"/>
        <w:ind w:left="152" w:right="996" w:firstLine="0"/>
        <w:jc w:val="left"/>
        <w:rPr>
          <w:rFonts w:ascii="宋体" w:hAnsi="宋体" w:cs="宋体" w:eastAsia="宋体" w:hint="default"/>
          <w:sz w:val="21"/>
          <w:szCs w:val="21"/>
        </w:rPr>
      </w:pPr>
      <w:bookmarkStart w:name="1、本企业的母公司情况" w:id="418"/>
      <w:bookmarkEnd w:id="4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8"/>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本企业的子公司情况" w:id="419"/>
      <w:bookmarkEnd w:id="4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573" w:right="996"/>
        <w:jc w:val="left"/>
      </w:pPr>
      <w:r>
        <w:rPr/>
        <w:t>本企业子公司的情况详见附注九、</w:t>
      </w:r>
      <w:r>
        <w:rPr>
          <w:rFonts w:ascii="宋体" w:hAnsi="宋体" w:cs="宋体" w:eastAsia="宋体" w:hint="default"/>
        </w:rPr>
        <w:t>1</w:t>
      </w:r>
      <w:r>
        <w:rPr/>
        <w:t>。</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本企业合营和联营企业情况" w:id="420"/>
      <w:bookmarkEnd w:id="4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573" w:right="996"/>
        <w:jc w:val="left"/>
      </w:pPr>
      <w:r>
        <w:rPr/>
        <w:t>本企业重要的合营或联营企业详见附注九、</w:t>
      </w:r>
      <w:r>
        <w:rPr>
          <w:rFonts w:ascii="宋体" w:hAnsi="宋体" w:cs="宋体" w:eastAsia="宋体" w:hint="default"/>
        </w:rPr>
        <w:t>3</w:t>
      </w:r>
      <w:r>
        <w:rPr/>
        <w:t>。</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996" w:firstLine="420"/>
        <w:jc w:val="left"/>
      </w:pPr>
      <w:r>
        <w:rPr/>
        <w:pict>
          <v:shape style="position:absolute;margin-left:56.400002pt;margin-top:51.575603pt;width:479.3pt;height:60.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440"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飞天联合</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系统技术有限公司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北京赛弗网络科技有限责任公司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bl>
                <w:p>
                  <w:pPr/>
                </w:p>
              </w:txbxContent>
            </v:textbox>
            <w10:wrap type="none"/>
          </v:shape>
        </w:pict>
      </w:r>
      <w:r>
        <w:rPr>
          <w:spacing w:val="2"/>
        </w:rPr>
        <w:t>本期与本公司发生关联方交易，或前期与本公司发生关联方交易形成余额的其他合营或 </w:t>
      </w:r>
      <w:r>
        <w:rPr/>
        <w:t>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36"/>
        <w:ind w:left="152" w:right="996" w:firstLine="0"/>
        <w:jc w:val="left"/>
        <w:rPr>
          <w:rFonts w:ascii="宋体" w:hAnsi="宋体" w:cs="宋体" w:eastAsia="宋体" w:hint="default"/>
          <w:sz w:val="21"/>
          <w:szCs w:val="21"/>
        </w:rPr>
      </w:pPr>
      <w:bookmarkStart w:name="4、其他关联方情况" w:id="421"/>
      <w:bookmarkEnd w:id="4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北京智慧图科技有限责任公司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深圳丰图辉煌基金管理中心</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北京七彩通达传媒股份有限公司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本公司的参股公司</w:t>
            </w:r>
          </w:p>
        </w:tc>
      </w:tr>
    </w:tbl>
    <w:p>
      <w:pPr>
        <w:spacing w:line="240" w:lineRule="auto" w:before="3"/>
        <w:rPr>
          <w:rFonts w:ascii="宋体" w:hAnsi="宋体" w:cs="宋体" w:eastAsia="宋体" w:hint="default"/>
          <w:b/>
          <w:bCs/>
          <w:sz w:val="19"/>
          <w:szCs w:val="19"/>
        </w:rPr>
      </w:pPr>
    </w:p>
    <w:p>
      <w:pPr>
        <w:spacing w:before="36"/>
        <w:ind w:left="152" w:right="996" w:firstLine="0"/>
        <w:jc w:val="left"/>
        <w:rPr>
          <w:rFonts w:ascii="宋体" w:hAnsi="宋体" w:cs="宋体" w:eastAsia="宋体" w:hint="default"/>
          <w:sz w:val="21"/>
          <w:szCs w:val="21"/>
        </w:rPr>
      </w:pPr>
      <w:bookmarkStart w:name="5、关联交易情况" w:id="422"/>
      <w:bookmarkEnd w:id="42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购销商品、提供和接受劳务的关联交易" w:id="423"/>
      <w:bookmarkEnd w:id="4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61"/>
        <w:ind w:left="573" w:right="-20"/>
        <w:jc w:val="left"/>
      </w:pPr>
      <w:r>
        <w:rPr/>
        <w:t>采购商品</w:t>
      </w:r>
      <w:r>
        <w:rPr>
          <w:rFonts w:ascii="宋体" w:hAnsi="宋体" w:cs="宋体" w:eastAsia="宋体"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334" w:space="4941"/>
            <w:col w:w="265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3" w:right="108" w:hanging="632"/>
              <w:jc w:val="left"/>
              <w:rPr>
                <w:rFonts w:ascii="宋体" w:hAnsi="宋体" w:cs="宋体" w:eastAsia="宋体" w:hint="default"/>
                <w:sz w:val="21"/>
                <w:szCs w:val="21"/>
              </w:rPr>
            </w:pPr>
            <w:r>
              <w:rPr>
                <w:rFonts w:ascii="宋体" w:hAnsi="宋体" w:cs="宋体" w:eastAsia="宋体" w:hint="default"/>
                <w:sz w:val="21"/>
                <w:szCs w:val="21"/>
              </w:rPr>
              <w:t>是否超过交易额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1"/>
              <w:jc w:val="left"/>
              <w:rPr>
                <w:rFonts w:ascii="宋体" w:hAnsi="宋体" w:cs="宋体" w:eastAsia="宋体" w:hint="default"/>
                <w:sz w:val="21"/>
                <w:szCs w:val="21"/>
              </w:rPr>
            </w:pPr>
            <w:r>
              <w:rPr>
                <w:rFonts w:ascii="宋体" w:hAnsi="宋体" w:cs="宋体" w:eastAsia="宋体" w:hint="default"/>
                <w:sz w:val="21"/>
                <w:szCs w:val="21"/>
              </w:rPr>
              <w:t>北京赛弗网络科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698,113.19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29" w:right="0"/>
              <w:jc w:val="left"/>
              <w:rPr>
                <w:rFonts w:ascii="Times New Roman" w:hAnsi="Times New Roman" w:cs="Times New Roman" w:eastAsia="Times New Roman" w:hint="default"/>
                <w:sz w:val="21"/>
                <w:szCs w:val="21"/>
              </w:rPr>
            </w:pPr>
            <w:r>
              <w:rPr>
                <w:rFonts w:ascii="Times New Roman"/>
                <w:sz w:val="21"/>
              </w:rPr>
              <w:t>960,000.00</w:t>
            </w:r>
          </w:p>
        </w:tc>
      </w:tr>
    </w:tbl>
    <w:p>
      <w:pPr>
        <w:spacing w:line="240" w:lineRule="auto" w:before="9"/>
        <w:rPr>
          <w:rFonts w:ascii="宋体" w:hAnsi="宋体" w:cs="宋体" w:eastAsia="宋体" w:hint="default"/>
          <w:sz w:val="4"/>
          <w:szCs w:val="4"/>
        </w:rPr>
      </w:pPr>
    </w:p>
    <w:p>
      <w:pPr>
        <w:pStyle w:val="BodyText"/>
        <w:spacing w:line="240" w:lineRule="auto" w:before="26"/>
        <w:ind w:left="573" w:right="996"/>
        <w:jc w:val="left"/>
      </w:pPr>
      <w:r>
        <w:rPr/>
        <w:t>出售商品</w:t>
      </w:r>
      <w:r>
        <w:rPr>
          <w:rFonts w:ascii="宋体" w:hAnsi="宋体" w:cs="宋体" w:eastAsia="宋体" w:hint="default"/>
        </w:rPr>
        <w:t>/</w:t>
      </w:r>
      <w:r>
        <w:rPr/>
        <w:t>提供劳务情况表：无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关键管理人员报酬"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3,147,000.00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其他关联交易：无" w:id="425"/>
      <w:bookmarkEnd w:id="425"/>
      <w:r>
        <w:rPr/>
      </w:r>
      <w:r>
        <w:rPr>
          <w:rFonts w:ascii="宋体" w:hAnsi="宋体" w:cs="宋体" w:eastAsia="宋体" w:hint="default"/>
          <w:b/>
          <w:bCs/>
          <w:sz w:val="21"/>
          <w:szCs w:val="21"/>
        </w:rPr>
        <w:t>其他关联交易：无</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996" w:firstLine="0"/>
        <w:jc w:val="left"/>
        <w:rPr>
          <w:rFonts w:ascii="宋体" w:hAnsi="宋体" w:cs="宋体" w:eastAsia="宋体" w:hint="default"/>
          <w:sz w:val="21"/>
          <w:szCs w:val="21"/>
        </w:rPr>
      </w:pPr>
      <w:bookmarkStart w:name="6、关联方应收应付款项" w:id="426"/>
      <w:bookmarkEnd w:id="42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7、关联方承诺" w:id="427"/>
      <w:bookmarkEnd w:id="42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8、其他" w:id="428"/>
      <w:bookmarkEnd w:id="42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spacing w:line="484" w:lineRule="auto" w:before="0"/>
        <w:ind w:left="152" w:right="9067" w:firstLine="420"/>
        <w:jc w:val="left"/>
        <w:rPr>
          <w:rFonts w:ascii="宋体" w:hAnsi="宋体" w:cs="宋体" w:eastAsia="宋体" w:hint="default"/>
          <w:sz w:val="24"/>
          <w:szCs w:val="24"/>
        </w:rPr>
      </w:pPr>
      <w:r>
        <w:rPr>
          <w:rFonts w:ascii="宋体" w:hAnsi="宋体" w:cs="宋体" w:eastAsia="宋体" w:hint="default"/>
          <w:sz w:val="24"/>
          <w:szCs w:val="24"/>
        </w:rPr>
        <w:t>无 </w:t>
      </w:r>
      <w:bookmarkStart w:name="十三、股份支付" w:id="429"/>
      <w:bookmarkEnd w:id="429"/>
      <w:r>
        <w:rPr>
          <w:rFonts w:ascii="宋体" w:hAnsi="宋体" w:cs="宋体" w:eastAsia="宋体" w:hint="default"/>
          <w:sz w:val="24"/>
          <w:szCs w:val="24"/>
        </w:rPr>
      </w:r>
      <w:r>
        <w:rPr>
          <w:rFonts w:ascii="宋体" w:hAnsi="宋体" w:cs="宋体" w:eastAsia="宋体" w:hint="default"/>
          <w:b/>
          <w:bCs/>
          <w:sz w:val="24"/>
          <w:szCs w:val="24"/>
        </w:rPr>
        <w:t>十三、股份支付</w:t>
      </w:r>
      <w:r>
        <w:rPr>
          <w:rFonts w:ascii="宋体" w:hAnsi="宋体" w:cs="宋体" w:eastAsia="宋体" w:hint="default"/>
          <w:sz w:val="24"/>
          <w:szCs w:val="24"/>
        </w:rPr>
      </w:r>
    </w:p>
    <w:p>
      <w:pPr>
        <w:spacing w:line="487" w:lineRule="auto" w:before="180"/>
        <w:ind w:left="152" w:right="8345" w:firstLine="420"/>
        <w:jc w:val="left"/>
        <w:rPr>
          <w:rFonts w:ascii="宋体" w:hAnsi="宋体" w:cs="宋体" w:eastAsia="宋体" w:hint="default"/>
          <w:sz w:val="21"/>
          <w:szCs w:val="21"/>
        </w:rPr>
      </w:pPr>
      <w:r>
        <w:rPr>
          <w:rFonts w:ascii="宋体" w:hAnsi="宋体" w:cs="宋体" w:eastAsia="宋体" w:hint="default"/>
          <w:sz w:val="24"/>
          <w:szCs w:val="24"/>
        </w:rPr>
        <w:t>无 </w:t>
      </w:r>
      <w:bookmarkStart w:name="十四、承诺及或有事项" w:id="430"/>
      <w:bookmarkEnd w:id="430"/>
      <w:r>
        <w:rPr>
          <w:rFonts w:ascii="宋体" w:hAnsi="宋体" w:cs="宋体" w:eastAsia="宋体" w:hint="default"/>
          <w:sz w:val="24"/>
          <w:szCs w:val="24"/>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1"/>
      <w:bookmarkEnd w:id="4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0" w:lineRule="auto" w:before="183"/>
        <w:ind w:left="573" w:right="6013"/>
        <w:jc w:val="left"/>
      </w:pPr>
      <w:r>
        <w:rPr/>
        <w:t>资产负债表日存在的重要承诺 本公司不存在需要披露的重要承诺事项。</w:t>
      </w:r>
    </w:p>
    <w:p>
      <w:pPr>
        <w:spacing w:line="240" w:lineRule="auto" w:before="1"/>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2、或有事项" w:id="432"/>
      <w:bookmarkEnd w:id="4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资产负债表日存在的重要或有事项"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日，本公司无其他应披露未披露的重要或有事项。</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公司没有需要披露的重要或有事项，也应予以说明" w:id="434"/>
      <w:bookmarkEnd w:id="4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公司不存在需要披露的重要或有事项。</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其他" w:id="435"/>
      <w:bookmarkEnd w:id="4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spacing w:line="487" w:lineRule="auto" w:before="0"/>
        <w:ind w:left="152" w:right="7863" w:firstLine="420"/>
        <w:jc w:val="left"/>
        <w:rPr>
          <w:rFonts w:ascii="宋体" w:hAnsi="宋体" w:cs="宋体" w:eastAsia="宋体" w:hint="default"/>
          <w:sz w:val="21"/>
          <w:szCs w:val="21"/>
        </w:rPr>
      </w:pPr>
      <w:r>
        <w:rPr>
          <w:rFonts w:ascii="宋体" w:hAnsi="宋体" w:cs="宋体" w:eastAsia="宋体" w:hint="default"/>
          <w:sz w:val="24"/>
          <w:szCs w:val="24"/>
        </w:rPr>
        <w:t>无 </w:t>
      </w:r>
      <w:bookmarkStart w:name="十五、资产负债表日后事项" w:id="436"/>
      <w:bookmarkEnd w:id="436"/>
      <w:r>
        <w:rPr>
          <w:rFonts w:ascii="宋体" w:hAnsi="宋体" w:cs="宋体" w:eastAsia="宋体" w:hint="default"/>
          <w:sz w:val="24"/>
          <w:szCs w:val="24"/>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利润分配情况" w:id="437"/>
      <w:bookmarkEnd w:id="4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81"/>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18,832,821.00</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2900"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日第七届董事会第二次董事会审</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议决定：以公司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日总股本</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376,656,420 </w:t>
            </w:r>
            <w:r>
              <w:rPr>
                <w:rFonts w:ascii="宋体" w:hAnsi="宋体" w:cs="宋体" w:eastAsia="宋体" w:hint="default"/>
                <w:spacing w:val="-6"/>
                <w:sz w:val="21"/>
                <w:szCs w:val="21"/>
              </w:rPr>
              <w:t>股为基数，向全体股东每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股派发现</w:t>
            </w:r>
          </w:p>
          <w:p>
            <w:pPr>
              <w:pStyle w:val="TableParagraph"/>
              <w:spacing w:line="266" w:lineRule="auto" w:before="21"/>
              <w:ind w:left="23" w:right="17"/>
              <w:jc w:val="left"/>
              <w:rPr>
                <w:rFonts w:ascii="宋体" w:hAnsi="宋体" w:cs="宋体" w:eastAsia="宋体" w:hint="default"/>
                <w:sz w:val="21"/>
                <w:szCs w:val="21"/>
              </w:rPr>
            </w:pPr>
            <w:r>
              <w:rPr>
                <w:rFonts w:ascii="宋体" w:hAnsi="宋体" w:cs="宋体" w:eastAsia="宋体" w:hint="default"/>
                <w:spacing w:val="-1"/>
                <w:w w:val="100"/>
                <w:sz w:val="21"/>
                <w:szCs w:val="21"/>
              </w:rPr>
              <w:t>金红利</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0.50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元（含税），不送红股，不以公积金转</w:t>
            </w:r>
            <w:r>
              <w:rPr>
                <w:rFonts w:ascii="宋体" w:hAnsi="宋体" w:cs="宋体" w:eastAsia="宋体" w:hint="default"/>
                <w:w w:val="100"/>
                <w:sz w:val="21"/>
                <w:szCs w:val="21"/>
              </w:rPr>
              <w:t> </w:t>
            </w:r>
            <w:r>
              <w:rPr>
                <w:rFonts w:ascii="宋体" w:hAnsi="宋体" w:cs="宋体" w:eastAsia="宋体" w:hint="default"/>
                <w:spacing w:val="-6"/>
                <w:sz w:val="21"/>
                <w:szCs w:val="21"/>
              </w:rPr>
              <w:t>增股本；在本分配预案实施前，公司总股本发生变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化的，分配总额将按分配比例（即：全体股东每</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股派发现金红利</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0.50 </w:t>
            </w:r>
            <w:r>
              <w:rPr>
                <w:rFonts w:ascii="宋体" w:hAnsi="宋体" w:cs="宋体" w:eastAsia="宋体" w:hint="default"/>
                <w:spacing w:val="-18"/>
                <w:w w:val="100"/>
                <w:sz w:val="21"/>
                <w:szCs w:val="21"/>
              </w:rPr>
              <w:t>元（含税），不送红股，不</w:t>
            </w:r>
            <w:r>
              <w:rPr>
                <w:rFonts w:ascii="宋体" w:hAnsi="宋体" w:cs="宋体" w:eastAsia="宋体" w:hint="default"/>
                <w:w w:val="100"/>
                <w:sz w:val="21"/>
                <w:szCs w:val="21"/>
              </w:rPr>
              <w:t> </w:t>
            </w:r>
            <w:r>
              <w:rPr>
                <w:rFonts w:ascii="宋体" w:hAnsi="宋体" w:cs="宋体" w:eastAsia="宋体" w:hint="default"/>
                <w:sz w:val="21"/>
                <w:szCs w:val="21"/>
              </w:rPr>
              <w:t>转增）不变的原则进行相应调整。上述决定尚需</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年度股东大会审议批准后实施。</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152" w:right="996" w:firstLine="0"/>
        <w:jc w:val="left"/>
        <w:rPr>
          <w:rFonts w:ascii="宋体" w:hAnsi="宋体" w:cs="宋体" w:eastAsia="宋体" w:hint="default"/>
          <w:sz w:val="21"/>
          <w:szCs w:val="21"/>
        </w:rPr>
      </w:pPr>
      <w:bookmarkStart w:name="2、其他资产负债表日后事项说明" w:id="438"/>
      <w:bookmarkEnd w:id="43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350" w:lineRule="auto"/>
        <w:ind w:right="1134" w:firstLine="420"/>
        <w:jc w:val="both"/>
      </w:pPr>
      <w:r>
        <w:rPr>
          <w:spacing w:val="-1"/>
        </w:rPr>
        <w:t>为践行上市公司社会责任，公司以自有资金向郑州慈善总会捐赠</w:t>
      </w:r>
      <w:r>
        <w:rPr>
          <w:rFonts w:ascii="宋体" w:hAnsi="宋体" w:cs="宋体" w:eastAsia="宋体" w:hint="default"/>
          <w:spacing w:val="-1"/>
        </w:rPr>
        <w:t>100</w:t>
      </w:r>
      <w:r>
        <w:rPr>
          <w:spacing w:val="-1"/>
        </w:rPr>
        <w:t>万元，用于疫情防控</w:t>
      </w:r>
      <w:r>
        <w:rPr/>
        <w:t> 工作。目前疫情对整个公司影响有限，后期将继续密切关注肺炎疫情发展情况，评估和积极</w:t>
      </w:r>
      <w:r>
        <w:rPr>
          <w:spacing w:val="-91"/>
        </w:rPr>
        <w:t> </w:t>
      </w:r>
      <w:r>
        <w:rPr>
          <w:spacing w:val="-91"/>
        </w:rPr>
      </w:r>
      <w:r>
        <w:rPr/>
        <w:t>应对其对本公司财务状况、经营成果等方面的影响。</w:t>
      </w:r>
    </w:p>
    <w:p>
      <w:pPr>
        <w:pStyle w:val="BodyText"/>
        <w:spacing w:line="352" w:lineRule="auto" w:before="36"/>
        <w:ind w:right="1133" w:firstLine="420"/>
        <w:jc w:val="both"/>
      </w:pPr>
      <w:r>
        <w:rPr>
          <w:spacing w:val="2"/>
        </w:rPr>
        <w:t>除存在上述资产负债表日后事项外，截至财务报告批准报出日止，本公司无其他应披露 </w:t>
      </w:r>
      <w:r>
        <w:rPr/>
        <w:t>未披露的重大资产负债表日后事项。</w:t>
      </w:r>
    </w:p>
    <w:p>
      <w:pPr>
        <w:pStyle w:val="Heading2"/>
        <w:spacing w:line="240" w:lineRule="auto" w:before="206"/>
        <w:ind w:right="996"/>
        <w:jc w:val="left"/>
        <w:rPr>
          <w:b w:val="0"/>
          <w:bCs w:val="0"/>
        </w:rPr>
      </w:pPr>
      <w:bookmarkStart w:name="十六、其他重要事项" w:id="439"/>
      <w:bookmarkEnd w:id="439"/>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一）分部信息" w:id="440"/>
      <w:bookmarkEnd w:id="440"/>
      <w:r>
        <w:rPr/>
      </w:r>
      <w:r>
        <w:rPr>
          <w:rFonts w:ascii="宋体" w:hAnsi="宋体" w:cs="宋体" w:eastAsia="宋体" w:hint="default"/>
          <w:b/>
          <w:bCs/>
          <w:sz w:val="21"/>
          <w:szCs w:val="21"/>
        </w:rPr>
        <w:t>（一）分部信息</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52" w:right="996" w:firstLine="0"/>
        <w:jc w:val="left"/>
        <w:rPr>
          <w:rFonts w:ascii="宋体" w:hAnsi="宋体" w:cs="宋体" w:eastAsia="宋体" w:hint="default"/>
          <w:sz w:val="21"/>
          <w:szCs w:val="21"/>
        </w:rPr>
      </w:pPr>
      <w:bookmarkStart w:name="（1）报告分部的确定依据与会计政策"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350" w:lineRule="auto"/>
        <w:ind w:left="573" w:right="996"/>
        <w:jc w:val="left"/>
      </w:pPr>
      <w:r>
        <w:rPr/>
        <w:t>① 报告分部的确定依据与会计政策 </w:t>
      </w:r>
      <w:r>
        <w:rPr>
          <w:spacing w:val="2"/>
        </w:rPr>
        <w:t>本公司以内部组织结构、管理要求、内部报告制度为依据确定经营分部。本公司的经营</w:t>
      </w:r>
      <w:r>
        <w:rPr/>
      </w:r>
    </w:p>
    <w:p>
      <w:pPr>
        <w:pStyle w:val="BodyText"/>
        <w:spacing w:line="352" w:lineRule="auto" w:before="36"/>
        <w:ind w:left="813" w:right="4213" w:hanging="661"/>
        <w:jc w:val="left"/>
      </w:pPr>
      <w:r>
        <w:rPr/>
        <w:t>分部是指同时满足下列条件的组成部分： </w:t>
      </w:r>
      <w:r>
        <w:rPr>
          <w:rFonts w:ascii="宋体" w:hAnsi="宋体" w:cs="宋体" w:eastAsia="宋体" w:hint="default"/>
        </w:rPr>
        <w:t>1</w:t>
      </w:r>
      <w:r>
        <w:rPr/>
        <w:t>）该组成部分能够在日常活动中产生收入、发生费用；</w:t>
      </w:r>
    </w:p>
    <w:p>
      <w:pPr>
        <w:pStyle w:val="BodyText"/>
        <w:spacing w:line="240" w:lineRule="auto" w:before="31"/>
        <w:ind w:left="813" w:right="996"/>
        <w:jc w:val="left"/>
      </w:pPr>
      <w:r>
        <w:rPr>
          <w:rFonts w:ascii="宋体" w:hAnsi="宋体" w:cs="宋体" w:eastAsia="宋体" w:hint="default"/>
        </w:rPr>
        <w:t>2</w:t>
      </w:r>
      <w:r>
        <w:rPr/>
        <w:t>）管理层能够定期评价该组成部分的经营成果，以决定向其配置资源、评价其业绩；</w:t>
      </w:r>
    </w:p>
    <w:p>
      <w:pPr>
        <w:pStyle w:val="BodyText"/>
        <w:spacing w:line="352" w:lineRule="auto" w:before="147"/>
        <w:ind w:left="573" w:right="996" w:firstLine="240"/>
        <w:jc w:val="left"/>
      </w:pPr>
      <w:r>
        <w:rPr>
          <w:rFonts w:ascii="宋体" w:hAnsi="宋体" w:cs="宋体" w:eastAsia="宋体" w:hint="default"/>
        </w:rPr>
        <w:t>3</w:t>
      </w:r>
      <w:r>
        <w:rPr/>
        <w:t>）能够取得该组成部分的财务状况、经营成果和现金流量等有关会计信息。 </w:t>
      </w:r>
      <w:r>
        <w:rPr>
          <w:spacing w:val="-1"/>
        </w:rPr>
        <w:t>本公司以经营分部为基础确定报告分部，满足下列条件之一的经营分部确定为报告分部：</w:t>
      </w:r>
    </w:p>
    <w:p>
      <w:pPr>
        <w:pStyle w:val="BodyText"/>
        <w:spacing w:line="240" w:lineRule="auto" w:before="31"/>
        <w:ind w:left="813" w:right="996"/>
        <w:jc w:val="left"/>
      </w:pPr>
      <w:r>
        <w:rPr>
          <w:rFonts w:ascii="宋体" w:hAnsi="宋体" w:cs="宋体" w:eastAsia="宋体" w:hint="default"/>
        </w:rPr>
        <w:t>1</w:t>
      </w:r>
      <w:r>
        <w:rPr/>
        <w:t>）该经营分部的分部收入占所有分部收入合计的</w:t>
      </w:r>
      <w:r>
        <w:rPr>
          <w:rFonts w:ascii="宋体" w:hAnsi="宋体" w:cs="宋体" w:eastAsia="宋体" w:hint="default"/>
        </w:rPr>
        <w:t>10%</w:t>
      </w:r>
      <w:r>
        <w:rPr/>
        <w:t>或者以上；</w:t>
      </w:r>
    </w:p>
    <w:p>
      <w:pPr>
        <w:pStyle w:val="BodyText"/>
        <w:spacing w:line="352" w:lineRule="auto" w:before="146"/>
        <w:ind w:right="996" w:firstLine="660"/>
        <w:jc w:val="left"/>
      </w:pPr>
      <w:r>
        <w:rPr>
          <w:rFonts w:ascii="宋体" w:hAnsi="宋体" w:cs="宋体" w:eastAsia="宋体" w:hint="default"/>
          <w:spacing w:val="-1"/>
        </w:rPr>
        <w:t>2</w:t>
      </w:r>
      <w:r>
        <w:rPr>
          <w:spacing w:val="-1"/>
        </w:rPr>
        <w:t>）该分部的分部利润（亏损）的绝对额，占所有盈利分部利润合计额或者所有亏损分</w:t>
      </w:r>
      <w:r>
        <w:rPr/>
        <w:t> 部亏损合计额的绝对额两者中较大者的</w:t>
      </w:r>
      <w:r>
        <w:rPr>
          <w:rFonts w:ascii="宋体" w:hAnsi="宋体" w:cs="宋体" w:eastAsia="宋体" w:hint="default"/>
        </w:rPr>
        <w:t>10%</w:t>
      </w:r>
      <w:r>
        <w:rPr/>
        <w:t>或者以上。</w:t>
      </w:r>
    </w:p>
    <w:p>
      <w:pPr>
        <w:pStyle w:val="BodyText"/>
        <w:spacing w:line="240" w:lineRule="auto" w:before="31"/>
        <w:ind w:left="573" w:right="996"/>
        <w:jc w:val="left"/>
      </w:pPr>
      <w:r>
        <w:rPr>
          <w:spacing w:val="2"/>
        </w:rPr>
        <w:t>按上述会计政策确定的报告分部的经营分部的对外交易收入合计额占合并总收入的比重</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52" w:lineRule="auto" w:before="198"/>
        <w:ind w:right="1118"/>
        <w:jc w:val="left"/>
      </w:pPr>
      <w:r>
        <w:rPr>
          <w:spacing w:val="-2"/>
        </w:rPr>
        <w:t>未达到</w:t>
      </w:r>
      <w:r>
        <w:rPr>
          <w:rFonts w:ascii="宋体" w:hAnsi="宋体" w:cs="宋体" w:eastAsia="宋体" w:hint="default"/>
          <w:spacing w:val="-2"/>
        </w:rPr>
        <w:t>75%</w:t>
      </w:r>
      <w:r>
        <w:rPr>
          <w:spacing w:val="-2"/>
        </w:rPr>
        <w:t>时，增加报告分部的数量，按下述规定将其他未作为报告分部的经营分部纳入报告</w:t>
      </w:r>
      <w:r>
        <w:rPr/>
        <w:t> 分部的范围，直到该比重达到</w:t>
      </w:r>
      <w:r>
        <w:rPr>
          <w:rFonts w:ascii="宋体" w:hAnsi="宋体" w:cs="宋体" w:eastAsia="宋体" w:hint="default"/>
        </w:rPr>
        <w:t>75%</w:t>
      </w:r>
      <w:r>
        <w:rPr/>
        <w:t>：</w:t>
      </w:r>
    </w:p>
    <w:p>
      <w:pPr>
        <w:pStyle w:val="BodyText"/>
        <w:spacing w:line="240" w:lineRule="auto" w:before="31"/>
        <w:ind w:left="813" w:right="996"/>
        <w:jc w:val="left"/>
      </w:pPr>
      <w:r>
        <w:rPr>
          <w:rFonts w:ascii="宋体" w:hAnsi="宋体" w:cs="宋体" w:eastAsia="宋体" w:hint="default"/>
        </w:rPr>
        <w:t>1</w:t>
      </w:r>
      <w:r>
        <w:rPr/>
        <w:t>）将管理层认为披露该经营分部信息对会计信息使用者有用的经营分部确定为报告分</w:t>
      </w:r>
    </w:p>
    <w:p>
      <w:pPr>
        <w:spacing w:line="240" w:lineRule="auto" w:before="3"/>
        <w:rPr>
          <w:rFonts w:ascii="宋体" w:hAnsi="宋体" w:cs="宋体" w:eastAsia="宋体" w:hint="default"/>
          <w:sz w:val="9"/>
          <w:szCs w:val="9"/>
        </w:rPr>
      </w:pPr>
    </w:p>
    <w:p>
      <w:pPr>
        <w:pStyle w:val="BodyText"/>
        <w:spacing w:line="240" w:lineRule="auto" w:before="26"/>
        <w:ind w:right="996"/>
        <w:jc w:val="left"/>
      </w:pPr>
      <w:r>
        <w:rPr/>
        <w:t>部；</w:t>
      </w:r>
    </w:p>
    <w:p>
      <w:pPr>
        <w:pStyle w:val="BodyText"/>
        <w:spacing w:line="240" w:lineRule="auto" w:before="146"/>
        <w:ind w:left="813" w:right="996"/>
        <w:jc w:val="left"/>
      </w:pPr>
      <w:r>
        <w:rPr>
          <w:rFonts w:ascii="宋体" w:hAnsi="宋体" w:cs="宋体" w:eastAsia="宋体" w:hint="default"/>
        </w:rPr>
        <w:t>2</w:t>
      </w:r>
      <w:r>
        <w:rPr/>
        <w:t>）将该经营分部与一个或一个以上的具有相似经济特征、满足经营分部合并条件的其</w:t>
      </w:r>
    </w:p>
    <w:p>
      <w:pPr>
        <w:spacing w:line="240" w:lineRule="auto" w:before="1"/>
        <w:rPr>
          <w:rFonts w:ascii="宋体" w:hAnsi="宋体" w:cs="宋体" w:eastAsia="宋体" w:hint="default"/>
          <w:sz w:val="9"/>
          <w:szCs w:val="9"/>
        </w:rPr>
      </w:pPr>
    </w:p>
    <w:p>
      <w:pPr>
        <w:pStyle w:val="BodyText"/>
        <w:spacing w:line="352" w:lineRule="auto" w:before="26"/>
        <w:ind w:left="573" w:right="996" w:hanging="421"/>
        <w:jc w:val="left"/>
      </w:pPr>
      <w:r>
        <w:rPr/>
        <w:t>他经营分部合并，作为一个报告分部。 </w:t>
      </w:r>
      <w:r>
        <w:rPr>
          <w:spacing w:val="2"/>
        </w:rPr>
        <w:t>分部间转移价格参照市场价格确定，与各分部共同使用的资产、相关的费用按照收入比</w:t>
      </w:r>
      <w:r>
        <w:rPr/>
      </w:r>
    </w:p>
    <w:p>
      <w:pPr>
        <w:pStyle w:val="BodyText"/>
        <w:spacing w:line="240" w:lineRule="auto" w:before="34"/>
        <w:ind w:right="996"/>
        <w:jc w:val="left"/>
      </w:pPr>
      <w:r>
        <w:rPr/>
        <w:t>例在不同的分部之间分配。</w:t>
      </w:r>
    </w:p>
    <w:p>
      <w:pPr>
        <w:pStyle w:val="BodyText"/>
        <w:spacing w:line="352" w:lineRule="auto" w:before="145"/>
        <w:ind w:left="573" w:right="996"/>
        <w:jc w:val="left"/>
      </w:pPr>
      <w:r>
        <w:rPr/>
        <w:t>② 本公司确定报告分部考虑的因素、报告分部的产品和劳务的类型 </w:t>
      </w:r>
      <w:r>
        <w:rPr>
          <w:spacing w:val="2"/>
        </w:rPr>
        <w:t>本公司报告分部生产经营活动及业务内容相同：为铁路信号通信产品的研发、生产、销</w:t>
      </w:r>
      <w:r>
        <w:rPr/>
      </w:r>
    </w:p>
    <w:p>
      <w:pPr>
        <w:pStyle w:val="BodyText"/>
        <w:spacing w:line="350" w:lineRule="auto" w:before="34"/>
        <w:ind w:right="996"/>
        <w:jc w:val="left"/>
      </w:pPr>
      <w:r>
        <w:rPr/>
        <w:t>售、安装和维护等；但从内部组织结构、管理要求、内部报告制度及地理区域等方面分为如</w:t>
      </w:r>
      <w:r>
        <w:rPr>
          <w:spacing w:val="-91"/>
        </w:rPr>
        <w:t> </w:t>
      </w:r>
      <w:r>
        <w:rPr>
          <w:spacing w:val="-91"/>
        </w:rPr>
      </w:r>
      <w:r>
        <w:rPr/>
        <w:t>下</w:t>
      </w:r>
      <w:r>
        <w:rPr>
          <w:rFonts w:ascii="宋体" w:hAnsi="宋体" w:cs="宋体" w:eastAsia="宋体" w:hint="default"/>
        </w:rPr>
        <w:t>3</w:t>
      </w:r>
      <w:r>
        <w:rPr/>
        <w:t>个分部：</w:t>
      </w:r>
    </w:p>
    <w:p>
      <w:pPr>
        <w:pStyle w:val="BodyText"/>
        <w:spacing w:line="352" w:lineRule="auto" w:before="36"/>
        <w:ind w:right="1133" w:firstLine="420"/>
        <w:jc w:val="both"/>
      </w:pPr>
      <w:r>
        <w:rPr>
          <w:spacing w:val="2"/>
        </w:rPr>
        <w:t>郑州分部、北京分部、其他分部。郑州分部包括：股份本部、河南辉煌软件有限公司、 </w:t>
      </w:r>
      <w:r>
        <w:rPr/>
        <w:t>河南辉煌信通软件有限公司、北京全路信通技术有限公司、河南辉煌城轨科技有限公司；北</w:t>
      </w:r>
      <w:r>
        <w:rPr>
          <w:spacing w:val="-91"/>
        </w:rPr>
        <w:t> </w:t>
      </w:r>
      <w:r>
        <w:rPr>
          <w:spacing w:val="-91"/>
        </w:rPr>
      </w:r>
      <w:r>
        <w:rPr/>
        <w:t>京分部包括：北京国铁路阳技术有限公司、北京国铁路阳软件有限公司、天津辉煌路阳科技</w:t>
      </w:r>
      <w:r>
        <w:rPr>
          <w:spacing w:val="-91"/>
        </w:rPr>
        <w:t> </w:t>
      </w:r>
      <w:r>
        <w:rPr>
          <w:spacing w:val="-91"/>
        </w:rPr>
      </w:r>
      <w:r>
        <w:rPr/>
        <w:t>有限公司、天津信通铁路电气技术有限公司；其他分部：成都西南交大驱动技术有限责任公</w:t>
      </w:r>
      <w:r>
        <w:rPr>
          <w:spacing w:val="-91"/>
        </w:rPr>
        <w:t> </w:t>
      </w:r>
      <w:r>
        <w:rPr>
          <w:spacing w:val="-91"/>
        </w:rPr>
      </w:r>
      <w:r>
        <w:rPr/>
        <w:t>司、成都新一驱动科技有限责任公司。</w:t>
      </w:r>
    </w:p>
    <w:p>
      <w:pPr>
        <w:spacing w:line="240" w:lineRule="auto" w:before="10"/>
        <w:rPr>
          <w:rFonts w:ascii="宋体" w:hAnsi="宋体" w:cs="宋体" w:eastAsia="宋体" w:hint="default"/>
          <w:sz w:val="17"/>
          <w:szCs w:val="17"/>
        </w:rPr>
      </w:pPr>
    </w:p>
    <w:p>
      <w:pPr>
        <w:spacing w:before="0"/>
        <w:ind w:left="152" w:right="996" w:firstLine="0"/>
        <w:jc w:val="left"/>
        <w:rPr>
          <w:rFonts w:ascii="宋体" w:hAnsi="宋体" w:cs="宋体" w:eastAsia="宋体" w:hint="default"/>
          <w:sz w:val="21"/>
          <w:szCs w:val="21"/>
        </w:rPr>
      </w:pPr>
      <w:bookmarkStart w:name="（2）报告分部的财务信息"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郑州分部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北京分部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386,614,178.11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91,720,805.51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22,791,762.14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3,282,164.41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504,408,910.17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对外交易收入</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386,614,178.11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90,315,707.47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20,914,695.77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504,408,910.17</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1,405,098.04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1,877,066.37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3,282,164.41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营业费用</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317,253,203.38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112,684,985.95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25,157,257.93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-2,603,806.53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452,491,640.73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0"/>
                <w:sz w:val="18"/>
                <w:szCs w:val="18"/>
              </w:rPr>
              <w:t>其中：折旧费和摊销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费</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12,615,811.66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3,389,001.27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1,147,925.11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17,152,738.04</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50"/>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对联营和合营 企业的投资收益</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-16,764,454.08</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-16,764,454.08</w:t>
            </w:r>
            <w:r>
              <w:rPr>
                <w:rFonts w:ascii="Arial"/>
                <w:spacing w:val="-1"/>
                <w:sz w:val="18"/>
              </w:rPr>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信用减值损失</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-24,450,721.27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-1,635,640.66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689,924.97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-25,396,436.96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资产减值损失</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10,646,454.51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-1,408,668.56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9,237,785.95</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利润总额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95,566,089.80</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-17,886,044.71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-2,707,727.58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74,972,317.51</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所得税费用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8,682,792.36</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616,180.52</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-66,446.73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9,232,526.15</w:t>
            </w:r>
            <w:r>
              <w:rPr>
                <w:rFonts w:ascii="Arial"/>
                <w:spacing w:val="-1"/>
                <w:sz w:val="18"/>
              </w:rPr>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净利润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Arial" w:hAnsi="Arial" w:cs="Arial" w:eastAsia="Arial" w:hint="default"/>
                <w:sz w:val="18"/>
                <w:szCs w:val="18"/>
              </w:rPr>
            </w:pPr>
            <w:r>
              <w:rPr>
                <w:rFonts w:ascii="Arial"/>
                <w:spacing w:val="-1"/>
                <w:w w:val="80"/>
                <w:sz w:val="18"/>
              </w:rPr>
              <w:t>86,883,297.44</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Arial" w:hAnsi="Arial" w:cs="Arial" w:eastAsia="Arial" w:hint="default"/>
                <w:sz w:val="18"/>
                <w:szCs w:val="18"/>
              </w:rPr>
            </w:pPr>
            <w:r>
              <w:rPr>
                <w:rFonts w:ascii="Arial"/>
                <w:spacing w:val="-1"/>
                <w:w w:val="80"/>
                <w:sz w:val="18"/>
              </w:rPr>
              <w:t>-18,502,225.23</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-2,641,280.85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w:hAnsi="Arial" w:cs="Arial" w:eastAsia="Arial" w:hint="default"/>
                <w:sz w:val="18"/>
                <w:szCs w:val="18"/>
              </w:rPr>
            </w:pPr>
            <w:r>
              <w:rPr>
                <w:rFonts w:ascii="Arial"/>
                <w:spacing w:val="-1"/>
                <w:w w:val="80"/>
                <w:sz w:val="18"/>
              </w:rPr>
              <w:t>65,739,791.36</w:t>
            </w:r>
            <w:r>
              <w:rPr>
                <w:rFonts w:ascii="Arial"/>
                <w:spacing w:val="-1"/>
                <w:sz w:val="18"/>
              </w:rPr>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2,155,878,782.14</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73,904,209.63</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71,466,817.60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-433,973,807.27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1,867,276,002.10</w:t>
            </w:r>
            <w:r>
              <w:rPr>
                <w:rFonts w:ascii="Arial"/>
                <w:spacing w:val="-1"/>
                <w:sz w:val="18"/>
              </w:rPr>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w:hAnsi="Arial" w:cs="Arial" w:eastAsia="Arial" w:hint="default"/>
                <w:sz w:val="18"/>
                <w:szCs w:val="18"/>
              </w:rPr>
            </w:pPr>
            <w:r>
              <w:rPr>
                <w:rFonts w:ascii="Arial"/>
                <w:spacing w:val="-1"/>
                <w:w w:val="80"/>
                <w:sz w:val="18"/>
              </w:rPr>
              <w:t>257,708,091.27</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112,118,569.27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10,402,312.27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-68,527,910.28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w:hAnsi="Arial" w:cs="Arial" w:eastAsia="Arial" w:hint="default"/>
                <w:sz w:val="18"/>
                <w:szCs w:val="18"/>
              </w:rPr>
            </w:pPr>
            <w:r>
              <w:rPr>
                <w:rFonts w:ascii="Arial"/>
                <w:spacing w:val="-1"/>
                <w:w w:val="80"/>
                <w:sz w:val="18"/>
              </w:rPr>
              <w:t>311,701,062.53</w:t>
            </w:r>
            <w:r>
              <w:rPr>
                <w:rFonts w:ascii="Arial"/>
                <w:spacing w:val="-1"/>
                <w:sz w:val="18"/>
              </w:rPr>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其他说明" w:id="443"/>
      <w:bookmarkEnd w:id="4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spacing w:line="487" w:lineRule="auto" w:before="0"/>
        <w:ind w:left="152" w:right="6899" w:firstLine="420"/>
        <w:jc w:val="left"/>
        <w:rPr>
          <w:rFonts w:ascii="宋体" w:hAnsi="宋体" w:cs="宋体" w:eastAsia="宋体" w:hint="default"/>
          <w:sz w:val="21"/>
          <w:szCs w:val="21"/>
        </w:rPr>
      </w:pPr>
      <w:r>
        <w:rPr>
          <w:rFonts w:ascii="宋体" w:hAnsi="宋体" w:cs="宋体" w:eastAsia="宋体" w:hint="default"/>
          <w:sz w:val="24"/>
          <w:szCs w:val="24"/>
        </w:rPr>
        <w:t>无 </w:t>
      </w:r>
      <w:bookmarkStart w:name="十七、母公司财务报表主要项目注释" w:id="444"/>
      <w:bookmarkEnd w:id="444"/>
      <w:r>
        <w:rPr>
          <w:rFonts w:ascii="宋体" w:hAnsi="宋体" w:cs="宋体" w:eastAsia="宋体" w:hint="default"/>
          <w:sz w:val="24"/>
          <w:szCs w:val="24"/>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445"/>
      <w:bookmarkEnd w:id="4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1"/>
        <w:ind w:left="152" w:right="996" w:firstLine="0"/>
        <w:jc w:val="left"/>
        <w:rPr>
          <w:rFonts w:ascii="宋体" w:hAnsi="宋体" w:cs="宋体" w:eastAsia="宋体" w:hint="default"/>
          <w:sz w:val="21"/>
          <w:szCs w:val="21"/>
        </w:rPr>
      </w:pPr>
      <w:bookmarkStart w:name="（1）应收账款分类披露"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333,199,</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486.04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66,416,9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26.43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266,782,5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59.61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472,432,1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93,516,81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378,915,35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333,199,</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486.04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66,416,9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26.43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266,782,5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59.61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472,432,1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93,516,81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378,915,35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0.66</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333,199,</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486.04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66,416,9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266,782,5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59.61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472,432,1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62.66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93,516,81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378,915,35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0.66</w:t>
            </w:r>
          </w:p>
        </w:tc>
      </w:tr>
    </w:tbl>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pgSz w:w="11910" w:h="16840"/>
          <w:pgMar w:header="745" w:footer="980" w:top="1060" w:bottom="1160" w:left="980" w:right="0"/>
        </w:sectPr>
      </w:pPr>
    </w:p>
    <w:p>
      <w:pPr>
        <w:pStyle w:val="BodyText"/>
        <w:spacing w:line="240" w:lineRule="auto" w:before="26"/>
        <w:ind w:left="573" w:right="-20"/>
        <w:jc w:val="left"/>
        <w:rPr>
          <w:rFonts w:ascii="宋体" w:hAnsi="宋体" w:cs="宋体" w:eastAsia="宋体" w:hint="default"/>
        </w:rPr>
      </w:pPr>
      <w:r>
        <w:rPr/>
        <w:t>按组合计提坏账准备： </w:t>
      </w:r>
      <w:r>
        <w:rPr>
          <w:rFonts w:ascii="宋体" w:hAnsi="宋体" w:cs="宋体" w:eastAsia="宋体" w:hint="default"/>
        </w:rPr>
        <w:t>66,416,926.43</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4" w:space="3754"/>
            <w:col w:w="252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171,780,968.75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8,589,048.44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66,597,680.98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6,659,768.10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49,739,743.56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14,921,923.07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20,141,740.74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12,085,044.44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3,891,048.14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3,112,838.51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21,048,303.87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21,048,303.87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333,199,486.04</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66,416,926.43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4"/>
          <w:szCs w:val="4"/>
        </w:rPr>
      </w:pPr>
    </w:p>
    <w:p>
      <w:pPr>
        <w:pStyle w:val="BodyText"/>
        <w:spacing w:line="240" w:lineRule="auto" w:before="26"/>
        <w:ind w:left="573" w:right="996"/>
        <w:jc w:val="left"/>
      </w:pPr>
      <w:r>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033"/>
        <w:gridCol w:w="1796"/>
        <w:gridCol w:w="5672"/>
      </w:tblGrid>
      <w:tr>
        <w:trPr>
          <w:trHeight w:val="34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9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52"/>
              <w:jc w:val="right"/>
              <w:rPr>
                <w:rFonts w:ascii="宋体" w:hAnsi="宋体" w:cs="宋体" w:eastAsia="宋体" w:hint="default"/>
                <w:sz w:val="21"/>
                <w:szCs w:val="21"/>
              </w:rPr>
            </w:pPr>
            <w:r>
              <w:rPr>
                <w:rFonts w:ascii="宋体" w:hAnsi="宋体" w:cs="宋体" w:eastAsia="宋体" w:hint="default"/>
                <w:spacing w:val="-1"/>
                <w:sz w:val="21"/>
                <w:szCs w:val="21"/>
              </w:rPr>
              <w:t>确定组合的依据</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96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1"/>
              <w:jc w:val="both"/>
              <w:rPr>
                <w:rFonts w:ascii="宋体" w:hAnsi="宋体" w:cs="宋体" w:eastAsia="宋体" w:hint="default"/>
                <w:sz w:val="21"/>
                <w:szCs w:val="21"/>
              </w:rPr>
            </w:pPr>
            <w:r>
              <w:rPr>
                <w:rFonts w:ascii="宋体" w:hAnsi="宋体" w:cs="宋体" w:eastAsia="宋体" w:hint="default"/>
                <w:spacing w:val="9"/>
                <w:sz w:val="21"/>
                <w:szCs w:val="21"/>
              </w:rPr>
              <w:t>参考应收款项的账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9"/>
                <w:sz w:val="21"/>
                <w:szCs w:val="21"/>
              </w:rPr>
              <w:t>龄进行信用风险组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合分类</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both"/>
              <w:rPr>
                <w:rFonts w:ascii="宋体" w:hAnsi="宋体" w:cs="宋体" w:eastAsia="宋体" w:hint="default"/>
                <w:sz w:val="21"/>
                <w:szCs w:val="21"/>
              </w:rPr>
            </w:pPr>
            <w:r>
              <w:rPr>
                <w:rFonts w:ascii="宋体" w:hAnsi="宋体" w:cs="宋体" w:eastAsia="宋体" w:hint="default"/>
                <w:spacing w:val="-8"/>
                <w:w w:val="100"/>
                <w:sz w:val="21"/>
                <w:szCs w:val="21"/>
              </w:rPr>
              <w:t>参考历史信用损失经验，结合当前状况以</w:t>
            </w:r>
            <w:r>
              <w:rPr>
                <w:rFonts w:ascii="宋体" w:hAnsi="宋体" w:cs="宋体" w:eastAsia="宋体" w:hint="default"/>
                <w:spacing w:val="-5"/>
                <w:w w:val="100"/>
                <w:sz w:val="21"/>
                <w:szCs w:val="21"/>
              </w:rPr>
              <w:t> </w:t>
            </w:r>
            <w:r>
              <w:rPr>
                <w:rFonts w:ascii="宋体" w:hAnsi="宋体" w:cs="宋体" w:eastAsia="宋体" w:hint="default"/>
                <w:spacing w:val="-2"/>
                <w:w w:val="100"/>
                <w:sz w:val="21"/>
                <w:szCs w:val="21"/>
              </w:rPr>
              <w:t>及对未来经济状况的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预测，编制应收账款账龄与整个存续期预期信用损失率对照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表，计算预期信用损失</w:t>
            </w:r>
          </w:p>
        </w:tc>
      </w:tr>
      <w:tr>
        <w:trPr>
          <w:trHeight w:val="96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pacing w:val="-2"/>
                <w:sz w:val="21"/>
                <w:szCs w:val="21"/>
              </w:rPr>
              <w:t>合并范围内关联方</w:t>
            </w:r>
          </w:p>
        </w:tc>
        <w:tc>
          <w:tcPr>
            <w:tcW w:w="56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 w:right="0"/>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参考历史信用损失经验，结合当前状况以及对未来经济状况的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预测，通过违约风险敞口和整个存续期预期信用损失率，该组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合预期信用损失率为</w:t>
            </w:r>
            <w:r>
              <w:rPr>
                <w:rFonts w:ascii="Times New Roman" w:hAnsi="Times New Roman" w:cs="Times New Roman" w:eastAsia="Times New Roman" w:hint="default"/>
                <w:sz w:val="21"/>
                <w:szCs w:val="21"/>
              </w:rPr>
              <w:t>0%</w:t>
            </w:r>
          </w:p>
        </w:tc>
      </w:tr>
    </w:tbl>
    <w:p>
      <w:pPr>
        <w:spacing w:line="240" w:lineRule="auto" w:before="7"/>
        <w:rPr>
          <w:rFonts w:ascii="宋体" w:hAnsi="宋体" w:cs="宋体" w:eastAsia="宋体" w:hint="default"/>
          <w:sz w:val="28"/>
          <w:szCs w:val="28"/>
        </w:rPr>
      </w:pPr>
    </w:p>
    <w:p>
      <w:pPr>
        <w:pStyle w:val="BodyText"/>
        <w:spacing w:line="352" w:lineRule="auto" w:before="26"/>
        <w:ind w:right="996" w:firstLine="420"/>
        <w:jc w:val="left"/>
      </w:pPr>
      <w:r>
        <w:rPr>
          <w:spacing w:val="2"/>
        </w:rPr>
        <w:t>如是按照预期信用损失一般模型计提应收账款坏账准备，请参照其他应收款的披露方式 </w:t>
      </w:r>
      <w:r>
        <w:rPr/>
        <w:t>披露坏账准备的相关信息：</w:t>
      </w:r>
    </w:p>
    <w:p>
      <w:pPr>
        <w:pStyle w:val="BodyText"/>
        <w:spacing w:line="350" w:lineRule="auto" w:before="34"/>
        <w:ind w:left="573" w:right="8294"/>
        <w:jc w:val="left"/>
      </w:pPr>
      <w:r>
        <w:rPr/>
        <w:t>□ 适用 √</w:t>
      </w:r>
      <w:r>
        <w:rPr>
          <w:spacing w:val="-1"/>
        </w:rPr>
        <w:t> </w:t>
      </w:r>
      <w:r>
        <w:rPr/>
        <w:t>不适用</w:t>
      </w:r>
      <w:r>
        <w:rPr/>
        <w:t> 按账龄披露</w:t>
      </w:r>
    </w:p>
    <w:p>
      <w:pPr>
        <w:spacing w:line="253" w:lineRule="exact"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171,780,968.75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66,597,680.98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49,739,743.56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45,081,092.75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20,141,740.74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3,891,048.14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21,048,303.87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333,199,486.04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本期计提、收回或转回的坏账准备情况"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0"/>
        </w:sectPr>
      </w:pPr>
    </w:p>
    <w:p>
      <w:pPr>
        <w:pStyle w:val="BodyText"/>
        <w:spacing w:line="240" w:lineRule="auto" w:before="162"/>
        <w:ind w:left="573" w:right="-20"/>
        <w:jc w:val="left"/>
      </w:pPr>
      <w:r>
        <w:rPr/>
        <w:t>本期计提坏账准备情况：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214" w:space="5061"/>
            <w:col w:w="2655"/>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852"/>
        <w:gridCol w:w="1558"/>
        <w:gridCol w:w="850"/>
        <w:gridCol w:w="833"/>
        <w:gridCol w:w="1368"/>
      </w:tblGrid>
      <w:tr>
        <w:trPr>
          <w:trHeight w:val="401"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0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9"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2"/>
                <w:sz w:val="21"/>
                <w:szCs w:val="21"/>
              </w:rPr>
              <w:t>单项计提预期信用损失的应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收账款</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852"/>
        <w:gridCol w:w="1558"/>
        <w:gridCol w:w="850"/>
        <w:gridCol w:w="833"/>
        <w:gridCol w:w="1368"/>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37"/>
              <w:jc w:val="left"/>
              <w:rPr>
                <w:rFonts w:ascii="宋体" w:hAnsi="宋体" w:cs="宋体" w:eastAsia="宋体" w:hint="default"/>
                <w:sz w:val="21"/>
                <w:szCs w:val="21"/>
              </w:rPr>
            </w:pPr>
            <w:r>
              <w:rPr>
                <w:rFonts w:ascii="宋体" w:hAnsi="宋体" w:cs="宋体" w:eastAsia="宋体" w:hint="default"/>
                <w:spacing w:val="-2"/>
                <w:sz w:val="21"/>
                <w:szCs w:val="21"/>
              </w:rPr>
              <w:t>按组合计提预期信用损失的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93,516,812.00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27,099,885.57</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66,416,926.43</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93,516,812.00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27,099,885.57</w:t>
            </w: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center"/>
              <w:rPr>
                <w:rFonts w:ascii="Times New Roman" w:hAnsi="Times New Roman" w:cs="Times New Roman" w:eastAsia="Times New Roman" w:hint="default"/>
                <w:sz w:val="21"/>
                <w:szCs w:val="21"/>
              </w:rPr>
            </w:pPr>
            <w:r>
              <w:rPr>
                <w:rFonts w:ascii="Times New Roman"/>
                <w:sz w:val="21"/>
              </w:rPr>
              <w:t>66,416,926.43</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本期实际核销的应收账款情况"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按欠款方归集的期末余额前五名的应收账款情况"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占应收账款期末余额合计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23,870,327.78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1,193,516.39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21,975,067.67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3,235,979.75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11,288,510.37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1,721,568.47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10,818,556.28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540,927.81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9,671,807.69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1,734,641.69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77,624,269.79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6"/>
              <w:jc w:val="right"/>
              <w:rPr>
                <w:rFonts w:ascii="Times New Roman" w:hAnsi="Times New Roman" w:cs="Times New Roman" w:eastAsia="Times New Roman" w:hint="default"/>
                <w:sz w:val="21"/>
                <w:szCs w:val="21"/>
              </w:rPr>
            </w:pPr>
            <w:r>
              <w:rPr>
                <w:rFonts w:ascii="Times New Roman"/>
                <w:sz w:val="21"/>
              </w:rPr>
              <w:t>23.30%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9"/>
        <w:rPr>
          <w:rFonts w:ascii="宋体" w:hAnsi="宋体" w:cs="宋体" w:eastAsia="宋体" w:hint="default"/>
          <w:sz w:val="4"/>
          <w:szCs w:val="4"/>
        </w:rPr>
      </w:pPr>
    </w:p>
    <w:p>
      <w:pPr>
        <w:pStyle w:val="BodyText"/>
        <w:spacing w:line="240" w:lineRule="auto" w:before="26"/>
        <w:ind w:left="573" w:right="996"/>
        <w:jc w:val="left"/>
      </w:pPr>
      <w:r>
        <w:rPr/>
        <w:t>其他说明：无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其他应收款" w:id="450"/>
      <w:bookmarkEnd w:id="4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10,079,791.66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7,704,791.66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62,710,147.42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69,413,094.24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72,789,939.08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77,372,885.90</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1）应收利息"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应收利息分类" w:id="452"/>
      <w:bookmarkEnd w:id="45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10,079,791.66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7,704,791.66</w:t>
            </w:r>
          </w:p>
        </w:tc>
      </w:tr>
    </w:tbl>
    <w:p>
      <w:pPr>
        <w:spacing w:after="0" w:line="240" w:lineRule="auto"/>
        <w:jc w:val="lef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51" w:right="0"/>
              <w:jc w:val="left"/>
              <w:rPr>
                <w:rFonts w:ascii="Times New Roman" w:hAnsi="Times New Roman" w:cs="Times New Roman" w:eastAsia="Times New Roman" w:hint="default"/>
                <w:sz w:val="21"/>
                <w:szCs w:val="21"/>
              </w:rPr>
            </w:pPr>
            <w:r>
              <w:rPr>
                <w:rFonts w:ascii="Times New Roman"/>
                <w:sz w:val="21"/>
              </w:rPr>
              <w:t>10,079,791.66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54" w:right="0"/>
              <w:jc w:val="left"/>
              <w:rPr>
                <w:rFonts w:ascii="Times New Roman" w:hAnsi="Times New Roman" w:cs="Times New Roman" w:eastAsia="Times New Roman" w:hint="default"/>
                <w:sz w:val="21"/>
                <w:szCs w:val="21"/>
              </w:rPr>
            </w:pPr>
            <w:r>
              <w:rPr>
                <w:rFonts w:ascii="Times New Roman"/>
                <w:sz w:val="21"/>
              </w:rPr>
              <w:t>7,704,791.66</w:t>
            </w:r>
          </w:p>
        </w:tc>
      </w:tr>
    </w:tbl>
    <w:p>
      <w:pPr>
        <w:spacing w:line="240" w:lineRule="auto" w:before="9"/>
        <w:rPr>
          <w:rFonts w:ascii="宋体" w:hAnsi="宋体" w:cs="宋体" w:eastAsia="宋体" w:hint="default"/>
          <w:sz w:val="4"/>
          <w:szCs w:val="4"/>
        </w:rPr>
      </w:pPr>
    </w:p>
    <w:p>
      <w:pPr>
        <w:pStyle w:val="BodyText"/>
        <w:spacing w:line="350" w:lineRule="auto" w:before="26"/>
        <w:ind w:left="573" w:right="9133"/>
        <w:jc w:val="left"/>
      </w:pPr>
      <w:r>
        <w:rPr/>
        <w:t>其他说明： 无</w:t>
      </w:r>
    </w:p>
    <w:p>
      <w:pPr>
        <w:spacing w:line="240" w:lineRule="auto" w:before="1"/>
        <w:rPr>
          <w:rFonts w:ascii="宋体" w:hAnsi="宋体" w:cs="宋体" w:eastAsia="宋体" w:hint="default"/>
          <w:sz w:val="18"/>
          <w:szCs w:val="18"/>
        </w:rPr>
      </w:pPr>
    </w:p>
    <w:p>
      <w:pPr>
        <w:spacing w:before="0"/>
        <w:ind w:left="152" w:right="996" w:firstLine="0"/>
        <w:jc w:val="left"/>
        <w:rPr>
          <w:rFonts w:ascii="宋体" w:hAnsi="宋体" w:cs="宋体" w:eastAsia="宋体" w:hint="default"/>
          <w:sz w:val="21"/>
          <w:szCs w:val="21"/>
        </w:rPr>
      </w:pPr>
      <w:bookmarkStart w:name="（2）应收股利"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应收股利分类" w:id="454"/>
      <w:bookmarkEnd w:id="4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245"/>
        <w:gridCol w:w="1987"/>
        <w:gridCol w:w="2338"/>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0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成都西南交大驱动技术有限责任公司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255,000.00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255,000.00</w:t>
            </w:r>
          </w:p>
        </w:tc>
      </w:tr>
    </w:tbl>
    <w:p>
      <w:pPr>
        <w:spacing w:line="240" w:lineRule="auto" w:before="9"/>
        <w:rPr>
          <w:rFonts w:ascii="宋体" w:hAnsi="宋体" w:cs="宋体" w:eastAsia="宋体" w:hint="default"/>
          <w:sz w:val="4"/>
          <w:szCs w:val="4"/>
        </w:rPr>
      </w:pPr>
    </w:p>
    <w:p>
      <w:pPr>
        <w:pStyle w:val="BodyText"/>
        <w:spacing w:line="240" w:lineRule="auto" w:before="26"/>
        <w:ind w:left="573" w:right="996"/>
        <w:jc w:val="left"/>
      </w:pPr>
      <w:r>
        <w:rPr/>
        <w:t>其他说明：无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其他应收款"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其他应收款按款项性质分类情况" w:id="456"/>
      <w:bookmarkEnd w:id="4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1,174,936.96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899,395.04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10,993,593.20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13,836,089.84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代缴代扣款项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609,788.10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578,524.92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技术服务费、非公开发行费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386,244.00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926,863.32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4,827,604.26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63,730,181.58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70,527,858.06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坏账准备计提情况" w:id="457"/>
      <w:bookmarkEnd w:id="4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9"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52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399" w:right="29" w:hanging="368"/>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个月预期</w:t>
            </w:r>
            <w:r>
              <w:rPr>
                <w:rFonts w:ascii="宋体" w:hAnsi="宋体" w:cs="宋体" w:eastAsia="宋体" w:hint="default"/>
                <w:w w:val="100"/>
                <w:sz w:val="21"/>
                <w:szCs w:val="21"/>
              </w:rPr>
              <w:t> </w:t>
            </w:r>
            <w:r>
              <w:rPr>
                <w:rFonts w:ascii="宋体" w:hAnsi="宋体" w:cs="宋体" w:eastAsia="宋体" w:hint="default"/>
                <w:sz w:val="21"/>
                <w:szCs w:val="21"/>
              </w:rPr>
              <w:t>信用损失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8" w:right="23"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 w:right="24" w:firstLine="69"/>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pacing w:val="-1"/>
                <w:sz w:val="21"/>
                <w:szCs w:val="21"/>
              </w:rPr>
              <w:t>损失</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已发生信用减值</w:t>
            </w:r>
            <w:r>
              <w:rPr>
                <w:rFonts w:ascii="Times New Roman" w:hAnsi="Times New Roman" w:cs="Times New Roman" w:eastAsia="Times New Roman" w:hint="default"/>
                <w:spacing w:val="-1"/>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1,114,763.82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1,114,763.82</w:t>
            </w:r>
          </w:p>
        </w:tc>
      </w:tr>
      <w:tr>
        <w:trPr>
          <w:trHeight w:val="161"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56" w:lineRule="auto" w:before="28"/>
              <w:ind w:left="12"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日余额</w:t>
            </w:r>
            <w:r>
              <w:rPr>
                <w:rFonts w:ascii="宋体" w:hAnsi="宋体" w:cs="宋体" w:eastAsia="宋体" w:hint="default"/>
                <w:spacing w:val="-3"/>
                <w:w w:val="100"/>
                <w:sz w:val="21"/>
                <w:szCs w:val="21"/>
              </w:rPr>
              <w:t> </w:t>
            </w:r>
            <w:r>
              <w:rPr>
                <w:rFonts w:ascii="宋体" w:hAnsi="宋体" w:cs="宋体" w:eastAsia="宋体" w:hint="default"/>
                <w:sz w:val="21"/>
                <w:szCs w:val="21"/>
              </w:rPr>
              <w:t>在本期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94,729.66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94,729.66</w:t>
            </w:r>
          </w:p>
        </w:tc>
      </w:tr>
    </w:tbl>
    <w:p>
      <w:pPr>
        <w:spacing w:after="0" w:line="240" w:lineRule="auto"/>
        <w:jc w:val="right"/>
        <w:rPr>
          <w:rFonts w:ascii="Times New Roman" w:hAnsi="Times New Roman" w:cs="Times New Roman" w:eastAsia="Times New Roman" w:hint="default"/>
          <w:sz w:val="21"/>
          <w:szCs w:val="21"/>
        </w:rPr>
        <w:sectPr>
          <w:footerReference w:type="default" r:id="rId20"/>
          <w:pgSz w:w="11910" w:h="16840"/>
          <w:pgMar w:footer="980"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日余</w:t>
            </w:r>
            <w:r>
              <w:rPr>
                <w:rFonts w:ascii="宋体" w:hAnsi="宋体" w:cs="宋体" w:eastAsia="宋体" w:hint="default"/>
                <w:spacing w:val="-3"/>
                <w:w w:val="100"/>
                <w:sz w:val="21"/>
                <w:szCs w:val="21"/>
              </w:rPr>
              <w:t> </w:t>
            </w:r>
            <w:r>
              <w:rPr>
                <w:rFonts w:ascii="宋体" w:hAnsi="宋体" w:cs="宋体" w:eastAsia="宋体" w:hint="default"/>
                <w:sz w:val="21"/>
                <w:szCs w:val="21"/>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15" w:right="0"/>
              <w:jc w:val="left"/>
              <w:rPr>
                <w:rFonts w:ascii="Times New Roman" w:hAnsi="Times New Roman" w:cs="Times New Roman" w:eastAsia="Times New Roman" w:hint="default"/>
                <w:sz w:val="21"/>
                <w:szCs w:val="21"/>
              </w:rPr>
            </w:pPr>
            <w:r>
              <w:rPr>
                <w:rFonts w:ascii="Times New Roman"/>
                <w:sz w:val="21"/>
              </w:rPr>
              <w:t>1,020,034.16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69" w:right="0"/>
              <w:jc w:val="left"/>
              <w:rPr>
                <w:rFonts w:ascii="Times New Roman" w:hAnsi="Times New Roman" w:cs="Times New Roman" w:eastAsia="Times New Roman" w:hint="default"/>
                <w:sz w:val="21"/>
                <w:szCs w:val="21"/>
              </w:rPr>
            </w:pPr>
            <w:r>
              <w:rPr>
                <w:rFonts w:ascii="Times New Roman"/>
                <w:sz w:val="21"/>
              </w:rPr>
              <w:t>1,020,034.16</w:t>
            </w:r>
          </w:p>
        </w:tc>
      </w:tr>
    </w:tbl>
    <w:p>
      <w:pPr>
        <w:spacing w:line="240" w:lineRule="auto" w:before="9"/>
        <w:rPr>
          <w:rFonts w:ascii="宋体" w:hAnsi="宋体" w:cs="宋体" w:eastAsia="宋体" w:hint="default"/>
          <w:sz w:val="4"/>
          <w:szCs w:val="4"/>
        </w:rPr>
      </w:pPr>
    </w:p>
    <w:p>
      <w:pPr>
        <w:spacing w:after="0" w:line="240" w:lineRule="auto"/>
        <w:rPr>
          <w:rFonts w:ascii="宋体" w:hAnsi="宋体" w:cs="宋体" w:eastAsia="宋体" w:hint="default"/>
          <w:sz w:val="4"/>
          <w:szCs w:val="4"/>
        </w:rPr>
        <w:sectPr>
          <w:footerReference w:type="default" r:id="rId21"/>
          <w:pgSz w:w="11910" w:h="16840"/>
          <w:pgMar w:footer="980" w:header="745" w:top="1060" w:bottom="1160" w:left="980" w:right="0"/>
          <w:pgNumType w:start="201"/>
        </w:sectPr>
      </w:pPr>
    </w:p>
    <w:p>
      <w:pPr>
        <w:pStyle w:val="BodyText"/>
        <w:spacing w:line="240" w:lineRule="auto" w:before="26"/>
        <w:ind w:left="573" w:right="-20"/>
        <w:jc w:val="left"/>
      </w:pPr>
      <w:r>
        <w:rPr/>
        <w:t>损失准备本期变动金额重大的账面余额变动情况</w:t>
      </w:r>
    </w:p>
    <w:p>
      <w:pPr>
        <w:pStyle w:val="BodyText"/>
        <w:spacing w:line="352" w:lineRule="auto" w:before="144"/>
        <w:ind w:left="573" w:right="2981"/>
        <w:jc w:val="left"/>
      </w:pPr>
      <w:r>
        <w:rPr/>
        <w:t>□ 适用 √</w:t>
      </w:r>
      <w:r>
        <w:rPr>
          <w:spacing w:val="-1"/>
        </w:rPr>
        <w:t> </w:t>
      </w:r>
      <w:r>
        <w:rPr/>
        <w:t>不适用</w:t>
      </w:r>
      <w:r>
        <w:rPr/>
        <w:t> 按账龄披露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5614" w:space="2661"/>
            <w:col w:w="2655"/>
          </w:cols>
        </w:sectPr>
      </w:pP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258,454.27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116,872.89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400,378.80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244,328.20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154,020.00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3,899.20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86,409.00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1,020,034.16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3）本期计提、收回或转回的坏账准备情况" w:id="458"/>
      <w:bookmarkEnd w:id="45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0"/>
        </w:sectPr>
      </w:pPr>
    </w:p>
    <w:p>
      <w:pPr>
        <w:pStyle w:val="BodyText"/>
        <w:spacing w:line="240" w:lineRule="auto" w:before="159"/>
        <w:ind w:left="573" w:right="-20"/>
        <w:jc w:val="left"/>
      </w:pPr>
      <w:r>
        <w:rPr/>
        <w:t>本期计提坏账准备情况：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060" w:bottom="1160" w:left="980" w:right="0"/>
          <w:cols w:num="2" w:equalWidth="0">
            <w:col w:w="3214" w:space="5061"/>
            <w:col w:w="2655"/>
          </w:cols>
        </w:sectPr>
      </w:pP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8"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1,114,763.8</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94,729.66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1,020,034.16</w:t>
            </w: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1,114,763.8</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w w:val="100"/>
                <w:sz w:val="21"/>
              </w:rPr>
              <w:t>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94,729.66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1,020,034.16</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4）本期实际核销的其他应收款情况" w:id="459"/>
      <w:bookmarkEnd w:id="4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240" w:lineRule="auto"/>
        <w:ind w:left="57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按欠款方归集的期末余额前五名的其他应收款情况" w:id="460"/>
      <w:bookmarkEnd w:id="46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95"/>
        <w:gridCol w:w="1133"/>
        <w:gridCol w:w="1416"/>
        <w:gridCol w:w="1094"/>
        <w:gridCol w:w="1616"/>
        <w:gridCol w:w="1615"/>
      </w:tblGrid>
      <w:tr>
        <w:trPr>
          <w:trHeight w:val="713"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天津辉煌路阳科技有限公司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50,000,000.00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9"/>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78.45%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6"/>
        <w:gridCol w:w="1133"/>
        <w:gridCol w:w="1416"/>
        <w:gridCol w:w="1094"/>
        <w:gridCol w:w="1616"/>
        <w:gridCol w:w="1615"/>
      </w:tblGrid>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上海申通德高地铁广告有限公司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上海申通地铁资产经营管理有限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中铁建电气化局集团科技有限公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1,122,064.90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298,028.25</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国信招标集团股份有限公司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57,022,064.90</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338,028.25</w:t>
            </w:r>
          </w:p>
        </w:tc>
      </w:tr>
    </w:tbl>
    <w:p>
      <w:pPr>
        <w:spacing w:line="240" w:lineRule="auto" w:before="9"/>
        <w:rPr>
          <w:rFonts w:ascii="宋体" w:hAnsi="宋体" w:cs="宋体" w:eastAsia="宋体" w:hint="default"/>
          <w:sz w:val="4"/>
          <w:szCs w:val="4"/>
        </w:rPr>
      </w:pPr>
    </w:p>
    <w:p>
      <w:pPr>
        <w:pStyle w:val="BodyText"/>
        <w:spacing w:line="240" w:lineRule="auto" w:before="26"/>
        <w:ind w:left="573" w:right="996"/>
        <w:jc w:val="left"/>
      </w:pPr>
      <w:r>
        <w:rPr/>
        <w:t>其他说明：无</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3、长期股权投资" w:id="461"/>
      <w:bookmarkEnd w:id="46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450,664,857.83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108,081,975.44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342,582,882.39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450,664,857.83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97,435,520.93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353,229,336.90</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70,729,634.68</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70,729,634.68</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79,210,551.57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79,210,551.57</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521,394,492.51</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108,081,975.44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413,312,517.07</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529,875,409.40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97,435,520.93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432,439,888.47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36"/>
        <w:ind w:left="152" w:right="996" w:firstLine="0"/>
        <w:jc w:val="left"/>
        <w:rPr>
          <w:rFonts w:ascii="宋体" w:hAnsi="宋体" w:cs="宋体" w:eastAsia="宋体" w:hint="default"/>
          <w:sz w:val="21"/>
          <w:szCs w:val="21"/>
        </w:rPr>
      </w:pPr>
      <w:bookmarkStart w:name="（1）对子公司投资" w:id="462"/>
      <w:bookmarkEnd w:id="4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37"/>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账面价值</w:t>
            </w:r>
            <w:r>
              <w:rPr>
                <w:rFonts w:ascii="Times New Roman" w:hAnsi="Times New Roman" w:cs="Times New Roman" w:eastAsia="Times New Roman" w:hint="default"/>
                <w:sz w:val="21"/>
                <w:szCs w:val="21"/>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56" w:lineRule="auto"/>
              <w:ind w:left="251" w:right="36" w:hanging="212"/>
              <w:jc w:val="left"/>
              <w:rPr>
                <w:rFonts w:ascii="Times New Roman" w:hAnsi="Times New Roman" w:cs="Times New Roman" w:eastAsia="Times New Roman"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账</w:t>
            </w:r>
            <w:r>
              <w:rPr>
                <w:rFonts w:ascii="宋体" w:hAnsi="宋体" w:cs="宋体" w:eastAsia="宋体" w:hint="default"/>
                <w:spacing w:val="-103"/>
                <w:sz w:val="21"/>
                <w:szCs w:val="21"/>
              </w:rPr>
              <w:t> </w:t>
            </w:r>
            <w:r>
              <w:rPr>
                <w:rFonts w:ascii="宋体" w:hAnsi="宋体" w:cs="宋体" w:eastAsia="宋体" w:hint="default"/>
                <w:sz w:val="21"/>
                <w:szCs w:val="21"/>
              </w:rPr>
              <w:t>面价值</w:t>
            </w:r>
            <w:r>
              <w:rPr>
                <w:rFonts w:ascii="Times New Roman" w:hAnsi="Times New Roman" w:cs="Times New Roman" w:eastAsia="Times New Roman" w:hint="default"/>
                <w:sz w:val="21"/>
                <w:szCs w:val="21"/>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285" w:right="72"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5" w:right="46" w:hanging="421"/>
              <w:jc w:val="left"/>
              <w:rPr>
                <w:rFonts w:ascii="宋体" w:hAnsi="宋体" w:cs="宋体" w:eastAsia="宋体" w:hint="default"/>
                <w:sz w:val="21"/>
                <w:szCs w:val="21"/>
              </w:rPr>
            </w:pPr>
            <w:r>
              <w:rPr>
                <w:rFonts w:ascii="宋体" w:hAnsi="宋体" w:cs="宋体" w:eastAsia="宋体" w:hint="default"/>
                <w:sz w:val="21"/>
                <w:szCs w:val="21"/>
              </w:rPr>
              <w:t>计提减值准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left"/>
              <w:rPr>
                <w:rFonts w:ascii="宋体" w:hAnsi="宋体" w:cs="宋体" w:eastAsia="宋体" w:hint="default"/>
                <w:sz w:val="21"/>
                <w:szCs w:val="21"/>
              </w:rPr>
            </w:pPr>
            <w:r>
              <w:rPr>
                <w:rFonts w:ascii="宋体" w:hAnsi="宋体" w:cs="宋体" w:eastAsia="宋体" w:hint="default"/>
                <w:sz w:val="21"/>
                <w:szCs w:val="21"/>
              </w:rPr>
              <w:t>河南辉煌软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8"/>
              <w:jc w:val="both"/>
              <w:rPr>
                <w:rFonts w:ascii="宋体" w:hAnsi="宋体" w:cs="宋体" w:eastAsia="宋体" w:hint="default"/>
                <w:sz w:val="21"/>
                <w:szCs w:val="21"/>
              </w:rPr>
            </w:pPr>
            <w:r>
              <w:rPr>
                <w:rFonts w:ascii="宋体" w:hAnsi="宋体" w:cs="宋体" w:eastAsia="宋体" w:hint="default"/>
                <w:sz w:val="21"/>
                <w:szCs w:val="21"/>
              </w:rPr>
              <w:t>北京全路信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通软件科技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3" w:right="0"/>
              <w:jc w:val="left"/>
              <w:rPr>
                <w:rFonts w:ascii="Times New Roman" w:hAnsi="Times New Roman" w:cs="Times New Roman" w:eastAsia="Times New Roman" w:hint="default"/>
                <w:sz w:val="21"/>
                <w:szCs w:val="21"/>
              </w:rPr>
            </w:pPr>
            <w:r>
              <w:rPr>
                <w:rFonts w:ascii="Times New Roman"/>
                <w:sz w:val="21"/>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both"/>
              <w:rPr>
                <w:rFonts w:ascii="宋体" w:hAnsi="宋体" w:cs="宋体" w:eastAsia="宋体" w:hint="default"/>
                <w:sz w:val="21"/>
                <w:szCs w:val="21"/>
              </w:rPr>
            </w:pPr>
            <w:r>
              <w:rPr>
                <w:rFonts w:ascii="宋体" w:hAnsi="宋体" w:cs="宋体" w:eastAsia="宋体" w:hint="default"/>
                <w:sz w:val="21"/>
                <w:szCs w:val="21"/>
              </w:rPr>
              <w:t>北京国铁路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阳技术有限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226,501,600.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226,501,600.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84,896,657.8</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w w:val="100"/>
                <w:sz w:val="21"/>
              </w:rPr>
              <w:t>3</w:t>
            </w: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8"/>
              <w:jc w:val="both"/>
              <w:rPr>
                <w:rFonts w:ascii="宋体" w:hAnsi="宋体" w:cs="宋体" w:eastAsia="宋体" w:hint="default"/>
                <w:sz w:val="21"/>
                <w:szCs w:val="21"/>
              </w:rPr>
            </w:pPr>
            <w:r>
              <w:rPr>
                <w:rFonts w:ascii="宋体" w:hAnsi="宋体" w:cs="宋体" w:eastAsia="宋体" w:hint="default"/>
                <w:sz w:val="21"/>
                <w:szCs w:val="21"/>
              </w:rPr>
              <w:t>河南辉煌信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通软件有限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15,000,000.0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15,000,000.0</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both"/>
              <w:rPr>
                <w:rFonts w:ascii="宋体" w:hAnsi="宋体" w:cs="宋体" w:eastAsia="宋体" w:hint="default"/>
                <w:sz w:val="21"/>
                <w:szCs w:val="21"/>
              </w:rPr>
            </w:pPr>
            <w:r>
              <w:rPr>
                <w:rFonts w:ascii="宋体" w:hAnsi="宋体" w:cs="宋体" w:eastAsia="宋体" w:hint="default"/>
                <w:sz w:val="21"/>
                <w:szCs w:val="21"/>
              </w:rPr>
              <w:t>河南辉煌城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轨科技有限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50,000,000.0</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w w:val="100"/>
                <w:sz w:val="21"/>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8"/>
              <w:jc w:val="both"/>
              <w:rPr>
                <w:rFonts w:ascii="宋体" w:hAnsi="宋体" w:cs="宋体" w:eastAsia="宋体" w:hint="default"/>
                <w:sz w:val="21"/>
                <w:szCs w:val="21"/>
              </w:rPr>
            </w:pPr>
            <w:r>
              <w:rPr>
                <w:rFonts w:ascii="宋体" w:hAnsi="宋体" w:cs="宋体" w:eastAsia="宋体" w:hint="default"/>
                <w:sz w:val="21"/>
                <w:szCs w:val="21"/>
              </w:rPr>
              <w:t>成都西南交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大驱动技术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有限责任公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41,727,736.9</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5"/>
              <w:jc w:val="right"/>
              <w:rPr>
                <w:rFonts w:ascii="Times New Roman" w:hAnsi="Times New Roman" w:cs="Times New Roman" w:eastAsia="Times New Roman" w:hint="default"/>
                <w:sz w:val="21"/>
                <w:szCs w:val="21"/>
              </w:rPr>
            </w:pPr>
            <w:r>
              <w:rPr>
                <w:rFonts w:ascii="Times New Roman"/>
                <w:spacing w:val="-1"/>
                <w:sz w:val="21"/>
              </w:rPr>
              <w:t>10,646,454.5</w:t>
            </w:r>
          </w:p>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w w:val="100"/>
                <w:sz w:val="21"/>
              </w:rPr>
              <w:t>1</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31,081,282.3</w:t>
            </w:r>
          </w:p>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w w:val="100"/>
                <w:sz w:val="21"/>
              </w:rPr>
              <w:t>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23,185,317.6</w:t>
            </w:r>
          </w:p>
          <w:p>
            <w:pPr>
              <w:pStyle w:val="TableParagraph"/>
              <w:spacing w:line="240" w:lineRule="auto" w:before="68"/>
              <w:ind w:right="23"/>
              <w:jc w:val="right"/>
              <w:rPr>
                <w:rFonts w:ascii="Times New Roman" w:hAnsi="Times New Roman" w:cs="Times New Roman" w:eastAsia="Times New Roman" w:hint="default"/>
                <w:sz w:val="21"/>
                <w:szCs w:val="21"/>
              </w:rPr>
            </w:pPr>
            <w:r>
              <w:rPr>
                <w:rFonts w:ascii="Times New Roman"/>
                <w:w w:val="100"/>
                <w:sz w:val="21"/>
              </w:rPr>
              <w:t>1</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353,229,336.</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90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Times New Roman" w:hAnsi="Times New Roman" w:cs="Times New Roman" w:eastAsia="Times New Roman" w:hint="default"/>
                <w:sz w:val="21"/>
                <w:szCs w:val="21"/>
              </w:rPr>
            </w:pPr>
            <w:r>
              <w:rPr>
                <w:rFonts w:ascii="Times New Roman"/>
                <w:spacing w:val="-1"/>
                <w:sz w:val="21"/>
              </w:rPr>
              <w:t>10,646,454.5</w:t>
            </w:r>
          </w:p>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w w:val="100"/>
                <w:sz w:val="21"/>
              </w:rPr>
              <w:t>1</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342,582,882.</w:t>
            </w:r>
          </w:p>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z w:val="21"/>
              </w:rPr>
              <w:t>39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108,081,975.</w:t>
            </w:r>
          </w:p>
          <w:p>
            <w:pPr>
              <w:pStyle w:val="TableParagraph"/>
              <w:spacing w:line="240" w:lineRule="auto" w:before="70"/>
              <w:ind w:right="23"/>
              <w:jc w:val="right"/>
              <w:rPr>
                <w:rFonts w:ascii="Times New Roman" w:hAnsi="Times New Roman" w:cs="Times New Roman" w:eastAsia="Times New Roman" w:hint="default"/>
                <w:sz w:val="21"/>
                <w:szCs w:val="21"/>
              </w:rPr>
            </w:pPr>
            <w:r>
              <w:rPr>
                <w:rFonts w:ascii="Times New Roman"/>
                <w:sz w:val="21"/>
              </w:rPr>
              <w:t>44</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2）对联营、合营企业投资" w:id="463"/>
      <w:bookmarkEnd w:id="4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飞天联合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系 统技术有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79,210,55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 w:right="0"/>
              <w:jc w:val="left"/>
              <w:rPr>
                <w:rFonts w:ascii="Arial" w:hAnsi="Arial" w:cs="Arial" w:eastAsia="Arial" w:hint="default"/>
                <w:sz w:val="18"/>
                <w:szCs w:val="18"/>
              </w:rPr>
            </w:pPr>
            <w:r>
              <w:rPr>
                <w:rFonts w:ascii="Arial"/>
                <w:w w:val="80"/>
                <w:sz w:val="18"/>
              </w:rPr>
              <w:t>-15,761,37</w:t>
            </w:r>
            <w:r>
              <w:rPr>
                <w:rFonts w:ascii="Arial"/>
                <w:sz w:val="18"/>
              </w:rPr>
            </w:r>
          </w:p>
          <w:p>
            <w:pPr>
              <w:pStyle w:val="TableParagraph"/>
              <w:spacing w:line="240" w:lineRule="auto" w:before="105"/>
              <w:ind w:left="479" w:right="0"/>
              <w:jc w:val="left"/>
              <w:rPr>
                <w:rFonts w:ascii="Arial" w:hAnsi="Arial" w:cs="Arial" w:eastAsia="Arial" w:hint="default"/>
                <w:sz w:val="18"/>
                <w:szCs w:val="18"/>
              </w:rPr>
            </w:pPr>
            <w:r>
              <w:rPr>
                <w:rFonts w:ascii="Arial"/>
                <w:w w:val="85"/>
                <w:sz w:val="18"/>
              </w:rPr>
              <w:t>0.39</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w w:val="80"/>
                <w:sz w:val="18"/>
              </w:rPr>
              <w:t>16,179.78</w:t>
            </w:r>
            <w:r>
              <w:rPr>
                <w:rFonts w:ascii="Arial"/>
                <w:spacing w:val="-1"/>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7,264,273.</w:t>
            </w:r>
            <w:r>
              <w:rPr>
                <w:rFonts w:ascii="Arial"/>
                <w:spacing w:val="-1"/>
                <w:sz w:val="18"/>
              </w:rPr>
            </w:r>
          </w:p>
          <w:p>
            <w:pPr>
              <w:pStyle w:val="TableParagraph"/>
              <w:spacing w:line="240" w:lineRule="auto" w:before="105"/>
              <w:ind w:right="22"/>
              <w:jc w:val="right"/>
              <w:rPr>
                <w:rFonts w:ascii="Arial" w:hAnsi="Arial" w:cs="Arial" w:eastAsia="Arial" w:hint="default"/>
                <w:sz w:val="18"/>
                <w:szCs w:val="18"/>
              </w:rPr>
            </w:pPr>
            <w:r>
              <w:rPr>
                <w:rFonts w:ascii="Arial"/>
                <w:spacing w:val="-2"/>
                <w:w w:val="80"/>
                <w:sz w:val="18"/>
              </w:rPr>
              <w:t>72</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70,729,634</w:t>
            </w:r>
            <w:r>
              <w:rPr>
                <w:rFonts w:ascii="Arial"/>
                <w:spacing w:val="-1"/>
                <w:sz w:val="18"/>
              </w:rPr>
            </w:r>
          </w:p>
          <w:p>
            <w:pPr>
              <w:pStyle w:val="TableParagraph"/>
              <w:spacing w:line="240" w:lineRule="auto" w:before="105"/>
              <w:ind w:right="21"/>
              <w:jc w:val="right"/>
              <w:rPr>
                <w:rFonts w:ascii="Arial" w:hAnsi="Arial" w:cs="Arial" w:eastAsia="Arial" w:hint="default"/>
                <w:sz w:val="18"/>
                <w:szCs w:val="18"/>
              </w:rPr>
            </w:pPr>
            <w:r>
              <w:rPr>
                <w:rFonts w:ascii="Arial"/>
                <w:spacing w:val="-1"/>
                <w:w w:val="80"/>
                <w:sz w:val="18"/>
              </w:rPr>
              <w:t>.68</w:t>
            </w:r>
            <w:r>
              <w:rPr>
                <w:rFonts w:ascii="Arial"/>
                <w:spacing w:val="-1"/>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79,210,55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9" w:right="0"/>
              <w:jc w:val="left"/>
              <w:rPr>
                <w:rFonts w:ascii="Arial" w:hAnsi="Arial" w:cs="Arial" w:eastAsia="Arial" w:hint="default"/>
                <w:sz w:val="18"/>
                <w:szCs w:val="18"/>
              </w:rPr>
            </w:pPr>
            <w:r>
              <w:rPr>
                <w:rFonts w:ascii="Arial"/>
                <w:w w:val="80"/>
                <w:sz w:val="18"/>
              </w:rPr>
              <w:t>-15,761,37</w:t>
            </w:r>
            <w:r>
              <w:rPr>
                <w:rFonts w:ascii="Arial"/>
                <w:sz w:val="18"/>
              </w:rPr>
            </w:r>
          </w:p>
          <w:p>
            <w:pPr>
              <w:pStyle w:val="TableParagraph"/>
              <w:spacing w:line="240" w:lineRule="auto" w:before="102"/>
              <w:ind w:left="479" w:right="0"/>
              <w:jc w:val="left"/>
              <w:rPr>
                <w:rFonts w:ascii="Arial" w:hAnsi="Arial" w:cs="Arial" w:eastAsia="Arial" w:hint="default"/>
                <w:sz w:val="18"/>
                <w:szCs w:val="18"/>
              </w:rPr>
            </w:pPr>
            <w:r>
              <w:rPr>
                <w:rFonts w:ascii="Arial"/>
                <w:w w:val="85"/>
                <w:sz w:val="18"/>
              </w:rPr>
              <w:t>0.39</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9"/>
              <w:jc w:val="right"/>
              <w:rPr>
                <w:rFonts w:ascii="Arial" w:hAnsi="Arial" w:cs="Arial" w:eastAsia="Arial" w:hint="default"/>
                <w:sz w:val="18"/>
                <w:szCs w:val="18"/>
              </w:rPr>
            </w:pPr>
            <w:r>
              <w:rPr>
                <w:rFonts w:ascii="Arial"/>
                <w:spacing w:val="-1"/>
                <w:w w:val="80"/>
                <w:sz w:val="18"/>
              </w:rPr>
              <w:t>16,179.78</w:t>
            </w:r>
            <w:r>
              <w:rPr>
                <w:rFonts w:ascii="Arial"/>
                <w:spacing w:val="-1"/>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7,264,273.</w:t>
            </w:r>
            <w:r>
              <w:rPr>
                <w:rFonts w:ascii="Arial"/>
                <w:spacing w:val="-1"/>
                <w:sz w:val="18"/>
              </w:rPr>
            </w:r>
          </w:p>
          <w:p>
            <w:pPr>
              <w:pStyle w:val="TableParagraph"/>
              <w:spacing w:line="240" w:lineRule="auto" w:before="105"/>
              <w:ind w:right="22"/>
              <w:jc w:val="right"/>
              <w:rPr>
                <w:rFonts w:ascii="Arial" w:hAnsi="Arial" w:cs="Arial" w:eastAsia="Arial" w:hint="default"/>
                <w:sz w:val="18"/>
                <w:szCs w:val="18"/>
              </w:rPr>
            </w:pPr>
            <w:r>
              <w:rPr>
                <w:rFonts w:ascii="Arial"/>
                <w:spacing w:val="-2"/>
                <w:w w:val="80"/>
                <w:sz w:val="18"/>
              </w:rPr>
              <w:t>72</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70,729,634</w:t>
            </w:r>
            <w:r>
              <w:rPr>
                <w:rFonts w:ascii="Arial"/>
                <w:spacing w:val="-1"/>
                <w:sz w:val="18"/>
              </w:rPr>
            </w:r>
          </w:p>
          <w:p>
            <w:pPr>
              <w:pStyle w:val="TableParagraph"/>
              <w:spacing w:line="240" w:lineRule="auto" w:before="105"/>
              <w:ind w:right="21"/>
              <w:jc w:val="right"/>
              <w:rPr>
                <w:rFonts w:ascii="Arial" w:hAnsi="Arial" w:cs="Arial" w:eastAsia="Arial" w:hint="default"/>
                <w:sz w:val="18"/>
                <w:szCs w:val="18"/>
              </w:rPr>
            </w:pPr>
            <w:r>
              <w:rPr>
                <w:rFonts w:ascii="Arial"/>
                <w:spacing w:val="-1"/>
                <w:w w:val="80"/>
                <w:sz w:val="18"/>
              </w:rPr>
              <w:t>.68</w:t>
            </w:r>
            <w:r>
              <w:rPr>
                <w:rFonts w:ascii="Arial"/>
                <w:spacing w:val="-1"/>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79,210,55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Arial" w:hAnsi="Arial" w:cs="Arial" w:eastAsia="Arial" w:hint="default"/>
                <w:sz w:val="18"/>
                <w:szCs w:val="18"/>
              </w:rPr>
            </w:pPr>
            <w:r>
              <w:rPr>
                <w:rFonts w:ascii="Arial"/>
                <w:w w:val="80"/>
                <w:sz w:val="18"/>
              </w:rPr>
              <w:t>-15,761,37</w:t>
            </w:r>
            <w:r>
              <w:rPr>
                <w:rFonts w:ascii="Arial"/>
                <w:sz w:val="18"/>
              </w:rPr>
            </w:r>
          </w:p>
          <w:p>
            <w:pPr>
              <w:pStyle w:val="TableParagraph"/>
              <w:spacing w:line="240" w:lineRule="auto" w:before="105"/>
              <w:ind w:left="479" w:right="0"/>
              <w:jc w:val="left"/>
              <w:rPr>
                <w:rFonts w:ascii="Arial" w:hAnsi="Arial" w:cs="Arial" w:eastAsia="Arial" w:hint="default"/>
                <w:sz w:val="18"/>
                <w:szCs w:val="18"/>
              </w:rPr>
            </w:pPr>
            <w:r>
              <w:rPr>
                <w:rFonts w:ascii="Arial"/>
                <w:w w:val="85"/>
                <w:sz w:val="18"/>
              </w:rPr>
              <w:t>0.39</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9"/>
              <w:jc w:val="right"/>
              <w:rPr>
                <w:rFonts w:ascii="Arial" w:hAnsi="Arial" w:cs="Arial" w:eastAsia="Arial" w:hint="default"/>
                <w:sz w:val="18"/>
                <w:szCs w:val="18"/>
              </w:rPr>
            </w:pPr>
            <w:r>
              <w:rPr>
                <w:rFonts w:ascii="Arial"/>
                <w:spacing w:val="-1"/>
                <w:w w:val="80"/>
                <w:sz w:val="18"/>
              </w:rPr>
              <w:t>16,179.78</w:t>
            </w:r>
            <w:r>
              <w:rPr>
                <w:rFonts w:ascii="Arial"/>
                <w:spacing w:val="-1"/>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7,264,273.</w:t>
            </w:r>
            <w:r>
              <w:rPr>
                <w:rFonts w:ascii="Arial"/>
                <w:spacing w:val="-1"/>
                <w:sz w:val="18"/>
              </w:rPr>
            </w:r>
          </w:p>
          <w:p>
            <w:pPr>
              <w:pStyle w:val="TableParagraph"/>
              <w:spacing w:line="240" w:lineRule="auto" w:before="105"/>
              <w:ind w:right="22"/>
              <w:jc w:val="right"/>
              <w:rPr>
                <w:rFonts w:ascii="Arial" w:hAnsi="Arial" w:cs="Arial" w:eastAsia="Arial" w:hint="default"/>
                <w:sz w:val="18"/>
                <w:szCs w:val="18"/>
              </w:rPr>
            </w:pPr>
            <w:r>
              <w:rPr>
                <w:rFonts w:ascii="Arial"/>
                <w:spacing w:val="-2"/>
                <w:w w:val="80"/>
                <w:sz w:val="18"/>
              </w:rPr>
              <w:t>72</w:t>
            </w:r>
            <w:r>
              <w:rPr>
                <w:rFonts w:ascii="Arial"/>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70,729,634</w:t>
            </w:r>
            <w:r>
              <w:rPr>
                <w:rFonts w:ascii="Arial"/>
                <w:spacing w:val="-1"/>
                <w:sz w:val="18"/>
              </w:rPr>
            </w:r>
          </w:p>
          <w:p>
            <w:pPr>
              <w:pStyle w:val="TableParagraph"/>
              <w:spacing w:line="240" w:lineRule="auto" w:before="105"/>
              <w:ind w:right="21"/>
              <w:jc w:val="right"/>
              <w:rPr>
                <w:rFonts w:ascii="Arial" w:hAnsi="Arial" w:cs="Arial" w:eastAsia="Arial" w:hint="default"/>
                <w:sz w:val="18"/>
                <w:szCs w:val="18"/>
              </w:rPr>
            </w:pPr>
            <w:r>
              <w:rPr>
                <w:rFonts w:ascii="Arial"/>
                <w:spacing w:val="-1"/>
                <w:w w:val="80"/>
                <w:sz w:val="18"/>
              </w:rPr>
              <w:t>.68</w:t>
            </w:r>
            <w:r>
              <w:rPr>
                <w:rFonts w:ascii="Arial"/>
                <w:spacing w:val="-1"/>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6"/>
        <w:ind w:left="152" w:right="996" w:firstLine="0"/>
        <w:jc w:val="left"/>
        <w:rPr>
          <w:rFonts w:ascii="宋体" w:hAnsi="宋体" w:cs="宋体" w:eastAsia="宋体" w:hint="default"/>
          <w:sz w:val="21"/>
          <w:szCs w:val="21"/>
        </w:rPr>
      </w:pPr>
      <w:bookmarkStart w:name="（3）其他说明"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pStyle w:val="BodyText"/>
        <w:spacing w:line="350" w:lineRule="auto"/>
        <w:ind w:right="1131" w:firstLine="420"/>
        <w:jc w:val="both"/>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日中联资产评估集团有限公司运用“收益法”对交大驱动的全部权益 进行评估，根据公司以往获利能力及营运资金情况估计公司资产的未来获利能力、净现金流</w:t>
      </w:r>
      <w:r>
        <w:rPr>
          <w:spacing w:val="-91"/>
        </w:rPr>
        <w:t> </w:t>
      </w:r>
      <w:r>
        <w:rPr>
          <w:spacing w:val="-91"/>
        </w:rPr>
      </w:r>
      <w:r>
        <w:rPr>
          <w:spacing w:val="-2"/>
        </w:rPr>
        <w:t>量，并以</w:t>
      </w:r>
      <w:r>
        <w:rPr>
          <w:rFonts w:ascii="宋体" w:hAnsi="宋体" w:cs="宋体" w:eastAsia="宋体" w:hint="default"/>
          <w:spacing w:val="-2"/>
        </w:rPr>
        <w:t>13.5%</w:t>
      </w:r>
      <w:r>
        <w:rPr>
          <w:spacing w:val="-2"/>
        </w:rPr>
        <w:t>的折现率进行折现，确认评估基准日</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日辉煌科技持有的交大驱动</w:t>
      </w:r>
      <w:r>
        <w:rPr>
          <w:spacing w:val="-107"/>
        </w:rPr>
        <w:t> </w:t>
      </w:r>
      <w:r>
        <w:rPr/>
        <w:t>全部股东权益价值为</w:t>
      </w:r>
      <w:r>
        <w:rPr>
          <w:rFonts w:ascii="宋体" w:hAnsi="宋体" w:cs="宋体" w:eastAsia="宋体" w:hint="default"/>
        </w:rPr>
        <w:t>3,108.13</w:t>
      </w:r>
      <w:r>
        <w:rPr/>
        <w:t>万元，由此确认该长期股权投资的可收回金额，本公司对可收</w:t>
      </w:r>
      <w:r>
        <w:rPr>
          <w:spacing w:val="-87"/>
        </w:rPr>
        <w:t> </w:t>
      </w:r>
      <w:r>
        <w:rPr>
          <w:spacing w:val="-87"/>
        </w:rPr>
      </w:r>
      <w:r>
        <w:rPr/>
        <w:t>回金额低于账面价值的部分</w:t>
      </w:r>
      <w:r>
        <w:rPr>
          <w:rFonts w:ascii="宋体" w:hAnsi="宋体" w:cs="宋体" w:eastAsia="宋体" w:hint="default"/>
        </w:rPr>
        <w:t>1,064.65</w:t>
      </w:r>
      <w:r>
        <w:rPr/>
        <w:t>万元计提了长期投资减值准备。</w:t>
      </w:r>
    </w:p>
    <w:p>
      <w:pPr>
        <w:spacing w:after="0" w:line="35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996" w:firstLine="0"/>
        <w:jc w:val="left"/>
        <w:rPr>
          <w:rFonts w:ascii="宋体" w:hAnsi="宋体" w:cs="宋体" w:eastAsia="宋体" w:hint="default"/>
          <w:sz w:val="21"/>
          <w:szCs w:val="21"/>
        </w:rPr>
      </w:pPr>
      <w:bookmarkStart w:name="4、营业收入和营业成本" w:id="465"/>
      <w:bookmarkEnd w:id="4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324,457,712.10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230,988,756.08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343,272,095.55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215,573,015.87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67,733,648.28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21,662,855.48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56,673,059.60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18,077,854.95</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392,191,360.38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252,651,611.56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399,945,155.15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233,650,870.82</w:t>
            </w:r>
          </w:p>
        </w:tc>
      </w:tr>
    </w:tbl>
    <w:p>
      <w:pPr>
        <w:spacing w:line="240" w:lineRule="auto" w:before="9"/>
        <w:rPr>
          <w:rFonts w:ascii="宋体" w:hAnsi="宋体" w:cs="宋体" w:eastAsia="宋体" w:hint="default"/>
          <w:sz w:val="4"/>
          <w:szCs w:val="4"/>
        </w:rPr>
      </w:pPr>
    </w:p>
    <w:p>
      <w:pPr>
        <w:pStyle w:val="BodyText"/>
        <w:spacing w:line="240" w:lineRule="auto" w:before="26"/>
        <w:ind w:left="573" w:right="996"/>
        <w:jc w:val="left"/>
      </w:pPr>
      <w:r>
        <w:rPr/>
        <w:t>是否已执行新收入准则</w:t>
      </w:r>
    </w:p>
    <w:p>
      <w:pPr>
        <w:pStyle w:val="BodyText"/>
        <w:spacing w:line="350" w:lineRule="auto" w:before="146"/>
        <w:ind w:left="573" w:right="9014"/>
        <w:jc w:val="left"/>
      </w:pPr>
      <w:r>
        <w:rPr/>
        <w:pict>
          <v:shape style="position:absolute;margin-left:56.400002pt;margin-top:48.945587pt;width:475.8pt;height:154.45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7"/>
                    <w:gridCol w:w="2835"/>
                    <w:gridCol w:w="2129"/>
                  </w:tblGrid>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2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3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324,457,712.10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343,272,095.55</w:t>
                        </w: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系统集成（含软件服务费）收入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324,457,712.10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343,272,095.55</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类收入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非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类收入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67,733,648.28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pacing w:val="-1"/>
                            <w:sz w:val="21"/>
                          </w:rPr>
                          <w:t>56,673,059.60</w:t>
                        </w: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系统集成（含软件服务费）收入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38,116,024.36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29,166,242.09</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类收入</w:t>
                        </w:r>
                      </w:p>
                    </w:tc>
                    <w:tc>
                      <w:tcPr>
                        <w:tcW w:w="2835"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非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类收入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29,617,623.92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27,506,817.51</w:t>
                        </w:r>
                      </w:p>
                    </w:tc>
                  </w:tr>
                </w:tbl>
                <w:p>
                  <w:pPr/>
                </w:p>
              </w:txbxContent>
            </v:textbox>
            <w10:wrap type="none"/>
          </v:shape>
        </w:pict>
      </w:r>
      <w:r>
        <w:rPr/>
        <w:t>□ 是 √</w:t>
      </w:r>
      <w:r>
        <w:rPr>
          <w:spacing w:val="-1"/>
        </w:rPr>
        <w:t> </w:t>
      </w:r>
      <w:r>
        <w:rPr/>
        <w:t>否</w:t>
      </w:r>
      <w:r>
        <w:rPr/>
        <w:t> 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573" w:right="996"/>
        <w:jc w:val="left"/>
      </w:pPr>
      <w:r>
        <w:rPr/>
        <w:t>注：上表中分类系按照计算机信息系统等级评定条件及实施细则进行分类列示。</w:t>
      </w:r>
    </w:p>
    <w:p>
      <w:pPr>
        <w:spacing w:line="240" w:lineRule="auto" w:before="5"/>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5、投资收益" w:id="466"/>
      <w:bookmarkEnd w:id="46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255,000.00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-15,761,370.39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-6,619,103.93</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4"/>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4,791,716.54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12,840,775.90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-10,969,653.85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6,476,671.97</w:t>
            </w:r>
          </w:p>
        </w:tc>
      </w:tr>
    </w:tbl>
    <w:p>
      <w:pPr>
        <w:spacing w:line="240" w:lineRule="auto" w:before="3"/>
        <w:rPr>
          <w:rFonts w:ascii="宋体" w:hAnsi="宋体" w:cs="宋体" w:eastAsia="宋体" w:hint="default"/>
          <w:sz w:val="19"/>
          <w:szCs w:val="19"/>
        </w:rPr>
      </w:pPr>
    </w:p>
    <w:p>
      <w:pPr>
        <w:spacing w:before="36"/>
        <w:ind w:left="152" w:right="996" w:firstLine="0"/>
        <w:jc w:val="left"/>
        <w:rPr>
          <w:rFonts w:ascii="宋体" w:hAnsi="宋体" w:cs="宋体" w:eastAsia="宋体" w:hint="default"/>
          <w:sz w:val="21"/>
          <w:szCs w:val="21"/>
        </w:rPr>
      </w:pPr>
      <w:bookmarkStart w:name="6、其他" w:id="467"/>
      <w:bookmarkEnd w:id="46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32"/>
          <w:szCs w:val="32"/>
        </w:rPr>
      </w:pPr>
    </w:p>
    <w:p>
      <w:pPr>
        <w:pStyle w:val="BodyText"/>
        <w:spacing w:line="240" w:lineRule="auto"/>
        <w:ind w:left="573" w:right="996"/>
        <w:jc w:val="left"/>
      </w:pPr>
      <w:r>
        <w:rPr/>
        <w:t>无</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r>
        <w:rPr/>
        <w:pict>
          <v:shape style="position:absolute;margin-left:216.384964pt;margin-top:263.065979pt;width:159.3pt;height:54.65pt;mso-position-horizontal-relative:page;mso-position-vertical-relative:page;z-index:-946408"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223.25pt;margin-top:263.065979pt;width:152.450pt;height:54.65pt;mso-position-horizontal-relative:page;mso-position-vertical-relative:page;z-index:-946384" coordorigin="4465,5261" coordsize="3049,1093">
            <v:shape style="position:absolute;left:4465;top:5261;width:3049;height:1093" coordorigin="4465,5261" coordsize="3049,1093" path="m4465,6354l7513,6354,7513,5261,4465,5261,4465,6354xe" filled="true" fillcolor="#ffffff" stroked="false">
              <v:path arrowok="t"/>
              <v:fill type="solid"/>
            </v:shape>
            <w10:wrap type="none"/>
          </v:group>
        </w:pict>
      </w:r>
    </w:p>
    <w:p>
      <w:pPr>
        <w:pStyle w:val="Heading2"/>
        <w:spacing w:line="240" w:lineRule="auto"/>
        <w:ind w:right="996"/>
        <w:jc w:val="left"/>
        <w:rPr>
          <w:b w:val="0"/>
          <w:bCs w:val="0"/>
        </w:rPr>
      </w:pPr>
      <w:bookmarkStart w:name="十八、补充资料" w:id="468"/>
      <w:bookmarkEnd w:id="468"/>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当期非经常性损益明细表" w:id="469"/>
      <w:bookmarkEnd w:id="4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1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2"/>
        <w:gridCol w:w="929"/>
        <w:gridCol w:w="2143"/>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023" w:right="0"/>
              <w:jc w:val="left"/>
              <w:rPr>
                <w:rFonts w:ascii="Times New Roman" w:hAnsi="Times New Roman" w:cs="Times New Roman" w:eastAsia="Times New Roman" w:hint="default"/>
                <w:sz w:val="21"/>
                <w:szCs w:val="21"/>
              </w:rPr>
            </w:pPr>
            <w:r>
              <w:rPr>
                <w:rFonts w:ascii="Times New Roman"/>
                <w:sz w:val="21"/>
              </w:rPr>
              <w:t>-110,642.86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both"/>
              <w:rPr>
                <w:rFonts w:ascii="宋体" w:hAnsi="宋体" w:cs="宋体" w:eastAsia="宋体" w:hint="default"/>
                <w:sz w:val="21"/>
                <w:szCs w:val="21"/>
              </w:rPr>
            </w:pPr>
            <w:r>
              <w:rPr>
                <w:rFonts w:ascii="宋体" w:hAnsi="宋体" w:cs="宋体" w:eastAsia="宋体" w:hint="default"/>
                <w:spacing w:val="-7"/>
                <w:w w:val="100"/>
                <w:sz w:val="21"/>
                <w:szCs w:val="21"/>
              </w:rPr>
              <w:t>计入当期损益的政府补助（与企业业</w:t>
            </w:r>
            <w:r>
              <w:rPr>
                <w:rFonts w:ascii="宋体" w:hAnsi="宋体" w:cs="宋体" w:eastAsia="宋体" w:hint="default"/>
                <w:w w:val="100"/>
                <w:sz w:val="21"/>
                <w:szCs w:val="21"/>
              </w:rPr>
              <w:t> </w:t>
            </w:r>
            <w:r>
              <w:rPr>
                <w:rFonts w:ascii="宋体" w:hAnsi="宋体" w:cs="宋体" w:eastAsia="宋体" w:hint="default"/>
                <w:spacing w:val="-7"/>
                <w:w w:val="100"/>
                <w:sz w:val="21"/>
                <w:szCs w:val="21"/>
              </w:rPr>
              <w:t>务密切相关，按照国家统一标准定额</w:t>
            </w:r>
            <w:r>
              <w:rPr>
                <w:rFonts w:ascii="宋体" w:hAnsi="宋体" w:cs="宋体" w:eastAsia="宋体" w:hint="default"/>
                <w:w w:val="100"/>
                <w:sz w:val="21"/>
                <w:szCs w:val="21"/>
              </w:rPr>
              <w:t> </w:t>
            </w:r>
            <w:r>
              <w:rPr>
                <w:rFonts w:ascii="宋体" w:hAnsi="宋体" w:cs="宋体" w:eastAsia="宋体" w:hint="default"/>
                <w:sz w:val="21"/>
                <w:szCs w:val="21"/>
              </w:rPr>
              <w:t>或定量享受的政府补助除外）</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823" w:right="0"/>
              <w:jc w:val="left"/>
              <w:rPr>
                <w:rFonts w:ascii="Times New Roman" w:hAnsi="Times New Roman" w:cs="Times New Roman" w:eastAsia="Times New Roman" w:hint="default"/>
                <w:sz w:val="21"/>
                <w:szCs w:val="21"/>
              </w:rPr>
            </w:pPr>
            <w:r>
              <w:rPr>
                <w:rFonts w:ascii="Times New Roman"/>
                <w:sz w:val="21"/>
              </w:rPr>
              <w:t>14,804,202.07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3" w:right="204"/>
              <w:jc w:val="left"/>
              <w:rPr>
                <w:rFonts w:ascii="宋体" w:hAnsi="宋体" w:cs="宋体" w:eastAsia="宋体" w:hint="default"/>
                <w:sz w:val="21"/>
                <w:szCs w:val="21"/>
              </w:rPr>
            </w:pPr>
            <w:r>
              <w:rPr>
                <w:rFonts w:ascii="宋体" w:hAnsi="宋体" w:cs="宋体" w:eastAsia="宋体" w:hint="default"/>
                <w:spacing w:val="-2"/>
                <w:sz w:val="21"/>
                <w:szCs w:val="21"/>
              </w:rPr>
              <w:t>详见报告第十二节合并财务报表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项目注释</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1929" w:right="0"/>
              <w:jc w:val="left"/>
              <w:rPr>
                <w:rFonts w:ascii="Times New Roman" w:hAnsi="Times New Roman" w:cs="Times New Roman" w:eastAsia="Times New Roman" w:hint="default"/>
                <w:sz w:val="21"/>
                <w:szCs w:val="21"/>
              </w:rPr>
            </w:pPr>
            <w:r>
              <w:rPr>
                <w:rFonts w:ascii="Times New Roman"/>
                <w:sz w:val="21"/>
              </w:rPr>
              <w:t>4,791,716.54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6"/>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r>
              <w:rPr>
                <w:rFonts w:ascii="宋体" w:hAnsi="宋体" w:cs="宋体" w:eastAsia="宋体" w:hint="default"/>
                <w:w w:val="100"/>
                <w:sz w:val="21"/>
                <w:szCs w:val="21"/>
              </w:rPr>
              <w:t> </w:t>
            </w:r>
            <w:r>
              <w:rPr>
                <w:rFonts w:ascii="宋体" w:hAnsi="宋体" w:cs="宋体" w:eastAsia="宋体" w:hint="default"/>
                <w:spacing w:val="-7"/>
                <w:w w:val="100"/>
                <w:sz w:val="21"/>
                <w:szCs w:val="21"/>
              </w:rPr>
              <w:t>套期保值业务外，持有交易性金融资</w:t>
            </w:r>
            <w:r>
              <w:rPr>
                <w:rFonts w:ascii="宋体" w:hAnsi="宋体" w:cs="宋体" w:eastAsia="宋体" w:hint="default"/>
                <w:w w:val="100"/>
                <w:sz w:val="21"/>
                <w:szCs w:val="21"/>
              </w:rPr>
              <w:t> </w:t>
            </w:r>
            <w:r>
              <w:rPr>
                <w:rFonts w:ascii="宋体" w:hAnsi="宋体" w:cs="宋体" w:eastAsia="宋体" w:hint="default"/>
                <w:spacing w:val="-14"/>
                <w:w w:val="100"/>
                <w:sz w:val="21"/>
                <w:szCs w:val="21"/>
              </w:rPr>
              <w:t>产、衍生金融资产、交易性金融负债</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衍生金融负债产生的公允价值变动</w:t>
            </w:r>
            <w:r>
              <w:rPr>
                <w:rFonts w:ascii="宋体" w:hAnsi="宋体" w:cs="宋体" w:eastAsia="宋体" w:hint="default"/>
                <w:w w:val="100"/>
                <w:sz w:val="21"/>
                <w:szCs w:val="21"/>
              </w:rPr>
              <w:t> </w:t>
            </w:r>
            <w:r>
              <w:rPr>
                <w:rFonts w:ascii="宋体" w:hAnsi="宋体" w:cs="宋体" w:eastAsia="宋体" w:hint="default"/>
                <w:spacing w:val="-8"/>
                <w:sz w:val="21"/>
                <w:szCs w:val="21"/>
              </w:rPr>
              <w:t>损益，以及处置交易性金融资产、衍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sz w:val="21"/>
                <w:szCs w:val="21"/>
              </w:rPr>
              <w:t>生金融资产、交易性金融负债、衍生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金融负债和其他债权投资取得的投</w:t>
            </w:r>
            <w:r>
              <w:rPr>
                <w:rFonts w:ascii="宋体" w:hAnsi="宋体" w:cs="宋体" w:eastAsia="宋体" w:hint="default"/>
                <w:w w:val="100"/>
                <w:sz w:val="21"/>
                <w:szCs w:val="21"/>
              </w:rPr>
              <w:t> </w:t>
            </w:r>
            <w:r>
              <w:rPr>
                <w:rFonts w:ascii="宋体" w:hAnsi="宋体" w:cs="宋体" w:eastAsia="宋体" w:hint="default"/>
                <w:sz w:val="21"/>
                <w:szCs w:val="21"/>
              </w:rPr>
              <w:t>资收益</w:t>
            </w:r>
          </w:p>
        </w:tc>
        <w:tc>
          <w:tcPr>
            <w:tcW w:w="929" w:type="dxa"/>
            <w:tcBorders>
              <w:top w:val="single" w:sz="4" w:space="0" w:color="000000"/>
              <w:left w:val="single" w:sz="9" w:space="0" w:color="D2D2D2"/>
              <w:bottom w:val="single" w:sz="4" w:space="0" w:color="000000"/>
              <w:right w:val="nil" w:sz="6" w:space="0" w:color="auto"/>
            </w:tcBorders>
          </w:tcPr>
          <w:p>
            <w:pPr/>
          </w:p>
        </w:tc>
        <w:tc>
          <w:tcPr>
            <w:tcW w:w="21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836" w:right="0"/>
              <w:jc w:val="left"/>
              <w:rPr>
                <w:rFonts w:ascii="Times New Roman" w:hAnsi="Times New Roman" w:cs="Times New Roman" w:eastAsia="Times New Roman" w:hint="default"/>
                <w:sz w:val="21"/>
                <w:szCs w:val="21"/>
              </w:rPr>
            </w:pPr>
            <w:r>
              <w:rPr>
                <w:rFonts w:ascii="Times New Roman"/>
                <w:sz w:val="21"/>
              </w:rPr>
              <w:t>-19,813,164.79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3" w:right="204"/>
              <w:jc w:val="left"/>
              <w:rPr>
                <w:rFonts w:ascii="宋体" w:hAnsi="宋体" w:cs="宋体" w:eastAsia="宋体" w:hint="default"/>
                <w:sz w:val="21"/>
                <w:szCs w:val="21"/>
              </w:rPr>
            </w:pPr>
            <w:r>
              <w:rPr>
                <w:rFonts w:ascii="宋体" w:hAnsi="宋体" w:cs="宋体" w:eastAsia="宋体" w:hint="default"/>
                <w:spacing w:val="-2"/>
                <w:sz w:val="21"/>
                <w:szCs w:val="21"/>
              </w:rPr>
              <w:t>详见报告第十二节合并财务报表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项目注释</w:t>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24"/>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16" w:right="0"/>
              <w:jc w:val="left"/>
              <w:rPr>
                <w:rFonts w:ascii="Times New Roman" w:hAnsi="Times New Roman" w:cs="Times New Roman" w:eastAsia="Times New Roman" w:hint="default"/>
                <w:sz w:val="21"/>
                <w:szCs w:val="21"/>
              </w:rPr>
            </w:pPr>
            <w:r>
              <w:rPr>
                <w:rFonts w:ascii="Times New Roman"/>
                <w:sz w:val="21"/>
              </w:rPr>
              <w:t>-275,399.09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-57,729.88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07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144,834.31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gridSpan w:val="2"/>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left="2016" w:right="0"/>
              <w:jc w:val="left"/>
              <w:rPr>
                <w:rFonts w:ascii="Times New Roman" w:hAnsi="Times New Roman" w:cs="Times New Roman" w:eastAsia="Times New Roman" w:hint="default"/>
                <w:sz w:val="21"/>
                <w:szCs w:val="21"/>
              </w:rPr>
            </w:pPr>
            <w:r>
              <w:rPr>
                <w:rFonts w:ascii="Times New Roman"/>
                <w:sz w:val="21"/>
              </w:rPr>
              <w:t>-690,392.56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4"/>
          <w:szCs w:val="4"/>
        </w:rPr>
      </w:pPr>
    </w:p>
    <w:p>
      <w:pPr>
        <w:pStyle w:val="BodyText"/>
        <w:spacing w:line="352" w:lineRule="auto" w:before="26"/>
        <w:ind w:right="1131" w:firstLine="420"/>
        <w:jc w:val="both"/>
      </w:pPr>
      <w:r>
        <w:rPr>
          <w:spacing w:val="-1"/>
        </w:rPr>
        <w:t>对公司根据《公开发行证券的公司信息披露解释性公告第</w:t>
      </w:r>
      <w:r>
        <w:rPr>
          <w:rFonts w:ascii="宋体" w:hAnsi="宋体" w:cs="宋体" w:eastAsia="宋体" w:hint="default"/>
          <w:spacing w:val="-1"/>
        </w:rPr>
        <w:t>1</w:t>
      </w:r>
      <w:r>
        <w:rPr>
          <w:spacing w:val="-1"/>
        </w:rPr>
        <w:t>号——非经常性损益》定义界</w:t>
      </w:r>
      <w:r>
        <w:rPr/>
        <w:t> </w:t>
      </w:r>
      <w:r>
        <w:rPr>
          <w:spacing w:val="-2"/>
        </w:rPr>
        <w:t>定的非经常性损益项目，以及把《公开发行证券的公司信息披露解释性公告第</w:t>
      </w:r>
      <w:r>
        <w:rPr>
          <w:rFonts w:ascii="宋体" w:hAnsi="宋体" w:cs="宋体" w:eastAsia="宋体" w:hint="default"/>
          <w:spacing w:val="-2"/>
        </w:rPr>
        <w:t>1</w:t>
      </w:r>
      <w:r>
        <w:rPr>
          <w:spacing w:val="-2"/>
        </w:rPr>
        <w:t>号——非经常</w:t>
      </w:r>
      <w:r>
        <w:rPr>
          <w:spacing w:val="-118"/>
        </w:rPr>
        <w:t> </w:t>
      </w:r>
      <w:r>
        <w:rPr/>
        <w:t>性损益》中列举的非经常性损益项目界定为经常性损益的项目，应说明原因。</w:t>
      </w:r>
    </w:p>
    <w:p>
      <w:pPr>
        <w:pStyle w:val="BodyText"/>
        <w:spacing w:line="240" w:lineRule="auto" w:before="31"/>
        <w:ind w:left="573" w:right="996"/>
        <w:jc w:val="left"/>
      </w:pPr>
      <w:r>
        <w:rPr/>
        <w:t>□ 适用 √</w:t>
      </w:r>
      <w:r>
        <w:rPr>
          <w:spacing w:val="-1"/>
        </w:rPr>
        <w:t> </w:t>
      </w:r>
      <w:r>
        <w:rPr/>
        <w:t>不适用</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净资产收益率及每股收益" w:id="470"/>
      <w:bookmarkEnd w:id="4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263"/>
        <w:gridCol w:w="1416"/>
        <w:gridCol w:w="2410"/>
        <w:gridCol w:w="2482"/>
      </w:tblGrid>
      <w:tr>
        <w:trPr>
          <w:trHeight w:val="206" w:hRule="exact"/>
        </w:trPr>
        <w:tc>
          <w:tcPr>
            <w:tcW w:w="3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283" w:right="67" w:hanging="209"/>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48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90" w:hRule="exact"/>
        </w:trPr>
        <w:tc>
          <w:tcPr>
            <w:tcW w:w="32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416" w:type="dxa"/>
            <w:vMerge/>
            <w:tcBorders>
              <w:left w:val="single" w:sz="4" w:space="0" w:color="000000"/>
              <w:right w:val="single" w:sz="4" w:space="0" w:color="000000"/>
            </w:tcBorders>
            <w:shd w:val="clear" w:color="auto" w:fill="D2D2D2"/>
          </w:tcPr>
          <w:p>
            <w:pPr/>
          </w:p>
        </w:tc>
        <w:tc>
          <w:tcPr>
            <w:tcW w:w="489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263"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55"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206" w:hRule="exact"/>
        </w:trPr>
        <w:tc>
          <w:tcPr>
            <w:tcW w:w="3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4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16" w:type="dxa"/>
            <w:tcBorders>
              <w:top w:val="single" w:sz="22" w:space="0" w:color="D2D2D2"/>
              <w:left w:val="single" w:sz="9" w:space="0" w:color="D2D2D2"/>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21"/>
                <w:szCs w:val="21"/>
              </w:rPr>
            </w:pPr>
            <w:r>
              <w:rPr>
                <w:rFonts w:ascii="Times New Roman"/>
                <w:sz w:val="21"/>
              </w:rPr>
              <w:t>4.59%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0.1780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0.1780</w:t>
            </w:r>
          </w:p>
        </w:tc>
      </w:tr>
      <w:tr>
        <w:trPr>
          <w:trHeight w:val="715"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7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通股股东的净利润</w:t>
            </w:r>
          </w:p>
        </w:tc>
        <w:tc>
          <w:tcPr>
            <w:tcW w:w="14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0.1798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0.1798</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spacing w:before="36"/>
        <w:ind w:left="152" w:right="996" w:firstLine="0"/>
        <w:jc w:val="left"/>
        <w:rPr>
          <w:rFonts w:ascii="宋体" w:hAnsi="宋体" w:cs="宋体" w:eastAsia="宋体" w:hint="default"/>
          <w:sz w:val="21"/>
          <w:szCs w:val="21"/>
        </w:rPr>
      </w:pPr>
      <w:bookmarkStart w:name="3、境内外会计准则下会计数据差异" w:id="471"/>
      <w:bookmarkEnd w:id="47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996" w:firstLine="0"/>
        <w:jc w:val="left"/>
        <w:rPr>
          <w:rFonts w:ascii="宋体" w:hAnsi="宋体" w:cs="宋体" w:eastAsia="宋体" w:hint="default"/>
          <w:sz w:val="21"/>
          <w:szCs w:val="21"/>
        </w:rPr>
      </w:pPr>
      <w:bookmarkStart w:name="（1）同时按照国际会计准则与按中国会计准则披露的财务报告中净利润和净资产差异情况" w:id="472"/>
      <w:bookmarkEnd w:id="4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 适用 √</w:t>
      </w:r>
      <w:r>
        <w:rPr>
          <w:spacing w:val="-1"/>
        </w:rPr>
        <w:t> </w:t>
      </w:r>
      <w:r>
        <w:rPr/>
        <w:t>不适用</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2）同时按照境外会计准则与按中国会计准则披露的财务报告中净利润和净资产差异情况" w:id="473"/>
      <w:bookmarkEnd w:id="4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 适用 √</w:t>
      </w:r>
      <w:r>
        <w:rPr>
          <w:spacing w:val="-1"/>
        </w:rPr>
        <w:t> </w:t>
      </w:r>
      <w:r>
        <w:rPr/>
        <w:t>不适用</w:t>
      </w:r>
    </w:p>
    <w:p>
      <w:pPr>
        <w:spacing w:line="240" w:lineRule="auto" w:before="7"/>
        <w:rPr>
          <w:rFonts w:ascii="宋体" w:hAnsi="宋体" w:cs="宋体" w:eastAsia="宋体" w:hint="default"/>
          <w:sz w:val="26"/>
          <w:szCs w:val="26"/>
        </w:rPr>
      </w:pPr>
    </w:p>
    <w:p>
      <w:pPr>
        <w:spacing w:line="256" w:lineRule="auto" w:before="0"/>
        <w:ind w:left="152" w:right="996" w:firstLine="0"/>
        <w:jc w:val="left"/>
        <w:rPr>
          <w:rFonts w:ascii="宋体" w:hAnsi="宋体" w:cs="宋体" w:eastAsia="宋体" w:hint="default"/>
          <w:sz w:val="21"/>
          <w:szCs w:val="21"/>
        </w:rPr>
      </w:pPr>
      <w:bookmarkStart w:name="（3）境内外会计准则下会计数据差异原因说明，对已经境外审计机构审计的数据进行差异" w:id="474"/>
      <w:bookmarkEnd w:id="4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240" w:lineRule="auto" w:before="163"/>
        <w:ind w:left="573" w:right="996"/>
        <w:jc w:val="left"/>
      </w:pPr>
      <w:r>
        <w:rPr/>
        <w:t>无</w:t>
      </w:r>
    </w:p>
    <w:p>
      <w:pPr>
        <w:spacing w:line="240" w:lineRule="auto" w:before="7"/>
        <w:rPr>
          <w:rFonts w:ascii="宋体" w:hAnsi="宋体" w:cs="宋体" w:eastAsia="宋体" w:hint="default"/>
          <w:sz w:val="26"/>
          <w:szCs w:val="26"/>
        </w:rPr>
      </w:pPr>
    </w:p>
    <w:p>
      <w:pPr>
        <w:spacing w:before="0"/>
        <w:ind w:left="152" w:right="996" w:firstLine="0"/>
        <w:jc w:val="left"/>
        <w:rPr>
          <w:rFonts w:ascii="宋体" w:hAnsi="宋体" w:cs="宋体" w:eastAsia="宋体" w:hint="default"/>
          <w:sz w:val="21"/>
          <w:szCs w:val="21"/>
        </w:rPr>
      </w:pPr>
      <w:bookmarkStart w:name="4、其他" w:id="475"/>
      <w:bookmarkEnd w:id="4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pStyle w:val="BodyText"/>
        <w:spacing w:line="240" w:lineRule="auto"/>
        <w:ind w:left="573" w:right="996"/>
        <w:jc w:val="left"/>
      </w:pPr>
      <w:r>
        <w:rPr/>
        <w:t>无</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996"/>
        <w:jc w:val="left"/>
        <w:rPr>
          <w:b w:val="0"/>
          <w:bCs w:val="0"/>
        </w:rPr>
      </w:pPr>
      <w:bookmarkStart w:name="第十三节 备查文件目录" w:id="476"/>
      <w:bookmarkEnd w:id="476"/>
      <w:r>
        <w:rPr>
          <w:b w:val="0"/>
          <w:bCs w:val="0"/>
        </w:rPr>
      </w:r>
      <w:bookmarkStart w:name="_bookmark12" w:id="477"/>
      <w:bookmarkEnd w:id="477"/>
      <w:r>
        <w:rPr>
          <w:b w:val="0"/>
          <w:bCs w:val="0"/>
        </w:rPr>
      </w:r>
      <w:r>
        <w:rPr/>
        <w:t>第十三节</w:t>
      </w:r>
      <w:r>
        <w:rPr>
          <w:spacing w:val="-6"/>
        </w:rPr>
        <w:t> </w:t>
      </w:r>
      <w:r>
        <w:rPr/>
        <w:t>备查文件目录</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BodyText"/>
        <w:spacing w:line="240" w:lineRule="auto" w:before="26"/>
        <w:ind w:left="633" w:right="996"/>
        <w:jc w:val="left"/>
      </w:pPr>
      <w:r>
        <w:rPr/>
        <w:t>一、载有公司法定负责人、主管会计工作负责人、会计机构负责人签名并盖章的会计报</w:t>
      </w:r>
    </w:p>
    <w:p>
      <w:pPr>
        <w:pStyle w:val="BodyText"/>
        <w:spacing w:line="240" w:lineRule="auto" w:before="146"/>
        <w:ind w:right="996"/>
        <w:jc w:val="left"/>
      </w:pPr>
      <w:r>
        <w:rPr/>
        <w:t>表。</w:t>
      </w:r>
    </w:p>
    <w:p>
      <w:pPr>
        <w:pStyle w:val="BodyText"/>
        <w:spacing w:line="350" w:lineRule="auto" w:before="146"/>
        <w:ind w:left="633" w:right="1153"/>
        <w:jc w:val="left"/>
      </w:pPr>
      <w:r>
        <w:rPr/>
        <w:t>二、载有会计师事务所盖章、注册会计师签名并盖章的财务审计报告原件。 三、报告期内，在中国证监会指定网站上公开披露过的所有公司文件的正本及公告的原</w:t>
      </w:r>
    </w:p>
    <w:p>
      <w:pPr>
        <w:pStyle w:val="BodyText"/>
        <w:spacing w:line="240" w:lineRule="auto" w:before="36"/>
        <w:ind w:right="996"/>
        <w:jc w:val="left"/>
      </w:pPr>
      <w:r>
        <w:rPr/>
        <w:t>稿。</w:t>
      </w:r>
    </w:p>
    <w:p>
      <w:pPr>
        <w:pStyle w:val="BodyText"/>
        <w:spacing w:line="240" w:lineRule="auto" w:before="147"/>
        <w:ind w:left="633" w:right="996"/>
        <w:jc w:val="left"/>
      </w:pPr>
      <w:r>
        <w:rPr/>
        <w:t>四、以上备查文件的备置地点：证券办公室。</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320" type="#_x0000_t75" stroked="false">
          <v:imagedata r:id="rId1" o:title=""/>
        </v:shape>
      </w:pict>
    </w:r>
    <w:r>
      <w:rPr/>
      <w:pict>
        <v:shape style="position:absolute;margin-left:533.099976pt;margin-top:795.637939pt;width:6.5pt;height:11pt;mso-position-horizontal-relative:page;mso-position-vertical-relative:page;z-index:-9472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272" type="#_x0000_t75" stroked="false">
          <v:imagedata r:id="rId1" o:title=""/>
        </v:shape>
      </w:pict>
    </w:r>
    <w:r>
      <w:rPr/>
      <w:pict>
        <v:shape style="position:absolute;margin-left:527.659973pt;margin-top:781.933899pt;width:13.15pt;height:11pt;mso-position-horizontal-relative:page;mso-position-vertical-relative:page;z-index:-94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224" type="#_x0000_t75" stroked="false">
          <v:imagedata r:id="rId1" o:title=""/>
        </v:shape>
      </w:pict>
    </w:r>
    <w:r>
      <w:rPr/>
      <w:pict>
        <v:shape style="position:absolute;margin-left:524.099976pt;margin-top:781.933899pt;width:15.7pt;height:11pt;mso-position-horizontal-relative:page;mso-position-vertical-relative:page;z-index:-947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76" type="#_x0000_t75" stroked="false">
          <v:imagedata r:id="rId1" o:title=""/>
        </v:shape>
      </w:pict>
    </w:r>
    <w:r>
      <w:rPr/>
      <w:pict>
        <v:shape style="position:absolute;margin-left:523.099976pt;margin-top:781.933899pt;width:17.7pt;height:11pt;mso-position-horizontal-relative:page;mso-position-vertical-relative:page;z-index:-947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128" type="#_x0000_t75" stroked="false">
          <v:imagedata r:id="rId1" o:title=""/>
        </v:shape>
      </w:pict>
    </w:r>
    <w:r>
      <w:rPr/>
      <w:pict>
        <v:shape style="position:absolute;margin-left:523.460022pt;margin-top:781.933899pt;width:17.3pt;height:11pt;mso-position-horizontal-relative:page;mso-position-vertical-relative:page;z-index:-94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80" type="#_x0000_t75" stroked="false">
          <v:imagedata r:id="rId1" o:title=""/>
        </v:shape>
      </w:pict>
    </w:r>
    <w:r>
      <w:rPr/>
      <w:pict>
        <v:shape style="position:absolute;margin-left:523.099976pt;margin-top:781.933899pt;width:17.7pt;height:11pt;mso-position-horizontal-relative:page;mso-position-vertical-relative:page;z-index:-94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7032" type="#_x0000_t75" stroked="false">
          <v:imagedata r:id="rId1" o:title=""/>
        </v:shape>
      </w:pict>
    </w:r>
    <w:r>
      <w:rPr/>
      <w:pict>
        <v:shape style="position:absolute;margin-left:523.099976pt;margin-top:781.933899pt;width:17.7pt;height:11pt;mso-position-horizontal-relative:page;mso-position-vertical-relative:page;z-index:-94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84" type="#_x0000_t75" stroked="false">
          <v:imagedata r:id="rId1" o:title=""/>
        </v:shape>
      </w:pict>
    </w:r>
    <w:r>
      <w:rPr/>
      <w:pict>
        <v:shape style="position:absolute;margin-left:524.099976pt;margin-top:781.933899pt;width:15.7pt;height:11pt;mso-position-horizontal-relative:page;mso-position-vertical-relative:page;z-index:-946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46936" type="#_x0000_t75" stroked="false">
          <v:imagedata r:id="rId1" o:title=""/>
        </v:shape>
      </w:pict>
    </w:r>
    <w:r>
      <w:rPr/>
      <w:pict>
        <v:shape style="position:absolute;margin-left:523.099976pt;margin-top:781.933899pt;width:17.7pt;height:11pt;mso-position-horizontal-relative:page;mso-position-vertical-relative:page;z-index:-946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47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河南辉煌科技股份有限公司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hkj.cn/" TargetMode="External"/><Relationship Id="rId10" Type="http://schemas.openxmlformats.org/officeDocument/2006/relationships/hyperlink" Target="mailto:zqb@hhkj.cn" TargetMode="External"/><Relationship Id="rId11" Type="http://schemas.openxmlformats.org/officeDocument/2006/relationships/hyperlink" Target="mailto:duxusheng@hhkj.cn" TargetMode="External"/><Relationship Id="rId12" Type="http://schemas.openxmlformats.org/officeDocument/2006/relationships/hyperlink" Target="mailto:guozhimin@hhkj.cn"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河南辉煌科技股份有限公司</dc:creator>
  <dc:title>河南辉煌科技股份有限公司2019年年度报告全文</dc:title>
  <dcterms:created xsi:type="dcterms:W3CDTF">2020-05-19T03:11:29Z</dcterms:created>
  <dcterms:modified xsi:type="dcterms:W3CDTF">2020-05-19T03:11:29Z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Office Word 2007</vt:lpwstr>
  </property>
  <property fmtid="{D5CDD505-2E9C-101B-9397-08002B2CF9AE}" pid="4" name="LastSaved">
    <vt:filetime>2020-05-18T00:00:00Z</vt:filetime>
  </property>
</Properties>
</file>