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1132" w:bottom="984" w:left="3760" w:header="0" w:footer="3" w:gutter="0"/>
          <w:cols w:space="720"/>
          <w:noEndnote/>
          <w:rtlGutter w:val="0"/>
          <w:docGrid w:linePitch="360"/>
        </w:sectPr>
      </w:pPr>
    </w:p>
    <w:p>
      <w:pPr>
        <w:pStyle w:val="Style2"/>
        <w:keepNext w:val="0"/>
        <w:keepLines w:val="0"/>
        <w:framePr w:w="4373" w:h="466" w:wrap="none" w:vAnchor="text" w:hAnchor="page" w:x="3761" w:y="1009"/>
        <w:widowControl w:val="0"/>
        <w:shd w:val="clear" w:color="auto" w:fill="auto"/>
        <w:bidi w:val="0"/>
        <w:spacing w:before="0" w:after="0" w:line="240" w:lineRule="auto"/>
        <w:ind w:left="0" w:right="0" w:firstLine="0"/>
        <w:jc w:val="center"/>
      </w:pPr>
      <w:r>
        <w:rPr>
          <w:color w:val="000000"/>
          <w:spacing w:val="0"/>
          <w:w w:val="100"/>
          <w:position w:val="0"/>
        </w:rPr>
        <w:t>河南辉煌科技股份有限公司</w:t>
      </w:r>
    </w:p>
    <w:p>
      <w:pPr>
        <w:pStyle w:val="Style4"/>
        <w:keepNext w:val="0"/>
        <w:keepLines w:val="0"/>
        <w:framePr w:w="2371" w:h="408" w:wrap="none" w:vAnchor="text" w:hAnchor="page" w:x="4760" w:y="192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888" w:h="274" w:wrap="none" w:vAnchor="text" w:hAnchor="page" w:x="5504" w:y="2727"/>
        <w:widowControl w:val="0"/>
        <w:shd w:val="clear" w:color="auto" w:fill="auto"/>
        <w:bidi w:val="0"/>
        <w:spacing w:before="0" w:after="0" w:line="240" w:lineRule="auto"/>
        <w:ind w:left="0" w:right="0" w:firstLine="0"/>
        <w:jc w:val="left"/>
      </w:pPr>
      <w:r>
        <w:rPr>
          <w:color w:val="000000"/>
          <w:spacing w:val="0"/>
          <w:w w:val="100"/>
          <w:position w:val="0"/>
        </w:rPr>
        <w:t>2022-012</w:t>
      </w:r>
    </w:p>
    <w:p>
      <w:pPr>
        <w:pStyle w:val="Style9"/>
        <w:keepNext w:val="0"/>
        <w:keepLines w:val="0"/>
        <w:framePr w:w="1867" w:h="408" w:wrap="none" w:vAnchor="text" w:hAnchor="page" w:x="5004" w:y="8987"/>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3195320</wp:posOffset>
            </wp:positionH>
            <wp:positionV relativeFrom="paragraph">
              <wp:posOffset>12700</wp:posOffset>
            </wp:positionV>
            <wp:extent cx="1164590" cy="5549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164590" cy="554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1900" w:h="16840"/>
          <w:pgMar w:top="1018" w:right="1132" w:bottom="984" w:left="3760" w:header="0" w:footer="3" w:gutter="0"/>
          <w:cols w:space="720"/>
          <w:noEndnote/>
          <w:rtlGutter w:val="0"/>
          <w:docGrid w:linePitch="360"/>
        </w:sectPr>
      </w:pPr>
    </w:p>
    <w:p>
      <w:pPr>
        <w:pStyle w:val="Style12"/>
        <w:keepNext/>
        <w:keepLines/>
        <w:widowControl w:val="0"/>
        <w:shd w:val="clear" w:color="auto" w:fill="auto"/>
        <w:bidi w:val="0"/>
        <w:spacing w:before="64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466" w:lineRule="exact"/>
        <w:ind w:left="0" w:right="0"/>
        <w:jc w:val="both"/>
      </w:pPr>
      <w:bookmarkStart w:id="3" w:name="bookmark3"/>
      <w:r>
        <w:rPr>
          <w:color w:val="000000"/>
          <w:spacing w:val="0"/>
          <w:w w:val="100"/>
          <w:position w:val="0"/>
        </w:rPr>
        <w:t>公司董事会、监事会及董事、监事、高级管理人员保证年度报告内容的真实、准确、完 整，不存在虚假记载、误导性陈述或重大遗漏，并承担个别和连带的法律责任。</w:t>
      </w:r>
      <w:bookmarkEnd w:id="3"/>
    </w:p>
    <w:p>
      <w:pPr>
        <w:pStyle w:val="Style14"/>
        <w:keepNext w:val="0"/>
        <w:keepLines w:val="0"/>
        <w:widowControl w:val="0"/>
        <w:shd w:val="clear" w:color="auto" w:fill="auto"/>
        <w:bidi w:val="0"/>
        <w:spacing w:before="0" w:line="461" w:lineRule="exact"/>
        <w:ind w:left="0" w:right="0"/>
        <w:jc w:val="both"/>
      </w:pPr>
      <w:r>
        <w:rPr>
          <w:color w:val="000000"/>
          <w:spacing w:val="0"/>
          <w:w w:val="100"/>
          <w:position w:val="0"/>
        </w:rPr>
        <w:t>公司负责人李海鹰、主管会计工作负责人侯菊艳及会计机构负责人（会计主管人员）窦永 贺声明：保证本年度报告中财务报告的真实、准确、完整。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469" w:lineRule="exact"/>
        <w:ind w:left="0" w:right="0"/>
        <w:jc w:val="both"/>
      </w:pPr>
      <w:r>
        <w:rPr>
          <w:color w:val="000000"/>
          <w:spacing w:val="0"/>
          <w:w w:val="100"/>
          <w:position w:val="0"/>
        </w:rPr>
        <w:t>本年度报告内容中如有涉及未来的计划、业绩预测等方面的前瞻性陈述，均不构成本公 司对任何投资者的实质承诺，能否实现取决于市场状况变化、经营团队的努力程度等多种因 素，存在很大的不确定性，投资者及相关人士均应当对此保持足够的风险认识，并且应当理 解计划、预测与承诺之间的差异，敬请投资者注意投资风险。</w:t>
      </w:r>
    </w:p>
    <w:p>
      <w:pPr>
        <w:pStyle w:val="Style14"/>
        <w:keepNext w:val="0"/>
        <w:keepLines w:val="0"/>
        <w:widowControl w:val="0"/>
        <w:shd w:val="clear" w:color="auto" w:fill="auto"/>
        <w:bidi w:val="0"/>
        <w:spacing w:before="0"/>
        <w:ind w:left="0" w:right="0" w:firstLine="0"/>
        <w:jc w:val="center"/>
      </w:pPr>
      <w:r>
        <w:rPr>
          <w:b/>
          <w:bCs/>
          <w:color w:val="000000"/>
          <w:spacing w:val="0"/>
          <w:w w:val="100"/>
          <w:position w:val="0"/>
        </w:rPr>
        <w:t>风险提示</w:t>
      </w:r>
    </w:p>
    <w:p>
      <w:pPr>
        <w:pStyle w:val="Style14"/>
        <w:keepNext w:val="0"/>
        <w:keepLines w:val="0"/>
        <w:widowControl w:val="0"/>
        <w:shd w:val="clear" w:color="auto" w:fill="auto"/>
        <w:bidi w:val="0"/>
        <w:spacing w:before="0"/>
        <w:ind w:left="0" w:right="0" w:firstLine="600"/>
        <w:jc w:val="both"/>
      </w:pPr>
      <w:bookmarkStart w:id="4" w:name="bookmark4"/>
      <w:r>
        <w:rPr>
          <w:color w:val="000000"/>
          <w:spacing w:val="0"/>
          <w:w w:val="100"/>
          <w:position w:val="0"/>
        </w:rPr>
        <w:t>1</w:t>
      </w:r>
      <w:bookmarkEnd w:id="4"/>
      <w:r>
        <w:rPr>
          <w:color w:val="000000"/>
          <w:spacing w:val="0"/>
          <w:w w:val="100"/>
          <w:position w:val="0"/>
        </w:rPr>
        <w:t>、宏观经济环境与行业政策变化风险。</w:t>
      </w:r>
    </w:p>
    <w:p>
      <w:pPr>
        <w:pStyle w:val="Style14"/>
        <w:keepNext w:val="0"/>
        <w:keepLines w:val="0"/>
        <w:widowControl w:val="0"/>
        <w:shd w:val="clear" w:color="auto" w:fill="auto"/>
        <w:bidi w:val="0"/>
        <w:spacing w:before="0"/>
        <w:ind w:left="0" w:right="0"/>
        <w:jc w:val="both"/>
      </w:pPr>
      <w:r>
        <w:rPr>
          <w:color w:val="000000"/>
          <w:spacing w:val="0"/>
          <w:w w:val="100"/>
          <w:position w:val="0"/>
        </w:rPr>
        <w:t>轨道交通行业是国民经济的重要产业，轨道交通建设与宏观经济和国家基础设施投资政 策联系密切。新冠疫情已持续近三年，叠加错综复杂的国际环境，致使世界经济总体发展缓 慢，全球动荡源和风险点显著增多；我国经济下行压力加大，可能造成基础建设整体投资下 降等风险。轨道交通项目的落实方面，很大程度上依赖于政府对轨道交通项目的投入和中国 国家铁路集团有限公司招投标总体规划，由多种因素确定，包括但不限于我国各级政府和中 国国家铁路集团有限公司对轨道交通运输系统的总体投资规划、审批流程、招投标安排等。 如未来政府对行业的有利政策出现变动，政策红利出现消减，或中国国家铁路集团有限公司 的招投标计划出现临时性变更，则可能对公司业务发展产生不利影响，从而对公司的经营状 况和盈利能力产生重大影响。</w:t>
      </w:r>
    </w:p>
    <w:p>
      <w:pPr>
        <w:pStyle w:val="Style14"/>
        <w:keepNext w:val="0"/>
        <w:keepLines w:val="0"/>
        <w:widowControl w:val="0"/>
        <w:shd w:val="clear" w:color="auto" w:fill="auto"/>
        <w:bidi w:val="0"/>
        <w:spacing w:before="0" w:after="300" w:line="469" w:lineRule="exact"/>
        <w:ind w:left="0" w:right="0"/>
        <w:jc w:val="both"/>
      </w:pPr>
      <w:r>
        <w:rPr>
          <w:color w:val="000000"/>
          <w:spacing w:val="0"/>
          <w:w w:val="100"/>
          <w:position w:val="0"/>
        </w:rPr>
        <w:t>应对措施：主动收集关注国家宏观经济及行业相关信息，及时掌握轨道交通行业的政策 变化，分析研判政策变化对公司产生的影响，积极应对，提早防范；结合行业发展趋势，强 化管理，深挖潜能，提高公司抵御风险能力；持续加大新领域技术研发投入，努力打造新的 业务增长极。</w:t>
      </w:r>
    </w:p>
    <w:p>
      <w:pPr>
        <w:pStyle w:val="Style14"/>
        <w:keepNext w:val="0"/>
        <w:keepLines w:val="0"/>
        <w:widowControl w:val="0"/>
        <w:shd w:val="clear" w:color="auto" w:fill="auto"/>
        <w:bidi w:val="0"/>
        <w:spacing w:before="0" w:line="240" w:lineRule="auto"/>
        <w:ind w:left="0" w:right="0"/>
        <w:jc w:val="both"/>
      </w:pPr>
      <w:bookmarkStart w:id="5" w:name="bookmark5"/>
      <w:r>
        <w:rPr>
          <w:color w:val="000000"/>
          <w:spacing w:val="0"/>
          <w:w w:val="100"/>
          <w:position w:val="0"/>
        </w:rPr>
        <w:t>2</w:t>
      </w:r>
      <w:bookmarkEnd w:id="5"/>
      <w:r>
        <w:rPr>
          <w:color w:val="000000"/>
          <w:spacing w:val="0"/>
          <w:w w:val="100"/>
          <w:position w:val="0"/>
        </w:rPr>
        <w:t>、行业竞争加剧，业务增长乏力，利润空间变小风险。</w:t>
      </w:r>
    </w:p>
    <w:p>
      <w:pPr>
        <w:pStyle w:val="Style14"/>
        <w:keepNext w:val="0"/>
        <w:keepLines w:val="0"/>
        <w:widowControl w:val="0"/>
        <w:shd w:val="clear" w:color="auto" w:fill="auto"/>
        <w:bidi w:val="0"/>
        <w:spacing w:before="0" w:after="80"/>
        <w:ind w:left="0" w:right="0"/>
        <w:jc w:val="both"/>
      </w:pPr>
      <w:r>
        <w:rPr>
          <w:color w:val="000000"/>
          <w:spacing w:val="0"/>
          <w:w w:val="100"/>
          <w:position w:val="0"/>
        </w:rPr>
        <w:t>近年来，国家铁路行业基建投资虽处于高位，但增速已放缓，随着宏观经济进入新常态， 行业内的大型国有控股施工单位、设计院、研究院集团等，均在寻找新的增长和突破领域， 不断在原有产业链中延伸其原有布局范围，造成市场竞争更加激烈。城市轨道交通行业各类 专业集成系统技术标准体系，随着各城市城轨线路的开通运营已日趋成熟，也造成了统一标 准下的市场竞争加剧。公司主营业务涉及的多个产品，虽然前期引领了行业内解决方案的先 行实践，但随着行业技术水平进步以及市场竞争加剧，未来如果公司不能保持产品的持续创 新，公司可能面临业务增长乏力和毛利率下降的风险。</w:t>
      </w:r>
    </w:p>
    <w:p>
      <w:pPr>
        <w:pStyle w:val="Style14"/>
        <w:keepNext w:val="0"/>
        <w:keepLines w:val="0"/>
        <w:widowControl w:val="0"/>
        <w:shd w:val="clear" w:color="auto" w:fill="auto"/>
        <w:bidi w:val="0"/>
        <w:spacing w:before="0" w:after="80" w:line="469" w:lineRule="exact"/>
        <w:ind w:left="0" w:right="0"/>
        <w:jc w:val="both"/>
      </w:pPr>
      <w:r>
        <w:rPr>
          <w:color w:val="000000"/>
          <w:spacing w:val="0"/>
          <w:w w:val="100"/>
          <w:position w:val="0"/>
        </w:rPr>
        <w:t>应对措施：坚持以客户为中心，坚持科技创新，加速新产品的研发，增强客户对公司的 信赖，持续提升公司在行业中的竞争力和影响力，保障公司市场份额稳步增长；根据行业发 展变化趋势，加快传统设备升级，以领先的智能化产品体系保持核心竞争力，在满足客户降 本增效要求的同时，保证公司合理利润率；加强在市场开拓、项目管理、供应链管理等方面 的投入力度，持续优化完善内控制度，在原料采购、生产和项目交付、售后服务等各环节实 施精细化管理，对公司总体毛利水平产生正向积极作用。</w:t>
      </w:r>
    </w:p>
    <w:p>
      <w:pPr>
        <w:pStyle w:val="Style14"/>
        <w:keepNext w:val="0"/>
        <w:keepLines w:val="0"/>
        <w:widowControl w:val="0"/>
        <w:shd w:val="clear" w:color="auto" w:fill="auto"/>
        <w:tabs>
          <w:tab w:pos="838" w:val="left"/>
        </w:tabs>
        <w:bidi w:val="0"/>
        <w:spacing w:before="0" w:after="80" w:line="469" w:lineRule="exact"/>
        <w:ind w:left="0" w:right="0"/>
        <w:jc w:val="both"/>
      </w:pPr>
      <w:bookmarkStart w:id="6" w:name="bookmark6"/>
      <w:r>
        <w:rPr>
          <w:color w:val="000000"/>
          <w:spacing w:val="0"/>
          <w:w w:val="100"/>
          <w:position w:val="0"/>
        </w:rPr>
        <w:t>3</w:t>
      </w:r>
      <w:bookmarkEnd w:id="6"/>
      <w:r>
        <w:rPr>
          <w:color w:val="000000"/>
          <w:spacing w:val="0"/>
          <w:w w:val="100"/>
          <w:position w:val="0"/>
        </w:rPr>
        <w:t>、</w:t>
        <w:tab/>
        <w:t>新技术不确定性及新产品研发未如期形成产业化的风险。</w:t>
      </w:r>
    </w:p>
    <w:p>
      <w:pPr>
        <w:pStyle w:val="Style14"/>
        <w:keepNext w:val="0"/>
        <w:keepLines w:val="0"/>
        <w:widowControl w:val="0"/>
        <w:shd w:val="clear" w:color="auto" w:fill="auto"/>
        <w:bidi w:val="0"/>
        <w:spacing w:before="0" w:after="80" w:line="469" w:lineRule="exact"/>
        <w:ind w:left="0" w:right="0"/>
        <w:jc w:val="both"/>
      </w:pPr>
      <w:r>
        <w:rPr>
          <w:color w:val="000000"/>
          <w:spacing w:val="0"/>
          <w:w w:val="100"/>
          <w:position w:val="0"/>
        </w:rPr>
        <w:t>为争取新领域的拓展，公司拟投入自有资金进行智能微电网及储能技术研发中心项目的 建设。由于从技术研发到产业化过程中将可能遇到技术研发进度缓慢、技术及产品发展趋势 判断失误以及技术成果转化不力等不确定性因素，可能导致新技术、新产品研发失败或投入 市场的新产品无法如期为公司带来预期的收益和形成有效的产业化局面。</w:t>
      </w:r>
    </w:p>
    <w:p>
      <w:pPr>
        <w:pStyle w:val="Style14"/>
        <w:keepNext w:val="0"/>
        <w:keepLines w:val="0"/>
        <w:widowControl w:val="0"/>
        <w:shd w:val="clear" w:color="auto" w:fill="auto"/>
        <w:bidi w:val="0"/>
        <w:spacing w:before="0" w:after="80" w:line="470" w:lineRule="exact"/>
        <w:ind w:left="0" w:right="0"/>
        <w:jc w:val="both"/>
      </w:pPr>
      <w:r>
        <w:rPr>
          <w:color w:val="000000"/>
          <w:spacing w:val="0"/>
          <w:w w:val="100"/>
          <w:position w:val="0"/>
        </w:rPr>
        <w:t>应对措施：公司将在持续加大技术研发投入的同时，加强与高等院校、研究院等专业机 构合作，寻求对技术方向的充分把握和合理论证。严格把控研发流程管理，加大新产品试点、 推广力度，加强研发过程中与客户的沟通和确认，根据市场需求及时调整研发方向。</w:t>
      </w:r>
    </w:p>
    <w:p>
      <w:pPr>
        <w:pStyle w:val="Style14"/>
        <w:keepNext w:val="0"/>
        <w:keepLines w:val="0"/>
        <w:widowControl w:val="0"/>
        <w:shd w:val="clear" w:color="auto" w:fill="auto"/>
        <w:tabs>
          <w:tab w:pos="838" w:val="left"/>
        </w:tabs>
        <w:bidi w:val="0"/>
        <w:spacing w:before="0" w:after="80" w:line="469" w:lineRule="exact"/>
        <w:ind w:left="0" w:right="0"/>
        <w:jc w:val="both"/>
      </w:pPr>
      <w:bookmarkStart w:id="7" w:name="bookmark7"/>
      <w:r>
        <w:rPr>
          <w:color w:val="000000"/>
          <w:spacing w:val="0"/>
          <w:w w:val="100"/>
          <w:position w:val="0"/>
        </w:rPr>
        <w:t>4</w:t>
      </w:r>
      <w:bookmarkEnd w:id="7"/>
      <w:r>
        <w:rPr>
          <w:color w:val="000000"/>
          <w:spacing w:val="0"/>
          <w:w w:val="100"/>
          <w:position w:val="0"/>
        </w:rPr>
        <w:t>、</w:t>
        <w:tab/>
        <w:t>应收账款无法按期收回风险。</w:t>
      </w:r>
    </w:p>
    <w:p>
      <w:pPr>
        <w:pStyle w:val="Style14"/>
        <w:keepNext w:val="0"/>
        <w:keepLines w:val="0"/>
        <w:widowControl w:val="0"/>
        <w:shd w:val="clear" w:color="auto" w:fill="auto"/>
        <w:bidi w:val="0"/>
        <w:spacing w:before="0" w:after="80" w:line="469" w:lineRule="exact"/>
        <w:ind w:left="0" w:right="0"/>
        <w:jc w:val="both"/>
      </w:pPr>
      <w:r>
        <w:rPr>
          <w:color w:val="000000"/>
          <w:spacing w:val="0"/>
          <w:w w:val="100"/>
          <w:position w:val="0"/>
        </w:rPr>
        <w:t>随着公司承接和实施项目的增加，公司应收账款余额可能保持较大规模并逐步增加，如 果宏观经济环境、行业投资政策、客户经营状况发生变化或公司收款不力，出现较大应收账 款不能收回或延期收回的情况，将增加公司资金压力，并对公司财务状况和生产经营产生不 利影响。</w:t>
      </w:r>
    </w:p>
    <w:p>
      <w:pPr>
        <w:pStyle w:val="Style14"/>
        <w:keepNext w:val="0"/>
        <w:keepLines w:val="0"/>
        <w:widowControl w:val="0"/>
        <w:shd w:val="clear" w:color="auto" w:fill="auto"/>
        <w:bidi w:val="0"/>
        <w:spacing w:before="0" w:after="80" w:line="466" w:lineRule="exact"/>
        <w:ind w:left="0" w:right="0"/>
        <w:jc w:val="both"/>
      </w:pPr>
      <w:r>
        <w:rPr>
          <w:color w:val="000000"/>
          <w:spacing w:val="0"/>
          <w:w w:val="100"/>
          <w:position w:val="0"/>
        </w:rPr>
        <w:t>应对措施：对外加强与客户沟通，定期核对账目；对内不断加强应收账款的管理，建立 应收账款管理制度，将销售款项的回收纳入绩效考核，加强应收账款催收工作。</w:t>
      </w:r>
    </w:p>
    <w:p>
      <w:pPr>
        <w:pStyle w:val="Style14"/>
        <w:keepNext w:val="0"/>
        <w:keepLines w:val="0"/>
        <w:widowControl w:val="0"/>
        <w:shd w:val="clear" w:color="auto" w:fill="auto"/>
        <w:bidi w:val="0"/>
        <w:spacing w:before="0" w:line="468" w:lineRule="exact"/>
        <w:ind w:left="0" w:right="0"/>
        <w:jc w:val="both"/>
      </w:pPr>
      <w:bookmarkStart w:id="8" w:name="bookmark8"/>
      <w:r>
        <w:rPr>
          <w:color w:val="000000"/>
          <w:spacing w:val="0"/>
          <w:w w:val="100"/>
          <w:position w:val="0"/>
        </w:rPr>
        <w:t>5</w:t>
      </w:r>
      <w:bookmarkEnd w:id="8"/>
      <w:r>
        <w:rPr>
          <w:color w:val="000000"/>
          <w:spacing w:val="0"/>
          <w:w w:val="100"/>
          <w:position w:val="0"/>
        </w:rPr>
        <w:t>、应急响应能力与经营风险。</w:t>
      </w:r>
    </w:p>
    <w:p>
      <w:pPr>
        <w:pStyle w:val="Style14"/>
        <w:keepNext w:val="0"/>
        <w:keepLines w:val="0"/>
        <w:widowControl w:val="0"/>
        <w:shd w:val="clear" w:color="auto" w:fill="auto"/>
        <w:bidi w:val="0"/>
        <w:spacing w:before="0" w:line="468" w:lineRule="exact"/>
        <w:ind w:left="0" w:right="0"/>
        <w:jc w:val="both"/>
      </w:pPr>
      <w:r>
        <w:rPr>
          <w:color w:val="000000"/>
          <w:spacing w:val="0"/>
          <w:w w:val="100"/>
          <w:position w:val="0"/>
        </w:rPr>
        <w:t>新冠肺炎疫情，从发生到全球蔓延，至现在全球到达到新的防疫状态。国内疫情防控已 取得重大战略成果，但新的变异毒株的出现，再次挑战各国的疫情防控政策，国内多次出现 局部多点散发病例，使得整个经济环境处于常态化防疫，和保持动态清零的持续压力之下， 公司的订单项目及供应链涉及的合作伙伴遍及全国各地，如何持续做好业务连续性风险防控、 全面落实应急管控举措、保障员工健康安全、确保生产经营各环节平稳有序开展，在相当长 时间内是需要重点关注和应对的风险。</w:t>
      </w:r>
    </w:p>
    <w:p>
      <w:pPr>
        <w:pStyle w:val="Style14"/>
        <w:keepNext w:val="0"/>
        <w:keepLines w:val="0"/>
        <w:widowControl w:val="0"/>
        <w:shd w:val="clear" w:color="auto" w:fill="auto"/>
        <w:bidi w:val="0"/>
        <w:spacing w:before="0" w:line="467" w:lineRule="exact"/>
        <w:ind w:left="0" w:right="0"/>
        <w:jc w:val="both"/>
      </w:pPr>
      <w:r>
        <w:rPr>
          <w:color w:val="000000"/>
          <w:spacing w:val="0"/>
          <w:w w:val="100"/>
          <w:position w:val="0"/>
        </w:rPr>
        <w:t>应对措施：实时关注国内外疫情发展态势，及时掌握全国各地尤其是公司项目实施所在 地的疫情防控政策，加强供应链合作单位的信息沟通，和项目物资的预投准备，随时调整完 善公司疫情应急管理举措，确保在全员健康安全的前提下，生产经营和现场交付各环节平稳 有序进彳丁。</w:t>
      </w:r>
    </w:p>
    <w:p>
      <w:pPr>
        <w:pStyle w:val="Style14"/>
        <w:keepNext w:val="0"/>
        <w:keepLines w:val="0"/>
        <w:widowControl w:val="0"/>
        <w:shd w:val="clear" w:color="auto" w:fill="auto"/>
        <w:bidi w:val="0"/>
        <w:spacing w:before="0" w:line="468" w:lineRule="exact"/>
        <w:ind w:left="0" w:right="0"/>
        <w:jc w:val="both"/>
        <w:sectPr>
          <w:footnotePr>
            <w:pos w:val="pageBottom"/>
            <w:numFmt w:val="decimal"/>
            <w:numRestart w:val="continuous"/>
          </w:footnotePr>
          <w:pgSz w:w="11900" w:h="16840"/>
          <w:pgMar w:top="1321" w:right="1013" w:bottom="1566" w:left="1091"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1016" w:val="left"/>
          <w:tab w:leader="dot" w:pos="9607"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1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pos="1016" w:val="left"/>
          <w:tab w:leader="dot" w:pos="9607" w:val="right"/>
        </w:tabs>
        <w:bidi w:val="0"/>
        <w:spacing w:before="0" w:line="240" w:lineRule="auto"/>
        <w:ind w:left="0" w:right="0" w:firstLine="0"/>
        <w:jc w:val="left"/>
      </w:pPr>
      <w:hyperlink w:anchor="bookmark61"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270"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8"/>
        <w:keepNext w:val="0"/>
        <w:keepLines w:val="0"/>
        <w:widowControl w:val="0"/>
        <w:shd w:val="clear" w:color="auto" w:fill="auto"/>
        <w:tabs>
          <w:tab w:pos="1016" w:val="left"/>
          <w:tab w:leader="dot" w:pos="9607" w:val="right"/>
        </w:tabs>
        <w:bidi w:val="0"/>
        <w:spacing w:before="0" w:line="240" w:lineRule="auto"/>
        <w:ind w:left="0" w:right="0" w:firstLine="0"/>
        <w:jc w:val="left"/>
      </w:pPr>
      <w:hyperlink w:anchor="bookmark438"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458"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8"/>
        <w:keepNext w:val="0"/>
        <w:keepLines w:val="0"/>
        <w:widowControl w:val="0"/>
        <w:shd w:val="clear" w:color="auto" w:fill="auto"/>
        <w:tabs>
          <w:tab w:pos="1016" w:val="left"/>
          <w:tab w:leader="dot" w:pos="9607" w:val="right"/>
        </w:tabs>
        <w:bidi w:val="0"/>
        <w:spacing w:before="0" w:line="240" w:lineRule="auto"/>
        <w:ind w:left="0" w:right="0" w:firstLine="0"/>
        <w:jc w:val="left"/>
      </w:pPr>
      <w:hyperlink w:anchor="bookmark611"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8"/>
        <w:keepNext w:val="0"/>
        <w:keepLines w:val="0"/>
        <w:widowControl w:val="0"/>
        <w:shd w:val="clear" w:color="auto" w:fill="auto"/>
        <w:tabs>
          <w:tab w:pos="1016" w:val="left"/>
          <w:tab w:leader="dot" w:pos="9607" w:val="right"/>
        </w:tabs>
        <w:bidi w:val="0"/>
        <w:spacing w:before="0" w:line="240" w:lineRule="auto"/>
        <w:ind w:left="0" w:right="0" w:firstLine="0"/>
        <w:jc w:val="left"/>
      </w:pPr>
      <w:hyperlink w:anchor="bookmark683"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8"/>
        <w:keepNext w:val="0"/>
        <w:keepLines w:val="0"/>
        <w:widowControl w:val="0"/>
        <w:shd w:val="clear" w:color="auto" w:fill="auto"/>
        <w:tabs>
          <w:tab w:leader="dot" w:pos="9607" w:val="right"/>
        </w:tabs>
        <w:bidi w:val="0"/>
        <w:spacing w:before="0" w:line="240" w:lineRule="auto"/>
        <w:ind w:left="0" w:right="0" w:firstLine="0"/>
        <w:jc w:val="left"/>
      </w:pPr>
      <w:hyperlink w:anchor="bookmark687"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8"/>
        <w:keepNext w:val="0"/>
        <w:keepLines w:val="0"/>
        <w:widowControl w:val="0"/>
        <w:shd w:val="clear" w:color="auto" w:fill="auto"/>
        <w:tabs>
          <w:tab w:pos="1016" w:val="left"/>
          <w:tab w:leader="dot" w:pos="9607" w:val="right"/>
        </w:tabs>
        <w:bidi w:val="0"/>
        <w:spacing w:before="0" w:line="240" w:lineRule="auto"/>
        <w:ind w:left="0" w:right="0" w:firstLine="0"/>
        <w:jc w:val="left"/>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691"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74</w:t>
        </w:r>
      </w:hyperlink>
      <w:r>
        <w:fldChar w:fldCharType="end"/>
      </w:r>
    </w:p>
    <w:p>
      <w:pPr>
        <w:pStyle w:val="Style4"/>
        <w:keepNext w:val="0"/>
        <w:keepLines w:val="0"/>
        <w:widowControl w:val="0"/>
        <w:shd w:val="clear" w:color="auto" w:fill="auto"/>
        <w:bidi w:val="0"/>
        <w:spacing w:before="640" w:after="920" w:line="240" w:lineRule="auto"/>
        <w:ind w:left="0" w:right="0" w:firstLine="0"/>
        <w:jc w:val="center"/>
      </w:pPr>
      <w:r>
        <w:rPr>
          <w:color w:val="000000"/>
          <w:spacing w:val="0"/>
          <w:w w:val="100"/>
          <w:position w:val="0"/>
        </w:rPr>
        <w:t>备查文件目录</w:t>
      </w:r>
    </w:p>
    <w:p>
      <w:pPr>
        <w:pStyle w:val="Style14"/>
        <w:keepNext w:val="0"/>
        <w:keepLines w:val="0"/>
        <w:widowControl w:val="0"/>
        <w:shd w:val="clear" w:color="auto" w:fill="auto"/>
        <w:tabs>
          <w:tab w:pos="512" w:val="left"/>
        </w:tabs>
        <w:bidi w:val="0"/>
        <w:spacing w:before="0" w:after="240" w:line="240" w:lineRule="auto"/>
        <w:ind w:left="0" w:right="0" w:firstLine="0"/>
        <w:jc w:val="left"/>
      </w:pPr>
      <w:bookmarkStart w:id="9" w:name="bookmark9"/>
      <w:r>
        <w:rPr>
          <w:color w:val="000000"/>
          <w:spacing w:val="0"/>
          <w:w w:val="100"/>
          <w:position w:val="0"/>
        </w:rPr>
        <w:t>一</w:t>
      </w:r>
      <w:bookmarkEnd w:id="9"/>
      <w:r>
        <w:rPr>
          <w:color w:val="000000"/>
          <w:spacing w:val="0"/>
          <w:w w:val="100"/>
          <w:position w:val="0"/>
        </w:rPr>
        <w:t>、</w:t>
        <w:tab/>
        <w:t>载有公司法定负责人、主管会计工作负责人、会计机构负责人签名并盖章的财务报表。</w:t>
      </w:r>
    </w:p>
    <w:p>
      <w:pPr>
        <w:pStyle w:val="Style14"/>
        <w:keepNext w:val="0"/>
        <w:keepLines w:val="0"/>
        <w:widowControl w:val="0"/>
        <w:shd w:val="clear" w:color="auto" w:fill="auto"/>
        <w:tabs>
          <w:tab w:pos="512" w:val="left"/>
        </w:tabs>
        <w:bidi w:val="0"/>
        <w:spacing w:before="0" w:after="240" w:line="240" w:lineRule="auto"/>
        <w:ind w:left="0" w:right="0" w:firstLine="0"/>
        <w:jc w:val="left"/>
      </w:pPr>
      <w:bookmarkStart w:id="10" w:name="bookmark10"/>
      <w:r>
        <w:rPr>
          <w:color w:val="000000"/>
          <w:spacing w:val="0"/>
          <w:w w:val="100"/>
          <w:position w:val="0"/>
        </w:rPr>
        <w:t>二</w:t>
      </w:r>
      <w:bookmarkEnd w:id="10"/>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512" w:val="left"/>
        </w:tabs>
        <w:bidi w:val="0"/>
        <w:spacing w:before="0" w:after="240" w:line="240" w:lineRule="auto"/>
        <w:ind w:left="0" w:right="0" w:firstLine="0"/>
        <w:jc w:val="left"/>
      </w:pPr>
      <w:bookmarkStart w:id="11" w:name="bookmark11"/>
      <w:r>
        <w:rPr>
          <w:color w:val="000000"/>
          <w:spacing w:val="0"/>
          <w:w w:val="100"/>
          <w:position w:val="0"/>
        </w:rPr>
        <w:t>三</w:t>
      </w:r>
      <w:bookmarkEnd w:id="11"/>
      <w:r>
        <w:rPr>
          <w:color w:val="000000"/>
          <w:spacing w:val="0"/>
          <w:w w:val="100"/>
          <w:position w:val="0"/>
        </w:rPr>
        <w:t>、</w:t>
        <w:tab/>
        <w:t>报告期内公开披露过的所有公司文件的正本及公告的原稿。</w:t>
      </w:r>
    </w:p>
    <w:p>
      <w:pPr>
        <w:pStyle w:val="Style14"/>
        <w:keepNext w:val="0"/>
        <w:keepLines w:val="0"/>
        <w:widowControl w:val="0"/>
        <w:shd w:val="clear" w:color="auto" w:fill="auto"/>
        <w:tabs>
          <w:tab w:pos="512" w:val="left"/>
        </w:tabs>
        <w:bidi w:val="0"/>
        <w:spacing w:before="0" w:after="240" w:line="240" w:lineRule="auto"/>
        <w:ind w:left="0" w:right="0" w:firstLine="0"/>
        <w:jc w:val="left"/>
      </w:pPr>
      <w:bookmarkStart w:id="12" w:name="bookmark12"/>
      <w:r>
        <w:rPr>
          <w:color w:val="000000"/>
          <w:spacing w:val="0"/>
          <w:w w:val="100"/>
          <w:position w:val="0"/>
        </w:rPr>
        <w:t>四</w:t>
      </w:r>
      <w:bookmarkEnd w:id="12"/>
      <w:r>
        <w:rPr>
          <w:color w:val="000000"/>
          <w:spacing w:val="0"/>
          <w:w w:val="100"/>
          <w:position w:val="0"/>
        </w:rPr>
        <w:t>、</w:t>
        <w:tab/>
        <w:t>以上备查文件的备置地点：证券办公室。</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公司、辉煌科技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河南辉煌软件有限公司，公司全资子公司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北京全路信通技术有限公司，公司全资子公司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国铁路阳</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辉煌信通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河南辉煌信通软件有限公司，公司全资子公司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洛阳辉煌城轨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洛阳辉煌城轨科技有限公司，公司全资子公司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成都驱动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成都新一驱动技术有限责任公司，公司控股子公司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飞天联合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飞天联合（北京）系统技术有限公司，公司参股子公司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赛弗科技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北京赛弗网络科技有限责任公司，公司参股子公司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七彩通达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北京七彩通达传媒股份有限公司，公司参股子公司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北京智慧图科技有限责任公司，公司参股子公司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世纪空联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世纪空联（北京）航空电子科技有限公司，公司参股子公司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股东会、董事会、监事会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国铁集团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中国国家铁路集团有限公司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CRCC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中铁检验认证中心有限公司，经国家认证认可监督管理委员会批准成 立，是实施铁路产品和城市轨道交通装备认证、管理体系认证及产品 检验检测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校准等技术服务的独立第三方机构。</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城市轨道交通</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4"/>
        <w:keepNext/>
        <w:keepLines/>
        <w:widowControl w:val="0"/>
        <w:shd w:val="clear" w:color="auto" w:fill="auto"/>
        <w:bidi w:val="0"/>
        <w:spacing w:before="0" w:after="320" w:line="240" w:lineRule="auto"/>
        <w:ind w:left="0" w:right="0" w:firstLine="240"/>
        <w:jc w:val="left"/>
      </w:pPr>
      <w:bookmarkStart w:id="16" w:name="bookmark16"/>
      <w:bookmarkStart w:id="17" w:name="bookmark17"/>
      <w:bookmarkStart w:id="18" w:name="bookmark18"/>
      <w:bookmarkStart w:id="19" w:name="bookmark19"/>
      <w:r>
        <w:rPr>
          <w:color w:val="000000"/>
          <w:spacing w:val="0"/>
          <w:w w:val="100"/>
          <w:position w:val="0"/>
        </w:rPr>
        <w:t>、公司信息</w:t>
      </w:r>
      <w:bookmarkEnd w:id="17"/>
      <w:bookmarkEnd w:id="18"/>
      <w:bookmarkEnd w:id="19"/>
      <w:bookmarkEnd w:id="16"/>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38"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辉煌科技</w:t>
              <w:tab/>
              <w:t>股票代码</w:t>
              <w:tab/>
            </w:r>
            <w:r>
              <w:rPr>
                <w:rFonts w:ascii="Times New Roman" w:eastAsia="Times New Roman" w:hAnsi="Times New Roman" w:cs="Times New Roman"/>
                <w:color w:val="000000"/>
                <w:spacing w:val="0"/>
                <w:w w:val="100"/>
                <w:position w:val="0"/>
                <w:sz w:val="18"/>
                <w:szCs w:val="18"/>
              </w:rPr>
              <w:t>002296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辉煌科技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HeNan Splendor Science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Technology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HHKJ</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郑州高新技术产业开发区科学大道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月，公司注册地址由郑州市高新技术产业开发区科学大道</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号变更为郑州高新技 术产业开发区科学大道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郑州市高新技术产业开发区科学大道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"http://www.hhkj.cn" </w:instrText>
            </w:r>
            <w:r>
              <w:fldChar w:fldCharType="separate"/>
            </w:r>
            <w:r>
              <w:rPr>
                <w:rFonts w:ascii="Times New Roman" w:eastAsia="Times New Roman" w:hAnsi="Times New Roman" w:cs="Times New Roman"/>
                <w:color w:val="000000"/>
                <w:spacing w:val="0"/>
                <w:w w:val="100"/>
                <w:position w:val="0"/>
                <w:sz w:val="18"/>
                <w:szCs w:val="18"/>
              </w:rPr>
              <w:t>http://www.hhkj.cn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"mailto:zqb@hhkj.cn" </w:instrText>
            </w:r>
            <w:r>
              <w:fldChar w:fldCharType="separate"/>
            </w:r>
            <w:r>
              <w:rPr>
                <w:rFonts w:ascii="Times New Roman" w:eastAsia="Times New Roman" w:hAnsi="Times New Roman" w:cs="Times New Roman"/>
                <w:color w:val="000000"/>
                <w:spacing w:val="0"/>
                <w:w w:val="100"/>
                <w:position w:val="0"/>
                <w:sz w:val="18"/>
                <w:szCs w:val="18"/>
              </w:rPr>
              <w:t>zqb@hhkj.cn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杜旭升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郭志敏</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郑州市高新技术产业开发区科学大道</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郑州市高新技术产业开发区科学大道</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0371-67371035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0371-67371035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0371-67388201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0371-67388201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duxusheng@hhkj. 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guozhimin@hhkj.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color w:val="000000"/>
                <w:spacing w:val="0"/>
                <w:w w:val="100"/>
                <w:position w:val="0"/>
              </w:rPr>
              <w:t>(</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《证券时报》《中国证券报》《上海证券报》、巨潮资讯网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98"/>
        <w:gridCol w:w="558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公司证券事务办公室</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、注册变更情况</w:t>
      </w:r>
      <w:bookmarkEnd w:id="28"/>
      <w:bookmarkEnd w:id="29"/>
      <w:bookmarkEnd w:id="31"/>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914101007324826746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、其他有关资料</w:t>
      </w:r>
      <w:bookmarkEnd w:id="32"/>
      <w:bookmarkEnd w:id="33"/>
      <w:bookmarkEnd w:id="3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朱红辉、黄志刚</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申万宏源证券承销保荐有限 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上海市徐汇区长乐路</w:t>
            </w:r>
            <w:r>
              <w:rPr>
                <w:rFonts w:ascii="Times New Roman" w:eastAsia="Times New Roman" w:hAnsi="Times New Roman" w:cs="Times New Roman"/>
                <w:color w:val="000000"/>
                <w:spacing w:val="0"/>
                <w:w w:val="100"/>
                <w:position w:val="0"/>
                <w:sz w:val="18"/>
                <w:szCs w:val="18"/>
              </w:rPr>
              <w:t>989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纪平、叶强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非公开发行募集资金使用完 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、主要会计数据和财务指标</w:t>
      </w:r>
      <w:bookmarkEnd w:id="36"/>
      <w:bookmarkEnd w:id="37"/>
      <w:bookmarkEnd w:id="3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737,168,052.65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637,661,580.01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504,408,910.17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120,126,827.51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85,256,848.08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67,034,018.98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116,882,304.55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79,682,322.22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67,724,411.54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260,561,895.95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147,561,367.83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230,703,862.97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0.1780</w:t>
            </w:r>
          </w:p>
        </w:tc>
      </w:tr>
    </w:tbl>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2,283,988,682.50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2,168,359,727.18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1,867,276,002.10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1,622,042,787.93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1,612,328,027.11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1,525,653,331.96</w:t>
            </w:r>
          </w:p>
        </w:tc>
      </w:tr>
    </w:tbl>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w:t>
        <w:tab/>
        <w:t>境内外会计准则下会计数据差异</w:t>
      </w:r>
      <w:bookmarkEnd w:id="40"/>
      <w:bookmarkEnd w:id="41"/>
      <w:bookmarkEnd w:id="43"/>
    </w:p>
    <w:p>
      <w:pPr>
        <w:pStyle w:val="Style33"/>
        <w:keepNext/>
        <w:keepLines/>
        <w:widowControl w:val="0"/>
        <w:shd w:val="clear" w:color="auto" w:fill="auto"/>
        <w:tabs>
          <w:tab w:pos="395"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95" w:val="left"/>
        </w:tabs>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分季度主要财务指标</w:t>
      </w:r>
      <w:bookmarkEnd w:id="52"/>
      <w:bookmarkEnd w:id="53"/>
      <w:bookmarkEnd w:id="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109,492,234.30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199,558,179.01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147,672,446.52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280,445,192.82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28,264,963.42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49,377,233.17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19,985,540.61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22,499,090.31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25,564,765.69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47,769,143.25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23,557,378.86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19,991,016.74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69,492,541.26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-15,195,108.16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92,537,092.00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113,727,370.85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九</w:t>
      </w:r>
      <w:bookmarkEnd w:id="58"/>
      <w:r>
        <w:rPr>
          <w:color w:val="000000"/>
          <w:spacing w:val="0"/>
          <w:w w:val="100"/>
          <w:position w:val="0"/>
        </w:rPr>
        <w:t>、非经常性损益项目及金额</w:t>
      </w:r>
      <w:bookmarkEnd w:id="56"/>
      <w:bookmarkEnd w:id="57"/>
      <w:bookmarkEnd w:id="5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10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-19,787,425.62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655,856.85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-110,642.86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详见合并财务报表项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目注释</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7,500,635.19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3,210,150.07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14,804,202.07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详见合并财务报表项 目注释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4,791,716.54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2,653,428.78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3,978,123.92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-19,813,164.79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详见合并财务报表项 目注释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14,161,420.86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-1,027,036.75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-275,399.09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1,260,809.98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839,033.80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144,834.31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3,244,522.96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5,574,525.86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-690,392.56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22" w:lineRule="exact"/>
        <w:ind w:left="0" w:right="0" w:firstLine="0"/>
        <w:jc w:val="left"/>
        <w:sectPr>
          <w:footnotePr>
            <w:pos w:val="pageBottom"/>
            <w:numFmt w:val="decimal"/>
            <w:numRestart w:val="continuous"/>
          </w:footnotePr>
          <w:pgSz w:w="11900" w:h="16840"/>
          <w:pgMar w:top="1441" w:right="1131" w:bottom="1647" w:left="107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12"/>
        <w:keepNext/>
        <w:keepLines/>
        <w:widowControl w:val="0"/>
        <w:shd w:val="clear" w:color="auto" w:fill="auto"/>
        <w:bidi w:val="0"/>
        <w:spacing w:line="240" w:lineRule="auto"/>
        <w:ind w:left="0" w:right="0" w:firstLine="0"/>
        <w:jc w:val="center"/>
      </w:pPr>
      <w:bookmarkStart w:id="60" w:name="bookmark60"/>
      <w:bookmarkStart w:id="61" w:name="bookmark61"/>
      <w:bookmarkStart w:id="62" w:name="bookmark62"/>
      <w:r>
        <w:rPr>
          <w:color w:val="000000"/>
          <w:spacing w:val="0"/>
          <w:w w:val="100"/>
          <w:position w:val="0"/>
        </w:rPr>
        <w:t>第三节管理层讨论与分析</w:t>
      </w:r>
      <w:bookmarkEnd w:id="60"/>
      <w:bookmarkEnd w:id="61"/>
      <w:bookmarkEnd w:id="62"/>
    </w:p>
    <w:p>
      <w:pPr>
        <w:pStyle w:val="Style24"/>
        <w:keepNext/>
        <w:keepLines/>
        <w:widowControl w:val="0"/>
        <w:shd w:val="clear" w:color="auto" w:fill="auto"/>
        <w:bidi w:val="0"/>
        <w:spacing w:before="0" w:after="280" w:line="240" w:lineRule="auto"/>
        <w:ind w:left="0" w:right="0" w:firstLine="0"/>
        <w:jc w:val="both"/>
      </w:pPr>
      <w:bookmarkStart w:id="63" w:name="bookmark63"/>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、报告期内公司所处的行业情况</w:t>
      </w:r>
      <w:bookmarkEnd w:id="64"/>
      <w:bookmarkEnd w:id="65"/>
      <w:bookmarkEnd w:id="67"/>
      <w:bookmarkEnd w:id="63"/>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年，公司所处的铁路和城市轨道交通行业的投资基本保持稳定，其中投产新线略有放缓。</w:t>
      </w:r>
    </w:p>
    <w:p>
      <w:pPr>
        <w:pStyle w:val="Style2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年度全国铁路固定资产投资完成</w:t>
      </w:r>
      <w:r>
        <w:rPr>
          <w:rFonts w:ascii="Times New Roman" w:eastAsia="Times New Roman" w:hAnsi="Times New Roman" w:cs="Times New Roman"/>
          <w:color w:val="000000"/>
          <w:spacing w:val="0"/>
          <w:w w:val="100"/>
          <w:position w:val="0"/>
          <w:sz w:val="18"/>
          <w:szCs w:val="18"/>
        </w:rPr>
        <w:t>7489</w:t>
      </w:r>
      <w:r>
        <w:rPr>
          <w:color w:val="000000"/>
          <w:spacing w:val="0"/>
          <w:w w:val="100"/>
          <w:position w:val="0"/>
        </w:rPr>
        <w:t>亿元，投产新线</w:t>
      </w:r>
      <w:r>
        <w:rPr>
          <w:rFonts w:ascii="Times New Roman" w:eastAsia="Times New Roman" w:hAnsi="Times New Roman" w:cs="Times New Roman"/>
          <w:color w:val="000000"/>
          <w:spacing w:val="0"/>
          <w:w w:val="100"/>
          <w:position w:val="0"/>
          <w:sz w:val="18"/>
          <w:szCs w:val="18"/>
        </w:rPr>
        <w:t>4208</w:t>
      </w:r>
      <w:r>
        <w:rPr>
          <w:color w:val="000000"/>
          <w:spacing w:val="0"/>
          <w:w w:val="100"/>
          <w:position w:val="0"/>
        </w:rPr>
        <w:t>公里，其中高铁</w:t>
      </w:r>
      <w:r>
        <w:rPr>
          <w:rFonts w:ascii="Times New Roman" w:eastAsia="Times New Roman" w:hAnsi="Times New Roman" w:cs="Times New Roman"/>
          <w:color w:val="000000"/>
          <w:spacing w:val="0"/>
          <w:w w:val="100"/>
          <w:position w:val="0"/>
          <w:sz w:val="18"/>
          <w:szCs w:val="18"/>
        </w:rPr>
        <w:t>2168</w:t>
      </w:r>
      <w:r>
        <w:rPr>
          <w:color w:val="000000"/>
          <w:spacing w:val="0"/>
          <w:w w:val="100"/>
          <w:position w:val="0"/>
        </w:rPr>
        <w:t>公里，全国铁路营业里程突破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 公里，其中高铁超过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万公里。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年，中国铁路设定新目标：国家铁路完成旅客发送量</w:t>
      </w:r>
      <w:r>
        <w:rPr>
          <w:rFonts w:ascii="Times New Roman" w:eastAsia="Times New Roman" w:hAnsi="Times New Roman" w:cs="Times New Roman"/>
          <w:color w:val="000000"/>
          <w:spacing w:val="0"/>
          <w:w w:val="100"/>
          <w:position w:val="0"/>
          <w:sz w:val="18"/>
          <w:szCs w:val="18"/>
        </w:rPr>
        <w:t>30.38</w:t>
      </w:r>
      <w:r>
        <w:rPr>
          <w:color w:val="000000"/>
          <w:spacing w:val="0"/>
          <w:w w:val="100"/>
          <w:position w:val="0"/>
        </w:rPr>
        <w:t>亿人次，同比增长</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，货物 发送量</w:t>
      </w:r>
      <w:r>
        <w:rPr>
          <w:rFonts w:ascii="Times New Roman" w:eastAsia="Times New Roman" w:hAnsi="Times New Roman" w:cs="Times New Roman"/>
          <w:color w:val="000000"/>
          <w:spacing w:val="0"/>
          <w:w w:val="100"/>
          <w:position w:val="0"/>
          <w:sz w:val="18"/>
          <w:szCs w:val="18"/>
        </w:rPr>
        <w:t>38.04</w:t>
      </w:r>
      <w:r>
        <w:rPr>
          <w:color w:val="000000"/>
          <w:spacing w:val="0"/>
          <w:w w:val="100"/>
          <w:position w:val="0"/>
        </w:rPr>
        <w:t>亿吨，同比增长</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；全面完成国家铁路投资任务，高质量推进川藏铁路等国家重点工程，投产新线</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公里 以上（其中普速铁路</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公里左右）。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年度未明确具体的全路固定资产投资目标，但根据国铁集团近期公布的年度开工 项目及新线开通计划信息，</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年全国铁路固定资产投资仍将处于高位规模。</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根据中国城市轨道交通协会统计，截至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日，中国内地累计有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个城市投运城轨交通线路</w:t>
      </w:r>
      <w:r>
        <w:rPr>
          <w:rFonts w:ascii="Times New Roman" w:eastAsia="Times New Roman" w:hAnsi="Times New Roman" w:cs="Times New Roman"/>
          <w:color w:val="000000"/>
          <w:spacing w:val="0"/>
          <w:w w:val="100"/>
          <w:position w:val="0"/>
          <w:sz w:val="18"/>
          <w:szCs w:val="18"/>
        </w:rPr>
        <w:t>9192.62</w:t>
      </w:r>
      <w:r>
        <w:rPr>
          <w:color w:val="000000"/>
          <w:spacing w:val="0"/>
          <w:w w:val="100"/>
          <w:position w:val="0"/>
        </w:rPr>
        <w:t>公里。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年当年新增洛阳、嘉兴、绍兴、文山州、芜湖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个城轨交通运营城市，当年共计新增城轨交通运营线路长度</w:t>
      </w:r>
      <w:r>
        <w:rPr>
          <w:rFonts w:ascii="Times New Roman" w:eastAsia="Times New Roman" w:hAnsi="Times New Roman" w:cs="Times New Roman"/>
          <w:color w:val="000000"/>
          <w:spacing w:val="0"/>
          <w:w w:val="100"/>
          <w:position w:val="0"/>
          <w:sz w:val="18"/>
          <w:szCs w:val="18"/>
        </w:rPr>
        <w:t>1222.92</w:t>
      </w:r>
      <w:r>
        <w:rPr>
          <w:color w:val="000000"/>
          <w:spacing w:val="0"/>
          <w:w w:val="100"/>
          <w:position w:val="0"/>
        </w:rPr>
        <w:t>公里；</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个城市有新轨道交通线路（段）投运，新增运营线路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条，新开既有线路的延伸段、后通段</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段。</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轨道交通运营维护一体化解决方案及高端装备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的主营业务，持续提升研发创新能力，通过逐步 扩大市场领域，培育新产品市场，优化管理体系，健全各业务板块目标管控等举措，打造高端制造系统平台，提升轨道交通 智能运维解决方案及综合服务能力，保持公司持续稳健发展。</w:t>
      </w:r>
    </w:p>
    <w:p>
      <w:pPr>
        <w:pStyle w:val="Style29"/>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年，新冠肺炎疫情在取得重大战略成果的局面下，依然多次出现局部多点散发疫情；公司总部所在地于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月份遭遇 重大</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汛情。公司在严格防疫抗汛的同时，围绕公司战略，主要开展了以下工作：</w:t>
      </w:r>
    </w:p>
    <w:p>
      <w:pPr>
        <w:pStyle w:val="Style29"/>
        <w:keepNext w:val="0"/>
        <w:keepLines w:val="0"/>
        <w:widowControl w:val="0"/>
        <w:shd w:val="clear" w:color="auto" w:fill="auto"/>
        <w:tabs>
          <w:tab w:pos="758" w:val="left"/>
        </w:tabs>
        <w:bidi w:val="0"/>
        <w:spacing w:before="0" w:after="0" w:line="313" w:lineRule="exact"/>
        <w:ind w:left="0" w:right="0" w:firstLine="44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w:t>
        <w:tab/>
        <w:t>坚持常态化防疫，加强突发应急处理和全面安全管理建设，为公司正常生产经营保驾护航。</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报告期内，严格遵守国家、省市及公司的各项防疫政策和措施，采取各种疫情防控措施，坚持常态化防疫，加强突发 应急处理和全面安全管理建设，持续优化调整各项业务流程细节，保障了生产经营和现场交付各环节平稳有序进行。</w:t>
      </w:r>
    </w:p>
    <w:p>
      <w:pPr>
        <w:pStyle w:val="Style29"/>
        <w:keepNext w:val="0"/>
        <w:keepLines w:val="0"/>
        <w:widowControl w:val="0"/>
        <w:shd w:val="clear" w:color="auto" w:fill="auto"/>
        <w:tabs>
          <w:tab w:pos="777" w:val="left"/>
        </w:tabs>
        <w:bidi w:val="0"/>
        <w:spacing w:before="0" w:after="0" w:line="313" w:lineRule="exact"/>
        <w:ind w:left="0" w:right="0" w:firstLine="440"/>
        <w:jc w:val="both"/>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紧抓轨道交通行业发展机遇，持续加大市场推广与宣传，寻求新突破。</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积极与各业主、设计咨询单位举办现场或视频技术交流会议，推介公司成熟产品及新技术新方案，完成省内外多地区 合作洽谈，持续开拓省外城轨市场。充分利用外围资源，强化与国内外领先企业、系统总包商的合作，推动合作共赢。</w:t>
      </w:r>
    </w:p>
    <w:p>
      <w:pPr>
        <w:pStyle w:val="Style29"/>
        <w:keepNext w:val="0"/>
        <w:keepLines w:val="0"/>
        <w:widowControl w:val="0"/>
        <w:shd w:val="clear" w:color="auto" w:fill="auto"/>
        <w:tabs>
          <w:tab w:pos="777" w:val="left"/>
        </w:tabs>
        <w:bidi w:val="0"/>
        <w:spacing w:before="0" w:after="0" w:line="313" w:lineRule="exact"/>
        <w:ind w:left="0" w:right="0" w:firstLine="440"/>
        <w:jc w:val="both"/>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w:t>
        <w:tab/>
        <w:t>持续加大研发投入，增强核心竞争力，丰富产品结构。</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继续围绕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电务设备维护大监测生态平台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深入拓展研发工作。对既有在售产品的智能化、移动化升级研发方面持续加 大投入，增强成熟产品核心竞争力。</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继续加大智慧城轨系列产品的研发投入，实现城轨安防集成平台与综合监控系统的现场集成验证，全面推进城轨领域 智能调度、智能运维、智慧车站、智慧能源的研发工作，稳步落实公司产品在城轨领域的技术引领目标，同时为客户带来更 大的效益和价值。</w:t>
      </w:r>
    </w:p>
    <w:p>
      <w:pPr>
        <w:pStyle w:val="Style29"/>
        <w:keepNext w:val="0"/>
        <w:keepLines w:val="0"/>
        <w:widowControl w:val="0"/>
        <w:shd w:val="clear" w:color="auto" w:fill="auto"/>
        <w:tabs>
          <w:tab w:pos="777" w:val="left"/>
        </w:tabs>
        <w:bidi w:val="0"/>
        <w:spacing w:before="0" w:after="0" w:line="313" w:lineRule="exact"/>
        <w:ind w:left="0" w:right="0" w:firstLine="440"/>
        <w:jc w:val="both"/>
      </w:pPr>
      <w:bookmarkStart w:id="71" w:name="bookmark71"/>
      <w:r>
        <w:rPr>
          <w:rFonts w:ascii="Times New Roman" w:eastAsia="Times New Roman" w:hAnsi="Times New Roman" w:cs="Times New Roman"/>
          <w:color w:val="000000"/>
          <w:spacing w:val="0"/>
          <w:w w:val="100"/>
          <w:position w:val="0"/>
          <w:sz w:val="18"/>
          <w:szCs w:val="18"/>
        </w:rPr>
        <w:t>4</w:t>
      </w:r>
      <w:bookmarkEnd w:id="71"/>
      <w:r>
        <w:rPr>
          <w:color w:val="000000"/>
          <w:spacing w:val="0"/>
          <w:w w:val="100"/>
          <w:position w:val="0"/>
        </w:rPr>
        <w:t>、</w:t>
        <w:tab/>
        <w:t>积极响应国家双碳战略发展要求，加速新能源领域新市场的拓展工作。</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经过充分调研论证，结合公司人力、技术积累和资金状况，已开始部署智能微电网及储能技术研发中心项目的投资建 设工作，成立了新能源研发中心；围绕新能源及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产业价值链延伸，与哈工大郑州研究院签订战略合作协议；积极参与 国内新能源专业团体标准起草工作，通过各种方式积极推动相关建设工作，争取尽快在新能源领域实现业务突破，形成新的 业务增长平台，使公司进入双主业下的新发展阶段。</w:t>
      </w:r>
    </w:p>
    <w:p>
      <w:pPr>
        <w:pStyle w:val="Style29"/>
        <w:keepNext w:val="0"/>
        <w:keepLines w:val="0"/>
        <w:widowControl w:val="0"/>
        <w:shd w:val="clear" w:color="auto" w:fill="auto"/>
        <w:tabs>
          <w:tab w:pos="777" w:val="left"/>
        </w:tabs>
        <w:bidi w:val="0"/>
        <w:spacing w:before="0" w:after="0" w:line="313" w:lineRule="exact"/>
        <w:ind w:left="0" w:right="0" w:firstLine="440"/>
        <w:jc w:val="both"/>
      </w:pPr>
      <w:bookmarkStart w:id="72" w:name="bookmark72"/>
      <w:r>
        <w:rPr>
          <w:rFonts w:ascii="Times New Roman" w:eastAsia="Times New Roman" w:hAnsi="Times New Roman" w:cs="Times New Roman"/>
          <w:color w:val="000000"/>
          <w:spacing w:val="0"/>
          <w:w w:val="100"/>
          <w:position w:val="0"/>
          <w:sz w:val="18"/>
          <w:szCs w:val="18"/>
        </w:rPr>
        <w:t>5</w:t>
      </w:r>
      <w:bookmarkEnd w:id="72"/>
      <w:r>
        <w:rPr>
          <w:color w:val="000000"/>
          <w:spacing w:val="0"/>
          <w:w w:val="100"/>
          <w:position w:val="0"/>
        </w:rPr>
        <w:t>、</w:t>
        <w:tab/>
        <w:t>启动并实施回购公司股份方案，维护广大投资者利益，有效推动公司的长远健康发展。</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基于对未来发展的信心和对公司价值的认可，为维护广大投资者利益，引导长期理性价值投资，增强投资者信心，结 合公司财务状况、经营情况、估值水平等因素，依法合规启动并逐步实施回购公司部分股份方案计划。</w:t>
      </w:r>
    </w:p>
    <w:p>
      <w:pPr>
        <w:pStyle w:val="Style29"/>
        <w:keepNext w:val="0"/>
        <w:keepLines w:val="0"/>
        <w:widowControl w:val="0"/>
        <w:shd w:val="clear" w:color="auto" w:fill="auto"/>
        <w:tabs>
          <w:tab w:pos="777" w:val="left"/>
        </w:tabs>
        <w:bidi w:val="0"/>
        <w:spacing w:before="0" w:after="0" w:line="313" w:lineRule="exact"/>
        <w:ind w:left="0" w:right="0" w:firstLine="440"/>
        <w:jc w:val="both"/>
      </w:pPr>
      <w:bookmarkStart w:id="73" w:name="bookmark73"/>
      <w:r>
        <w:rPr>
          <w:rFonts w:ascii="Times New Roman" w:eastAsia="Times New Roman" w:hAnsi="Times New Roman" w:cs="Times New Roman"/>
          <w:color w:val="000000"/>
          <w:spacing w:val="0"/>
          <w:w w:val="100"/>
          <w:position w:val="0"/>
          <w:sz w:val="18"/>
          <w:szCs w:val="18"/>
        </w:rPr>
        <w:t>6</w:t>
      </w:r>
      <w:bookmarkEnd w:id="73"/>
      <w:r>
        <w:rPr>
          <w:color w:val="000000"/>
          <w:spacing w:val="0"/>
          <w:w w:val="100"/>
          <w:position w:val="0"/>
        </w:rPr>
        <w:t>、</w:t>
        <w:tab/>
        <w:t>主动承担社会责任，为郑州市抗汛救灾和灾后重建工作做出贡献。</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郑州市遭遇</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极端强降雨，部分区域受灾严重。公司身处灾区，在积极抢险自救的同时，主动承担社会责任，及时 向郑州高新区慈善总会捐赠人民币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 xml:space="preserve">万元，并筹措抗汛救灾急需物资帮扶受灾严重区域。同时在第一时间向郑州地铁集团 </w:t>
      </w:r>
      <w:r>
        <w:rPr>
          <w:color w:val="000000"/>
          <w:spacing w:val="0"/>
          <w:w w:val="100"/>
          <w:position w:val="0"/>
        </w:rPr>
        <w:t>公司派驻技术骨干人员并准备相关应急物资设备，为郑州地铁灾后及时恢复开通做好人员、设备和技术保障。为郑州市抗汛 救灾和灾后重建工作贡献力量，践行社会责任。</w:t>
      </w:r>
    </w:p>
    <w:p>
      <w:pPr>
        <w:pStyle w:val="Style29"/>
        <w:keepNext w:val="0"/>
        <w:keepLines w:val="0"/>
        <w:widowControl w:val="0"/>
        <w:shd w:val="clear" w:color="auto" w:fill="auto"/>
        <w:bidi w:val="0"/>
        <w:spacing w:before="0" w:after="0" w:line="360" w:lineRule="auto"/>
        <w:ind w:left="0" w:right="0" w:firstLine="440"/>
        <w:jc w:val="left"/>
      </w:pPr>
      <w:bookmarkStart w:id="74" w:name="bookmark74"/>
      <w:r>
        <w:rPr>
          <w:rFonts w:ascii="Times New Roman" w:eastAsia="Times New Roman" w:hAnsi="Times New Roman" w:cs="Times New Roman"/>
          <w:color w:val="000000"/>
          <w:spacing w:val="0"/>
          <w:w w:val="100"/>
          <w:position w:val="0"/>
          <w:sz w:val="18"/>
          <w:szCs w:val="18"/>
        </w:rPr>
        <w:t>7</w:t>
      </w:r>
      <w:bookmarkEnd w:id="74"/>
      <w:r>
        <w:rPr>
          <w:color w:val="000000"/>
          <w:spacing w:val="0"/>
          <w:w w:val="100"/>
          <w:position w:val="0"/>
        </w:rPr>
        <w:t>、稳步推进募投基建项目建设进度，完成公司整体搬迁入驻新园区工作。</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报告期内，公司新园区生产楼、研发楼已完成各项子工程验收及整体验收工作；统筹规划搬迁各项准备工作，目前已 完成公司整体搬迁入驻新园区的各项工作。</w:t>
      </w:r>
    </w:p>
    <w:p>
      <w:pPr>
        <w:pStyle w:val="Style24"/>
        <w:keepNext/>
        <w:keepLines/>
        <w:widowControl w:val="0"/>
        <w:shd w:val="clear" w:color="auto" w:fill="auto"/>
        <w:bidi w:val="0"/>
        <w:spacing w:before="0" w:after="2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、报告期内公司从事的主要业务</w:t>
      </w:r>
      <w:bookmarkEnd w:id="75"/>
      <w:bookmarkEnd w:id="76"/>
      <w:bookmarkEnd w:id="78"/>
    </w:p>
    <w:p>
      <w:pPr>
        <w:pStyle w:val="Style29"/>
        <w:keepNext w:val="0"/>
        <w:keepLines w:val="0"/>
        <w:widowControl w:val="0"/>
        <w:shd w:val="clear" w:color="auto" w:fill="auto"/>
        <w:tabs>
          <w:tab w:pos="711" w:val="left"/>
        </w:tabs>
        <w:bidi w:val="0"/>
        <w:spacing w:before="0" w:after="100" w:line="313" w:lineRule="exact"/>
        <w:ind w:left="0" w:right="0" w:firstLine="220"/>
        <w:jc w:val="left"/>
      </w:pPr>
      <w:bookmarkStart w:id="79" w:name="bookmark79"/>
      <w:r>
        <w:rPr>
          <w:b/>
          <w:bCs/>
          <w:color w:val="000000"/>
          <w:spacing w:val="0"/>
          <w:w w:val="100"/>
          <w:position w:val="0"/>
        </w:rPr>
        <w:t>（</w:t>
      </w:r>
      <w:bookmarkEnd w:id="79"/>
      <w:r>
        <w:rPr>
          <w:b/>
          <w:bCs/>
          <w:color w:val="000000"/>
          <w:spacing w:val="0"/>
          <w:w w:val="100"/>
          <w:position w:val="0"/>
        </w:rPr>
        <w:t>一）</w:t>
        <w:tab/>
        <w:t>公司主营业务及经营模式</w:t>
      </w:r>
    </w:p>
    <w:p>
      <w:pPr>
        <w:pStyle w:val="Style29"/>
        <w:keepNext w:val="0"/>
        <w:keepLines w:val="0"/>
        <w:widowControl w:val="0"/>
        <w:shd w:val="clear" w:color="auto" w:fill="auto"/>
        <w:tabs>
          <w:tab w:pos="720" w:val="left"/>
        </w:tabs>
        <w:bidi w:val="0"/>
        <w:spacing w:before="0" w:after="0" w:line="360" w:lineRule="auto"/>
        <w:ind w:left="0" w:right="0" w:firstLine="440"/>
        <w:jc w:val="left"/>
      </w:pPr>
      <w:bookmarkStart w:id="80" w:name="bookmark80"/>
      <w:r>
        <w:rPr>
          <w:rFonts w:ascii="Times New Roman" w:eastAsia="Times New Roman" w:hAnsi="Times New Roman" w:cs="Times New Roman"/>
          <w:color w:val="000000"/>
          <w:spacing w:val="0"/>
          <w:w w:val="100"/>
          <w:position w:val="0"/>
          <w:sz w:val="18"/>
          <w:szCs w:val="18"/>
        </w:rPr>
        <w:t>1</w:t>
      </w:r>
      <w:bookmarkEnd w:id="80"/>
      <w:r>
        <w:rPr>
          <w:color w:val="000000"/>
          <w:spacing w:val="0"/>
          <w:w w:val="100"/>
          <w:position w:val="0"/>
        </w:rPr>
        <w:t>、</w:t>
        <w:tab/>
        <w:t>公司主营业务</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公司专注于自动化测控技术的研发推广，主要产品聚焦于轨道交通行业，是国内领先的轨道交通运维设备供应商及运 营维护集成化解决方案提供商，主营业务为轨道交通高端装备的研发、生产、销售、安装和维护等，公司主要客户是国铁集 团下属各铁路局集团公司、各地城市轨道交通及大型企业自备铁路的建设方。</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根据各个产品的核心功能与技术的不同，公司产品主要分为监控产品线、运营管理产品线、信号基础设备产品线、综 合运维信息化及运维装备产品线四大系列，上述产品适用于国家铁路（高速铁路和普速铁路）、城市轨道交通、市域轨道交 通等多个制式，并适用于新建线路、既有线路升级改造、运营维保服务等不同领域。</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监控产品线涵盖设备监测、环境监测和综合监控等多个方向，主要包括信号集中监测系统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CSM</w:t>
      </w:r>
      <w:r>
        <w:rPr>
          <w:color w:val="000000"/>
          <w:spacing w:val="0"/>
          <w:w w:val="100"/>
          <w:position w:val="0"/>
        </w:rPr>
        <w:t>）、</w:t>
      </w:r>
      <w:r>
        <w:rPr>
          <w:color w:val="000000"/>
          <w:spacing w:val="0"/>
          <w:w w:val="100"/>
          <w:position w:val="0"/>
        </w:rPr>
        <w:t>铁路防灾安全监 控系统、高速铁路地震预警监测系统、综合视频监控系统、电加热道岔融雪设备、动力及机房环境监控系统、城市轨道交通 综合监控系统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ISCS</w:t>
      </w:r>
      <w:r>
        <w:rPr>
          <w:color w:val="000000"/>
          <w:spacing w:val="0"/>
          <w:w w:val="100"/>
          <w:position w:val="0"/>
        </w:rPr>
        <w:t>）</w:t>
      </w:r>
      <w:r>
        <w:rPr>
          <w:color w:val="000000"/>
          <w:spacing w:val="0"/>
          <w:w w:val="100"/>
          <w:position w:val="0"/>
        </w:rPr>
        <w:t>、城轨安防集成平台、环境与设备监控系统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BAS</w:t>
      </w:r>
      <w:r>
        <w:rPr>
          <w:color w:val="000000"/>
          <w:spacing w:val="0"/>
          <w:w w:val="100"/>
          <w:position w:val="0"/>
        </w:rPr>
        <w:t>）、</w:t>
      </w:r>
      <w:r>
        <w:rPr>
          <w:color w:val="000000"/>
          <w:spacing w:val="0"/>
          <w:w w:val="100"/>
          <w:position w:val="0"/>
        </w:rPr>
        <w:t>城轨能源管理系统和城市轨道交通信号维护 支持系统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w:t>
      </w:r>
      <w:r>
        <w:rPr>
          <w:color w:val="000000"/>
          <w:spacing w:val="0"/>
          <w:w w:val="100"/>
          <w:position w:val="0"/>
        </w:rPr>
        <w:t>等；运营管理产品线主要包括铁路运输指挥综合系统、无线调车机车信号和监控系统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STP</w:t>
      </w:r>
      <w:r>
        <w:rPr>
          <w:color w:val="000000"/>
          <w:spacing w:val="0"/>
          <w:w w:val="100"/>
          <w:position w:val="0"/>
        </w:rPr>
        <w:t>）</w:t>
      </w:r>
      <w:r>
        <w:rPr>
          <w:color w:val="000000"/>
          <w:spacing w:val="0"/>
          <w:w w:val="100"/>
          <w:position w:val="0"/>
        </w:rPr>
        <w:t>、列车自动 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ATS</w:t>
      </w:r>
      <w:r>
        <w:rPr>
          <w:color w:val="000000"/>
          <w:spacing w:val="0"/>
          <w:w w:val="100"/>
          <w:position w:val="0"/>
        </w:rPr>
        <w:t>）</w:t>
      </w:r>
      <w:r>
        <w:rPr>
          <w:color w:val="000000"/>
          <w:spacing w:val="0"/>
          <w:w w:val="100"/>
          <w:position w:val="0"/>
        </w:rPr>
        <w:t>和城市轨道交通自动售检票系统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w:t>
      </w:r>
      <w:r>
        <w:rPr>
          <w:color w:val="000000"/>
          <w:spacing w:val="0"/>
          <w:w w:val="100"/>
          <w:position w:val="0"/>
        </w:rPr>
        <w:t>等；信号基础设备产品线主要包括智能电源设备、铁路信号计算 机联锁系统（</w:t>
      </w:r>
      <w:r>
        <w:rPr>
          <w:rFonts w:ascii="Times New Roman" w:eastAsia="Times New Roman" w:hAnsi="Times New Roman" w:cs="Times New Roman"/>
          <w:color w:val="000000"/>
          <w:spacing w:val="0"/>
          <w:w w:val="100"/>
          <w:position w:val="0"/>
          <w:sz w:val="18"/>
          <w:szCs w:val="18"/>
        </w:rPr>
        <w:t>CBI</w:t>
      </w:r>
      <w:r>
        <w:rPr>
          <w:color w:val="000000"/>
          <w:spacing w:val="0"/>
          <w:w w:val="100"/>
          <w:position w:val="0"/>
        </w:rPr>
        <w:t>）</w:t>
      </w:r>
      <w:r>
        <w:rPr>
          <w:color w:val="000000"/>
          <w:spacing w:val="0"/>
          <w:w w:val="100"/>
          <w:position w:val="0"/>
        </w:rPr>
        <w:t>、计轴设备和道岔转辙机等；综合运维信息化及运维装备主要包括接触网水冲洗车、地铁隧道清洗车、 电务生产指挥系统、电务大数据智能运维平台、城市轨道交通智能运维平台等。</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针对国铁集团下属的高速和普速铁路，公司主营业务为铁路基层站段提供保障列车运行安全的基础设备；为铁路运营 管理提供平台手段，提高运营管理的效率；为铁路运营设备在运用过程中的状态进行监测和管理提供手段和平台，提高设备 的运用质量和维修效率，降低维护人员的工作强度和维护成本；针对高速铁路运营可能面临的灾害环境进行监测预警，保证 运营安全。产品已覆盖铁路电务、工务、供电、机务、运营等多个专业领域。</w:t>
      </w:r>
    </w:p>
    <w:p>
      <w:pPr>
        <w:pStyle w:val="Style29"/>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针对城市轨道交通领域，面向城市轨道交通提供涵盖轨道交通综合监控系统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ISCS</w:t>
      </w:r>
      <w:r>
        <w:rPr>
          <w:color w:val="000000"/>
          <w:spacing w:val="0"/>
          <w:w w:val="100"/>
          <w:position w:val="0"/>
        </w:rPr>
        <w:t>）</w:t>
      </w:r>
      <w:r>
        <w:rPr>
          <w:color w:val="000000"/>
          <w:spacing w:val="0"/>
          <w:w w:val="100"/>
          <w:position w:val="0"/>
        </w:rPr>
        <w:t>、城轨安防集成平台、自动售检 票系统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AFC</w:t>
      </w:r>
      <w:r>
        <w:rPr>
          <w:color w:val="000000"/>
          <w:spacing w:val="0"/>
          <w:w w:val="100"/>
          <w:position w:val="0"/>
        </w:rPr>
        <w:t>）</w:t>
      </w:r>
      <w:r>
        <w:rPr>
          <w:color w:val="000000"/>
          <w:spacing w:val="0"/>
          <w:w w:val="100"/>
          <w:position w:val="0"/>
        </w:rPr>
        <w:t>、环境与设备监控系统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BAS</w:t>
      </w:r>
      <w:r>
        <w:rPr>
          <w:color w:val="000000"/>
          <w:spacing w:val="0"/>
          <w:w w:val="100"/>
          <w:position w:val="0"/>
        </w:rPr>
        <w:t>）</w:t>
      </w:r>
      <w:r>
        <w:rPr>
          <w:color w:val="000000"/>
          <w:spacing w:val="0"/>
          <w:w w:val="100"/>
          <w:position w:val="0"/>
        </w:rPr>
        <w:t>、城轨能源管理系统、城市轨道交通信号维护支持系统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w:t>
      </w:r>
      <w:r>
        <w:rPr>
          <w:color w:val="000000"/>
          <w:spacing w:val="0"/>
          <w:w w:val="100"/>
          <w:position w:val="0"/>
        </w:rPr>
        <w:t>、城市轨道 交通数字化运维平台、地铁隧道清洗车和轨道交通相关维保服务等多项智能化及节能综合解决方案，为乘客提供安全、舒适、 便捷的智能化出行环境。</w:t>
      </w:r>
    </w:p>
    <w:p>
      <w:pPr>
        <w:pStyle w:val="Style29"/>
        <w:keepNext w:val="0"/>
        <w:keepLines w:val="0"/>
        <w:widowControl w:val="0"/>
        <w:shd w:val="clear" w:color="auto" w:fill="auto"/>
        <w:tabs>
          <w:tab w:pos="739" w:val="left"/>
        </w:tabs>
        <w:bidi w:val="0"/>
        <w:spacing w:before="0" w:after="0" w:line="360" w:lineRule="auto"/>
        <w:ind w:left="0" w:right="0" w:firstLine="440"/>
        <w:jc w:val="left"/>
      </w:pPr>
      <w:bookmarkStart w:id="81" w:name="bookmark81"/>
      <w:r>
        <w:rPr>
          <w:rFonts w:ascii="Times New Roman" w:eastAsia="Times New Roman" w:hAnsi="Times New Roman" w:cs="Times New Roman"/>
          <w:color w:val="000000"/>
          <w:spacing w:val="0"/>
          <w:w w:val="100"/>
          <w:position w:val="0"/>
          <w:sz w:val="18"/>
          <w:szCs w:val="18"/>
        </w:rPr>
        <w:t>2</w:t>
      </w:r>
      <w:bookmarkEnd w:id="81"/>
      <w:r>
        <w:rPr>
          <w:color w:val="000000"/>
          <w:spacing w:val="0"/>
          <w:w w:val="100"/>
          <w:position w:val="0"/>
        </w:rPr>
        <w:t>、</w:t>
        <w:tab/>
        <w:t>公司经营模式</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系统根据是否有行业内成文的标准规范文件，分为标准型和定制型。对于有对应行业标准规范的标准型产品， 通过直接向客户销售和系统集成商合作配套销售两种方式。通过投标和商务谈判等市场竞争方式获得产品和服务订单，产品 经过安装、现场调试、用户验收等环节后投入使用。</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对于根据客户特定需求的定制型产品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系统，在具体营销过程中，首先进行用户需求调研和售前支持，协助用户完成项 目设计工作，在公司产品研发的知识库中，提取成熟的产品框架和相应模块，进行二次开发，以项目管理的方式进行订单制 造、交付。</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在生产与服务方面，完全顺应中国铁路及城市轨道交通系统整体建设运营模式，主要采取以销定产的经营模式，根据 客户订单及业主的特定需求提供定制化的生产及服务，严格依照合同要求按期、保质提供相关产品及服务。</w:t>
      </w:r>
    </w:p>
    <w:p>
      <w:pPr>
        <w:pStyle w:val="Style29"/>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在质量保障方面，公司已经构建起以</w:t>
      </w:r>
      <w:r>
        <w:rPr>
          <w:rFonts w:ascii="Times New Roman" w:eastAsia="Times New Roman" w:hAnsi="Times New Roman" w:cs="Times New Roman"/>
          <w:color w:val="000000"/>
          <w:spacing w:val="0"/>
          <w:w w:val="100"/>
          <w:position w:val="0"/>
          <w:sz w:val="18"/>
          <w:szCs w:val="18"/>
        </w:rPr>
        <w:t>IRIS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为基础，</w:t>
      </w:r>
      <w:r>
        <w:rPr>
          <w:rFonts w:ascii="Times New Roman" w:eastAsia="Times New Roman" w:hAnsi="Times New Roman" w:cs="Times New Roman"/>
          <w:color w:val="000000"/>
          <w:spacing w:val="0"/>
          <w:w w:val="100"/>
          <w:position w:val="0"/>
          <w:sz w:val="18"/>
          <w:szCs w:val="18"/>
        </w:rPr>
        <w:t>CRCC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SIL4</w:t>
      </w:r>
      <w:r>
        <w:rPr>
          <w:color w:val="000000"/>
          <w:spacing w:val="0"/>
          <w:w w:val="100"/>
          <w:position w:val="0"/>
        </w:rPr>
        <w:t>产品认证为标准，精密的检测仪器、 严格的检验制度为支撑的质量控制体系，确保产品质量持续稳定。</w:t>
      </w:r>
    </w:p>
    <w:p>
      <w:pPr>
        <w:pStyle w:val="Style29"/>
        <w:keepNext w:val="0"/>
        <w:keepLines w:val="0"/>
        <w:widowControl w:val="0"/>
        <w:shd w:val="clear" w:color="auto" w:fill="auto"/>
        <w:tabs>
          <w:tab w:pos="711" w:val="left"/>
        </w:tabs>
        <w:bidi w:val="0"/>
        <w:spacing w:before="0" w:after="100" w:line="313" w:lineRule="exact"/>
        <w:ind w:left="0" w:right="0" w:firstLine="220"/>
        <w:jc w:val="left"/>
      </w:pPr>
      <w:bookmarkStart w:id="82" w:name="bookmark82"/>
      <w:r>
        <w:rPr>
          <w:b/>
          <w:bCs/>
          <w:color w:val="000000"/>
          <w:spacing w:val="0"/>
          <w:w w:val="100"/>
          <w:position w:val="0"/>
        </w:rPr>
        <w:t>（</w:t>
      </w:r>
      <w:bookmarkEnd w:id="82"/>
      <w:r>
        <w:rPr>
          <w:b/>
          <w:bCs/>
          <w:color w:val="000000"/>
          <w:spacing w:val="0"/>
          <w:w w:val="100"/>
          <w:position w:val="0"/>
        </w:rPr>
        <w:t>二）</w:t>
        <w:tab/>
        <w:t>行业发展情况</w:t>
      </w:r>
    </w:p>
    <w:p>
      <w:pPr>
        <w:pStyle w:val="Style29"/>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日国务院印发《国家综合立体交通网规划纲要》（以下简称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《纲要》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），在中央层面确定了国家中长期 </w:t>
      </w:r>
      <w:r>
        <w:rPr>
          <w:color w:val="000000"/>
          <w:spacing w:val="0"/>
          <w:w w:val="100"/>
          <w:position w:val="0"/>
        </w:rPr>
        <w:t>交通网规划建设要求。《纲要》指出，到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年，国家综合立体交通网实体线网总规模合计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万公里左右，其中铁路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万公 里左右，包括高速铁路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万公里（含部分城际铁路），普速铁路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万公里（含部分市域铁路）；形成由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八纵八横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高速铁路 主通道为骨架、区域性高速铁路衔接的高速铁路网；京津冀、长三角、粤港澳大湾区、成渝地区双城经济圈等重点城市群率 先建成城际铁路网，其他城市群城际铁路逐步成网。根据《纲要》要求，未来</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年）中国高速铁路、普速 铁路建设节奏均较前</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年周期（</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年）有所放缓，不过与前</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年周期一样，高速铁路建设强度仍将超过普速铁路。</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国务院于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月印发的《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现代综合交通运输体系发展规划》（简称《规划》），对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时期我国综合 交通运输发展作出全面部署。结合在建和拟建项目安排，铁路固定资产投资继续保持平稳态势，规划加快完善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八纵八横</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高速铁路网，积极推进城市群都市圈城际铁路和市域（郊）铁路发展，打造轨道上的都市圈，完善多层次道路交通网，并提 升安全应急保障和交通网络抗风险能力。预计</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年底，全国铁路营业里程将达</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万公里左右，其中高速铁路（含部分城 际铁路）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万公里左右、覆盖</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以上的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万人口以上城市，基本形成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高铁出行圈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，更好满足人们美好出行需要。</w:t>
      </w:r>
    </w:p>
    <w:p>
      <w:pPr>
        <w:pStyle w:val="Style29"/>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年，中国铁路年度建设任务全面完成。全国铁路完成固定资产投资</w:t>
      </w:r>
      <w:r>
        <w:rPr>
          <w:rFonts w:ascii="Times New Roman" w:eastAsia="Times New Roman" w:hAnsi="Times New Roman" w:cs="Times New Roman"/>
          <w:color w:val="000000"/>
          <w:spacing w:val="0"/>
          <w:w w:val="100"/>
          <w:position w:val="0"/>
          <w:sz w:val="18"/>
          <w:szCs w:val="18"/>
        </w:rPr>
        <w:t>7489</w:t>
      </w:r>
      <w:r>
        <w:rPr>
          <w:color w:val="000000"/>
          <w:spacing w:val="0"/>
          <w:w w:val="100"/>
          <w:position w:val="0"/>
        </w:rPr>
        <w:t>亿元，投产新线</w:t>
      </w:r>
      <w:r>
        <w:rPr>
          <w:rFonts w:ascii="Times New Roman" w:eastAsia="Times New Roman" w:hAnsi="Times New Roman" w:cs="Times New Roman"/>
          <w:color w:val="000000"/>
          <w:spacing w:val="0"/>
          <w:w w:val="100"/>
          <w:position w:val="0"/>
          <w:sz w:val="18"/>
          <w:szCs w:val="18"/>
        </w:rPr>
        <w:t>4208</w:t>
      </w:r>
      <w:r>
        <w:rPr>
          <w:color w:val="000000"/>
          <w:spacing w:val="0"/>
          <w:w w:val="100"/>
          <w:position w:val="0"/>
        </w:rPr>
        <w:t>公里，其中高铁</w:t>
      </w:r>
      <w:r>
        <w:rPr>
          <w:rFonts w:ascii="Times New Roman" w:eastAsia="Times New Roman" w:hAnsi="Times New Roman" w:cs="Times New Roman"/>
          <w:color w:val="000000"/>
          <w:spacing w:val="0"/>
          <w:w w:val="100"/>
          <w:position w:val="0"/>
          <w:sz w:val="18"/>
          <w:szCs w:val="18"/>
        </w:rPr>
        <w:t xml:space="preserve">2168 </w:t>
      </w:r>
      <w:r>
        <w:rPr>
          <w:color w:val="000000"/>
          <w:spacing w:val="0"/>
          <w:w w:val="100"/>
          <w:position w:val="0"/>
        </w:rPr>
        <w:t>公里。到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年底，全国铁路营业里程突破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万公里，其中高铁超过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万公里。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年，国家铁路旅客发送量实现恢复性增 长，达到</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亿人次，同比增长</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，其中动车组发送</w:t>
      </w:r>
      <w:r>
        <w:rPr>
          <w:rFonts w:ascii="Times New Roman" w:eastAsia="Times New Roman" w:hAnsi="Times New Roman" w:cs="Times New Roman"/>
          <w:color w:val="000000"/>
          <w:spacing w:val="0"/>
          <w:w w:val="100"/>
          <w:position w:val="0"/>
          <w:sz w:val="18"/>
          <w:szCs w:val="18"/>
        </w:rPr>
        <w:t>19.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亿人次，同比增长</w:t>
      </w:r>
      <w:r>
        <w:rPr>
          <w:rFonts w:ascii="Times New Roman" w:eastAsia="Times New Roman" w:hAnsi="Times New Roman" w:cs="Times New Roman"/>
          <w:color w:val="000000"/>
          <w:spacing w:val="0"/>
          <w:w w:val="100"/>
          <w:position w:val="0"/>
          <w:sz w:val="18"/>
          <w:szCs w:val="18"/>
        </w:rPr>
        <w:t>23.1%</w:t>
      </w:r>
      <w:r>
        <w:rPr>
          <w:color w:val="000000"/>
          <w:spacing w:val="0"/>
          <w:w w:val="100"/>
          <w:position w:val="0"/>
        </w:rPr>
        <w:t>；国家铁路货物发送量连续三年保持增 长，达到</w:t>
      </w:r>
      <w:r>
        <w:rPr>
          <w:rFonts w:ascii="Times New Roman" w:eastAsia="Times New Roman" w:hAnsi="Times New Roman" w:cs="Times New Roman"/>
          <w:color w:val="000000"/>
          <w:spacing w:val="0"/>
          <w:w w:val="100"/>
          <w:position w:val="0"/>
          <w:sz w:val="18"/>
          <w:szCs w:val="18"/>
        </w:rPr>
        <w:t>37.2</w:t>
      </w:r>
      <w:r>
        <w:rPr>
          <w:color w:val="000000"/>
          <w:spacing w:val="0"/>
          <w:w w:val="100"/>
          <w:position w:val="0"/>
        </w:rPr>
        <w:t>亿吨，同比增长</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；复兴号也历史性实现对</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个省区市的全覆盖。近两年受疫情影响，其他运输方式受到冲 击，铁路货运为我国复工复产、保持经济社会稳定发展起到重要的支撑作用。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年，中国铁路设定新目标：国家铁路完成 旅客发送量</w:t>
      </w:r>
      <w:r>
        <w:rPr>
          <w:rFonts w:ascii="Times New Roman" w:eastAsia="Times New Roman" w:hAnsi="Times New Roman" w:cs="Times New Roman"/>
          <w:color w:val="000000"/>
          <w:spacing w:val="0"/>
          <w:w w:val="100"/>
          <w:position w:val="0"/>
          <w:sz w:val="18"/>
          <w:szCs w:val="18"/>
        </w:rPr>
        <w:t>30.38</w:t>
      </w:r>
      <w:r>
        <w:rPr>
          <w:color w:val="000000"/>
          <w:spacing w:val="0"/>
          <w:w w:val="100"/>
          <w:position w:val="0"/>
        </w:rPr>
        <w:t>亿人次，同比增长</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，货物发送量</w:t>
      </w:r>
      <w:r>
        <w:rPr>
          <w:rFonts w:ascii="Times New Roman" w:eastAsia="Times New Roman" w:hAnsi="Times New Roman" w:cs="Times New Roman"/>
          <w:color w:val="000000"/>
          <w:spacing w:val="0"/>
          <w:w w:val="100"/>
          <w:position w:val="0"/>
          <w:sz w:val="18"/>
          <w:szCs w:val="18"/>
        </w:rPr>
        <w:t>38.04</w:t>
      </w:r>
      <w:r>
        <w:rPr>
          <w:color w:val="000000"/>
          <w:spacing w:val="0"/>
          <w:w w:val="100"/>
          <w:position w:val="0"/>
        </w:rPr>
        <w:t>亿吨，同比增长</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；全面完成国家铁路投资任务，高质量推进 川藏铁路等国家重点工程，投产新线</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公里以上（其中普速铁路</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公里左右）。</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城轨交通新线（段）开通的城市数及公里数（延伸段数）创新高。根据中国城市轨道交通协会信息，截止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日，中国内地累计有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个城市投运城轨交通线路</w:t>
      </w:r>
      <w:r>
        <w:rPr>
          <w:rFonts w:ascii="Times New Roman" w:eastAsia="Times New Roman" w:hAnsi="Times New Roman" w:cs="Times New Roman"/>
          <w:color w:val="000000"/>
          <w:spacing w:val="0"/>
          <w:w w:val="100"/>
          <w:position w:val="0"/>
          <w:sz w:val="18"/>
          <w:szCs w:val="18"/>
        </w:rPr>
        <w:t>9192.62</w:t>
      </w:r>
      <w:r>
        <w:rPr>
          <w:color w:val="000000"/>
          <w:spacing w:val="0"/>
          <w:w w:val="100"/>
          <w:position w:val="0"/>
        </w:rPr>
        <w:t>公里，同比增长</w:t>
      </w:r>
      <w:r>
        <w:rPr>
          <w:rFonts w:ascii="Times New Roman" w:eastAsia="Times New Roman" w:hAnsi="Times New Roman" w:cs="Times New Roman"/>
          <w:color w:val="000000"/>
          <w:spacing w:val="0"/>
          <w:w w:val="100"/>
          <w:position w:val="0"/>
          <w:sz w:val="18"/>
          <w:szCs w:val="18"/>
        </w:rPr>
        <w:t>15.34%</w:t>
      </w:r>
      <w:r>
        <w:rPr>
          <w:color w:val="000000"/>
          <w:spacing w:val="0"/>
          <w:w w:val="100"/>
          <w:position w:val="0"/>
        </w:rPr>
        <w:t>，其中地铁</w:t>
      </w:r>
      <w:r>
        <w:rPr>
          <w:rFonts w:ascii="Times New Roman" w:eastAsia="Times New Roman" w:hAnsi="Times New Roman" w:cs="Times New Roman"/>
          <w:color w:val="000000"/>
          <w:spacing w:val="0"/>
          <w:w w:val="100"/>
          <w:position w:val="0"/>
          <w:sz w:val="18"/>
          <w:szCs w:val="18"/>
        </w:rPr>
        <w:t>7253.73</w:t>
      </w:r>
      <w:r>
        <w:rPr>
          <w:color w:val="000000"/>
          <w:spacing w:val="0"/>
          <w:w w:val="100"/>
          <w:position w:val="0"/>
        </w:rPr>
        <w:t>公里，占比</w:t>
      </w:r>
      <w:r>
        <w:rPr>
          <w:rFonts w:ascii="Times New Roman" w:eastAsia="Times New Roman" w:hAnsi="Times New Roman" w:cs="Times New Roman"/>
          <w:color w:val="000000"/>
          <w:spacing w:val="0"/>
          <w:w w:val="100"/>
          <w:position w:val="0"/>
          <w:sz w:val="18"/>
          <w:szCs w:val="18"/>
        </w:rPr>
        <w:t>78.9%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年度共计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个城市有新线或新段开通运营，其中洛阳、嘉兴、绍兴、文山州、芜湖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个城市为新增的城轨交通运营城市；</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年当年共计新增城轨交通运营线路长度</w:t>
      </w:r>
      <w:r>
        <w:rPr>
          <w:rFonts w:ascii="Times New Roman" w:eastAsia="Times New Roman" w:hAnsi="Times New Roman" w:cs="Times New Roman"/>
          <w:color w:val="000000"/>
          <w:spacing w:val="0"/>
          <w:w w:val="100"/>
          <w:position w:val="0"/>
          <w:sz w:val="18"/>
          <w:szCs w:val="18"/>
        </w:rPr>
        <w:t>1222.92</w:t>
      </w:r>
      <w:r>
        <w:rPr>
          <w:color w:val="000000"/>
          <w:spacing w:val="0"/>
          <w:w w:val="100"/>
          <w:position w:val="0"/>
        </w:rPr>
        <w:t>公里。</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各城市轨道交通还有很大潜力，新开通线路连年增加，未来发展势头强劲。</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年国家发展改革委共批复佛山、青岛、 无锡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市的新一轮城市轨道交通建设规划，获批建设规划线路长度共计</w:t>
      </w:r>
      <w:r>
        <w:rPr>
          <w:rFonts w:ascii="Times New Roman" w:eastAsia="Times New Roman" w:hAnsi="Times New Roman" w:cs="Times New Roman"/>
          <w:color w:val="000000"/>
          <w:spacing w:val="0"/>
          <w:w w:val="100"/>
          <w:position w:val="0"/>
          <w:sz w:val="18"/>
          <w:szCs w:val="18"/>
        </w:rPr>
        <w:t>314.6</w:t>
      </w:r>
      <w:r>
        <w:rPr>
          <w:color w:val="000000"/>
          <w:spacing w:val="0"/>
          <w:w w:val="100"/>
          <w:position w:val="0"/>
        </w:rPr>
        <w:t>公里，其中地下线</w:t>
      </w:r>
      <w:r>
        <w:rPr>
          <w:rFonts w:ascii="Times New Roman" w:eastAsia="Times New Roman" w:hAnsi="Times New Roman" w:cs="Times New Roman"/>
          <w:color w:val="000000"/>
          <w:spacing w:val="0"/>
          <w:w w:val="100"/>
          <w:position w:val="0"/>
          <w:sz w:val="18"/>
          <w:szCs w:val="18"/>
        </w:rPr>
        <w:t>286.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公里，高架线</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 xml:space="preserve">公里。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市新获批项目计划总投资额</w:t>
      </w:r>
      <w:r>
        <w:rPr>
          <w:rFonts w:ascii="Times New Roman" w:eastAsia="Times New Roman" w:hAnsi="Times New Roman" w:cs="Times New Roman"/>
          <w:color w:val="000000"/>
          <w:spacing w:val="0"/>
          <w:w w:val="100"/>
          <w:position w:val="0"/>
          <w:sz w:val="18"/>
          <w:szCs w:val="18"/>
        </w:rPr>
        <w:t>2233.54</w:t>
      </w:r>
      <w:r>
        <w:rPr>
          <w:color w:val="000000"/>
          <w:spacing w:val="0"/>
          <w:w w:val="100"/>
          <w:position w:val="0"/>
        </w:rPr>
        <w:t>亿元。</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由上述信息可见，公司所处轨道交通行业近年来发展稳定且受疫情影响较小，铁路及城市轨道交通运营里程数持续增 加，根据《规划》内容，预计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全国铁路固定资产投资总规模与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总体相当，继续保持平稳态势。</w:t>
      </w:r>
    </w:p>
    <w:p>
      <w:pPr>
        <w:pStyle w:val="Style29"/>
        <w:keepNext w:val="0"/>
        <w:keepLines w:val="0"/>
        <w:widowControl w:val="0"/>
        <w:shd w:val="clear" w:color="auto" w:fill="auto"/>
        <w:bidi w:val="0"/>
        <w:spacing w:before="0" w:after="0" w:line="314" w:lineRule="exact"/>
        <w:ind w:left="0" w:right="0" w:firstLine="220"/>
        <w:jc w:val="left"/>
      </w:pPr>
      <w:bookmarkStart w:id="83" w:name="bookmark83"/>
      <w:r>
        <w:rPr>
          <w:b/>
          <w:bCs/>
          <w:color w:val="000000"/>
          <w:spacing w:val="0"/>
          <w:w w:val="100"/>
          <w:position w:val="0"/>
        </w:rPr>
        <w:t>（</w:t>
      </w:r>
      <w:bookmarkEnd w:id="83"/>
      <w:r>
        <w:rPr>
          <w:b/>
          <w:bCs/>
          <w:color w:val="000000"/>
          <w:spacing w:val="0"/>
          <w:w w:val="100"/>
          <w:position w:val="0"/>
        </w:rPr>
        <w:t>三）公司所处的行业地位</w:t>
      </w:r>
    </w:p>
    <w:p>
      <w:pPr>
        <w:pStyle w:val="Style29"/>
        <w:keepNext w:val="0"/>
        <w:keepLines w:val="0"/>
        <w:widowControl w:val="0"/>
        <w:shd w:val="clear" w:color="auto" w:fill="auto"/>
        <w:tabs>
          <w:tab w:pos="711" w:val="left"/>
        </w:tabs>
        <w:bidi w:val="0"/>
        <w:spacing w:before="0" w:after="0" w:line="314" w:lineRule="exact"/>
        <w:ind w:left="0" w:right="0" w:firstLine="440"/>
        <w:jc w:val="left"/>
      </w:pPr>
      <w:bookmarkStart w:id="84" w:name="bookmark84"/>
      <w:r>
        <w:rPr>
          <w:rFonts w:ascii="Times New Roman" w:eastAsia="Times New Roman" w:hAnsi="Times New Roman" w:cs="Times New Roman"/>
          <w:color w:val="000000"/>
          <w:spacing w:val="0"/>
          <w:w w:val="100"/>
          <w:position w:val="0"/>
          <w:sz w:val="18"/>
          <w:szCs w:val="18"/>
        </w:rPr>
        <w:t>1</w:t>
      </w:r>
      <w:bookmarkEnd w:id="84"/>
      <w:r>
        <w:rPr>
          <w:color w:val="000000"/>
          <w:spacing w:val="0"/>
          <w:w w:val="100"/>
          <w:position w:val="0"/>
        </w:rPr>
        <w:t>、</w:t>
        <w:tab/>
        <w:t>国家铁路行业：公司通过在国家铁路行业多年的积累，坚持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的理念，在国铁行业内有着良好的口 碑。其中铁路信号集中监测系统、铁路防灾安全监控系统、地震监测预警系统、电务安全生产指挥系统及接触网水冲洗车等 产品在技术上、标准影响度及品牌推广上具有优势地位。</w:t>
      </w:r>
    </w:p>
    <w:p>
      <w:pPr>
        <w:pStyle w:val="Style29"/>
        <w:keepNext w:val="0"/>
        <w:keepLines w:val="0"/>
        <w:widowControl w:val="0"/>
        <w:shd w:val="clear" w:color="auto" w:fill="auto"/>
        <w:tabs>
          <w:tab w:pos="711" w:val="left"/>
        </w:tabs>
        <w:bidi w:val="0"/>
        <w:spacing w:before="0" w:after="0" w:line="314" w:lineRule="exact"/>
        <w:ind w:left="0" w:right="0" w:firstLine="440"/>
        <w:jc w:val="left"/>
      </w:pPr>
      <w:bookmarkStart w:id="85" w:name="bookmark85"/>
      <w:r>
        <w:rPr>
          <w:rFonts w:ascii="Times New Roman" w:eastAsia="Times New Roman" w:hAnsi="Times New Roman" w:cs="Times New Roman"/>
          <w:color w:val="000000"/>
          <w:spacing w:val="0"/>
          <w:w w:val="100"/>
          <w:position w:val="0"/>
          <w:sz w:val="18"/>
          <w:szCs w:val="18"/>
        </w:rPr>
        <w:t>2</w:t>
      </w:r>
      <w:bookmarkEnd w:id="85"/>
      <w:r>
        <w:rPr>
          <w:color w:val="000000"/>
          <w:spacing w:val="0"/>
          <w:w w:val="100"/>
          <w:position w:val="0"/>
        </w:rPr>
        <w:t>、</w:t>
        <w:tab/>
        <w:t>城市轨道交通行业：公司始终坚持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的核心原则，随着具有自主知识产权的核心软件平台的上线开通，公 司综合监控产品已具备核心技术平台、项目交付管理、项目维护管理等全部核心能力，目前该产品在河南区域内有较强优势， 在轨道交通行业有一定的优势。目前，对于地铁隧道清洗车系列产品，公司拥有多项自主知识产权的核心技术，属于国内领 先水平，具有较大的市场竞争优势。</w:t>
      </w:r>
    </w:p>
    <w:p>
      <w:pPr>
        <w:pStyle w:val="Style2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同时，借助公司区域优势和国铁方面的技术和经验积累，公司其他各产品线产品在城市轨道交通行业均有一定优势。</w:t>
      </w:r>
    </w:p>
    <w:p>
      <w:pPr>
        <w:pStyle w:val="Style24"/>
        <w:keepNext/>
        <w:keepLines/>
        <w:widowControl w:val="0"/>
        <w:shd w:val="clear" w:color="auto" w:fill="auto"/>
        <w:bidi w:val="0"/>
        <w:spacing w:before="0" w:after="38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三</w:t>
      </w:r>
      <w:bookmarkEnd w:id="88"/>
      <w:r>
        <w:rPr>
          <w:color w:val="000000"/>
          <w:spacing w:val="0"/>
          <w:w w:val="100"/>
          <w:position w:val="0"/>
        </w:rPr>
        <w:t>、核心竞争力分析</w:t>
      </w:r>
      <w:bookmarkEnd w:id="86"/>
      <w:bookmarkEnd w:id="87"/>
      <w:bookmarkEnd w:id="89"/>
    </w:p>
    <w:p>
      <w:pPr>
        <w:pStyle w:val="Style29"/>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、专利情况</w:t>
      </w:r>
    </w:p>
    <w:p>
      <w:pPr>
        <w:pStyle w:val="Style29"/>
        <w:keepNext w:val="0"/>
        <w:keepLines w:val="0"/>
        <w:widowControl w:val="0"/>
        <w:shd w:val="clear" w:color="auto" w:fill="auto"/>
        <w:bidi w:val="0"/>
        <w:spacing w:before="0" w:after="220" w:line="312" w:lineRule="exact"/>
        <w:ind w:left="0" w:right="0" w:firstLine="380"/>
        <w:jc w:val="left"/>
      </w:pPr>
      <w:r>
        <w:rPr>
          <w:color w:val="000000"/>
          <w:spacing w:val="0"/>
          <w:w w:val="100"/>
          <w:position w:val="0"/>
        </w:rPr>
        <w:t>报告期内，公司共有</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项专利获得授权，其中发明专利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项；共有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项专利获得受理，其中发明专利</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w:t>
      </w:r>
    </w:p>
    <w:p>
      <w:pPr>
        <w:pStyle w:val="Style27"/>
        <w:keepNext w:val="0"/>
        <w:keepLines w:val="0"/>
        <w:widowControl w:val="0"/>
        <w:shd w:val="clear" w:color="auto" w:fill="auto"/>
        <w:bidi w:val="0"/>
        <w:spacing w:before="0" w:after="0" w:line="240" w:lineRule="auto"/>
        <w:ind w:left="3715"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年专利授权情况一览表</w:t>
      </w:r>
    </w:p>
    <w:tbl>
      <w:tblPr>
        <w:tblOverlap w:val="never"/>
        <w:jc w:val="center"/>
        <w:tblLayout w:type="fixed"/>
      </w:tblPr>
      <w:tblGrid>
        <w:gridCol w:w="523"/>
        <w:gridCol w:w="3701"/>
        <w:gridCol w:w="922"/>
        <w:gridCol w:w="922"/>
        <w:gridCol w:w="1699"/>
        <w:gridCol w:w="1200"/>
        <w:gridCol w:w="119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专利名称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取得方式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专利号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申请日期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公告日期</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二进制配置文件封装</w:t>
            </w:r>
            <w:r>
              <w:rPr>
                <w:rFonts w:ascii="Times New Roman" w:eastAsia="Times New Roman" w:hAnsi="Times New Roman" w:cs="Times New Roman"/>
                <w:color w:val="000000"/>
                <w:spacing w:val="0"/>
                <w:w w:val="100"/>
                <w:position w:val="0"/>
                <w:sz w:val="16"/>
                <w:szCs w:val="16"/>
              </w:rPr>
              <w:t>C TCS</w:t>
            </w:r>
            <w:r>
              <w:rPr>
                <w:color w:val="000000"/>
                <w:spacing w:val="0"/>
                <w:w w:val="100"/>
                <w:position w:val="0"/>
                <w:sz w:val="15"/>
                <w:szCs w:val="15"/>
              </w:rPr>
              <w:t>列控应答器报文的实现方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ZL2017109866624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2017.10.20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2021.02.19</w:t>
            </w:r>
          </w:p>
        </w:tc>
      </w:tr>
    </w:tbl>
    <w:p>
      <w:pPr>
        <w:spacing w:lineRule="exact" w:line="1"/>
        <w:rPr>
          <w:sz w:val="2"/>
          <w:szCs w:val="2"/>
        </w:rPr>
      </w:pPr>
      <w:r>
        <w:br w:type="page"/>
      </w:r>
    </w:p>
    <w:tbl>
      <w:tblPr>
        <w:tblOverlap w:val="never"/>
        <w:jc w:val="center"/>
        <w:tblLayout w:type="fixed"/>
      </w:tblPr>
      <w:tblGrid>
        <w:gridCol w:w="523"/>
        <w:gridCol w:w="3701"/>
        <w:gridCol w:w="922"/>
        <w:gridCol w:w="922"/>
        <w:gridCol w:w="1699"/>
        <w:gridCol w:w="1200"/>
        <w:gridCol w:w="1190"/>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一种基于图像处理的接触线抬升量实时测量方法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ZL2018112226469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2018.10.19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2021.02.19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基于</w:t>
            </w:r>
            <w:r>
              <w:rPr>
                <w:rFonts w:ascii="Times New Roman" w:eastAsia="Times New Roman" w:hAnsi="Times New Roman" w:cs="Times New Roman"/>
                <w:color w:val="000000"/>
                <w:spacing w:val="0"/>
                <w:w w:val="100"/>
                <w:position w:val="0"/>
                <w:sz w:val="16"/>
                <w:szCs w:val="16"/>
              </w:rPr>
              <w:t>CPLD</w:t>
            </w:r>
            <w:r>
              <w:rPr>
                <w:color w:val="000000"/>
                <w:spacing w:val="0"/>
                <w:w w:val="100"/>
                <w:position w:val="0"/>
                <w:sz w:val="15"/>
                <w:szCs w:val="15"/>
              </w:rPr>
              <w:t>进行故障注入的测试装置及测试方法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ZL2018104501765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2018.05.11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2021.04.06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一种城市轨道交通自动售票机性能测试方法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ZL2017104210892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2017.06.07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基于多源信息的电力开关设备故障状态判断方法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ZL2018116378297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2018.12.29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w:t>
            </w:r>
            <w:r>
              <w:rPr>
                <w:rFonts w:ascii="Times New Roman" w:eastAsia="Times New Roman" w:hAnsi="Times New Roman" w:cs="Times New Roman"/>
                <w:color w:val="000000"/>
                <w:spacing w:val="0"/>
                <w:w w:val="100"/>
                <w:position w:val="0"/>
                <w:sz w:val="16"/>
                <w:szCs w:val="16"/>
              </w:rPr>
              <w:t>BTM</w:t>
            </w:r>
            <w:r>
              <w:rPr>
                <w:color w:val="000000"/>
                <w:spacing w:val="0"/>
                <w:w w:val="100"/>
                <w:position w:val="0"/>
                <w:sz w:val="15"/>
                <w:szCs w:val="15"/>
              </w:rPr>
              <w:t>解调信号的自同步接收方法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ZL2016112622851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2016.12.30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2021.08.17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适用于城际轨道交通的无障碍付费自动售检票系统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ZL2017114564747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2017.12.28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道岔标准曲线自动生成方法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ZL2017113269433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2017.12.13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2021.12.17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监测系统实时数据压缩存储方法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ZL2017113284081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2017.12.13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2021.12.17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w:t>
            </w:r>
            <w:r>
              <w:rPr>
                <w:rFonts w:ascii="Times New Roman" w:eastAsia="Times New Roman" w:hAnsi="Times New Roman" w:cs="Times New Roman"/>
                <w:color w:val="000000"/>
                <w:spacing w:val="0"/>
                <w:w w:val="100"/>
                <w:position w:val="0"/>
                <w:sz w:val="16"/>
                <w:szCs w:val="16"/>
              </w:rPr>
              <w:t>25HZ</w:t>
            </w:r>
            <w:r>
              <w:rPr>
                <w:color w:val="000000"/>
                <w:spacing w:val="0"/>
                <w:w w:val="100"/>
                <w:position w:val="0"/>
                <w:sz w:val="15"/>
                <w:szCs w:val="15"/>
              </w:rPr>
              <w:t>三电平逆变器的过流保护电路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ZL2020216039549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2021.02.19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一种铁路车辆轴端接地装置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ZL2020218353672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2021.03.30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丁</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双机热备数传单元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ZL202021750436X</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2021.04.06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调试机车信息采集系统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ZL2020217504425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2021.04.06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一种铁路道岔滑床板注油装置用喷油阀结构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ZL2020211256101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2021.04.06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ZY4</w:t>
            </w:r>
            <w:r>
              <w:rPr>
                <w:color w:val="000000"/>
                <w:spacing w:val="0"/>
                <w:w w:val="100"/>
                <w:position w:val="0"/>
                <w:sz w:val="15"/>
                <w:szCs w:val="15"/>
              </w:rPr>
              <w:t>型转辙机缺口图像采集装置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ZL2020217504355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道岔钢轨应力放散保温控制柜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ZL2020220379045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S700</w:t>
            </w:r>
            <w:r>
              <w:rPr>
                <w:color w:val="000000"/>
                <w:spacing w:val="0"/>
                <w:w w:val="100"/>
                <w:position w:val="0"/>
                <w:sz w:val="15"/>
                <w:szCs w:val="15"/>
              </w:rPr>
              <w:t>型转辙机缺口监控装置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ZL2020217519350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STP</w:t>
            </w:r>
            <w:r>
              <w:rPr>
                <w:color w:val="000000"/>
                <w:spacing w:val="0"/>
                <w:w w:val="100"/>
                <w:position w:val="0"/>
                <w:sz w:val="15"/>
                <w:szCs w:val="15"/>
              </w:rPr>
              <w:t>系统数传电台转换单元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ZL2020217519172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铁路道岔缺口摄像头调试工装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ZL2020217504270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电加热道岔融雪控制柜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ZL2020220379261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全模防雷变压器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ZL2020220412927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无线调车机车信号和监控系统避雷器装置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ZL2020220378447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站间渡线道岔双控电路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ZL2020220412912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一种车载主机多频段检测工装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ZL2020222011131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一种具有优先级的多段电源切换装置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ZL2020222011517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2021.06.08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基于功率的隔离变压器保护装置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ZL2020222076954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2021.07.27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一种基于轮轴检测器的控车系统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ZL2020222076526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2021.07.27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便携式移动基站及高速铁路自然灾害监测系统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ZL2020224692518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2021.07.27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继电器保护装置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ZL2020224631779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2021.07.27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铁路信号电缆箱盒内部环境监测装置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ZL2020224631694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2021.07.27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一种低功耗设备箱环境监测装置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ZL2020224632254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2021.07.27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一种高速铁路地震预警监测系统牵变接口测试装置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ZL2020224631853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2021.07.27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加热板固定结构及道岔融雪加热装置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ZL2020222011057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2020.09.30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2021.08.17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铁路信号区间站联电压室外监测设备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ZL2020224692293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2021.08.17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电缆测距装置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ZL2020227898103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2021.08.17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铁路信号电缆完整性和状态在线监测装置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ZL2020227898315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2021.08.17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一种基于</w:t>
            </w:r>
            <w:r>
              <w:rPr>
                <w:rFonts w:ascii="Times New Roman" w:eastAsia="Times New Roman" w:hAnsi="Times New Roman" w:cs="Times New Roman"/>
                <w:color w:val="000000"/>
                <w:spacing w:val="0"/>
                <w:w w:val="100"/>
                <w:position w:val="0"/>
                <w:sz w:val="16"/>
                <w:szCs w:val="16"/>
              </w:rPr>
              <w:t>ARM</w:t>
            </w:r>
            <w:r>
              <w:rPr>
                <w:color w:val="000000"/>
                <w:spacing w:val="0"/>
                <w:w w:val="100"/>
                <w:position w:val="0"/>
                <w:sz w:val="15"/>
                <w:szCs w:val="15"/>
              </w:rPr>
              <w:t>芯片的</w:t>
            </w:r>
            <w:r>
              <w:rPr>
                <w:rFonts w:ascii="Times New Roman" w:eastAsia="Times New Roman" w:hAnsi="Times New Roman" w:cs="Times New Roman"/>
                <w:color w:val="000000"/>
                <w:spacing w:val="0"/>
                <w:w w:val="100"/>
                <w:position w:val="0"/>
                <w:sz w:val="16"/>
                <w:szCs w:val="16"/>
              </w:rPr>
              <w:t>PLC</w:t>
            </w:r>
            <w:r>
              <w:rPr>
                <w:color w:val="000000"/>
                <w:spacing w:val="0"/>
                <w:w w:val="100"/>
                <w:position w:val="0"/>
                <w:sz w:val="15"/>
                <w:szCs w:val="15"/>
              </w:rPr>
              <w:t>转以太网通信接口机装置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ZL2020232422578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2021.08.17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用于铁路电特性智能测量的手持终端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ZL2020228412855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2021.09.17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一种铁路信号设备机柜温湿度监测装置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ZL2020232368836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2021.09.17</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一种信号集中监测系统的外电网测试装置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自主研发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ZL202022469272X</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2020.10.30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2021.09.21</w:t>
            </w:r>
          </w:p>
        </w:tc>
      </w:tr>
    </w:tbl>
    <w:p>
      <w:pPr>
        <w:spacing w:lineRule="exact" w:line="1"/>
        <w:rPr>
          <w:sz w:val="2"/>
          <w:szCs w:val="2"/>
        </w:rPr>
      </w:pPr>
      <w:r>
        <w:br w:type="page"/>
      </w:r>
    </w:p>
    <w:tbl>
      <w:tblPr>
        <w:tblOverlap w:val="never"/>
        <w:jc w:val="center"/>
        <w:tblLayout w:type="fixed"/>
      </w:tblPr>
      <w:tblGrid>
        <w:gridCol w:w="523"/>
        <w:gridCol w:w="3701"/>
        <w:gridCol w:w="922"/>
        <w:gridCol w:w="922"/>
        <w:gridCol w:w="1699"/>
        <w:gridCol w:w="1200"/>
        <w:gridCol w:w="119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一种基于</w:t>
            </w:r>
            <w:r>
              <w:rPr>
                <w:rFonts w:ascii="Times New Roman" w:eastAsia="Times New Roman" w:hAnsi="Times New Roman" w:cs="Times New Roman"/>
                <w:color w:val="000000"/>
                <w:spacing w:val="0"/>
                <w:w w:val="100"/>
                <w:position w:val="0"/>
                <w:sz w:val="16"/>
                <w:szCs w:val="16"/>
              </w:rPr>
              <w:t>PLC</w:t>
            </w:r>
            <w:r>
              <w:rPr>
                <w:color w:val="000000"/>
                <w:spacing w:val="0"/>
                <w:w w:val="100"/>
                <w:position w:val="0"/>
                <w:sz w:val="15"/>
                <w:szCs w:val="15"/>
              </w:rPr>
              <w:t>通信的室外</w:t>
            </w:r>
            <w:r>
              <w:rPr>
                <w:rFonts w:ascii="Times New Roman" w:eastAsia="Times New Roman" w:hAnsi="Times New Roman" w:cs="Times New Roman"/>
                <w:color w:val="000000"/>
                <w:spacing w:val="0"/>
                <w:w w:val="100"/>
                <w:position w:val="0"/>
                <w:sz w:val="16"/>
                <w:szCs w:val="16"/>
              </w:rPr>
              <w:t>25HZ</w:t>
            </w:r>
            <w:r>
              <w:rPr>
                <w:color w:val="000000"/>
                <w:spacing w:val="0"/>
                <w:w w:val="100"/>
                <w:position w:val="0"/>
                <w:sz w:val="15"/>
                <w:szCs w:val="15"/>
              </w:rPr>
              <w:t>轨道电路监测装置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ZL2020232368713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一种显示器、键盘和鼠标三合一装置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ZL2020232422737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用于高速铁路自然灾害监测系统的异物侵限监测装置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ZL2021203137887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基于</w:t>
            </w:r>
            <w:r>
              <w:rPr>
                <w:rFonts w:ascii="Times New Roman" w:eastAsia="Times New Roman" w:hAnsi="Times New Roman" w:cs="Times New Roman"/>
                <w:color w:val="000000"/>
                <w:spacing w:val="0"/>
                <w:w w:val="100"/>
                <w:position w:val="0"/>
                <w:sz w:val="16"/>
                <w:szCs w:val="16"/>
              </w:rPr>
              <w:t>DSP</w:t>
            </w:r>
            <w:r>
              <w:rPr>
                <w:color w:val="000000"/>
                <w:spacing w:val="0"/>
                <w:w w:val="100"/>
                <w:position w:val="0"/>
                <w:sz w:val="15"/>
                <w:szCs w:val="15"/>
              </w:rPr>
              <w:t>芯片的铁路信号外电网监测装置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ZL2020232368874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轨道交通自动售检票级自动化测试装置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ZL2020226445360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2021.09.28</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一种地铁边门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ZL2020228373691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2021.09.28</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基于图像识别的便携式调车机乘务员睡眠检测报警设 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ZL2020228413576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2020.12.01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2021.11.16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一种防雷分线柜的智能告警单元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ZL2021204046156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2021.11.16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一种信号监测防雷分线柜线缆绝缘测试系统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ZL2021204046813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2021.11.16</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一种铁路限高架撞击监测系统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ZL2021204046160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2021.12.17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一种用于铁路小型绝缘子水冲洗设备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ZL2021216134162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2021.12.17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一种用于铁路的农药除草车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ZL2021216124974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2021.12.17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电脑的安防集成平台网络状态图形用户界面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外观设计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ZL2021304565967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2021.12.17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电脑的安防集成平台线路监控图形用户界面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外观设计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自主研发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ZL2021304565558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2021.12.17</w:t>
            </w:r>
          </w:p>
        </w:tc>
      </w:tr>
    </w:tbl>
    <w:p>
      <w:pPr>
        <w:widowControl w:val="0"/>
        <w:spacing w:after="499" w:line="1" w:lineRule="exact"/>
      </w:pPr>
    </w:p>
    <w:p>
      <w:pPr>
        <w:pStyle w:val="Style29"/>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年专利受理情况一览表</w:t>
      </w:r>
    </w:p>
    <w:tbl>
      <w:tblPr>
        <w:tblOverlap w:val="never"/>
        <w:jc w:val="left"/>
        <w:tblLayout w:type="fixed"/>
      </w:tblPr>
      <w:tblGrid>
        <w:gridCol w:w="758"/>
        <w:gridCol w:w="3917"/>
        <w:gridCol w:w="960"/>
        <w:gridCol w:w="1819"/>
        <w:gridCol w:w="1714"/>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申请专利号</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申请日期</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基于卷积神经网络的接触线抬升量测量方法及系统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2021102082788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一种多协议通信实时库数据聚合方法及系统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2021102054769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w:t>
            </w:r>
            <w:r>
              <w:rPr>
                <w:rFonts w:ascii="Times New Roman" w:eastAsia="Times New Roman" w:hAnsi="Times New Roman" w:cs="Times New Roman"/>
                <w:color w:val="000000"/>
                <w:spacing w:val="0"/>
                <w:w w:val="100"/>
                <w:position w:val="0"/>
                <w:sz w:val="16"/>
                <w:szCs w:val="16"/>
              </w:rPr>
              <w:t>TDCS</w:t>
            </w:r>
            <w:r>
              <w:rPr>
                <w:color w:val="000000"/>
                <w:spacing w:val="0"/>
                <w:w w:val="100"/>
                <w:position w:val="0"/>
                <w:sz w:val="15"/>
                <w:szCs w:val="15"/>
              </w:rPr>
              <w:t>系统站场图拼接显示方法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2021102054580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一种新型托盘结构柜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2021106114491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2021.06.02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一种综合监控系统集成接触网可视化接地系统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2021108113807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一种实现应答式双路数据采集的方法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2021109609477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2021.08.20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媒体流数据分发方法、数据分发装置、存储介质、平台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2021109609246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2021.08.20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一种基于微服务架构的高可用轨道交通安防集成平台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发明专利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2021114369242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2021.11.30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用于高速铁路自然灾害监测系统的异物侵限监测装置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2021203137887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2021.02.04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一种铁路限高架撞击监测系统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2021201046160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一种防雷分线柜的智能告警单元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2021201046156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一种信号监测防雷分线柜线缆绝缘测试系统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2021204046813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一种电缆智能保护装置及电缆智能检测系统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2021201046599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2021.02.24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一种水压自适应冲洗装置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2021210108357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2021.05.13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铁路牵引回流监测系统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2021210860264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2021.05.20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铁路信号电缆成端在线监测系统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202121085744X</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2021.05.20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一种</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5"/>
                <w:szCs w:val="15"/>
              </w:rPr>
              <w:t>周相敏轨道电路综合监测及诊断系统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2021225457149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2021.10.22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铁路信号电源系统用高度可调底托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2021228564034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2021.11.22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铁路道岔转换系统注油装置用可调节喷油嘴结构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202122856508X</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2021.11.22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转辙机用压盖螺栓固定铆钉铆接工装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2021228566542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2021.11.22</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道岔融雪控制柜用手动状态延时驱动电路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2021228557524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2021.11.22</w:t>
            </w:r>
          </w:p>
        </w:tc>
      </w:tr>
    </w:tbl>
    <w:p>
      <w:pPr>
        <w:spacing w:lineRule="exact" w:line="1"/>
        <w:rPr>
          <w:sz w:val="2"/>
          <w:szCs w:val="2"/>
        </w:rPr>
      </w:pPr>
      <w:r>
        <w:br w:type="page"/>
      </w:r>
    </w:p>
    <w:tbl>
      <w:tblPr>
        <w:tblOverlap w:val="never"/>
        <w:jc w:val="left"/>
        <w:tblLayout w:type="fixed"/>
      </w:tblPr>
      <w:tblGrid>
        <w:gridCol w:w="758"/>
        <w:gridCol w:w="3917"/>
        <w:gridCol w:w="960"/>
        <w:gridCol w:w="1819"/>
        <w:gridCol w:w="1714"/>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铁路道岔密贴检查机构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2021228557897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2021.11.22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铁路道岔转换系统注油装置用油位示数观测窗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实用新型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2021228557153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2021.11.22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电脑的安防集成平台安防状态图形用户界面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外观设计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2021304565651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电脑的安防集成平台网络状态图形用户界面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外观设计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2021304565967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2021.07.19</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电脑的安防集成平台线路监控图形用户界面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外观设计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2021304565558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2021.07.19</w:t>
            </w:r>
          </w:p>
        </w:tc>
      </w:tr>
    </w:tbl>
    <w:p>
      <w:pPr>
        <w:widowControl w:val="0"/>
        <w:spacing w:after="439" w:line="1" w:lineRule="exact"/>
      </w:pPr>
    </w:p>
    <w:p>
      <w:pPr>
        <w:pStyle w:val="Style29"/>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、软件著作权情况</w:t>
      </w:r>
    </w:p>
    <w:p>
      <w:pPr>
        <w:pStyle w:val="Style29"/>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报告期内，公司共有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个软件获得软件著作权登记，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个软件获得软件产品登记证书。</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年软件著作权登记一览表</w:t>
      </w:r>
    </w:p>
    <w:tbl>
      <w:tblPr>
        <w:tblOverlap w:val="never"/>
        <w:jc w:val="left"/>
        <w:tblLayout w:type="fixed"/>
      </w:tblPr>
      <w:tblGrid>
        <w:gridCol w:w="768"/>
        <w:gridCol w:w="3643"/>
        <w:gridCol w:w="960"/>
        <w:gridCol w:w="1546"/>
        <w:gridCol w:w="1714"/>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发证日期</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辉煌城轨风水联动节能算法软件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2021SR0267169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2021.02.22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辉煌城轨能源管理系统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2021SR0850665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2021.06.08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辉煌轨道交通线网门禁授权中心管理系统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2021SR1070016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2021.07.20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轨道交通运营日报管理系统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2021SR1405444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2021.09.18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片状喷嘴分区域冲洗流量及压力分配系统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2021SR1414889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2021.09.23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大口径水炮冲洗压力自适应调节软件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2021SR1414890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2021.09.23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轨道综合承载平台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2021SR1705716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辉煌铁路信号设备全周期管理系统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2021SR1949987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辉煌铁路综合维修生产作业管理系统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2021SR1958086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2021.12.01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运营日报管理系统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2021SR2007587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2021.12.06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城市轨道交通线网运营指挥中心系统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2021SR2028500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2021.12.09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轨道交通乘务管理系统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2021SR2093777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2021.12.21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轨道交通施工调度管理系统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2021SR2093776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2021.12.21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铁路信号电源系统智能运维软件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2021SR2223490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2021.12.30</w:t>
            </w:r>
          </w:p>
        </w:tc>
      </w:tr>
    </w:tbl>
    <w:p>
      <w:pPr>
        <w:widowControl w:val="0"/>
        <w:spacing w:after="859" w:line="1" w:lineRule="exact"/>
      </w:pPr>
    </w:p>
    <w:p>
      <w:pPr>
        <w:pStyle w:val="Style27"/>
        <w:keepNext w:val="0"/>
        <w:keepLines w:val="0"/>
        <w:widowControl w:val="0"/>
        <w:shd w:val="clear" w:color="auto" w:fill="auto"/>
        <w:bidi w:val="0"/>
        <w:spacing w:before="0" w:after="0" w:line="240" w:lineRule="auto"/>
        <w:ind w:left="3389"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年软件产品登记证书一览表</w:t>
      </w:r>
    </w:p>
    <w:tbl>
      <w:tblPr>
        <w:tblOverlap w:val="never"/>
        <w:jc w:val="left"/>
        <w:tblLayout w:type="fixed"/>
      </w:tblPr>
      <w:tblGrid>
        <w:gridCol w:w="806"/>
        <w:gridCol w:w="3341"/>
        <w:gridCol w:w="960"/>
        <w:gridCol w:w="1934"/>
        <w:gridCol w:w="1714"/>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软件产品名称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发证日期</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轨道交通工程项目安装调试管理系统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豫 </w:t>
            </w:r>
            <w:r>
              <w:rPr>
                <w:rFonts w:ascii="Times New Roman" w:eastAsia="Times New Roman" w:hAnsi="Times New Roman" w:cs="Times New Roman"/>
                <w:color w:val="000000"/>
                <w:spacing w:val="0"/>
                <w:w w:val="100"/>
                <w:position w:val="0"/>
                <w:sz w:val="18"/>
                <w:szCs w:val="18"/>
              </w:rPr>
              <w:t>RC-2021-0200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轨道交通运营日报管理系统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豫 </w:t>
            </w:r>
            <w:r>
              <w:rPr>
                <w:rFonts w:ascii="Times New Roman" w:eastAsia="Times New Roman" w:hAnsi="Times New Roman" w:cs="Times New Roman"/>
                <w:color w:val="000000"/>
                <w:spacing w:val="0"/>
                <w:w w:val="100"/>
                <w:position w:val="0"/>
                <w:sz w:val="18"/>
                <w:szCs w:val="18"/>
              </w:rPr>
              <w:t>RC-2021-0900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辉煌调监系统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辉煌软件</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豫 </w:t>
            </w:r>
            <w:r>
              <w:rPr>
                <w:rFonts w:ascii="Times New Roman" w:eastAsia="Times New Roman" w:hAnsi="Times New Roman" w:cs="Times New Roman"/>
                <w:color w:val="000000"/>
                <w:spacing w:val="0"/>
                <w:w w:val="100"/>
                <w:position w:val="0"/>
                <w:sz w:val="18"/>
                <w:szCs w:val="18"/>
              </w:rPr>
              <w:t>RC-2021-0814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辉煌轨道监测系统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辉煌软件</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豫 </w:t>
            </w:r>
            <w:r>
              <w:rPr>
                <w:rFonts w:ascii="Times New Roman" w:eastAsia="Times New Roman" w:hAnsi="Times New Roman" w:cs="Times New Roman"/>
                <w:color w:val="000000"/>
                <w:spacing w:val="0"/>
                <w:w w:val="100"/>
                <w:position w:val="0"/>
                <w:sz w:val="18"/>
                <w:szCs w:val="18"/>
              </w:rPr>
              <w:t>RC-2021-0815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辉煌城轨综合监控系统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豫 </w:t>
            </w:r>
            <w:r>
              <w:rPr>
                <w:rFonts w:ascii="Times New Roman" w:eastAsia="Times New Roman" w:hAnsi="Times New Roman" w:cs="Times New Roman"/>
                <w:color w:val="000000"/>
                <w:spacing w:val="0"/>
                <w:w w:val="100"/>
                <w:position w:val="0"/>
                <w:sz w:val="18"/>
                <w:szCs w:val="18"/>
              </w:rPr>
              <w:t>RC-2021-0813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2021.10.19</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辉煌城轨列车自动监控系统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豫 </w:t>
            </w:r>
            <w:r>
              <w:rPr>
                <w:rFonts w:ascii="Times New Roman" w:eastAsia="Times New Roman" w:hAnsi="Times New Roman" w:cs="Times New Roman"/>
                <w:color w:val="000000"/>
                <w:spacing w:val="0"/>
                <w:w w:val="100"/>
                <w:position w:val="0"/>
                <w:sz w:val="18"/>
                <w:szCs w:val="18"/>
              </w:rPr>
              <w:t>RC-2021-0811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2021.10.19</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辉煌电务安全生产管理信息系统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豫 </w:t>
            </w:r>
            <w:r>
              <w:rPr>
                <w:rFonts w:ascii="Times New Roman" w:eastAsia="Times New Roman" w:hAnsi="Times New Roman" w:cs="Times New Roman"/>
                <w:color w:val="000000"/>
                <w:spacing w:val="0"/>
                <w:w w:val="100"/>
                <w:position w:val="0"/>
                <w:sz w:val="18"/>
                <w:szCs w:val="18"/>
              </w:rPr>
              <w:t>RC-2021-0812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2021.10.19</w:t>
            </w:r>
          </w:p>
        </w:tc>
      </w:tr>
    </w:tbl>
    <w:p>
      <w:pPr>
        <w:pStyle w:val="Style24"/>
        <w:keepNext/>
        <w:keepLines/>
        <w:widowControl w:val="0"/>
        <w:shd w:val="clear" w:color="auto" w:fill="auto"/>
        <w:bidi w:val="0"/>
        <w:spacing w:before="0" w:after="28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四</w:t>
      </w:r>
      <w:bookmarkEnd w:id="92"/>
      <w:r>
        <w:rPr>
          <w:color w:val="000000"/>
          <w:spacing w:val="0"/>
          <w:w w:val="100"/>
          <w:position w:val="0"/>
        </w:rPr>
        <w:t>、主营业务分析</w:t>
      </w:r>
      <w:bookmarkEnd w:id="90"/>
      <w:bookmarkEnd w:id="91"/>
      <w:bookmarkEnd w:id="93"/>
    </w:p>
    <w:p>
      <w:pPr>
        <w:pStyle w:val="Style33"/>
        <w:keepNext/>
        <w:keepLines/>
        <w:widowControl w:val="0"/>
        <w:shd w:val="clear" w:color="auto" w:fill="auto"/>
        <w:bidi w:val="0"/>
        <w:spacing w:before="0" w:after="280" w:line="323" w:lineRule="exact"/>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、概述</w:t>
      </w:r>
      <w:bookmarkEnd w:id="94"/>
      <w:bookmarkEnd w:id="95"/>
      <w:bookmarkEnd w:id="97"/>
    </w:p>
    <w:p>
      <w:pPr>
        <w:pStyle w:val="Style14"/>
        <w:keepNext w:val="0"/>
        <w:keepLines w:val="0"/>
        <w:widowControl w:val="0"/>
        <w:shd w:val="clear" w:color="auto" w:fill="auto"/>
        <w:tabs>
          <w:tab w:pos="766" w:val="left"/>
        </w:tabs>
        <w:bidi w:val="0"/>
        <w:spacing w:before="0" w:after="0" w:line="323" w:lineRule="exact"/>
        <w:ind w:left="0" w:right="0" w:firstLine="180"/>
        <w:jc w:val="left"/>
        <w:rPr>
          <w:sz w:val="20"/>
          <w:szCs w:val="20"/>
        </w:rPr>
      </w:pPr>
      <w:bookmarkStart w:id="98" w:name="bookmark98"/>
      <w:r>
        <w:rPr>
          <w:color w:val="000000"/>
          <w:spacing w:val="0"/>
          <w:w w:val="100"/>
          <w:position w:val="0"/>
          <w:sz w:val="20"/>
          <w:szCs w:val="20"/>
        </w:rPr>
        <w:t>（</w:t>
      </w:r>
      <w:bookmarkEnd w:id="9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报告期内，公司实现营业收入</w:t>
      </w:r>
      <w:r>
        <w:rPr>
          <w:rFonts w:ascii="Times New Roman" w:eastAsia="Times New Roman" w:hAnsi="Times New Roman" w:cs="Times New Roman"/>
          <w:color w:val="000000"/>
          <w:spacing w:val="0"/>
          <w:w w:val="100"/>
          <w:position w:val="0"/>
          <w:sz w:val="20"/>
          <w:szCs w:val="20"/>
        </w:rPr>
        <w:t>73,716.81</w:t>
      </w:r>
      <w:r>
        <w:rPr>
          <w:color w:val="000000"/>
          <w:spacing w:val="0"/>
          <w:w w:val="100"/>
          <w:position w:val="0"/>
          <w:sz w:val="20"/>
          <w:szCs w:val="20"/>
        </w:rPr>
        <w:t>万元</w:t>
      </w:r>
      <w:r>
        <w:rPr>
          <w:color w:val="000000"/>
          <w:spacing w:val="0"/>
          <w:w w:val="100"/>
          <w:position w:val="0"/>
          <w:sz w:val="20"/>
          <w:szCs w:val="20"/>
        </w:rPr>
        <w:t>，</w:t>
      </w:r>
      <w:r>
        <w:rPr>
          <w:color w:val="000000"/>
          <w:spacing w:val="0"/>
          <w:w w:val="100"/>
          <w:position w:val="0"/>
          <w:sz w:val="20"/>
          <w:szCs w:val="20"/>
        </w:rPr>
        <w:t>比上年同期增加</w:t>
      </w:r>
      <w:r>
        <w:rPr>
          <w:rFonts w:ascii="Times New Roman" w:eastAsia="Times New Roman" w:hAnsi="Times New Roman" w:cs="Times New Roman"/>
          <w:color w:val="000000"/>
          <w:spacing w:val="0"/>
          <w:w w:val="100"/>
          <w:position w:val="0"/>
          <w:sz w:val="20"/>
          <w:szCs w:val="20"/>
        </w:rPr>
        <w:t>15.60%</w:t>
      </w:r>
      <w:r>
        <w:rPr>
          <w:color w:val="000000"/>
          <w:spacing w:val="0"/>
          <w:w w:val="100"/>
          <w:position w:val="0"/>
          <w:sz w:val="20"/>
          <w:szCs w:val="20"/>
        </w:rPr>
        <w:t>，实现归属于上市公司股东的 净利润为</w:t>
      </w:r>
      <w:r>
        <w:rPr>
          <w:rFonts w:ascii="Times New Roman" w:eastAsia="Times New Roman" w:hAnsi="Times New Roman" w:cs="Times New Roman"/>
          <w:color w:val="000000"/>
          <w:spacing w:val="0"/>
          <w:w w:val="100"/>
          <w:position w:val="0"/>
          <w:sz w:val="20"/>
          <w:szCs w:val="20"/>
        </w:rPr>
        <w:t>12,012.68</w:t>
      </w:r>
      <w:r>
        <w:rPr>
          <w:color w:val="000000"/>
          <w:spacing w:val="0"/>
          <w:w w:val="100"/>
          <w:position w:val="0"/>
          <w:sz w:val="20"/>
          <w:szCs w:val="20"/>
        </w:rPr>
        <w:t>万元</w:t>
      </w:r>
      <w:r>
        <w:rPr>
          <w:color w:val="000000"/>
          <w:spacing w:val="0"/>
          <w:w w:val="100"/>
          <w:position w:val="0"/>
          <w:sz w:val="20"/>
          <w:szCs w:val="20"/>
        </w:rPr>
        <w:t>，</w:t>
      </w:r>
      <w:r>
        <w:rPr>
          <w:color w:val="000000"/>
          <w:spacing w:val="0"/>
          <w:w w:val="100"/>
          <w:position w:val="0"/>
          <w:sz w:val="20"/>
          <w:szCs w:val="20"/>
        </w:rPr>
        <w:t>比上年同期增加</w:t>
      </w:r>
      <w:r>
        <w:rPr>
          <w:rFonts w:ascii="Times New Roman" w:eastAsia="Times New Roman" w:hAnsi="Times New Roman" w:cs="Times New Roman"/>
          <w:color w:val="000000"/>
          <w:spacing w:val="0"/>
          <w:w w:val="100"/>
          <w:position w:val="0"/>
          <w:sz w:val="20"/>
          <w:szCs w:val="20"/>
        </w:rPr>
        <w:t>40.90%</w:t>
      </w:r>
      <w:r>
        <w:rPr>
          <w:color w:val="000000"/>
          <w:spacing w:val="0"/>
          <w:w w:val="100"/>
          <w:position w:val="0"/>
          <w:sz w:val="20"/>
          <w:szCs w:val="20"/>
        </w:rPr>
        <w:t>，主要原因系报告期内完工项目增加致营业收入、净利润增 加。</w:t>
      </w:r>
    </w:p>
    <w:p>
      <w:pPr>
        <w:pStyle w:val="Style14"/>
        <w:keepNext w:val="0"/>
        <w:keepLines w:val="0"/>
        <w:widowControl w:val="0"/>
        <w:shd w:val="clear" w:color="auto" w:fill="auto"/>
        <w:tabs>
          <w:tab w:pos="762" w:val="left"/>
        </w:tabs>
        <w:bidi w:val="0"/>
        <w:spacing w:before="0" w:after="0" w:line="323" w:lineRule="exact"/>
        <w:ind w:left="0" w:right="0" w:firstLine="180"/>
        <w:jc w:val="left"/>
        <w:rPr>
          <w:sz w:val="20"/>
          <w:szCs w:val="20"/>
        </w:rPr>
      </w:pPr>
      <w:bookmarkStart w:id="99" w:name="bookmark99"/>
      <w:r>
        <w:rPr>
          <w:color w:val="000000"/>
          <w:spacing w:val="0"/>
          <w:w w:val="100"/>
          <w:position w:val="0"/>
          <w:sz w:val="20"/>
          <w:szCs w:val="20"/>
        </w:rPr>
        <w:t>（</w:t>
      </w:r>
      <w:bookmarkEnd w:id="9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报告期内，公司研发投入</w:t>
      </w:r>
      <w:r>
        <w:rPr>
          <w:rFonts w:ascii="Times New Roman" w:eastAsia="Times New Roman" w:hAnsi="Times New Roman" w:cs="Times New Roman"/>
          <w:color w:val="000000"/>
          <w:spacing w:val="0"/>
          <w:w w:val="100"/>
          <w:position w:val="0"/>
          <w:sz w:val="20"/>
          <w:szCs w:val="20"/>
        </w:rPr>
        <w:t>9,444.55</w:t>
      </w:r>
      <w:r>
        <w:rPr>
          <w:color w:val="000000"/>
          <w:spacing w:val="0"/>
          <w:w w:val="100"/>
          <w:position w:val="0"/>
          <w:sz w:val="20"/>
          <w:szCs w:val="20"/>
        </w:rPr>
        <w:t>万元，占公司营业收入的比例为</w:t>
      </w:r>
      <w:r>
        <w:rPr>
          <w:rFonts w:ascii="Times New Roman" w:eastAsia="Times New Roman" w:hAnsi="Times New Roman" w:cs="Times New Roman"/>
          <w:color w:val="000000"/>
          <w:spacing w:val="0"/>
          <w:w w:val="100"/>
          <w:position w:val="0"/>
          <w:sz w:val="20"/>
          <w:szCs w:val="20"/>
        </w:rPr>
        <w:t>12.81%</w:t>
      </w:r>
      <w:r>
        <w:rPr>
          <w:color w:val="000000"/>
          <w:spacing w:val="0"/>
          <w:w w:val="100"/>
          <w:position w:val="0"/>
          <w:sz w:val="20"/>
          <w:szCs w:val="20"/>
        </w:rPr>
        <w:t>，比上年同期增加</w:t>
      </w:r>
      <w:r>
        <w:rPr>
          <w:rFonts w:ascii="Times New Roman" w:eastAsia="Times New Roman" w:hAnsi="Times New Roman" w:cs="Times New Roman"/>
          <w:color w:val="000000"/>
          <w:spacing w:val="0"/>
          <w:w w:val="100"/>
          <w:position w:val="0"/>
          <w:sz w:val="20"/>
          <w:szCs w:val="20"/>
        </w:rPr>
        <w:t>39.75%</w:t>
      </w:r>
      <w:r>
        <w:rPr>
          <w:color w:val="000000"/>
          <w:spacing w:val="0"/>
          <w:w w:val="100"/>
          <w:position w:val="0"/>
          <w:sz w:val="20"/>
          <w:szCs w:val="20"/>
        </w:rPr>
        <w:t>， 主要原因系报告期内公司研发项目投入增加所致。</w:t>
      </w:r>
    </w:p>
    <w:p>
      <w:pPr>
        <w:pStyle w:val="Style14"/>
        <w:keepNext w:val="0"/>
        <w:keepLines w:val="0"/>
        <w:widowControl w:val="0"/>
        <w:shd w:val="clear" w:color="auto" w:fill="auto"/>
        <w:tabs>
          <w:tab w:pos="766" w:val="left"/>
        </w:tabs>
        <w:bidi w:val="0"/>
        <w:spacing w:before="0" w:after="0" w:line="323" w:lineRule="exact"/>
        <w:ind w:left="0" w:right="0" w:firstLine="180"/>
        <w:jc w:val="left"/>
        <w:rPr>
          <w:sz w:val="20"/>
          <w:szCs w:val="20"/>
        </w:rPr>
      </w:pPr>
      <w:bookmarkStart w:id="100" w:name="bookmark100"/>
      <w:r>
        <w:rPr>
          <w:color w:val="000000"/>
          <w:spacing w:val="0"/>
          <w:w w:val="100"/>
          <w:position w:val="0"/>
          <w:sz w:val="20"/>
          <w:szCs w:val="20"/>
        </w:rPr>
        <w:t>（</w:t>
      </w:r>
      <w:bookmarkEnd w:id="10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报告期内，公司经营活动产生的现金流量净额比上年同期增加</w:t>
      </w:r>
      <w:r>
        <w:rPr>
          <w:rFonts w:ascii="Times New Roman" w:eastAsia="Times New Roman" w:hAnsi="Times New Roman" w:cs="Times New Roman"/>
          <w:color w:val="000000"/>
          <w:spacing w:val="0"/>
          <w:w w:val="100"/>
          <w:position w:val="0"/>
          <w:sz w:val="20"/>
          <w:szCs w:val="20"/>
        </w:rPr>
        <w:t>76.58%</w:t>
      </w:r>
      <w:r>
        <w:rPr>
          <w:color w:val="000000"/>
          <w:spacing w:val="0"/>
          <w:w w:val="100"/>
          <w:position w:val="0"/>
          <w:sz w:val="20"/>
          <w:szCs w:val="20"/>
        </w:rPr>
        <w:t>，主要原因系报告期内销售回 款增加所致。</w:t>
      </w:r>
    </w:p>
    <w:p>
      <w:pPr>
        <w:pStyle w:val="Style14"/>
        <w:keepNext w:val="0"/>
        <w:keepLines w:val="0"/>
        <w:widowControl w:val="0"/>
        <w:shd w:val="clear" w:color="auto" w:fill="auto"/>
        <w:tabs>
          <w:tab w:pos="766" w:val="left"/>
        </w:tabs>
        <w:bidi w:val="0"/>
        <w:spacing w:before="0" w:after="0" w:line="326" w:lineRule="exact"/>
        <w:ind w:left="0" w:right="0" w:firstLine="180"/>
        <w:jc w:val="left"/>
        <w:rPr>
          <w:sz w:val="20"/>
          <w:szCs w:val="20"/>
        </w:rPr>
      </w:pPr>
      <w:bookmarkStart w:id="101" w:name="bookmark101"/>
      <w:r>
        <w:rPr>
          <w:color w:val="000000"/>
          <w:spacing w:val="0"/>
          <w:w w:val="100"/>
          <w:position w:val="0"/>
          <w:sz w:val="20"/>
          <w:szCs w:val="20"/>
        </w:rPr>
        <w:t>（</w:t>
      </w:r>
      <w:bookmarkEnd w:id="10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公司根据产品订单进行生产，不存在产品积压情况。报告期内，公司存货占总资产的比例为</w:t>
      </w:r>
      <w:r>
        <w:rPr>
          <w:rFonts w:ascii="Times New Roman" w:eastAsia="Times New Roman" w:hAnsi="Times New Roman" w:cs="Times New Roman"/>
          <w:color w:val="000000"/>
          <w:spacing w:val="0"/>
          <w:w w:val="100"/>
          <w:position w:val="0"/>
          <w:sz w:val="20"/>
          <w:szCs w:val="20"/>
        </w:rPr>
        <w:t>16.99%</w:t>
      </w:r>
      <w:r>
        <w:rPr>
          <w:color w:val="000000"/>
          <w:spacing w:val="0"/>
          <w:w w:val="100"/>
          <w:position w:val="0"/>
          <w:sz w:val="20"/>
          <w:szCs w:val="20"/>
        </w:rPr>
        <w:t>， 主要是为新中标项目的备货。</w:t>
      </w:r>
    </w:p>
    <w:p>
      <w:pPr>
        <w:pStyle w:val="Style14"/>
        <w:keepNext w:val="0"/>
        <w:keepLines w:val="0"/>
        <w:widowControl w:val="0"/>
        <w:shd w:val="clear" w:color="auto" w:fill="auto"/>
        <w:tabs>
          <w:tab w:pos="668" w:val="left"/>
        </w:tabs>
        <w:bidi w:val="0"/>
        <w:spacing w:before="0" w:after="1080" w:line="323" w:lineRule="exact"/>
        <w:ind w:left="0" w:right="0" w:firstLine="180"/>
        <w:jc w:val="left"/>
        <w:rPr>
          <w:sz w:val="20"/>
          <w:szCs w:val="20"/>
        </w:rPr>
      </w:pPr>
      <w:bookmarkStart w:id="102" w:name="bookmark102"/>
      <w:r>
        <w:rPr>
          <w:color w:val="000000"/>
          <w:spacing w:val="0"/>
          <w:w w:val="100"/>
          <w:position w:val="0"/>
          <w:sz w:val="20"/>
          <w:szCs w:val="20"/>
        </w:rPr>
        <w:t>（</w:t>
      </w:r>
      <w:bookmarkEnd w:id="102"/>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报告期内，公司主要设备的盈利能力状况未发生变化。</w:t>
      </w:r>
    </w:p>
    <w:p>
      <w:pPr>
        <w:pStyle w:val="Style33"/>
        <w:keepNext/>
        <w:keepLines/>
        <w:widowControl w:val="0"/>
        <w:shd w:val="clear" w:color="auto" w:fill="auto"/>
        <w:bidi w:val="0"/>
        <w:spacing w:before="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w:t>
      </w:r>
      <w:bookmarkEnd w:id="105"/>
      <w:r>
        <w:rPr>
          <w:color w:val="000000"/>
          <w:spacing w:val="0"/>
          <w:w w:val="100"/>
          <w:position w:val="0"/>
        </w:rPr>
        <w:t>、收入与成本</w:t>
      </w:r>
      <w:bookmarkEnd w:id="103"/>
      <w:bookmarkEnd w:id="104"/>
      <w:bookmarkEnd w:id="106"/>
    </w:p>
    <w:p>
      <w:pPr>
        <w:pStyle w:val="Style47"/>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0"/>
    </w:p>
    <w:p>
      <w:pPr>
        <w:pStyle w:val="Style29"/>
        <w:keepNext w:val="0"/>
        <w:keepLines w:val="0"/>
        <w:widowControl w:val="0"/>
        <w:shd w:val="clear" w:color="auto" w:fill="auto"/>
        <w:bidi w:val="0"/>
        <w:spacing w:before="0" w:after="60" w:line="240" w:lineRule="auto"/>
        <w:ind w:left="0" w:right="48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737,168,052.65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637,661,580.01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国家铁路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440,669,189.56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373,941,788.41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厂矿企业及地方铁 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25,524,441.63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31,319,753.95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179,929,337.63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175,420,590.24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91,045,083.83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56,979,447.41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设备监测类产品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304,051,517.27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222,753,499.02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237,446,784.32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229,002,234.99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生产指挥及运输调 度信息化类产品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862,453.93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2,393,158.44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信号控制类产品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14,754,170.76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4,161,947.89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电源类设备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53,790,194.90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66,415,167.87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信号设备及器材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35,217,847.64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55,956,124.39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91,045,083.83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56,979,447.41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166,932,264.26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87,699,041.26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302,969,433.90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272,892,872.78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176,221,270.66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220,090,218.56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91,045,083.83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56,979,447.41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以销定产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737,168,052.65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637,661,580.01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109,492,234.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199,558,179.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147,672,446.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280,445,192.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59,765,104.0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135,846,154.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129,920,807.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312,129,513.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28,264,963.4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49,377,233.1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19,985,540.6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22,499,090.3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12,745,831.4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32,714,314.4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21,669,347.6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18,127,354.5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4"/>
        <w:keepNext w:val="0"/>
        <w:keepLines w:val="0"/>
        <w:widowControl w:val="0"/>
        <w:shd w:val="clear" w:color="auto" w:fill="auto"/>
        <w:bidi w:val="0"/>
        <w:spacing w:before="0" w:after="600" w:line="312" w:lineRule="exact"/>
        <w:ind w:left="0" w:right="0"/>
        <w:jc w:val="both"/>
        <w:rPr>
          <w:sz w:val="20"/>
          <w:szCs w:val="20"/>
        </w:rPr>
      </w:pPr>
      <w:r>
        <w:rPr>
          <w:color w:val="000000"/>
          <w:spacing w:val="0"/>
          <w:w w:val="100"/>
          <w:position w:val="0"/>
          <w:sz w:val="20"/>
          <w:szCs w:val="20"/>
        </w:rPr>
        <w:t>公司国铁业务受国家铁路总体投资和建设进度的影响，有一定程度的季节性波动，根据年度总投资计 划，一般在一二季度招投标项目较多，同时受春运影响，在一季度工程验收项目相对较少；在四季度，工 程验收交付开通项目较多，因此确认收入相对较多。城市轨道交通业务由于单个合同金额较大，根据不同 项目的开通计划，会给季度收入确认结果带来一定波动。</w:t>
      </w:r>
    </w:p>
    <w:p>
      <w:pPr>
        <w:pStyle w:val="Style47"/>
        <w:keepNext/>
        <w:keepLines/>
        <w:widowControl w:val="0"/>
        <w:shd w:val="clear" w:color="auto" w:fill="auto"/>
        <w:bidi w:val="0"/>
        <w:spacing w:before="0" w:after="400" w:line="312" w:lineRule="exact"/>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1"/>
      <w:bookmarkEnd w:id="112"/>
      <w:bookmarkEnd w:id="11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国家铁路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440,669,189.56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218,382,335.91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179,929,337.63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129,570,874.31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设备监测类产品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304,051,517.27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130,919,468.36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237,446,784.32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161,319,601.15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166,932,264.26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63,518,356.59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302,969,433.90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187,583,117.72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176,221,270.66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113,324,349.93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5"/>
      <w:bookmarkEnd w:id="116"/>
      <w:bookmarkEnd w:id="11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国家铁路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440,669,189.56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373,941,788.41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408,997,466.45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444,492,821.17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144,129,549.96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175,801,273.07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-18.02%</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厂矿企业及地方铁 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25,524,441.63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31,319,753.95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22,583,591.76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32,374,572.36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2,293,422.45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5,234,272.32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-56.18%</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179,929,337.63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175,420,590.24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265,192,383.81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205,200,159.15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119,420,202.8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34,157,156.63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1300" w:line="317" w:lineRule="exact"/>
        <w:ind w:left="0" w:right="0" w:firstLine="0"/>
        <w:jc w:val="left"/>
        <w:rPr>
          <w:sz w:val="20"/>
          <w:szCs w:val="20"/>
        </w:rPr>
      </w:pPr>
      <w:r>
        <w:rPr>
          <w:color w:val="000000"/>
          <w:spacing w:val="0"/>
          <w:w w:val="100"/>
          <w:position w:val="0"/>
          <w:sz w:val="20"/>
          <w:szCs w:val="20"/>
        </w:rPr>
        <w:t>厂矿企业及地方铁路行业生产量及库存量下降，主要系报告期内相关业务减少所致。城市轨道交通行业库 存量增长主要原因系报告期内未完工项目增加所致。</w:t>
      </w:r>
    </w:p>
    <w:p>
      <w:pPr>
        <w:pStyle w:val="Style47"/>
        <w:keepNext/>
        <w:keepLines/>
        <w:widowControl w:val="0"/>
        <w:shd w:val="clear" w:color="auto" w:fill="auto"/>
        <w:bidi w:val="0"/>
        <w:spacing w:before="0" w:after="24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19"/>
      <w:bookmarkEnd w:id="120"/>
      <w:bookmarkEnd w:id="122"/>
    </w:p>
    <w:p>
      <w:pPr>
        <w:pStyle w:val="Style29"/>
        <w:keepNext w:val="0"/>
        <w:keepLines w:val="0"/>
        <w:widowControl w:val="0"/>
        <w:numPr>
          <w:ilvl w:val="0"/>
          <w:numId w:val="1"/>
        </w:numPr>
        <w:shd w:val="clear" w:color="auto" w:fill="auto"/>
        <w:tabs>
          <w:tab w:pos="286" w:val="left"/>
        </w:tabs>
        <w:bidi w:val="0"/>
        <w:spacing w:before="0" w:after="0" w:line="346" w:lineRule="exact"/>
        <w:ind w:left="0" w:right="0" w:firstLine="0"/>
        <w:jc w:val="left"/>
      </w:pPr>
      <w:bookmarkStart w:id="123" w:name="bookmark123"/>
      <w:bookmarkEnd w:id="1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29"/>
        <w:keepNext w:val="0"/>
        <w:keepLines w:val="0"/>
        <w:widowControl w:val="0"/>
        <w:numPr>
          <w:ilvl w:val="0"/>
          <w:numId w:val="1"/>
        </w:numPr>
        <w:shd w:val="clear" w:color="auto" w:fill="auto"/>
        <w:tabs>
          <w:tab w:pos="286" w:val="left"/>
        </w:tabs>
        <w:bidi w:val="0"/>
        <w:spacing w:before="0" w:after="140" w:line="346" w:lineRule="exact"/>
        <w:ind w:left="0" w:right="0" w:firstLine="0"/>
        <w:jc w:val="left"/>
      </w:pPr>
      <w:bookmarkStart w:id="124" w:name="bookmark124"/>
      <w:bookmarkEnd w:id="1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56"/>
        <w:gridCol w:w="1070"/>
        <w:gridCol w:w="1061"/>
        <w:gridCol w:w="1066"/>
        <w:gridCol w:w="107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项目执行进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本期确认收 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累计确认收 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项目进展是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否达到计划</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进度或预期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进度或预期</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郑州市轨道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开通运营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77,954,178.4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73,609,382.4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70"/>
        <w:gridCol w:w="1061"/>
        <w:gridCol w:w="1066"/>
        <w:gridCol w:w="1066"/>
        <w:gridCol w:w="1056"/>
        <w:gridCol w:w="1070"/>
        <w:gridCol w:w="1061"/>
        <w:gridCol w:w="1066"/>
        <w:gridCol w:w="1070"/>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工程综合监</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控系统集成</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洛阳市轨道 交通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号线 工程综合监 控系统采购 项目</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92,516,306.0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开通运营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57,046,691.3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57,046,691.3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64,462,761.1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郑州市轨道 交通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号线 一期工程</w:t>
            </w:r>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项目综 合监控系统 总集成项目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59,860,000.0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开通运营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2,338,683.19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47,752,807.1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45,647,280.9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郑州市轨道 交通</w:t>
            </w:r>
            <w:r>
              <w:rPr>
                <w:rFonts w:ascii="Times New Roman" w:eastAsia="Times New Roman" w:hAnsi="Times New Roman" w:cs="Times New Roman"/>
                <w:i/>
                <w:iCs/>
                <w:color w:val="000000"/>
                <w:spacing w:val="0"/>
                <w:w w:val="100"/>
                <w:position w:val="0"/>
                <w:sz w:val="18"/>
                <w:szCs w:val="18"/>
              </w:rPr>
              <w:t>6</w:t>
            </w:r>
            <w:r>
              <w:rPr>
                <w:color w:val="000000"/>
                <w:spacing w:val="0"/>
                <w:w w:val="100"/>
                <w:position w:val="0"/>
              </w:rPr>
              <w:t>号线 一期、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 线一期、郑州 机场至许昌 市域铁路工 程(郑州段) 综合监控系 统集成项目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549,660,228.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安装督导、系 统调试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153,426,626.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洛阳市轨道 交通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号线 一期工程综 合监控系统 集成项目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86,895,056.0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开通运营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47,224,960.0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47,224,960.0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42,384,571.0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郑州市轨道 交通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号线 二期工程综 合监控等系 统集成项目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61,505,523.0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销售合同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备货阶段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9,225,828.45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47"/>
        <w:keepNext/>
        <w:keepLines/>
        <w:widowControl w:val="0"/>
        <w:numPr>
          <w:ilvl w:val="0"/>
          <w:numId w:val="3"/>
        </w:numPr>
        <w:shd w:val="clear" w:color="auto" w:fill="auto"/>
        <w:bidi w:val="0"/>
        <w:spacing w:before="0" w:after="40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营业成本构成</w:t>
      </w:r>
      <w:bookmarkEnd w:id="125"/>
      <w:bookmarkEnd w:id="126"/>
      <w:bookmarkEnd w:id="12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60" w:line="240" w:lineRule="auto"/>
        <w:ind w:left="0" w:right="48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国家铁路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218,382,335.91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214,547,520.90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厂矿企业及地方 铁路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16,472,614.02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18,304,599.93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城市轨道交通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129,570,874.31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111,606,434.95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设备监测类产品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130,919,468.36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120,171,305.62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安防类产品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161,319,601.15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141,645,500.82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生产指挥及运输 调度信息化类产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575,359.69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906,747.36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信号控制类产品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6,120,713.98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1,208,131.64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电源类设备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37,129,879.76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44,873,569.25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信号设备及器材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28,360,801.30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35,653,301.09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说明</w:t>
      </w:r>
    </w:p>
    <w:p>
      <w:pPr>
        <w:pStyle w:val="Style14"/>
        <w:keepNext w:val="0"/>
        <w:keepLines w:val="0"/>
        <w:widowControl w:val="0"/>
        <w:shd w:val="clear" w:color="auto" w:fill="auto"/>
        <w:bidi w:val="0"/>
        <w:spacing w:before="0" w:after="600" w:line="365" w:lineRule="exact"/>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主营业务成本构成</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323,168,093.63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299,821,423.10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14,277,276.97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13,570,781.40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48,426,980.00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45,623,176.55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制造费用中的设备 折旧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15,994,027.07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12,014,035.25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val="0"/>
        <w:keepLines w:val="0"/>
        <w:widowControl w:val="0"/>
        <w:shd w:val="clear" w:color="auto" w:fill="auto"/>
        <w:bidi w:val="0"/>
        <w:spacing w:before="0" w:after="680" w:line="240" w:lineRule="auto"/>
        <w:ind w:left="0" w:right="0" w:firstLine="440"/>
        <w:jc w:val="left"/>
        <w:rPr>
          <w:sz w:val="20"/>
          <w:szCs w:val="20"/>
        </w:rPr>
      </w:pPr>
      <w:r>
        <w:rPr>
          <w:color w:val="000000"/>
          <w:spacing w:val="0"/>
          <w:w w:val="100"/>
          <w:position w:val="0"/>
          <w:sz w:val="20"/>
          <w:szCs w:val="20"/>
        </w:rPr>
        <w:t>本公司注销全资子公司天津信通铁路电气技术有限公司，本期不再纳入合并范围。</w:t>
      </w:r>
    </w:p>
    <w:p>
      <w:pPr>
        <w:pStyle w:val="Style47"/>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3"/>
      <w:bookmarkEnd w:id="134"/>
      <w:bookmarkEnd w:id="136"/>
    </w:p>
    <w:p>
      <w:pPr>
        <w:pStyle w:val="Style2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7"/>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7"/>
      <w:bookmarkEnd w:id="138"/>
      <w:bookmarkEnd w:id="140"/>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201,276,637.84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104,271,651.38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40,542,975.00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25,337,236.22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15,849,154.78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15,275,620.46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201,276,637.84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27.30%</w:t>
            </w:r>
          </w:p>
        </w:tc>
      </w:tr>
    </w:tbl>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40" w:line="322" w:lineRule="exact"/>
        <w:ind w:left="0" w:right="0" w:firstLine="0"/>
        <w:jc w:val="left"/>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 和其他关联方未在主要客户中直接或间接拥有权益等。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94,871,482.50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30,692,605.66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28,511,389.24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13,841,730.08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11,172,022.12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10,653,735.40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94,871,482.50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21.52%</w:t>
            </w:r>
          </w:p>
        </w:tc>
      </w:tr>
    </w:tbl>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公司前五名供应商与公司不存在关联关系，公司董事、监事、高级管理人员、核心技术人员、持股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 人和其他关联方未在主要供应商中直接或间接拥有权益等。</w:t>
      </w:r>
      <w:r>
        <w:br w:type="page"/>
      </w:r>
    </w:p>
    <w:p>
      <w:pPr>
        <w:pStyle w:val="Style33"/>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29"/>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29,925,179.07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28,420,494.67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66,577,608.75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48,432,702.00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主要系报告期内股权激励费用增加 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-5,007,652.14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-4,310,793.49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94,445,481.52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67,584,065.93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主要系报告期内研发项目投入增加 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新版信号集中监测 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开发满足新技术标准</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Q/CR 442-2020</w:t>
            </w:r>
            <w:r>
              <w:rPr>
                <w:color w:val="000000"/>
                <w:spacing w:val="0"/>
                <w:w w:val="100"/>
                <w:position w:val="0"/>
              </w:rPr>
              <w:t>)</w:t>
            </w:r>
            <w:r>
              <w:rPr>
                <w:color w:val="000000"/>
                <w:spacing w:val="0"/>
                <w:w w:val="100"/>
                <w:position w:val="0"/>
              </w:rPr>
              <w:t>的新 版信号集中监测系统， 完成新系统的研发、认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已完成产品研发和 试点。已获得新版信 号集中监测系统 </w:t>
            </w:r>
            <w:r>
              <w:rPr>
                <w:rFonts w:ascii="Times New Roman" w:eastAsia="Times New Roman" w:hAnsi="Times New Roman" w:cs="Times New Roman"/>
                <w:color w:val="000000"/>
                <w:spacing w:val="0"/>
                <w:w w:val="100"/>
                <w:position w:val="0"/>
                <w:sz w:val="18"/>
                <w:szCs w:val="18"/>
              </w:rPr>
              <w:t>CRCC</w:t>
            </w:r>
            <w:r>
              <w:rPr>
                <w:color w:val="000000"/>
                <w:spacing w:val="0"/>
                <w:w w:val="100"/>
                <w:position w:val="0"/>
              </w:rPr>
              <w:t>证书。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实现产品的新技术标准的升 级换代，获得新技术标准下 的铁路产品</w:t>
            </w:r>
            <w:r>
              <w:rPr>
                <w:rFonts w:ascii="Times New Roman" w:eastAsia="Times New Roman" w:hAnsi="Times New Roman" w:cs="Times New Roman"/>
                <w:color w:val="000000"/>
                <w:spacing w:val="0"/>
                <w:w w:val="100"/>
                <w:position w:val="0"/>
                <w:sz w:val="18"/>
                <w:szCs w:val="18"/>
              </w:rPr>
              <w:t>CRCC</w:t>
            </w:r>
            <w:r>
              <w:rPr>
                <w:color w:val="000000"/>
                <w:spacing w:val="0"/>
                <w:w w:val="100"/>
                <w:position w:val="0"/>
              </w:rPr>
              <w:t>认证证 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新版信号集中监测系统是公 司传统产品的升级换代，为 公司既有监测市场的更新改 造、升级提供了产品保障。</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提升公司优势产品的核心竞 争力，完成产品更新迭代。</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信号机械室智能巡 检系统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研制集信号机械室视频 巡检、安防、环境等监 控于一体的信号机械室 智能巡检系统。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已完成首版产品的 集成与研发。试点站 安装试点应用中。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实现无人值守信号机械室的 智能化自主巡检、环境监控 和安全监控。通过智能识别 算法识别室内信号设备状 态，提高电务巡检工作效率， 保障设备安全。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进一步扩宽公司信号维护领 域的产品线，为无人值守信 号机械室的日常维护提供了 综合解决方案。</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新版电务安全生产 指挥系统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开发基于数字化、自动 化、智能化、智慧化和 可视化的新版电务安全 生产指挥系统。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已初步完成系统研 发并投入试点应用。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将生产、管理信息汇聚和集 中，同时拓展业务管理边界， 实现生产、办公过程的无纸 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进一步提升公司信息化产品 的核心竞争力，实现监测数 据到管理数据的全覆盖。</w:t>
            </w:r>
          </w:p>
        </w:tc>
      </w:tr>
      <w:tr>
        <w:trPr>
          <w:trHeight w:val="255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铁路周界一体化防 护系统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开发基于多传感器融合 的新一代铁路周界一体 化防护系统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项目处于开发阶段， 已完成总体设计和 原型开发。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主要应用于新一代铁路周界 入侵检测项目，以及下一代 基于三维激光雷达的线路障 碍项目，通过多传感器融合 等新兴技术手段实现更高的 技术指标，提供更安全可靠 的产品，为铁路周界防护和 线路异物防护等需求提供技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拓宽公司监测类产品线，适 应新时代下铁路客户的安全 防护需要。</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术保障。</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普速铁路地震监测 预警系统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开发一套满足普速铁路 地震监测需求的地震监 测预警系统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已完成首版研发，正 在进行试点安装。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适应普速铁路运营维护方式 和技术体系，实现普速线路 地震灾害合理、快速、准确 的处置，减小灾害带来的影 响，并具备较高技术经济性。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作为目前高速铁路地震预警 监测系统的补充，拓展公司 地震预警产品的应用范围。</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城轨线网指挥中心 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COCC</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开发基于云平台、大数 据架构的线网指挥系统 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已完成总体设计和 原型开发，按计划实 施中。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满足跨不同运营主体、不同 种类城轨的线网运营指挥需 求的城轨线网指挥中心系 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属于战略性产品，占领智慧 调度领域的核心，提高公司 的技术和业务水平，有利于 巩固城轨综合监控产品的地 位。</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城轨安防集成平台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开发基于容器云架构， 满足国标</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GB/T</w:t>
            </w:r>
          </w:p>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51151-2016</w:t>
            </w:r>
            <w:r>
              <w:rPr>
                <w:color w:val="000000"/>
                <w:spacing w:val="0"/>
                <w:w w:val="100"/>
                <w:position w:val="0"/>
              </w:rPr>
              <w:t>）</w:t>
            </w:r>
            <w:r>
              <w:rPr>
                <w:color w:val="000000"/>
                <w:spacing w:val="0"/>
                <w:w w:val="100"/>
                <w:position w:val="0"/>
              </w:rPr>
              <w:t>的城轨安防 集成平台。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已经初步完成产品， 正在试点应用中。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实现视频监控系统、入侵报 警系统、安全检查与探测系 统、出入口控制系统、电子 巡查系统的统一管理，集合 为一个整体，提升公共安全 技术防范能力，并通过第三 方的检测。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丰富公司产品线，提高产品 竞争力，适应新时代下城轨 公共安全防护需要。</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城轨线网能源管理 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研发线网能源管理系统 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已完成首版研发，试 点应用中。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实现对全线网车站能源的动 态监测，对合理用能和节能 效果进行评估，达到绿色运 营目标。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丰富公司产品线，提高公司 综合竞争力。</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城轨智能运维平台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（综合监控专业）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以综合监控专业维保需 求为基础，研发城轨智 能运维平台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已完成总体设计和 关键组件研发，按计 划实施中。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实现运维模式由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故障修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状态修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的转变，降低运维 人员技能要求，提高运维效 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丰富公司产品线，提高产品 核心竞争力。</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新型铁路信号智能 电源系统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基于智能运维理念及公 司在电源产品的长期技 术沉淀，采用多种新技 术，研制新型铁路信号 智能电源系统。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研制阶段，部分成果 已应用。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进一步提高信号电源系统的 能源效率；解决信号电源系 统全寿命周期的智能化运维 管理问题，大幅减低客户维 护成本及维护难度，促进信 号电源行业技术进步。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增强公司在信号电源领域的 产品竞争优势，完成产品更 新迭代，促进信号电源产品 的智能运维技术进步。</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高铁绝缘子冲洗跟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踪装置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在高铁绝缘子冲洗中引 入独立成套的视觉伺服 及伺服跟踪的全自动高 压水炮。对目标物绝缘 子的有效清洗，并有效 利用和节约水资源的目 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已完成首版研发，试 点应用中。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应用机器视觉图像识别、伺 服跟踪精密控制、水压自适 应冲洗控制等创新技术研发 形成高铁绝缘子全自动水冲 洗车，满足客户在操作水冲 洗作业设备时实现智能化、 自动化、人性化。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丰富公司产品线，完成产品 更新迭代。</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94,445,481.52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67,584,065.93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实施进度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990,232,352.84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685,556,180.98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729,670,456.89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537,994,813.15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260,561,895.95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147,561,367.83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3,620,345.05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53,358,087.35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299,616,398.35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163,071,962.71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-295,996,053.30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-109,713,875.36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59,670,000.00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168,095,660.81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39,254,239.33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-165,095,660.81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20,415,760.67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-200,529,818.16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58,263,253.14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31" w:lineRule="exact"/>
        <w:ind w:left="0" w:right="0" w:firstLine="0"/>
        <w:jc w:val="left"/>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）报告期内，经营活动产生的现金流量净额比上年同期增加</w:t>
      </w:r>
      <w:r>
        <w:rPr>
          <w:rFonts w:ascii="Times New Roman" w:eastAsia="Times New Roman" w:hAnsi="Times New Roman" w:cs="Times New Roman"/>
          <w:color w:val="000000"/>
          <w:spacing w:val="0"/>
          <w:w w:val="100"/>
          <w:position w:val="0"/>
          <w:sz w:val="18"/>
          <w:szCs w:val="18"/>
        </w:rPr>
        <w:t>76.58%</w:t>
      </w:r>
      <w:r>
        <w:rPr>
          <w:color w:val="000000"/>
          <w:spacing w:val="0"/>
          <w:w w:val="100"/>
          <w:position w:val="0"/>
        </w:rPr>
        <w:t>，主要原因是报告期内销售回款增加所致。</w:t>
      </w:r>
    </w:p>
    <w:p>
      <w:pPr>
        <w:pStyle w:val="Style29"/>
        <w:keepNext w:val="0"/>
        <w:keepLines w:val="0"/>
        <w:widowControl w:val="0"/>
        <w:shd w:val="clear" w:color="auto" w:fill="auto"/>
        <w:tabs>
          <w:tab w:pos="440" w:val="left"/>
        </w:tabs>
        <w:bidi w:val="0"/>
        <w:spacing w:before="0" w:after="0" w:line="331" w:lineRule="exact"/>
        <w:ind w:left="0" w:right="0" w:firstLine="0"/>
        <w:jc w:val="center"/>
      </w:pPr>
      <w:bookmarkStart w:id="154" w:name="bookmark154"/>
      <w:r>
        <w:rPr>
          <w:color w:val="000000"/>
          <w:spacing w:val="0"/>
          <w:w w:val="100"/>
          <w:position w:val="0"/>
        </w:rPr>
        <w:t>（</w:t>
      </w:r>
      <w:bookmarkEnd w:id="1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报告期内，公司投资活动产生的现金流量净额比上年同期减少</w:t>
      </w:r>
      <w:r>
        <w:rPr>
          <w:rFonts w:ascii="Times New Roman" w:eastAsia="Times New Roman" w:hAnsi="Times New Roman" w:cs="Times New Roman"/>
          <w:color w:val="000000"/>
          <w:spacing w:val="0"/>
          <w:w w:val="100"/>
          <w:position w:val="0"/>
          <w:sz w:val="18"/>
          <w:szCs w:val="18"/>
        </w:rPr>
        <w:t>169.79%</w:t>
      </w:r>
      <w:r>
        <w:rPr>
          <w:color w:val="000000"/>
          <w:spacing w:val="0"/>
          <w:w w:val="100"/>
          <w:position w:val="0"/>
        </w:rPr>
        <w:t>，主要原因系报告期购买理财未到期所致。</w:t>
      </w:r>
    </w:p>
    <w:p>
      <w:pPr>
        <w:pStyle w:val="Style29"/>
        <w:keepNext w:val="0"/>
        <w:keepLines w:val="0"/>
        <w:widowControl w:val="0"/>
        <w:shd w:val="clear" w:color="auto" w:fill="auto"/>
        <w:tabs>
          <w:tab w:pos="685" w:val="left"/>
        </w:tabs>
        <w:bidi w:val="0"/>
        <w:spacing w:before="0" w:after="0" w:line="331" w:lineRule="exact"/>
        <w:ind w:left="0" w:right="0" w:firstLine="160"/>
        <w:jc w:val="left"/>
      </w:pPr>
      <w:bookmarkStart w:id="155" w:name="bookmark155"/>
      <w:r>
        <w:rPr>
          <w:color w:val="000000"/>
          <w:spacing w:val="0"/>
          <w:w w:val="100"/>
          <w:position w:val="0"/>
        </w:rPr>
        <w:t>（</w:t>
      </w:r>
      <w:bookmarkEnd w:id="1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报告期内，公司筹资活动产生的现金流量净额比上年同期减少</w:t>
      </w:r>
      <w:r>
        <w:rPr>
          <w:rFonts w:ascii="Times New Roman" w:eastAsia="Times New Roman" w:hAnsi="Times New Roman" w:cs="Times New Roman"/>
          <w:color w:val="000000"/>
          <w:spacing w:val="0"/>
          <w:w w:val="100"/>
          <w:position w:val="0"/>
          <w:sz w:val="18"/>
          <w:szCs w:val="18"/>
        </w:rPr>
        <w:t>908.67%</w:t>
      </w:r>
      <w:r>
        <w:rPr>
          <w:color w:val="000000"/>
          <w:spacing w:val="0"/>
          <w:w w:val="100"/>
          <w:position w:val="0"/>
        </w:rPr>
        <w:t>，主要原因系报告期回购股份支付现金增加所 致。</w:t>
      </w:r>
    </w:p>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6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五</w:t>
      </w:r>
      <w:bookmarkEnd w:id="158"/>
      <w:r>
        <w:rPr>
          <w:color w:val="000000"/>
          <w:spacing w:val="0"/>
          <w:w w:val="100"/>
          <w:position w:val="0"/>
        </w:rPr>
        <w:t>、非主营业务分析</w:t>
      </w:r>
      <w:bookmarkEnd w:id="156"/>
      <w:bookmarkEnd w:id="157"/>
      <w:bookmarkEnd w:id="159"/>
    </w:p>
    <w:p>
      <w:pPr>
        <w:pStyle w:val="Style29"/>
        <w:keepNext w:val="0"/>
        <w:keepLines w:val="0"/>
        <w:widowControl w:val="0"/>
        <w:shd w:val="clear" w:color="auto" w:fill="auto"/>
        <w:bidi w:val="0"/>
        <w:spacing w:before="0" w:after="140" w:line="33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1,785,579.15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权益法核算的长期股权投 资收益；交易性金融资产、 债权投资持有期间的投资 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28,544,563.14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飞天联合计 提减值准备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20,073,187.80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搬迁补偿款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25,800,118.45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公司厂区搬迁，旧厂区报废 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10,181,056.59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应收款项计提坏账准备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六</w:t>
      </w:r>
      <w:bookmarkEnd w:id="162"/>
      <w:r>
        <w:rPr>
          <w:color w:val="000000"/>
          <w:spacing w:val="0"/>
          <w:w w:val="100"/>
          <w:position w:val="0"/>
        </w:rPr>
        <w:t>、资产及负债状况分析</w:t>
      </w:r>
      <w:bookmarkEnd w:id="160"/>
      <w:bookmarkEnd w:id="161"/>
      <w:bookmarkEnd w:id="163"/>
    </w:p>
    <w:p>
      <w:pPr>
        <w:pStyle w:val="Style33"/>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1</w:t>
      </w:r>
      <w:bookmarkEnd w:id="166"/>
      <w:r>
        <w:rPr>
          <w:color w:val="000000"/>
          <w:spacing w:val="0"/>
          <w:w w:val="100"/>
          <w:position w:val="0"/>
        </w:rPr>
        <w:t>、资产构成重大变动情况</w:t>
      </w:r>
      <w:bookmarkEnd w:id="164"/>
      <w:bookmarkEnd w:id="165"/>
      <w:bookmarkEnd w:id="1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197,076,299.9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391,608,066.80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463,267,132.6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456,156,171.71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388,089,357.3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333,110,434.83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4,838,121.73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35,845,613.20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392,585,194.1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157,156,782.78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86,447,308.59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294,274,547.32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265,105,111.8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102,678,744.33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2</w:t>
      </w:r>
      <w:bookmarkEnd w:id="170"/>
      <w:r>
        <w:rPr>
          <w:color w:val="000000"/>
          <w:spacing w:val="0"/>
          <w:w w:val="100"/>
          <w:position w:val="0"/>
        </w:rPr>
        <w:t>、以公允价值计量的资产和负债</w:t>
      </w:r>
      <w:bookmarkEnd w:id="168"/>
      <w:bookmarkEnd w:id="169"/>
      <w:bookmarkEnd w:id="17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本期计提的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180,750,651.4</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476,750,651.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-109,765,900.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20,234,100.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200,984,751.4</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-109,765,900.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476,750,651.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240,234,100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其他非流动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200,984,751.4</w:t>
            </w:r>
          </w:p>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-129,765,900.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476,750,651.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240,234,100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截止到报告期末，公司保函保证金受限制的货币资金</w:t>
      </w:r>
      <w:r>
        <w:rPr>
          <w:rFonts w:ascii="Times New Roman" w:eastAsia="Times New Roman" w:hAnsi="Times New Roman" w:cs="Times New Roman"/>
          <w:color w:val="000000"/>
          <w:spacing w:val="0"/>
          <w:w w:val="100"/>
          <w:position w:val="0"/>
          <w:sz w:val="20"/>
          <w:szCs w:val="20"/>
        </w:rPr>
        <w:t>31,772,370.84</w:t>
      </w:r>
      <w:r>
        <w:rPr>
          <w:color w:val="000000"/>
          <w:spacing w:val="0"/>
          <w:w w:val="100"/>
          <w:position w:val="0"/>
          <w:sz w:val="20"/>
          <w:szCs w:val="20"/>
        </w:rPr>
        <w:t>元。</w:t>
      </w:r>
    </w:p>
    <w:p>
      <w:pPr>
        <w:pStyle w:val="Style24"/>
        <w:keepNext/>
        <w:keepLines/>
        <w:widowControl w:val="0"/>
        <w:shd w:val="clear" w:color="auto" w:fill="auto"/>
        <w:bidi w:val="0"/>
        <w:spacing w:before="0" w:after="36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七</w:t>
      </w:r>
      <w:bookmarkEnd w:id="178"/>
      <w:r>
        <w:rPr>
          <w:color w:val="000000"/>
          <w:spacing w:val="0"/>
          <w:w w:val="100"/>
          <w:position w:val="0"/>
        </w:rPr>
        <w:t>、投资状况分析</w:t>
      </w:r>
      <w:bookmarkEnd w:id="176"/>
      <w:bookmarkEnd w:id="177"/>
      <w:bookmarkEnd w:id="179"/>
    </w:p>
    <w:p>
      <w:pPr>
        <w:pStyle w:val="Style33"/>
        <w:keepNext/>
        <w:keepLines/>
        <w:widowControl w:val="0"/>
        <w:shd w:val="clear" w:color="auto" w:fill="auto"/>
        <w:bidi w:val="0"/>
        <w:spacing w:before="0" w:after="36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、总体情况</w:t>
      </w:r>
      <w:bookmarkEnd w:id="180"/>
      <w:bookmarkEnd w:id="181"/>
      <w:bookmarkEnd w:id="18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54,645,573.04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64,314,539.96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、报告期内获取的重大的股权投资情况</w:t>
      </w:r>
      <w:bookmarkEnd w:id="184"/>
      <w:bookmarkEnd w:id="185"/>
      <w:bookmarkEnd w:id="18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、报告期内正在进行的重大的非股权投资情况</w:t>
      </w:r>
      <w:bookmarkEnd w:id="188"/>
      <w:bookmarkEnd w:id="189"/>
      <w:bookmarkEnd w:id="19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9"/>
        <w:gridCol w:w="725"/>
        <w:gridCol w:w="744"/>
        <w:gridCol w:w="734"/>
        <w:gridCol w:w="739"/>
        <w:gridCol w:w="734"/>
        <w:gridCol w:w="730"/>
        <w:gridCol w:w="739"/>
        <w:gridCol w:w="749"/>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工程主 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新厂 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铁路通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信信号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 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投资建 设智能 微电网 及储能 技术研 发中心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网《关于 投资建 设智能 微电网 及储能 技术研 发中心 项目的</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（公告</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编号：</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54,645,5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、金融资产投资</w:t>
      </w:r>
      <w:bookmarkEnd w:id="192"/>
      <w:bookmarkEnd w:id="193"/>
      <w:bookmarkEnd w:id="195"/>
    </w:p>
    <w:p>
      <w:pPr>
        <w:pStyle w:val="Style47"/>
        <w:keepNext/>
        <w:keepLines/>
        <w:widowControl w:val="0"/>
        <w:shd w:val="clear" w:color="auto" w:fill="auto"/>
        <w:tabs>
          <w:tab w:pos="493" w:val="left"/>
        </w:tabs>
        <w:bidi w:val="0"/>
        <w:spacing w:before="0" w:line="240" w:lineRule="auto"/>
        <w:ind w:left="0" w:right="0" w:firstLine="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6"/>
      <w:bookmarkEnd w:id="197"/>
      <w:bookmarkEnd w:id="19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公司报告期不存在证券投资。</w:t>
      </w:r>
    </w:p>
    <w:p>
      <w:pPr>
        <w:pStyle w:val="Style47"/>
        <w:keepNext/>
        <w:keepLines/>
        <w:widowControl w:val="0"/>
        <w:shd w:val="clear" w:color="auto" w:fill="auto"/>
        <w:tabs>
          <w:tab w:pos="493"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0"/>
      <w:bookmarkEnd w:id="201"/>
      <w:bookmarkEnd w:id="20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公司报告期不存在衍生品投资。</w:t>
      </w:r>
    </w:p>
    <w:p>
      <w:pPr>
        <w:pStyle w:val="Style33"/>
        <w:keepNext/>
        <w:keepLines/>
        <w:widowControl w:val="0"/>
        <w:shd w:val="clear" w:color="auto" w:fill="auto"/>
        <w:bidi w:val="0"/>
        <w:spacing w:before="0" w:line="240" w:lineRule="auto"/>
        <w:ind w:left="0" w:right="0" w:firstLine="0"/>
        <w:jc w:val="both"/>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、募集资金使用情况</w:t>
      </w:r>
      <w:bookmarkEnd w:id="204"/>
      <w:bookmarkEnd w:id="205"/>
      <w:bookmarkEnd w:id="20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8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非公开发 行人民币 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9,152.35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存储于募</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集资金专 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9,152.35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5"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840"/>
              <w:jc w:val="left"/>
            </w:pPr>
            <w:r>
              <w:rPr>
                <w:color w:val="000000"/>
                <w:spacing w:val="0"/>
                <w:w w:val="100"/>
                <w:position w:val="0"/>
              </w:rPr>
              <w:t xml:space="preserve">经中国证券监督管理委员会《关于核准河南辉煌科技股份有限公司非公开发行股票的批复》（证监发行许可 </w:t>
            </w:r>
            <w:r>
              <w:rPr>
                <w:rFonts w:ascii="Times New Roman" w:eastAsia="Times New Roman" w:hAnsi="Times New Roman" w:cs="Times New Roman"/>
                <w:color w:val="000000"/>
                <w:spacing w:val="0"/>
                <w:w w:val="100"/>
                <w:position w:val="0"/>
                <w:sz w:val="18"/>
                <w:szCs w:val="18"/>
              </w:rPr>
              <w:t xml:space="preserve">[2013 </w:t>
            </w:r>
            <w:r>
              <w:rPr>
                <w:rFonts w:ascii="Times New Roman" w:eastAsia="Times New Roman" w:hAnsi="Times New Roman" w:cs="Times New Roman"/>
                <w:color w:val="000000"/>
                <w:spacing w:val="0"/>
                <w:w w:val="100"/>
                <w:position w:val="0"/>
                <w:sz w:val="18"/>
                <w:szCs w:val="18"/>
              </w:rPr>
              <w:t>]1179</w:t>
            </w:r>
            <w:r>
              <w:rPr>
                <w:color w:val="000000"/>
                <w:spacing w:val="0"/>
                <w:w w:val="100"/>
                <w:position w:val="0"/>
              </w:rPr>
              <w:t>号）核准，并经深圳证券交易所同意，辉煌科技由主承销商中原证券股份有限公司于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日以非 公开发行股票的方式向特定投资者发行普通股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4,382.76</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w:t>
            </w:r>
            <w:r>
              <w:rPr>
                <w:rFonts w:ascii="Times New Roman" w:eastAsia="Times New Roman" w:hAnsi="Times New Roman" w:cs="Times New Roman"/>
                <w:color w:val="000000"/>
                <w:spacing w:val="0"/>
                <w:w w:val="100"/>
                <w:position w:val="0"/>
                <w:sz w:val="18"/>
                <w:szCs w:val="18"/>
              </w:rPr>
              <w:t>16.28</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日止，公司共募集资金</w:t>
            </w:r>
            <w:r>
              <w:rPr>
                <w:rFonts w:ascii="Times New Roman" w:eastAsia="Times New Roman" w:hAnsi="Times New Roman" w:cs="Times New Roman"/>
                <w:color w:val="000000"/>
                <w:spacing w:val="0"/>
                <w:w w:val="100"/>
                <w:position w:val="0"/>
                <w:sz w:val="18"/>
                <w:szCs w:val="18"/>
              </w:rPr>
              <w:t>713,513,328.00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20,590,289.12</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692,923,038.88</w:t>
            </w:r>
            <w:r>
              <w:rPr>
                <w:color w:val="000000"/>
                <w:spacing w:val="0"/>
                <w:w w:val="100"/>
                <w:position w:val="0"/>
              </w:rPr>
              <w:t>元。 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日，公司上述发行募集的资金已全部到位，业经大华会计师事务所（特殊普通合伙）以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大华验字 </w:t>
            </w:r>
            <w:r>
              <w:rPr>
                <w:rFonts w:ascii="Times New Roman" w:eastAsia="Times New Roman" w:hAnsi="Times New Roman" w:cs="Times New Roman"/>
                <w:color w:val="000000"/>
                <w:spacing w:val="0"/>
                <w:w w:val="100"/>
                <w:position w:val="0"/>
                <w:sz w:val="18"/>
                <w:szCs w:val="18"/>
              </w:rPr>
              <w:t>[2013]000325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验资报告验证确认。</w:t>
            </w:r>
          </w:p>
          <w:p>
            <w:pPr>
              <w:pStyle w:val="Style21"/>
              <w:keepNext w:val="0"/>
              <w:keepLines w:val="0"/>
              <w:widowControl w:val="0"/>
              <w:shd w:val="clear" w:color="auto" w:fill="auto"/>
              <w:bidi w:val="0"/>
              <w:spacing w:before="0" w:after="0" w:line="310" w:lineRule="exact"/>
              <w:ind w:left="0" w:right="0" w:firstLine="6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日，公司募集资金本年度投入使用</w:t>
            </w:r>
            <w:r>
              <w:rPr>
                <w:rFonts w:ascii="Times New Roman" w:eastAsia="Times New Roman" w:hAnsi="Times New Roman" w:cs="Times New Roman"/>
                <w:color w:val="000000"/>
                <w:spacing w:val="0"/>
                <w:w w:val="100"/>
                <w:position w:val="0"/>
                <w:sz w:val="18"/>
                <w:szCs w:val="18"/>
              </w:rPr>
              <w:t>91,523,535.79</w:t>
            </w:r>
            <w:r>
              <w:rPr>
                <w:color w:val="000000"/>
                <w:spacing w:val="0"/>
                <w:w w:val="100"/>
                <w:position w:val="0"/>
              </w:rPr>
              <w:t>元，累计投入使用</w:t>
            </w:r>
            <w:r>
              <w:rPr>
                <w:rFonts w:ascii="Times New Roman" w:eastAsia="Times New Roman" w:hAnsi="Times New Roman" w:cs="Times New Roman"/>
                <w:color w:val="000000"/>
                <w:spacing w:val="0"/>
                <w:w w:val="100"/>
                <w:position w:val="0"/>
                <w:sz w:val="18"/>
                <w:szCs w:val="18"/>
              </w:rPr>
              <w:t>454,035,215.49</w:t>
            </w:r>
            <w:r>
              <w:rPr>
                <w:color w:val="000000"/>
                <w:spacing w:val="0"/>
                <w:w w:val="100"/>
                <w:position w:val="0"/>
              </w:rPr>
              <w:t>元；以前</w:t>
            </w:r>
          </w:p>
        </w:tc>
      </w:tr>
    </w:tbl>
    <w:p>
      <w:pPr>
        <w:spacing w:lineRule="exact" w:line="1"/>
        <w:rPr>
          <w:sz w:val="2"/>
          <w:szCs w:val="2"/>
        </w:rPr>
      </w:pPr>
      <w:r>
        <w:br w:type="page"/>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2" w:lineRule="exact"/>
        <w:ind w:left="0" w:right="0" w:firstLine="0"/>
        <w:jc w:val="left"/>
      </w:pPr>
      <w:r>
        <w:rPr>
          <w:color w:val="000000"/>
          <w:spacing w:val="0"/>
          <w:w w:val="100"/>
          <w:position w:val="0"/>
        </w:rPr>
        <w:t>年度变更部分募集资金用途并永久补充流动资金</w:t>
      </w:r>
      <w:r>
        <w:rPr>
          <w:rFonts w:ascii="Times New Roman" w:eastAsia="Times New Roman" w:hAnsi="Times New Roman" w:cs="Times New Roman"/>
          <w:color w:val="000000"/>
          <w:spacing w:val="0"/>
          <w:w w:val="100"/>
          <w:position w:val="0"/>
          <w:sz w:val="18"/>
          <w:szCs w:val="18"/>
        </w:rPr>
        <w:t>317,012,502.23</w:t>
      </w:r>
      <w:r>
        <w:rPr>
          <w:color w:val="000000"/>
          <w:spacing w:val="0"/>
          <w:w w:val="100"/>
          <w:position w:val="0"/>
        </w:rPr>
        <w:t>元（含承诺募投项目本金</w:t>
      </w:r>
      <w:r>
        <w:rPr>
          <w:rFonts w:ascii="Times New Roman" w:eastAsia="Times New Roman" w:hAnsi="Times New Roman" w:cs="Times New Roman"/>
          <w:color w:val="000000"/>
          <w:spacing w:val="0"/>
          <w:w w:val="100"/>
          <w:position w:val="0"/>
          <w:sz w:val="18"/>
          <w:szCs w:val="18"/>
        </w:rPr>
        <w:t>267,348,000.00</w:t>
      </w:r>
      <w:r>
        <w:rPr>
          <w:color w:val="000000"/>
          <w:spacing w:val="0"/>
          <w:w w:val="100"/>
          <w:position w:val="0"/>
        </w:rPr>
        <w:t xml:space="preserve">元，利息收入 </w:t>
      </w:r>
      <w:r>
        <w:rPr>
          <w:rFonts w:ascii="Times New Roman" w:eastAsia="Times New Roman" w:hAnsi="Times New Roman" w:cs="Times New Roman"/>
          <w:color w:val="000000"/>
          <w:spacing w:val="0"/>
          <w:w w:val="100"/>
          <w:position w:val="0"/>
          <w:sz w:val="18"/>
          <w:szCs w:val="18"/>
        </w:rPr>
        <w:t>49,664,502.23</w:t>
      </w:r>
      <w:r>
        <w:rPr>
          <w:color w:val="000000"/>
          <w:spacing w:val="0"/>
          <w:w w:val="100"/>
          <w:position w:val="0"/>
        </w:rPr>
        <w:t>元）；募集资金余额（包含募集资金利息收入）为人民币</w:t>
      </w:r>
      <w:r>
        <w:rPr>
          <w:rFonts w:ascii="Times New Roman" w:eastAsia="Times New Roman" w:hAnsi="Times New Roman" w:cs="Times New Roman"/>
          <w:color w:val="000000"/>
          <w:spacing w:val="0"/>
          <w:w w:val="100"/>
          <w:position w:val="0"/>
          <w:sz w:val="18"/>
          <w:szCs w:val="18"/>
        </w:rPr>
        <w:t>12,237,063.97</w:t>
      </w:r>
      <w:r>
        <w:rPr>
          <w:color w:val="000000"/>
          <w:spacing w:val="0"/>
          <w:w w:val="100"/>
          <w:position w:val="0"/>
        </w:rPr>
        <w:t>元。</w:t>
      </w:r>
    </w:p>
    <w:p>
      <w:pPr>
        <w:pStyle w:val="Style47"/>
        <w:keepNext/>
        <w:keepLines/>
        <w:widowControl w:val="0"/>
        <w:shd w:val="clear" w:color="auto" w:fill="auto"/>
        <w:bidi w:val="0"/>
        <w:spacing w:before="0" w:after="40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2"/>
      <w:bookmarkEnd w:id="213"/>
      <w:bookmarkEnd w:id="21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21"/>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1"/>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铁路灾害监测及预警 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铁路综合视频监控系 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智能综合监控系统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轨道交通运营安全服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45,403.52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9,152.35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45,403.52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募集资金投资项目的建设地址均在新厂区（地址：郑州市高新技术产业开发区科学大道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号，即 科学大道北、雪兰路东地块），新厂区的基建工程前期相关建设手续办理缓慢，且基建工程开工以来， 郑州地区每年因环保问题需要按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封土令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和相关管控要求分阶段随时停工，公司针对上述情况不断 调整并优化工程方案，积极加快推进基建工程进度，但公司新厂区的工程建设进度仍滞后于募投项 目计划。为尽快完成轨道交通运营安全服务系统和铁路综合视频监控系统两个募投项目的实施，结 合新厂区基建工程的最新项目计划，经公司审慎研究，决定将上述两个募投项目达到预定可使用状 态的日期延期调整到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日，项目的其他内容均保持不变。具体情况详见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日巨潮资讯网《关于调整募集资金投资项目实施进度的公告》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2019-044</w:t>
            </w:r>
            <w:r>
              <w:rPr>
                <w:color w:val="000000"/>
                <w:spacing w:val="0"/>
                <w:w w:val="100"/>
                <w:position w:val="0"/>
              </w:rPr>
              <w:t>）</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日，铁路综合视频监控系统和轨道交通运营安全服务系统两个募集资金投资项目已完成建设，达到 了预定可使用状态。</w:t>
            </w:r>
          </w:p>
        </w:tc>
      </w:tr>
      <w:tr>
        <w:trPr>
          <w:trHeight w:val="16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年度，铁路灾害监测及预警系统和智能综合监控系统两个募投项目所面临的市场空间及竞争格 局与募集资金到位时相比已发生了较为重大的变化，继续进行大规模软硬件和研发投入将面临较大 风险，无法保障相应投资收益，故已无必要对上述两个募投项目再进行大规模的募集资金投入。上 述事项业经公司第六届董事会第十五次会议和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年度第一次临时股东大会审议通过，公司保留 了其基础建设投资部分，取消了上述两个项目其余募集资金的投资并进行永久补充流动资金，具体</w:t>
            </w:r>
          </w:p>
        </w:tc>
      </w:tr>
    </w:tbl>
    <w:p>
      <w:pPr>
        <w:spacing w:lineRule="exact" w:line="1"/>
        <w:rPr>
          <w:sz w:val="2"/>
          <w:szCs w:val="2"/>
        </w:rPr>
      </w:pPr>
      <w:r>
        <w:br w:type="page"/>
      </w:r>
    </w:p>
    <w:tbl>
      <w:tblPr>
        <w:tblOverlap w:val="never"/>
        <w:jc w:val="center"/>
        <w:tblLayout w:type="fixed"/>
      </w:tblPr>
      <w:tblGrid>
        <w:gridCol w:w="1766"/>
        <w:gridCol w:w="781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情况详见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日巨潮资讯网《关于变更部分募集资金用途并永久补充流动资金的公告》 （</w:t>
            </w:r>
            <w:r>
              <w:rPr>
                <w:rFonts w:ascii="Times New Roman" w:eastAsia="Times New Roman" w:hAnsi="Times New Roman" w:cs="Times New Roman"/>
                <w:color w:val="000000"/>
                <w:spacing w:val="0"/>
                <w:w w:val="100"/>
                <w:position w:val="0"/>
                <w:sz w:val="18"/>
                <w:szCs w:val="18"/>
              </w:rPr>
              <w:t>2018-056</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年非公开发行募集资金投资项目进度，有部分募集资金在一段时间内处于闲置状态。 本着股东利益最大化，节约公司财务成本的考虑，经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日公司董事会第三次会议批准，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年公司使用闲置募集资金</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万元暂时补充流动资金，使用期限为批准之日起不超过十二 个月，使用期限届满之前，公司将及时把资金归还至募集资金专项账户。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日，公司已分别将暂时补充流动资金的募集资金人民币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万元提前全部归还至募集资金专项账户，使用期限未超过十二个月。截止本报告期末， 公司无正在使用闲置募集资金暂时补充流动资金情况。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存储于募集资金专户及进行现金管理。</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6"/>
      <w:bookmarkEnd w:id="217"/>
      <w:bookmarkEnd w:id="21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八</w:t>
      </w:r>
      <w:bookmarkEnd w:id="222"/>
      <w:r>
        <w:rPr>
          <w:color w:val="000000"/>
          <w:spacing w:val="0"/>
          <w:w w:val="100"/>
          <w:position w:val="0"/>
        </w:rPr>
        <w:t>、重大资产和股权出售</w:t>
      </w:r>
      <w:bookmarkEnd w:id="220"/>
      <w:bookmarkEnd w:id="221"/>
      <w:bookmarkEnd w:id="223"/>
    </w:p>
    <w:p>
      <w:pPr>
        <w:pStyle w:val="Style33"/>
        <w:keepNext/>
        <w:keepLines/>
        <w:widowControl w:val="0"/>
        <w:shd w:val="clear" w:color="auto" w:fill="auto"/>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、出售重大资产情况</w:t>
      </w:r>
      <w:bookmarkEnd w:id="224"/>
      <w:bookmarkEnd w:id="225"/>
      <w:bookmarkEnd w:id="22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r>
        <w:br w:type="page"/>
      </w:r>
    </w:p>
    <w:p>
      <w:pPr>
        <w:pStyle w:val="Style33"/>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、出售重大股权情况</w:t>
      </w:r>
      <w:bookmarkEnd w:id="228"/>
      <w:bookmarkEnd w:id="229"/>
      <w:bookmarkEnd w:id="23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九</w:t>
      </w:r>
      <w:bookmarkEnd w:id="234"/>
      <w:r>
        <w:rPr>
          <w:color w:val="000000"/>
          <w:spacing w:val="0"/>
          <w:w w:val="100"/>
          <w:position w:val="0"/>
        </w:rPr>
        <w:t>、主要控股参股公司分析</w:t>
      </w:r>
      <w:bookmarkEnd w:id="232"/>
      <w:bookmarkEnd w:id="233"/>
      <w:bookmarkEnd w:id="23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7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生产（制造） 铁路专用设 备及器材、 配件；其他 输配电及控 制设备、电 子产品、机 电设备、专 用设备（限 在外阜从事 生产经营活 动）；技术开 发、技术转 让、技术服 务、技术咨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北京国铁路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阳技术有限</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询；产品设</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277,079,308.</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169,267,301.</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77,469,495.6</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-14,158,436.</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-13,434,548.</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计；销售铁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2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路专用设备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及器材、机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械设备、计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算机软硬件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及辅助设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备、金属材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料、五金交</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电、电子产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品、机电设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备、专用设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备；货物进</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出口、技术 进出口、代</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理进出口。</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38"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（市场主体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依法自主选</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择经营项 目，开展经 营活动；依 法须经批准 的项目，经 相关部门批 准后依批准 的内容开展 经营活动； 不得从事国 家和本市产 业政策禁止 和限制类项 目的经营活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飞天联合（北 京）系统技术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 技术咨询、 技术转让、 技术服务； 销售计算 机、软件及 辅助设备、 通讯设备、 电子产品、 器件和元 件、仪器仪 表；计算机 系统服务； 经济贸易咨 询；货物进 出口、技术 进出口、代 理进出口； 从事互联网 文化活动。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（企业依法 自主选择经 营项目，开 展经营活 动；从事互 联网文化活 动以及依法 须经批准的 项目，经相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61,156,131.0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143,126,979.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51,037,937.2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30,812,989.2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-41,009,653.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-41,740,584.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bl>
    <w:tbl>
      <w:tblPr>
        <w:tblOverlap w:val="never"/>
        <w:jc w:val="center"/>
        <w:tblLayout w:type="fixed"/>
      </w:tblPr>
      <w:tblGrid>
        <w:gridCol w:w="1061"/>
        <w:gridCol w:w="1195"/>
        <w:gridCol w:w="1042"/>
        <w:gridCol w:w="1046"/>
        <w:gridCol w:w="1046"/>
        <w:gridCol w:w="1046"/>
        <w:gridCol w:w="1046"/>
        <w:gridCol w:w="1042"/>
        <w:gridCol w:w="1056"/>
      </w:tblGrid>
      <w:tr>
        <w:trPr>
          <w:trHeight w:val="28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关部门批准 后依批准的 内容开展经 营活动；不 得从事本市 产业政策禁 止和限制类 项目的经营 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全资子公司国铁路阳主营铁路电源系统整体解决方案及信号器材设备的研发生产和销售，报告期内，公司在严控各项 管理费用支出的同时，加大研发投入，实现营业收入较上年减少</w:t>
      </w:r>
      <w:r>
        <w:rPr>
          <w:rFonts w:ascii="Times New Roman" w:eastAsia="Times New Roman" w:hAnsi="Times New Roman" w:cs="Times New Roman"/>
          <w:color w:val="000000"/>
          <w:spacing w:val="0"/>
          <w:w w:val="100"/>
          <w:position w:val="0"/>
          <w:sz w:val="18"/>
          <w:szCs w:val="18"/>
        </w:rPr>
        <w:t>27.81%</w:t>
      </w:r>
      <w:r>
        <w:rPr>
          <w:color w:val="000000"/>
          <w:spacing w:val="0"/>
          <w:w w:val="100"/>
          <w:position w:val="0"/>
        </w:rPr>
        <w:t>，净利润较上年减少</w:t>
      </w:r>
      <w:r>
        <w:rPr>
          <w:rFonts w:ascii="Times New Roman" w:eastAsia="Times New Roman" w:hAnsi="Times New Roman" w:cs="Times New Roman"/>
          <w:color w:val="000000"/>
          <w:spacing w:val="0"/>
          <w:w w:val="100"/>
          <w:position w:val="0"/>
          <w:sz w:val="18"/>
          <w:szCs w:val="18"/>
        </w:rPr>
        <w:t>24.85%</w:t>
      </w:r>
      <w:r>
        <w:rPr>
          <w:color w:val="000000"/>
          <w:spacing w:val="0"/>
          <w:w w:val="100"/>
          <w:position w:val="0"/>
        </w:rPr>
        <w:t>。</w:t>
      </w:r>
    </w:p>
    <w:p>
      <w:pPr>
        <w:pStyle w:val="Style29"/>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参股公司飞天联合是中国领先的机上互联系统整体解决方案提供商，专注于提供民用航空领域的电子软硬件产品和服 务。截止报告期末，公司持有飞天联合股权比例为</w:t>
      </w:r>
      <w:r>
        <w:rPr>
          <w:rFonts w:ascii="Times New Roman" w:eastAsia="Times New Roman" w:hAnsi="Times New Roman" w:cs="Times New Roman"/>
          <w:color w:val="000000"/>
          <w:spacing w:val="0"/>
          <w:w w:val="100"/>
          <w:position w:val="0"/>
          <w:sz w:val="18"/>
          <w:szCs w:val="18"/>
        </w:rPr>
        <w:t>18.08%</w:t>
      </w:r>
      <w:r>
        <w:rPr>
          <w:color w:val="000000"/>
          <w:spacing w:val="0"/>
          <w:w w:val="100"/>
          <w:position w:val="0"/>
        </w:rPr>
        <w:t>。受新冠疫情反复影响，对全球民航业的影响持续，各大航空公 司经营业绩恶化，对飞天联合的业务推进带来了极大挑战，本报告期实现营业收入同比实现增长，净利润延续亏损，参考北 京中天华资产评估有限责任公司以资产负债表日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日为基准日对公司持有飞天联合</w:t>
      </w:r>
      <w:r>
        <w:rPr>
          <w:rFonts w:ascii="Times New Roman" w:eastAsia="Times New Roman" w:hAnsi="Times New Roman" w:cs="Times New Roman"/>
          <w:color w:val="000000"/>
          <w:spacing w:val="0"/>
          <w:w w:val="100"/>
          <w:position w:val="0"/>
          <w:sz w:val="18"/>
          <w:szCs w:val="18"/>
        </w:rPr>
        <w:t>18.08%</w:t>
      </w:r>
      <w:r>
        <w:rPr>
          <w:color w:val="000000"/>
          <w:spacing w:val="0"/>
          <w:w w:val="100"/>
          <w:position w:val="0"/>
        </w:rPr>
        <w:t>股权可收回金额进行 了评估，并出具编号为中天华资评报字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10331</w:t>
      </w:r>
      <w:r>
        <w:rPr>
          <w:color w:val="000000"/>
          <w:spacing w:val="0"/>
          <w:w w:val="100"/>
          <w:position w:val="0"/>
        </w:rPr>
        <w:t>号的《资产评估报告》，对该项长期股权投资计提减值准备</w:t>
      </w:r>
      <w:r>
        <w:rPr>
          <w:rFonts w:ascii="Times New Roman" w:eastAsia="Times New Roman" w:hAnsi="Times New Roman" w:cs="Times New Roman"/>
          <w:color w:val="000000"/>
          <w:spacing w:val="0"/>
          <w:w w:val="100"/>
          <w:position w:val="0"/>
          <w:sz w:val="18"/>
          <w:szCs w:val="18"/>
        </w:rPr>
        <w:t>2,854.46</w:t>
      </w:r>
      <w:r>
        <w:rPr>
          <w:color w:val="000000"/>
          <w:spacing w:val="0"/>
          <w:w w:val="100"/>
          <w:position w:val="0"/>
        </w:rPr>
        <w:t>万 元。</w:t>
      </w:r>
    </w:p>
    <w:p>
      <w:pPr>
        <w:pStyle w:val="Style24"/>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r>
        <w:rPr>
          <w:color w:val="000000"/>
          <w:spacing w:val="0"/>
          <w:w w:val="100"/>
          <w:position w:val="0"/>
        </w:rPr>
        <w:t>十、公司控制的结构化主体情况</w:t>
      </w:r>
      <w:bookmarkEnd w:id="236"/>
      <w:bookmarkEnd w:id="237"/>
      <w:bookmarkEnd w:id="238"/>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39" w:name="bookmark239"/>
      <w:bookmarkStart w:id="240" w:name="bookmark240"/>
      <w:bookmarkStart w:id="241" w:name="bookmark241"/>
      <w:r>
        <w:rPr>
          <w:color w:val="000000"/>
          <w:spacing w:val="0"/>
          <w:w w:val="100"/>
          <w:position w:val="0"/>
        </w:rPr>
        <w:t>十一、公司未来发展的展望</w:t>
      </w:r>
      <w:bookmarkEnd w:id="239"/>
      <w:bookmarkEnd w:id="240"/>
      <w:bookmarkEnd w:id="241"/>
    </w:p>
    <w:p>
      <w:pPr>
        <w:pStyle w:val="Style29"/>
        <w:keepNext w:val="0"/>
        <w:keepLines w:val="0"/>
        <w:widowControl w:val="0"/>
        <w:shd w:val="clear" w:color="auto" w:fill="auto"/>
        <w:bidi w:val="0"/>
        <w:spacing w:before="0" w:after="0" w:line="311" w:lineRule="exact"/>
        <w:ind w:left="0" w:right="0" w:firstLine="440"/>
        <w:jc w:val="left"/>
      </w:pPr>
      <w:bookmarkStart w:id="242" w:name="bookmark242"/>
      <w:r>
        <w:rPr>
          <w:b/>
          <w:bCs/>
          <w:color w:val="000000"/>
          <w:spacing w:val="0"/>
          <w:w w:val="100"/>
          <w:position w:val="0"/>
        </w:rPr>
        <w:t>（</w:t>
      </w:r>
      <w:bookmarkEnd w:id="242"/>
      <w:r>
        <w:rPr>
          <w:b/>
          <w:bCs/>
          <w:color w:val="000000"/>
          <w:spacing w:val="0"/>
          <w:w w:val="100"/>
          <w:position w:val="0"/>
        </w:rPr>
        <w:t>一）行业格局及趋势</w:t>
      </w:r>
    </w:p>
    <w:p>
      <w:pPr>
        <w:pStyle w:val="Style29"/>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新冠肺炎疫情肆虐全球已近两年，致使国内宏观经济稳增长的压力更加明显，对于轨道交通行业来说机遇与挑战并存。</w:t>
      </w:r>
    </w:p>
    <w:p>
      <w:pPr>
        <w:pStyle w:val="Style29"/>
        <w:keepNext w:val="0"/>
        <w:keepLines w:val="0"/>
        <w:widowControl w:val="0"/>
        <w:shd w:val="clear" w:color="auto" w:fill="auto"/>
        <w:bidi w:val="0"/>
        <w:spacing w:before="0" w:after="0" w:line="360" w:lineRule="auto"/>
        <w:ind w:left="0" w:right="0" w:firstLine="440"/>
        <w:jc w:val="left"/>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、国家铁路方面</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国务院于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月印发的《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现代综合交通运输体系发展规划》（简称《规划》），对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时期我国综合 交通运输发展作出全面部署。结合在建和拟建项目安排，铁路固定资产投资继续保持平稳态势，规划加快完善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八纵八横</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高速铁路网，积极推进城市群都市圈城际铁路和市域（郊）铁路发展，打造轨道上的都市圈，完善多层次道路交通网，并提 升安全应急保障和交通网络抗风险能力。预计</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年底，全国铁路营业里程将达</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万公里左右，其中高速铁路（含部分城 际铁路）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万公里左右、覆盖</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以上的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万人口以上城市，基本形成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高铁出行圈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，更好满足人们美好出行需要。</w:t>
      </w:r>
    </w:p>
    <w:p>
      <w:pPr>
        <w:pStyle w:val="Style29"/>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日中共中央国务院印发《国家综合立体交通网规划纲要》（以下简称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《纲要》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），在中央层面确定了国 家中长期交通网规划建设要求。《纲要》指出，到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年，国家综合立体交通网实体线网总规模合计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万公里左右，其中铁 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万公里左右，包括高速铁路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万公里（含部分城际铁路），普速铁路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万公里（含部分市域铁路）；形成由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八纵八横</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高速铁路主通道为骨架、区域性高速铁路衔接的高速铁路网；京津冀、长三角、粤港澳大湾区、成渝地区双城经济圈等重点 城市群率先建成城际铁路网，其他城市群城际铁路逐步成网。根据《纲要》要求，未来</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年）中国高速铁 路、普速铁路建设节奏均较前</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年周期（</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年）有所放缓，不过与前</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年周期一样，高速铁路建设强度仍将超过 普速铁路。</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根据国铁集团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月召开的年度工作会议，铁路运输保障能力进一步增强，铁路在现代综合交通运输体系中的骨干 作用日益凸显。乘着良好势头，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年中国铁路设定新目标：国家铁路完成旅客发送量</w:t>
      </w:r>
      <w:r>
        <w:rPr>
          <w:rFonts w:ascii="Times New Roman" w:eastAsia="Times New Roman" w:hAnsi="Times New Roman" w:cs="Times New Roman"/>
          <w:color w:val="000000"/>
          <w:spacing w:val="0"/>
          <w:w w:val="100"/>
          <w:position w:val="0"/>
          <w:sz w:val="18"/>
          <w:szCs w:val="18"/>
        </w:rPr>
        <w:t>30.38</w:t>
      </w:r>
      <w:r>
        <w:rPr>
          <w:color w:val="000000"/>
          <w:spacing w:val="0"/>
          <w:w w:val="100"/>
          <w:position w:val="0"/>
        </w:rPr>
        <w:t>亿人次，同比增长</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，货物 </w:t>
      </w:r>
      <w:r>
        <w:rPr>
          <w:color w:val="000000"/>
          <w:spacing w:val="0"/>
          <w:w w:val="100"/>
          <w:position w:val="0"/>
        </w:rPr>
        <w:t>发送量</w:t>
      </w:r>
      <w:r>
        <w:rPr>
          <w:rFonts w:ascii="Times New Roman" w:eastAsia="Times New Roman" w:hAnsi="Times New Roman" w:cs="Times New Roman"/>
          <w:color w:val="000000"/>
          <w:spacing w:val="0"/>
          <w:w w:val="100"/>
          <w:position w:val="0"/>
          <w:sz w:val="18"/>
          <w:szCs w:val="18"/>
        </w:rPr>
        <w:t>38.04</w:t>
      </w:r>
      <w:r>
        <w:rPr>
          <w:color w:val="000000"/>
          <w:spacing w:val="0"/>
          <w:w w:val="100"/>
          <w:position w:val="0"/>
        </w:rPr>
        <w:t>亿吨，同比增长</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；全面完成国家铁路投资任务，高质量推进川藏铁路等国家重点工程，投产新线</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公里 以上（其中普速铁路</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公里左右）。</w:t>
      </w:r>
    </w:p>
    <w:p>
      <w:pPr>
        <w:pStyle w:val="Style29"/>
        <w:keepNext w:val="0"/>
        <w:keepLines w:val="0"/>
        <w:widowControl w:val="0"/>
        <w:shd w:val="clear" w:color="auto" w:fill="auto"/>
        <w:bidi w:val="0"/>
        <w:spacing w:before="0" w:after="0" w:line="314" w:lineRule="exact"/>
        <w:ind w:left="0" w:right="0" w:firstLine="440"/>
        <w:jc w:val="both"/>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、城市轨道交通方面</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根据中国城市轨道交通协会信息，截止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日，中国内地累计有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个城市投运城轨交通线路</w:t>
      </w:r>
      <w:r>
        <w:rPr>
          <w:rFonts w:ascii="Times New Roman" w:eastAsia="Times New Roman" w:hAnsi="Times New Roman" w:cs="Times New Roman"/>
          <w:color w:val="000000"/>
          <w:spacing w:val="0"/>
          <w:w w:val="100"/>
          <w:position w:val="0"/>
          <w:sz w:val="18"/>
          <w:szCs w:val="18"/>
        </w:rPr>
        <w:t>9192.62</w:t>
      </w:r>
      <w:r>
        <w:rPr>
          <w:color w:val="000000"/>
          <w:spacing w:val="0"/>
          <w:w w:val="100"/>
          <w:position w:val="0"/>
        </w:rPr>
        <w:t>公里，其 中地铁</w:t>
      </w:r>
      <w:r>
        <w:rPr>
          <w:rFonts w:ascii="Times New Roman" w:eastAsia="Times New Roman" w:hAnsi="Times New Roman" w:cs="Times New Roman"/>
          <w:color w:val="000000"/>
          <w:spacing w:val="0"/>
          <w:w w:val="100"/>
          <w:position w:val="0"/>
          <w:sz w:val="18"/>
          <w:szCs w:val="18"/>
        </w:rPr>
        <w:t>7253.73</w:t>
      </w:r>
      <w:r>
        <w:rPr>
          <w:color w:val="000000"/>
          <w:spacing w:val="0"/>
          <w:w w:val="100"/>
          <w:position w:val="0"/>
        </w:rPr>
        <w:t>公里。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年当年新增洛阳、嘉兴、绍兴、文山州、芜湖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个城轨交通运营城市；另有北京、上海、天津、重 庆、广州、深圳等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个城市也均有新线或新段开通运营。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年当年共计新增城轨交通运营线路长度</w:t>
      </w:r>
      <w:r>
        <w:rPr>
          <w:rFonts w:ascii="Times New Roman" w:eastAsia="Times New Roman" w:hAnsi="Times New Roman" w:cs="Times New Roman"/>
          <w:color w:val="000000"/>
          <w:spacing w:val="0"/>
          <w:w w:val="100"/>
          <w:position w:val="0"/>
          <w:sz w:val="18"/>
          <w:szCs w:val="18"/>
        </w:rPr>
        <w:t>1222.92</w:t>
      </w:r>
      <w:r>
        <w:rPr>
          <w:color w:val="000000"/>
          <w:spacing w:val="0"/>
          <w:w w:val="100"/>
          <w:position w:val="0"/>
        </w:rPr>
        <w:t>公里。新增运 营线路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条，新开既有线路的延伸段、后通段</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段。</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日国家发改委发布规划文件，原则同意《南京都市圈发展规划》；</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日，国家发改委、交通运输部印发 《成渝地区双城经济圈综合交通运输发展规划》；</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日，国家发展改革委发布规划文件，原则同意《福州都市圈发展规 划》；</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日国家发改委印发《长江三角洲地区多层次轨道交通规划》。重点城市群城际铁路网规划已稳步启动。当前我国 经济发展的空间结构正发生深刻变化，城市群、都市圈等正成为承载区域经济高质量一体化发展的重要空间载体。</w:t>
      </w:r>
    </w:p>
    <w:p>
      <w:pPr>
        <w:pStyle w:val="Style2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日河南省发展改革委印发《郑州都市圈交通一体化发展规划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2020—2035</w:t>
      </w:r>
      <w:r>
        <w:rPr>
          <w:color w:val="000000"/>
          <w:spacing w:val="0"/>
          <w:w w:val="100"/>
          <w:position w:val="0"/>
        </w:rPr>
        <w:t>年）》的通知，其中城际铁路及 市域（郊）铁路工程包括：建成郑开城际铁路延长线、郑州至许昌市域铁路，加快推进新乡至焦作、郑州至洛阳城际铁路以 及郑州都市圈轨道交通</w:t>
      </w:r>
      <w:r>
        <w:rPr>
          <w:rFonts w:ascii="Times New Roman" w:eastAsia="Times New Roman" w:hAnsi="Times New Roman" w:cs="Times New Roman"/>
          <w:color w:val="000000"/>
          <w:spacing w:val="0"/>
          <w:w w:val="100"/>
          <w:position w:val="0"/>
          <w:sz w:val="18"/>
          <w:szCs w:val="18"/>
        </w:rPr>
        <w:t>S2</w:t>
      </w:r>
      <w:r>
        <w:rPr>
          <w:color w:val="000000"/>
          <w:spacing w:val="0"/>
          <w:w w:val="100"/>
          <w:position w:val="0"/>
        </w:rPr>
        <w:t>线、</w:t>
      </w:r>
      <w:r>
        <w:rPr>
          <w:rFonts w:ascii="Times New Roman" w:eastAsia="Times New Roman" w:hAnsi="Times New Roman" w:cs="Times New Roman"/>
          <w:color w:val="000000"/>
          <w:spacing w:val="0"/>
          <w:w w:val="100"/>
          <w:position w:val="0"/>
          <w:sz w:val="18"/>
          <w:szCs w:val="18"/>
        </w:rPr>
        <w:t>S3</w:t>
      </w:r>
      <w:r>
        <w:rPr>
          <w:color w:val="000000"/>
          <w:spacing w:val="0"/>
          <w:w w:val="100"/>
          <w:position w:val="0"/>
        </w:rPr>
        <w:t>线等项目建设，总投资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亿元以上；郑州城市轨道交通工程：建成城郊铁路二期、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号线 二期、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号线一期、</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号线一期、</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号线一期、</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号线一期、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号线一期，总投资约</w:t>
      </w:r>
      <w:r>
        <w:rPr>
          <w:rFonts w:ascii="Times New Roman" w:eastAsia="Times New Roman" w:hAnsi="Times New Roman" w:cs="Times New Roman"/>
          <w:color w:val="000000"/>
          <w:spacing w:val="0"/>
          <w:w w:val="100"/>
          <w:position w:val="0"/>
          <w:sz w:val="18"/>
          <w:szCs w:val="18"/>
        </w:rPr>
        <w:t>1150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日，《洛阳市轨道 交通线网规划修编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2020-2035</w:t>
      </w:r>
      <w:r>
        <w:rPr>
          <w:color w:val="000000"/>
          <w:spacing w:val="0"/>
          <w:w w:val="100"/>
          <w:position w:val="0"/>
        </w:rPr>
        <w:t>）》顺利通过专家评审。</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由上述信息可知，城市轨道交通是全面开启建设社会主义现代化强国的重要支撑，是建设现代化经济体系的先行领域， 也是建设交通强国和智慧城市的重要组成部分。在国家宏观经济下行压力持续加大的情况下，在国家铁路、城市轨道交通、 专用线铁路等大型基础建设的投资依然是宏观政策支持的方向，在未来三至五年的周期内，整个轨道交通市场景气度有望持 续保持高位。</w:t>
      </w:r>
    </w:p>
    <w:p>
      <w:pPr>
        <w:pStyle w:val="Style29"/>
        <w:keepNext w:val="0"/>
        <w:keepLines w:val="0"/>
        <w:widowControl w:val="0"/>
        <w:shd w:val="clear" w:color="auto" w:fill="auto"/>
        <w:bidi w:val="0"/>
        <w:spacing w:before="0" w:after="0" w:line="314" w:lineRule="exact"/>
        <w:ind w:left="0" w:right="0" w:firstLine="380"/>
        <w:jc w:val="both"/>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、产品政策方面</w:t>
      </w:r>
    </w:p>
    <w:p>
      <w:pPr>
        <w:pStyle w:val="Style29"/>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月，国家铁路局联合相关部门制定发布《关于加强铁路自然灾害监测预警工作的指导意见》（以下简称《意 见》），《意见》提出全面提高铁路抵御自然灾害的综合防范能力，从源头上防范化解重大安全风险；强调强化自然灾害监 测预警工作，充分利用先进技术和手段开展各类自然灾害隐患排查、监测预警等防治工作；促进抗灾设防新技术推广应用， 将抗震、防风、防洪等方面成熟的新技术新成果运用到铁路自然灾害风险防范中，不断提升铁路基础设施自然灾害监测预警 和安全防御能力。</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《意见》的发布，进一步强化了铁路沿线自然灾害风险研判和监测预警多部门合作，规范和加强了铁路沿线自然灾害 监测预警工作，有助于铁路部门全面提高暴雨、台风、山洪、泥石流等自然灾害的预警防范能力，从源头上有效防范化解重 大安全风险，保障铁路安全畅通、维护人民群众生命财产安全。</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由此可见，近年来从技术层面杜绝安全问题越来越受到重视，公司主营业务中针对解决铁路自然灾害监测预警的相关 产品，未来市场规模有望加速增长。</w:t>
      </w:r>
    </w:p>
    <w:p>
      <w:pPr>
        <w:pStyle w:val="Style29"/>
        <w:keepNext w:val="0"/>
        <w:keepLines w:val="0"/>
        <w:widowControl w:val="0"/>
        <w:shd w:val="clear" w:color="auto" w:fill="auto"/>
        <w:bidi w:val="0"/>
        <w:spacing w:before="0" w:after="0" w:line="314" w:lineRule="exact"/>
        <w:ind w:left="0" w:right="0" w:firstLine="440"/>
        <w:jc w:val="left"/>
      </w:pPr>
      <w:bookmarkStart w:id="246" w:name="bookmark246"/>
      <w:r>
        <w:rPr>
          <w:b/>
          <w:bCs/>
          <w:color w:val="000000"/>
          <w:spacing w:val="0"/>
          <w:w w:val="100"/>
          <w:position w:val="0"/>
        </w:rPr>
        <w:t>（</w:t>
      </w:r>
      <w:bookmarkEnd w:id="246"/>
      <w:r>
        <w:rPr>
          <w:b/>
          <w:bCs/>
          <w:color w:val="000000"/>
          <w:spacing w:val="0"/>
          <w:w w:val="100"/>
          <w:position w:val="0"/>
        </w:rPr>
        <w:t>二）新能源领域储能行业发展情况</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实现碳达峰、碳中和是一场广泛而深刻的经济社会系统性变革，是以习近平总书记为核心的党中央经过深思熟虑作出 的重大战略决策，将成为指导未来数十年国民经济和社会发展的关键目标。我国碳中和目标隐含的过渡期仅为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年，远少于 欧美国家，未来碳减排任务艰巨，碳排放治理刻不容缓。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是碳达峰的关键期、窗口期，政府将会持续大力推进各项 节能减排和新能源发展工作。</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储能相关概念在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规划中就被提及，其政策力度经历了从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大力推进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的演变。截止到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底，我国的新型储能的建成规模，已经突破了</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万千瓦。国家发改委、能源局发布的《关于加快推动新型储能发展的指导 意见》提出，到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年，实现新型储能从商业化初期向规模化发展转变，装机规模达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万千瓦以上，到</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年，实现新型 储能全面市场化发展。</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储能最重要的用途是解决电力供需的时间错配问题，不同的储能技术有其不同的优劣势和应用场景，在目前储能产业 发展中，不断涌现出新的技术。根据国家能源局的政策，将强化储能行业技术创新，攻克卡脖子技术，并以技术进步推动成 本下降和规模化发展，完善政策配套和市场环境，培育成熟的商业模式。</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 xml:space="preserve">由上述信息可知，目前新能源领域中的新型储能行业，作为新兴产业，政策机制尚未形成统一、规范的管理思路，市 </w:t>
      </w:r>
      <w:r>
        <w:rPr>
          <w:color w:val="000000"/>
          <w:spacing w:val="0"/>
          <w:w w:val="100"/>
          <w:position w:val="0"/>
        </w:rPr>
        <w:t>场格局尚未定型，未来发展潜力巨大，市场前景广阔。</w:t>
      </w:r>
    </w:p>
    <w:p>
      <w:pPr>
        <w:pStyle w:val="Style29"/>
        <w:keepNext w:val="0"/>
        <w:keepLines w:val="0"/>
        <w:widowControl w:val="0"/>
        <w:shd w:val="clear" w:color="auto" w:fill="auto"/>
        <w:bidi w:val="0"/>
        <w:spacing w:before="0" w:after="0" w:line="312" w:lineRule="exact"/>
        <w:ind w:left="0" w:right="0"/>
        <w:jc w:val="both"/>
      </w:pPr>
      <w:bookmarkStart w:id="247" w:name="bookmark247"/>
      <w:r>
        <w:rPr>
          <w:b/>
          <w:bCs/>
          <w:color w:val="000000"/>
          <w:spacing w:val="0"/>
          <w:w w:val="100"/>
          <w:position w:val="0"/>
        </w:rPr>
        <w:t>（</w:t>
      </w:r>
      <w:bookmarkEnd w:id="247"/>
      <w:r>
        <w:rPr>
          <w:b/>
          <w:bCs/>
          <w:color w:val="000000"/>
          <w:spacing w:val="0"/>
          <w:w w:val="100"/>
          <w:position w:val="0"/>
        </w:rPr>
        <w:t>三）公司发展战略</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公司将充分利用我国轨道交通快速发展的契机，发挥自主创新优势，继续围绕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轨道交通运营维护一体化解决方案及高 端装备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的主营业务，不断为用户提供高安全、高可靠的产品系统，从设备研制和系统集成商转变为以运维为核心的轨道交 通综合服务提供商。</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顺应国家经济发展规划和行业发展趋势，稳步推进新能源领域战略布局，持续优化聚焦新领域细分行业，形成新的业 务增长平台。</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夯实实业基础，加大物联网、大数据、人工智能、节能环保等新技术的引进和应用研发，推动创新技术在细分行业中 的应用，为行业应用创新提供新产品、新模式、新动力，为客户提供技术领先的高质量产品和服务，为员工提供创造价值的 平台，实现公司的可持续发展。</w:t>
      </w:r>
    </w:p>
    <w:p>
      <w:pPr>
        <w:pStyle w:val="Style29"/>
        <w:keepNext w:val="0"/>
        <w:keepLines w:val="0"/>
        <w:widowControl w:val="0"/>
        <w:shd w:val="clear" w:color="auto" w:fill="auto"/>
        <w:tabs>
          <w:tab w:pos="983" w:val="left"/>
        </w:tabs>
        <w:bidi w:val="0"/>
        <w:spacing w:before="0" w:after="0" w:line="312" w:lineRule="exact"/>
        <w:ind w:left="0" w:right="0" w:firstLine="440"/>
        <w:jc w:val="left"/>
      </w:pPr>
      <w:bookmarkStart w:id="248" w:name="bookmark248"/>
      <w:r>
        <w:rPr>
          <w:b/>
          <w:bCs/>
          <w:color w:val="000000"/>
          <w:spacing w:val="0"/>
          <w:w w:val="100"/>
          <w:position w:val="0"/>
        </w:rPr>
        <w:t>（</w:t>
      </w:r>
      <w:bookmarkEnd w:id="248"/>
      <w:r>
        <w:rPr>
          <w:b/>
          <w:bCs/>
          <w:color w:val="000000"/>
          <w:spacing w:val="0"/>
          <w:w w:val="100"/>
          <w:position w:val="0"/>
        </w:rPr>
        <w:t>四）</w:t>
        <w:tab/>
        <w:t>经营计划</w:t>
      </w:r>
    </w:p>
    <w:p>
      <w:pPr>
        <w:pStyle w:val="Style29"/>
        <w:keepNext w:val="0"/>
        <w:keepLines w:val="0"/>
        <w:widowControl w:val="0"/>
        <w:shd w:val="clear" w:color="auto" w:fill="auto"/>
        <w:tabs>
          <w:tab w:pos="772" w:val="left"/>
        </w:tabs>
        <w:bidi w:val="0"/>
        <w:spacing w:before="0" w:after="0" w:line="312" w:lineRule="exact"/>
        <w:ind w:left="0" w:right="0" w:firstLine="440"/>
        <w:jc w:val="left"/>
      </w:pPr>
      <w:bookmarkStart w:id="249" w:name="bookmark249"/>
      <w:r>
        <w:rPr>
          <w:rFonts w:ascii="Times New Roman" w:eastAsia="Times New Roman" w:hAnsi="Times New Roman" w:cs="Times New Roman"/>
          <w:color w:val="000000"/>
          <w:spacing w:val="0"/>
          <w:w w:val="100"/>
          <w:position w:val="0"/>
          <w:sz w:val="18"/>
          <w:szCs w:val="18"/>
        </w:rPr>
        <w:t>1</w:t>
      </w:r>
      <w:bookmarkEnd w:id="249"/>
      <w:r>
        <w:rPr>
          <w:color w:val="000000"/>
          <w:spacing w:val="0"/>
          <w:w w:val="100"/>
          <w:position w:val="0"/>
        </w:rPr>
        <w:t>、</w:t>
        <w:tab/>
        <w:t>持续完善疫情防控应急管理机制，高效适应与落实国家及各地方政府疫情防控政策，保障公司各项业务稳定运行。</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新冠疫情发生以来，在党中央坚强领导下，国内疫情防控已取得重大战略成果。但后期随着多种变异毒株的出现，其 传播能力大大加强，致使</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年开年以来，全国多地出现局部多点散发病例，全国疫情防控形势再次紧张起来。</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在全国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动态清零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的疫情防控总体目标下，公司遍布全国各地的项目及供应链上的企业，将面临随时被突发疫情影响。 因此，</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年度，公司在坚持常态化防疫的总体思路下，从项目营销、项目交付到物资采购、生产调试等各个业务环节提前 做好充分的应急预案，及时精准地掌握全国各地尤其是公司项目实施所在地的疫情防控政策，随时调整各类协同计划，提升 公司应急管理能力，确保生产经营和现场交付各环节平稳有序</w:t>
      </w:r>
    </w:p>
    <w:p>
      <w:pPr>
        <w:pStyle w:val="Style29"/>
        <w:keepNext w:val="0"/>
        <w:keepLines w:val="0"/>
        <w:widowControl w:val="0"/>
        <w:shd w:val="clear" w:color="auto" w:fill="auto"/>
        <w:tabs>
          <w:tab w:pos="769" w:val="left"/>
        </w:tabs>
        <w:bidi w:val="0"/>
        <w:spacing w:before="0" w:after="0" w:line="312" w:lineRule="exact"/>
        <w:ind w:left="0" w:right="0"/>
        <w:jc w:val="both"/>
      </w:pPr>
      <w:bookmarkStart w:id="250" w:name="bookmark250"/>
      <w:r>
        <w:rPr>
          <w:rFonts w:ascii="Times New Roman" w:eastAsia="Times New Roman" w:hAnsi="Times New Roman" w:cs="Times New Roman"/>
          <w:color w:val="000000"/>
          <w:spacing w:val="0"/>
          <w:w w:val="100"/>
          <w:position w:val="0"/>
          <w:sz w:val="18"/>
          <w:szCs w:val="18"/>
        </w:rPr>
        <w:t>2</w:t>
      </w:r>
      <w:bookmarkEnd w:id="250"/>
      <w:r>
        <w:rPr>
          <w:color w:val="000000"/>
          <w:spacing w:val="0"/>
          <w:w w:val="100"/>
          <w:position w:val="0"/>
        </w:rPr>
        <w:t>、</w:t>
        <w:tab/>
        <w:t>加强国铁业务营销力度，拓展产品与市场边界；深耕城轨市场，拓展业务增长空间。</w:t>
      </w:r>
    </w:p>
    <w:p>
      <w:pPr>
        <w:pStyle w:val="Style29"/>
        <w:keepNext w:val="0"/>
        <w:keepLines w:val="0"/>
        <w:widowControl w:val="0"/>
        <w:shd w:val="clear" w:color="auto" w:fill="auto"/>
        <w:bidi w:val="0"/>
        <w:spacing w:before="0" w:after="0" w:line="317" w:lineRule="exact"/>
        <w:ind w:left="0" w:right="0" w:firstLine="44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为客户创造价值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理念，加强与客户的技术交流和方案推介工作，通过研发与营销的积极协同，加快铁路周 界一体化防护系统、信号机械室智能巡检系统、城轨线网指挥中心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COCC</w:t>
      </w:r>
      <w:r>
        <w:rPr>
          <w:color w:val="000000"/>
          <w:spacing w:val="0"/>
          <w:w w:val="100"/>
          <w:position w:val="0"/>
        </w:rPr>
        <w:t>系统）、智慧车站、城轨综合承载平台及城轨能 源管理平台等研发成果的合同转化。</w:t>
      </w:r>
    </w:p>
    <w:p>
      <w:pPr>
        <w:pStyle w:val="Style29"/>
        <w:keepNext w:val="0"/>
        <w:keepLines w:val="0"/>
        <w:widowControl w:val="0"/>
        <w:shd w:val="clear" w:color="auto" w:fill="auto"/>
        <w:bidi w:val="0"/>
        <w:spacing w:before="0" w:after="0" w:line="317" w:lineRule="exact"/>
        <w:ind w:left="0" w:right="0" w:firstLine="44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加强与业主、施工总包单位、集成商、设计院等多方的产品推介和宣传工作，秉持合作共赢总方针，通过多渠道 多方式的合作，争取省外城轨业务拓展。</w:t>
      </w:r>
    </w:p>
    <w:p>
      <w:pPr>
        <w:pStyle w:val="Style29"/>
        <w:keepNext w:val="0"/>
        <w:keepLines w:val="0"/>
        <w:widowControl w:val="0"/>
        <w:shd w:val="clear" w:color="auto" w:fill="auto"/>
        <w:tabs>
          <w:tab w:pos="882" w:val="left"/>
        </w:tabs>
        <w:bidi w:val="0"/>
        <w:spacing w:before="0" w:after="120" w:line="317" w:lineRule="exact"/>
        <w:ind w:left="0" w:right="0" w:firstLine="44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加强项目回款管理和相关考核力度，努力减低应收账款额度。</w:t>
      </w:r>
    </w:p>
    <w:p>
      <w:pPr>
        <w:pStyle w:val="Style29"/>
        <w:keepNext w:val="0"/>
        <w:keepLines w:val="0"/>
        <w:widowControl w:val="0"/>
        <w:shd w:val="clear" w:color="auto" w:fill="auto"/>
        <w:tabs>
          <w:tab w:pos="791" w:val="left"/>
        </w:tabs>
        <w:bidi w:val="0"/>
        <w:spacing w:before="0" w:after="0" w:line="360" w:lineRule="auto"/>
        <w:ind w:left="0" w:right="0" w:firstLine="440"/>
        <w:jc w:val="both"/>
      </w:pPr>
      <w:bookmarkStart w:id="254" w:name="bookmark254"/>
      <w:r>
        <w:rPr>
          <w:rFonts w:ascii="Times New Roman" w:eastAsia="Times New Roman" w:hAnsi="Times New Roman" w:cs="Times New Roman"/>
          <w:color w:val="000000"/>
          <w:spacing w:val="0"/>
          <w:w w:val="100"/>
          <w:position w:val="0"/>
          <w:sz w:val="18"/>
          <w:szCs w:val="18"/>
        </w:rPr>
        <w:t>3</w:t>
      </w:r>
      <w:bookmarkEnd w:id="254"/>
      <w:r>
        <w:rPr>
          <w:color w:val="000000"/>
          <w:spacing w:val="0"/>
          <w:w w:val="100"/>
          <w:position w:val="0"/>
        </w:rPr>
        <w:t>、</w:t>
        <w:tab/>
        <w:t>坚持技术创新，持续加大研发投入。</w:t>
      </w:r>
    </w:p>
    <w:p>
      <w:pPr>
        <w:pStyle w:val="Style29"/>
        <w:keepNext w:val="0"/>
        <w:keepLines w:val="0"/>
        <w:widowControl w:val="0"/>
        <w:shd w:val="clear" w:color="auto" w:fill="auto"/>
        <w:bidi w:val="0"/>
        <w:spacing w:before="0" w:after="0" w:line="317" w:lineRule="exact"/>
        <w:ind w:left="0" w:right="0" w:firstLine="440"/>
        <w:jc w:val="both"/>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积极开展新产品新技术开发及现有产品的升级换代，保障新产品的研发进度满足市场需求，促进原有的信号集中 监测、铁路防灾监控、接触网水冲洗车、智能电源屏等系列产品焕发新活力，推动存量市场发展。</w:t>
      </w:r>
    </w:p>
    <w:p>
      <w:pPr>
        <w:pStyle w:val="Style29"/>
        <w:keepNext w:val="0"/>
        <w:keepLines w:val="0"/>
        <w:widowControl w:val="0"/>
        <w:shd w:val="clear" w:color="auto" w:fill="auto"/>
        <w:tabs>
          <w:tab w:pos="961" w:val="left"/>
        </w:tabs>
        <w:bidi w:val="0"/>
        <w:spacing w:before="0" w:after="0" w:line="317" w:lineRule="exact"/>
        <w:ind w:left="0" w:right="0" w:firstLine="44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深挖用户需求，加快国铁综合运维平台和智慧城轨全套解决方案的研发进度，落实各子系统的分步验证工作，满 足未来市场需求。</w:t>
      </w:r>
    </w:p>
    <w:p>
      <w:pPr>
        <w:pStyle w:val="Style29"/>
        <w:keepNext w:val="0"/>
        <w:keepLines w:val="0"/>
        <w:widowControl w:val="0"/>
        <w:shd w:val="clear" w:color="auto" w:fill="auto"/>
        <w:tabs>
          <w:tab w:pos="961" w:val="left"/>
        </w:tabs>
        <w:bidi w:val="0"/>
        <w:spacing w:before="0" w:after="0" w:line="317" w:lineRule="exact"/>
        <w:ind w:left="0" w:right="0" w:firstLine="44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稳步推进新能源研发中心建设工作，完成电化学电池研究中心建设和压缩空气储能原型机测试环境的搭建工作； 积极推进与地方政府就综合储能试点合作计划，加快关键技术的研发和验证工作。</w:t>
      </w:r>
    </w:p>
    <w:p>
      <w:pPr>
        <w:pStyle w:val="Style29"/>
        <w:keepNext w:val="0"/>
        <w:keepLines w:val="0"/>
        <w:widowControl w:val="0"/>
        <w:shd w:val="clear" w:color="auto" w:fill="auto"/>
        <w:tabs>
          <w:tab w:pos="791" w:val="left"/>
        </w:tabs>
        <w:bidi w:val="0"/>
        <w:spacing w:before="0" w:after="0" w:line="317" w:lineRule="exact"/>
        <w:ind w:left="0" w:right="0" w:firstLine="440"/>
        <w:jc w:val="both"/>
      </w:pPr>
      <w:bookmarkStart w:id="258" w:name="bookmark258"/>
      <w:r>
        <w:rPr>
          <w:rFonts w:ascii="Times New Roman" w:eastAsia="Times New Roman" w:hAnsi="Times New Roman" w:cs="Times New Roman"/>
          <w:color w:val="000000"/>
          <w:spacing w:val="0"/>
          <w:w w:val="100"/>
          <w:position w:val="0"/>
          <w:sz w:val="18"/>
          <w:szCs w:val="18"/>
        </w:rPr>
        <w:t>4</w:t>
      </w:r>
      <w:bookmarkEnd w:id="258"/>
      <w:r>
        <w:rPr>
          <w:color w:val="000000"/>
          <w:spacing w:val="0"/>
          <w:w w:val="100"/>
          <w:position w:val="0"/>
        </w:rPr>
        <w:t>、</w:t>
        <w:tab/>
        <w:t>提前筹划，精心组织，严格品质管控，确保年度重大项目的交付工作。</w:t>
      </w:r>
    </w:p>
    <w:p>
      <w:pPr>
        <w:pStyle w:val="Style29"/>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年度，公司将完成交付并开通多条综合监控项目工程及高铁配套子系统工程。秉承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理念，继续完善推 进跨部门项目管理机制，在随时应对疫情突发管控的环境下，确保高效高质量完成年度内的重大项目交付工作。</w:t>
      </w:r>
    </w:p>
    <w:p>
      <w:pPr>
        <w:pStyle w:val="Style29"/>
        <w:keepNext w:val="0"/>
        <w:keepLines w:val="0"/>
        <w:widowControl w:val="0"/>
        <w:shd w:val="clear" w:color="auto" w:fill="auto"/>
        <w:tabs>
          <w:tab w:pos="791" w:val="left"/>
        </w:tabs>
        <w:bidi w:val="0"/>
        <w:spacing w:before="0" w:after="0" w:line="317" w:lineRule="exact"/>
        <w:ind w:left="0" w:right="0" w:firstLine="440"/>
        <w:jc w:val="both"/>
      </w:pPr>
      <w:bookmarkStart w:id="259" w:name="bookmark259"/>
      <w:r>
        <w:rPr>
          <w:rFonts w:ascii="Times New Roman" w:eastAsia="Times New Roman" w:hAnsi="Times New Roman" w:cs="Times New Roman"/>
          <w:color w:val="000000"/>
          <w:spacing w:val="0"/>
          <w:w w:val="100"/>
          <w:position w:val="0"/>
          <w:sz w:val="18"/>
          <w:szCs w:val="18"/>
        </w:rPr>
        <w:t>5</w:t>
      </w:r>
      <w:bookmarkEnd w:id="259"/>
      <w:r>
        <w:rPr>
          <w:color w:val="000000"/>
          <w:spacing w:val="0"/>
          <w:w w:val="100"/>
          <w:position w:val="0"/>
        </w:rPr>
        <w:t>、</w:t>
        <w:tab/>
        <w:t>稳定核心和骨干技术（业务）队伍，持续完善薪酬体系和激励机制，加强优秀人才引进与培养力度。</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在符合相关法律法规、规范性文件规定的基础上，结合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年度公司回购股份计划方案，稳妥推进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年员工持股计 划。优化年度薪酬方案，加强高校优秀毕业生和社招力度，多措并举升级公司人才队伍，为公司业务持续增长提供人力基础 保证。</w:t>
      </w:r>
    </w:p>
    <w:p>
      <w:pPr>
        <w:pStyle w:val="Style29"/>
        <w:keepNext w:val="0"/>
        <w:keepLines w:val="0"/>
        <w:widowControl w:val="0"/>
        <w:shd w:val="clear" w:color="auto" w:fill="auto"/>
        <w:tabs>
          <w:tab w:pos="769" w:val="left"/>
        </w:tabs>
        <w:bidi w:val="0"/>
        <w:spacing w:before="0" w:after="0" w:line="317" w:lineRule="exact"/>
        <w:ind w:left="0" w:right="0"/>
        <w:jc w:val="both"/>
      </w:pPr>
      <w:bookmarkStart w:id="260" w:name="bookmark260"/>
      <w:r>
        <w:rPr>
          <w:rFonts w:ascii="Times New Roman" w:eastAsia="Times New Roman" w:hAnsi="Times New Roman" w:cs="Times New Roman"/>
          <w:color w:val="000000"/>
          <w:spacing w:val="0"/>
          <w:w w:val="100"/>
          <w:position w:val="0"/>
          <w:sz w:val="18"/>
          <w:szCs w:val="18"/>
        </w:rPr>
        <w:t>6</w:t>
      </w:r>
      <w:bookmarkEnd w:id="260"/>
      <w:r>
        <w:rPr>
          <w:color w:val="000000"/>
          <w:spacing w:val="0"/>
          <w:w w:val="100"/>
          <w:position w:val="0"/>
        </w:rPr>
        <w:t>、</w:t>
        <w:tab/>
        <w:t>全面加强安全质量管理，严守安全红线，坚持质量导向，为公司持续稳定发展奠定基础。</w:t>
      </w:r>
    </w:p>
    <w:p>
      <w:pPr>
        <w:pStyle w:val="Style29"/>
        <w:keepNext w:val="0"/>
        <w:keepLines w:val="0"/>
        <w:widowControl w:val="0"/>
        <w:shd w:val="clear" w:color="auto" w:fill="auto"/>
        <w:bidi w:val="0"/>
        <w:spacing w:before="0" w:after="0" w:line="317" w:lineRule="exact"/>
        <w:ind w:left="0" w:right="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加强流程管理体系全面落地和持续优化工作，确保其持续运行并适宜、充分、有效。</w:t>
      </w:r>
    </w:p>
    <w:p>
      <w:pPr>
        <w:pStyle w:val="Style29"/>
        <w:keepNext w:val="0"/>
        <w:keepLines w:val="0"/>
        <w:widowControl w:val="0"/>
        <w:shd w:val="clear" w:color="auto" w:fill="auto"/>
        <w:tabs>
          <w:tab w:pos="842" w:val="left"/>
        </w:tabs>
        <w:bidi w:val="0"/>
        <w:spacing w:before="0" w:after="0" w:line="317" w:lineRule="exact"/>
        <w:ind w:left="0" w:right="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预防为主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，完善风险防范机制，及时全面排查安全、质量隐患。</w:t>
      </w:r>
    </w:p>
    <w:p>
      <w:pPr>
        <w:pStyle w:val="Style29"/>
        <w:keepNext w:val="0"/>
        <w:keepLines w:val="0"/>
        <w:widowControl w:val="0"/>
        <w:shd w:val="clear" w:color="auto" w:fill="auto"/>
        <w:tabs>
          <w:tab w:pos="842" w:val="left"/>
        </w:tabs>
        <w:bidi w:val="0"/>
        <w:spacing w:before="0" w:after="0" w:line="317"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严格落实安全生产责任制，逐层分解细化安全、质量责任，确保实现公司年度安全质量目标。</w:t>
      </w:r>
    </w:p>
    <w:p>
      <w:pPr>
        <w:pStyle w:val="Style29"/>
        <w:keepNext w:val="0"/>
        <w:keepLines w:val="0"/>
        <w:widowControl w:val="0"/>
        <w:shd w:val="clear" w:color="auto" w:fill="auto"/>
        <w:tabs>
          <w:tab w:pos="943" w:val="left"/>
        </w:tabs>
        <w:bidi w:val="0"/>
        <w:spacing w:before="0" w:after="0" w:line="317" w:lineRule="exact"/>
        <w:ind w:left="0" w:right="0"/>
        <w:jc w:val="both"/>
      </w:pPr>
      <w:bookmarkStart w:id="264" w:name="bookmark264"/>
      <w:r>
        <w:rPr>
          <w:b/>
          <w:bCs/>
          <w:color w:val="000000"/>
          <w:spacing w:val="0"/>
          <w:w w:val="100"/>
          <w:position w:val="0"/>
        </w:rPr>
        <w:t>（</w:t>
      </w:r>
      <w:bookmarkEnd w:id="264"/>
      <w:r>
        <w:rPr>
          <w:b/>
          <w:bCs/>
          <w:color w:val="000000"/>
          <w:spacing w:val="0"/>
          <w:w w:val="100"/>
          <w:position w:val="0"/>
        </w:rPr>
        <w:t>五）</w:t>
        <w:tab/>
        <w:t>资金需求计划</w:t>
      </w:r>
    </w:p>
    <w:p>
      <w:pPr>
        <w:pStyle w:val="Style29"/>
        <w:keepNext w:val="0"/>
        <w:keepLines w:val="0"/>
        <w:widowControl w:val="0"/>
        <w:shd w:val="clear" w:color="auto" w:fill="auto"/>
        <w:bidi w:val="0"/>
        <w:spacing w:before="0" w:after="0" w:line="319" w:lineRule="exact"/>
        <w:ind w:left="0" w:right="0" w:firstLine="440"/>
        <w:jc w:val="left"/>
      </w:pPr>
      <w:r>
        <w:rPr>
          <w:color w:val="000000"/>
          <w:spacing w:val="0"/>
          <w:w w:val="100"/>
          <w:position w:val="0"/>
        </w:rPr>
        <w:t>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年的资金使用及需求，公司将严格按照中国证监会和深圳证券交易所对募集资金的各项要求，规范公司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年度非公开发行募集资金项目的结项和决算工作。结合年度经营需求，制定切实可行的资金使用和筹措计划，不排除利用信 贷、债券等多种方式筹措资金。</w:t>
      </w:r>
    </w:p>
    <w:p>
      <w:pPr>
        <w:pStyle w:val="Style29"/>
        <w:keepNext w:val="0"/>
        <w:keepLines w:val="0"/>
        <w:widowControl w:val="0"/>
        <w:shd w:val="clear" w:color="auto" w:fill="auto"/>
        <w:bidi w:val="0"/>
        <w:spacing w:before="0" w:after="0" w:line="319" w:lineRule="exact"/>
        <w:ind w:left="0" w:right="0" w:firstLine="440"/>
        <w:jc w:val="both"/>
      </w:pPr>
      <w:bookmarkStart w:id="265" w:name="bookmark265"/>
      <w:r>
        <w:rPr>
          <w:b/>
          <w:bCs/>
          <w:color w:val="000000"/>
          <w:spacing w:val="0"/>
          <w:w w:val="100"/>
          <w:position w:val="0"/>
        </w:rPr>
        <w:t>（</w:t>
      </w:r>
      <w:bookmarkEnd w:id="265"/>
      <w:r>
        <w:rPr>
          <w:b/>
          <w:bCs/>
          <w:color w:val="000000"/>
          <w:spacing w:val="0"/>
          <w:w w:val="100"/>
          <w:position w:val="0"/>
        </w:rPr>
        <w:t>六）可能面对的风险</w:t>
      </w:r>
    </w:p>
    <w:p>
      <w:pPr>
        <w:pStyle w:val="Style29"/>
        <w:keepNext w:val="0"/>
        <w:keepLines w:val="0"/>
        <w:widowControl w:val="0"/>
        <w:shd w:val="clear" w:color="auto" w:fill="auto"/>
        <w:bidi w:val="0"/>
        <w:spacing w:before="0" w:after="360" w:line="319" w:lineRule="exact"/>
        <w:ind w:left="0" w:right="0" w:firstLine="44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第一节重要提示、目录和释义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中所列风险因素。</w:t>
      </w:r>
    </w:p>
    <w:p>
      <w:pPr>
        <w:pStyle w:val="Style24"/>
        <w:keepNext/>
        <w:keepLines/>
        <w:widowControl w:val="0"/>
        <w:shd w:val="clear" w:color="auto" w:fill="auto"/>
        <w:bidi w:val="0"/>
        <w:spacing w:before="0" w:after="280" w:line="240" w:lineRule="auto"/>
        <w:ind w:left="0" w:right="0" w:firstLine="0"/>
        <w:jc w:val="left"/>
      </w:pPr>
      <w:bookmarkStart w:id="266" w:name="bookmark266"/>
      <w:bookmarkStart w:id="267" w:name="bookmark267"/>
      <w:bookmarkStart w:id="268" w:name="bookmark268"/>
      <w:r>
        <w:rPr>
          <w:color w:val="000000"/>
          <w:spacing w:val="0"/>
          <w:w w:val="100"/>
          <w:position w:val="0"/>
        </w:rPr>
        <w:t>十二、报告期内接待调研、沟通、采访等活动</w:t>
      </w:r>
      <w:bookmarkEnd w:id="266"/>
      <w:bookmarkEnd w:id="267"/>
      <w:bookmarkEnd w:id="268"/>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9" w:lineRule="exact"/>
        <w:ind w:left="0" w:right="0" w:firstLine="0"/>
        <w:jc w:val="left"/>
        <w:sectPr>
          <w:footnotePr>
            <w:pos w:val="pageBottom"/>
            <w:numFmt w:val="decimal"/>
            <w:numRestart w:val="continuous"/>
          </w:footnotePr>
          <w:pgSz w:w="11900" w:h="16840"/>
          <w:pgMar w:top="1388" w:right="747" w:bottom="1450" w:left="977"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after="500" w:line="240" w:lineRule="auto"/>
        <w:ind w:left="0" w:right="0" w:firstLine="0"/>
        <w:jc w:val="center"/>
      </w:pPr>
      <w:bookmarkStart w:id="269" w:name="bookmark269"/>
      <w:bookmarkStart w:id="270" w:name="bookmark270"/>
      <w:bookmarkStart w:id="271" w:name="bookmark271"/>
      <w:r>
        <w:rPr>
          <w:color w:val="000000"/>
          <w:spacing w:val="0"/>
          <w:w w:val="100"/>
          <w:position w:val="0"/>
        </w:rPr>
        <w:t>第四节公司治理</w:t>
      </w:r>
      <w:bookmarkEnd w:id="269"/>
      <w:bookmarkEnd w:id="270"/>
      <w:bookmarkEnd w:id="271"/>
    </w:p>
    <w:p>
      <w:pPr>
        <w:pStyle w:val="Style24"/>
        <w:keepNext/>
        <w:keepLines/>
        <w:widowControl w:val="0"/>
        <w:shd w:val="clear" w:color="auto" w:fill="auto"/>
        <w:tabs>
          <w:tab w:pos="637" w:val="left"/>
        </w:tabs>
        <w:bidi w:val="0"/>
        <w:spacing w:before="0" w:after="260" w:line="307" w:lineRule="exact"/>
        <w:ind w:left="0" w:right="0" w:firstLine="0"/>
        <w:jc w:val="left"/>
      </w:pPr>
      <w:bookmarkStart w:id="272" w:name="bookmark272"/>
      <w:bookmarkStart w:id="273" w:name="bookmark273"/>
      <w:bookmarkStart w:id="274" w:name="bookmark274"/>
      <w:bookmarkStart w:id="275" w:name="bookmark275"/>
      <w:bookmarkStart w:id="276" w:name="bookmark276"/>
      <w:r>
        <w:rPr>
          <w:color w:val="000000"/>
          <w:spacing w:val="0"/>
          <w:w w:val="100"/>
          <w:position w:val="0"/>
        </w:rPr>
        <w:t>一</w:t>
      </w:r>
      <w:bookmarkEnd w:id="275"/>
      <w:r>
        <w:rPr>
          <w:color w:val="000000"/>
          <w:spacing w:val="0"/>
          <w:w w:val="100"/>
          <w:position w:val="0"/>
        </w:rPr>
        <w:t>、</w:t>
        <w:tab/>
        <w:t>公司治理的基本状况</w:t>
      </w:r>
      <w:bookmarkEnd w:id="273"/>
      <w:bookmarkEnd w:id="274"/>
      <w:bookmarkEnd w:id="276"/>
      <w:bookmarkEnd w:id="272"/>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报告期内，公司严格按照《公司法》《证券法》《上市公司治理准则》《深圳证券交易所上市公司自律监管指引第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号一主板上市公司规范运作》等相关法律、法规的要求，不断地完善公司治理结构，建立健全公司法人治理结构及内部控 制体系，持续深入开展公司治理活动，以进一步规范公司运作，提高公司治理水平，充分维护公司及投资者的利益。</w:t>
      </w:r>
    </w:p>
    <w:p>
      <w:pPr>
        <w:pStyle w:val="Style2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报告期内，公司治理情况符合中国证监会、深圳证券交易所发布的有关上市公司治理的规范性文件要求。</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637" w:val="left"/>
        </w:tabs>
        <w:bidi w:val="0"/>
        <w:spacing w:before="0" w:after="260" w:line="307"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二</w:t>
      </w:r>
      <w:bookmarkEnd w:id="279"/>
      <w:r>
        <w:rPr>
          <w:color w:val="000000"/>
          <w:spacing w:val="0"/>
          <w:w w:val="100"/>
          <w:position w:val="0"/>
        </w:rPr>
        <w:t>、</w:t>
        <w:tab/>
        <w:t>公司相对于控股股东、实际控制人在保证公司资产、人员、财务、机构、业务等方面的 独立情况</w:t>
      </w:r>
      <w:bookmarkEnd w:id="277"/>
      <w:bookmarkEnd w:id="278"/>
      <w:bookmarkEnd w:id="280"/>
    </w:p>
    <w:p>
      <w:pPr>
        <w:pStyle w:val="Style29"/>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公司不存在控股股东，公司在业务、人员、资产、机构、财务等方面与第一大股东之间相互独立，具有独立完整的业务 及面向市场自主经营的能力，具有完整的供应、生产和销售系统。</w:t>
      </w:r>
    </w:p>
    <w:p>
      <w:pPr>
        <w:pStyle w:val="Style29"/>
        <w:keepNext w:val="0"/>
        <w:keepLines w:val="0"/>
        <w:widowControl w:val="0"/>
        <w:shd w:val="clear" w:color="auto" w:fill="auto"/>
        <w:tabs>
          <w:tab w:pos="714" w:val="left"/>
        </w:tabs>
        <w:bidi w:val="0"/>
        <w:spacing w:before="0" w:after="0" w:line="360" w:lineRule="auto"/>
        <w:ind w:left="0" w:right="0" w:firstLine="380"/>
        <w:jc w:val="both"/>
      </w:pPr>
      <w:bookmarkStart w:id="281" w:name="bookmark281"/>
      <w:r>
        <w:rPr>
          <w:rFonts w:ascii="Times New Roman" w:eastAsia="Times New Roman" w:hAnsi="Times New Roman" w:cs="Times New Roman"/>
          <w:color w:val="000000"/>
          <w:spacing w:val="0"/>
          <w:w w:val="100"/>
          <w:position w:val="0"/>
          <w:sz w:val="18"/>
          <w:szCs w:val="18"/>
        </w:rPr>
        <w:t>1</w:t>
      </w:r>
      <w:bookmarkEnd w:id="281"/>
      <w:r>
        <w:rPr>
          <w:color w:val="000000"/>
          <w:spacing w:val="0"/>
          <w:w w:val="100"/>
          <w:position w:val="0"/>
        </w:rPr>
        <w:t>、</w:t>
        <w:tab/>
        <w:t>业务独立</w:t>
      </w:r>
    </w:p>
    <w:p>
      <w:pPr>
        <w:pStyle w:val="Style29"/>
        <w:keepNext w:val="0"/>
        <w:keepLines w:val="0"/>
        <w:widowControl w:val="0"/>
        <w:shd w:val="clear" w:color="auto" w:fill="auto"/>
        <w:bidi w:val="0"/>
        <w:spacing w:before="0" w:after="0" w:line="317" w:lineRule="exact"/>
        <w:ind w:left="0" w:right="0" w:firstLine="38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公司与第一大股东之间不存在同业竞争。公司第一大股东承诺：在持有辉煌科技股权期间或担任辉煌科技董事、 监事、高级管理人员或核心技术人员期间及法定期限内，不经营或投资于任何与辉煌科技主营业务构成同业竞争的企业。第 一大股东现除持有本公司股份外，未拥有其他经营性资产，亦未从事其他经营业务。</w:t>
      </w:r>
    </w:p>
    <w:p>
      <w:pPr>
        <w:pStyle w:val="Style29"/>
        <w:keepNext w:val="0"/>
        <w:keepLines w:val="0"/>
        <w:widowControl w:val="0"/>
        <w:shd w:val="clear" w:color="auto" w:fill="auto"/>
        <w:bidi w:val="0"/>
        <w:spacing w:before="0" w:after="140" w:line="317" w:lineRule="exact"/>
        <w:ind w:left="0" w:right="0" w:firstLine="38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公司拥有独立完整的研发、供应、生产和销售业务体系，具有直接面向市场独立经营的能力。</w:t>
      </w:r>
    </w:p>
    <w:p>
      <w:pPr>
        <w:pStyle w:val="Style29"/>
        <w:keepNext w:val="0"/>
        <w:keepLines w:val="0"/>
        <w:widowControl w:val="0"/>
        <w:shd w:val="clear" w:color="auto" w:fill="auto"/>
        <w:tabs>
          <w:tab w:pos="734" w:val="left"/>
        </w:tabs>
        <w:bidi w:val="0"/>
        <w:spacing w:before="0" w:after="0" w:line="360" w:lineRule="auto"/>
        <w:ind w:left="0" w:right="0" w:firstLine="380"/>
        <w:jc w:val="left"/>
      </w:pPr>
      <w:bookmarkStart w:id="284" w:name="bookmark284"/>
      <w:r>
        <w:rPr>
          <w:rFonts w:ascii="Times New Roman" w:eastAsia="Times New Roman" w:hAnsi="Times New Roman" w:cs="Times New Roman"/>
          <w:color w:val="000000"/>
          <w:spacing w:val="0"/>
          <w:w w:val="100"/>
          <w:position w:val="0"/>
          <w:sz w:val="18"/>
          <w:szCs w:val="18"/>
        </w:rPr>
        <w:t>2</w:t>
      </w:r>
      <w:bookmarkEnd w:id="284"/>
      <w:r>
        <w:rPr>
          <w:color w:val="000000"/>
          <w:spacing w:val="0"/>
          <w:w w:val="100"/>
          <w:position w:val="0"/>
        </w:rPr>
        <w:t>、</w:t>
        <w:tab/>
        <w:t>人员独立</w:t>
      </w:r>
    </w:p>
    <w:p>
      <w:pPr>
        <w:pStyle w:val="Style29"/>
        <w:keepNext w:val="0"/>
        <w:keepLines w:val="0"/>
        <w:widowControl w:val="0"/>
        <w:shd w:val="clear" w:color="auto" w:fill="auto"/>
        <w:bidi w:val="0"/>
        <w:spacing w:before="0" w:after="0" w:line="322" w:lineRule="exact"/>
        <w:ind w:left="0" w:right="0" w:firstLine="38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公司董事、监事、高级管理人员均依合法程序选举或聘任，不存在第一大股东超越本公司董事会和股东大会作出 人事任免决定的情况。</w:t>
      </w:r>
    </w:p>
    <w:p>
      <w:pPr>
        <w:pStyle w:val="Style29"/>
        <w:keepNext w:val="0"/>
        <w:keepLines w:val="0"/>
        <w:widowControl w:val="0"/>
        <w:shd w:val="clear" w:color="auto" w:fill="auto"/>
        <w:tabs>
          <w:tab w:pos="825" w:val="left"/>
        </w:tabs>
        <w:bidi w:val="0"/>
        <w:spacing w:before="0" w:after="0" w:line="322" w:lineRule="exact"/>
        <w:ind w:left="0" w:right="0" w:firstLine="38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公司总经理、副总经理、财务负责人、董事会秘书等高级管理人员均在本公司工作并领取报酬。</w:t>
      </w:r>
    </w:p>
    <w:p>
      <w:pPr>
        <w:pStyle w:val="Style29"/>
        <w:keepNext w:val="0"/>
        <w:keepLines w:val="0"/>
        <w:widowControl w:val="0"/>
        <w:shd w:val="clear" w:color="auto" w:fill="auto"/>
        <w:tabs>
          <w:tab w:pos="825" w:val="left"/>
        </w:tabs>
        <w:bidi w:val="0"/>
        <w:spacing w:before="0" w:after="140" w:line="317" w:lineRule="exact"/>
        <w:ind w:left="0" w:right="0" w:firstLine="38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公司拥有独立完整的人事和劳资管理体系，完全独立于各股东。</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288" w:name="bookmark288"/>
      <w:r>
        <w:rPr>
          <w:rFonts w:ascii="Times New Roman" w:eastAsia="Times New Roman" w:hAnsi="Times New Roman" w:cs="Times New Roman"/>
          <w:color w:val="000000"/>
          <w:spacing w:val="0"/>
          <w:w w:val="100"/>
          <w:position w:val="0"/>
          <w:sz w:val="18"/>
          <w:szCs w:val="18"/>
        </w:rPr>
        <w:t>3</w:t>
      </w:r>
      <w:bookmarkEnd w:id="288"/>
      <w:r>
        <w:rPr>
          <w:color w:val="000000"/>
          <w:spacing w:val="0"/>
          <w:w w:val="100"/>
          <w:position w:val="0"/>
        </w:rPr>
        <w:t>、</w:t>
        <w:tab/>
        <w:t>资产独立</w:t>
      </w:r>
    </w:p>
    <w:p>
      <w:pPr>
        <w:pStyle w:val="Style29"/>
        <w:keepNext w:val="0"/>
        <w:keepLines w:val="0"/>
        <w:widowControl w:val="0"/>
        <w:shd w:val="clear" w:color="auto" w:fill="auto"/>
        <w:bidi w:val="0"/>
        <w:spacing w:before="0" w:after="140" w:line="326" w:lineRule="exact"/>
        <w:ind w:left="0" w:right="0" w:firstLine="380"/>
        <w:jc w:val="both"/>
      </w:pPr>
      <w:r>
        <w:rPr>
          <w:color w:val="000000"/>
          <w:spacing w:val="0"/>
          <w:w w:val="100"/>
          <w:position w:val="0"/>
        </w:rPr>
        <w:t>公司业务和生产经营必需的土地使用权、房产、机器设备、商标、专利和专有技术及其他资产的权属完全由公司独立享 有，不存在与第一大股东共用的情况，公司对所有资产拥有完全的控制和支配权。</w:t>
      </w:r>
    </w:p>
    <w:p>
      <w:pPr>
        <w:pStyle w:val="Style29"/>
        <w:keepNext w:val="0"/>
        <w:keepLines w:val="0"/>
        <w:widowControl w:val="0"/>
        <w:shd w:val="clear" w:color="auto" w:fill="auto"/>
        <w:tabs>
          <w:tab w:pos="734" w:val="left"/>
        </w:tabs>
        <w:bidi w:val="0"/>
        <w:spacing w:before="0" w:after="0" w:line="379" w:lineRule="auto"/>
        <w:ind w:left="0" w:right="0" w:firstLine="380"/>
        <w:jc w:val="both"/>
      </w:pPr>
      <w:bookmarkStart w:id="289" w:name="bookmark289"/>
      <w:r>
        <w:rPr>
          <w:rFonts w:ascii="Times New Roman" w:eastAsia="Times New Roman" w:hAnsi="Times New Roman" w:cs="Times New Roman"/>
          <w:color w:val="000000"/>
          <w:spacing w:val="0"/>
          <w:w w:val="100"/>
          <w:position w:val="0"/>
          <w:sz w:val="18"/>
          <w:szCs w:val="18"/>
        </w:rPr>
        <w:t>4</w:t>
      </w:r>
      <w:bookmarkEnd w:id="289"/>
      <w:r>
        <w:rPr>
          <w:color w:val="000000"/>
          <w:spacing w:val="0"/>
          <w:w w:val="100"/>
          <w:position w:val="0"/>
        </w:rPr>
        <w:t>、</w:t>
        <w:tab/>
        <w:t>机构独立</w:t>
      </w:r>
    </w:p>
    <w:p>
      <w:pPr>
        <w:pStyle w:val="Style29"/>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公司设有健全的组织结构体系，股东大会、董事会、监事会及董事会下设专业委员会等决策监督机构独立运作，不存在 股东及其他任何单位或个人干预公司机构设置及日常运作的情形。</w:t>
      </w:r>
    </w:p>
    <w:p>
      <w:pPr>
        <w:pStyle w:val="Style29"/>
        <w:keepNext w:val="0"/>
        <w:keepLines w:val="0"/>
        <w:widowControl w:val="0"/>
        <w:shd w:val="clear" w:color="auto" w:fill="auto"/>
        <w:tabs>
          <w:tab w:pos="734" w:val="left"/>
        </w:tabs>
        <w:bidi w:val="0"/>
        <w:spacing w:before="0" w:after="0" w:line="360" w:lineRule="auto"/>
        <w:ind w:left="0" w:right="0" w:firstLine="380"/>
        <w:jc w:val="both"/>
      </w:pPr>
      <w:bookmarkStart w:id="290" w:name="bookmark290"/>
      <w:r>
        <w:rPr>
          <w:rFonts w:ascii="Times New Roman" w:eastAsia="Times New Roman" w:hAnsi="Times New Roman" w:cs="Times New Roman"/>
          <w:color w:val="000000"/>
          <w:spacing w:val="0"/>
          <w:w w:val="100"/>
          <w:position w:val="0"/>
          <w:sz w:val="18"/>
          <w:szCs w:val="18"/>
        </w:rPr>
        <w:t>5</w:t>
      </w:r>
      <w:bookmarkEnd w:id="290"/>
      <w:r>
        <w:rPr>
          <w:color w:val="000000"/>
          <w:spacing w:val="0"/>
          <w:w w:val="100"/>
          <w:position w:val="0"/>
        </w:rPr>
        <w:t>、</w:t>
        <w:tab/>
        <w:t>财务独立</w:t>
      </w:r>
    </w:p>
    <w:p>
      <w:pPr>
        <w:pStyle w:val="Style29"/>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公司设有独立的财务部门、财务负责人和财务会计工作人员，有完整、独立的财务核算体系和财务管理制度，并独立开 设银行账户、独立纳税、独立做出财务决策。</w:t>
      </w:r>
      <w:r>
        <w:br w:type="page"/>
      </w:r>
    </w:p>
    <w:p>
      <w:pPr>
        <w:pStyle w:val="Style24"/>
        <w:keepNext/>
        <w:keepLines/>
        <w:widowControl w:val="0"/>
        <w:shd w:val="clear" w:color="auto" w:fill="auto"/>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三</w:t>
      </w:r>
      <w:bookmarkEnd w:id="293"/>
      <w:r>
        <w:rPr>
          <w:color w:val="000000"/>
          <w:spacing w:val="0"/>
          <w:w w:val="100"/>
          <w:position w:val="0"/>
        </w:rPr>
        <w:t>、同业竞争情况</w:t>
      </w:r>
      <w:bookmarkEnd w:id="291"/>
      <w:bookmarkEnd w:id="292"/>
      <w:bookmarkEnd w:id="294"/>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四</w:t>
      </w:r>
      <w:bookmarkEnd w:id="297"/>
      <w:r>
        <w:rPr>
          <w:color w:val="000000"/>
          <w:spacing w:val="0"/>
          <w:w w:val="100"/>
          <w:position w:val="0"/>
        </w:rPr>
        <w:t>、报告期内召开的年度股东大会和临时股东大会的有关情况</w:t>
      </w:r>
      <w:bookmarkEnd w:id="295"/>
      <w:bookmarkEnd w:id="296"/>
      <w:bookmarkEnd w:id="298"/>
    </w:p>
    <w:p>
      <w:pPr>
        <w:pStyle w:val="Style33"/>
        <w:keepNext/>
        <w:keepLines/>
        <w:widowControl w:val="0"/>
        <w:shd w:val="clear" w:color="auto" w:fill="auto"/>
        <w:bidi w:val="0"/>
        <w:spacing w:before="0" w:after="34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、本报告期股东大会情况</w:t>
      </w:r>
      <w:bookmarkEnd w:id="299"/>
      <w:bookmarkEnd w:id="300"/>
      <w:bookmarkEnd w:id="302"/>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详见刊登于巨潮资 讯网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上的《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年年度股东大会决 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详见刊登于巨潮资 讯网上的《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第一次临时股东大 会决议公告》</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2021-052</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、表决权恢复的优先股股东请求召开临时股东大会</w:t>
      </w:r>
      <w:bookmarkEnd w:id="303"/>
      <w:bookmarkEnd w:id="304"/>
      <w:bookmarkEnd w:id="30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五</w:t>
      </w:r>
      <w:bookmarkEnd w:id="309"/>
      <w:r>
        <w:rPr>
          <w:color w:val="000000"/>
          <w:spacing w:val="0"/>
          <w:w w:val="100"/>
          <w:position w:val="0"/>
        </w:rPr>
        <w:t>、董事、监事和高级管理人员情况</w:t>
      </w:r>
      <w:bookmarkEnd w:id="307"/>
      <w:bookmarkEnd w:id="308"/>
      <w:bookmarkEnd w:id="310"/>
    </w:p>
    <w:p>
      <w:pPr>
        <w:pStyle w:val="Style33"/>
        <w:keepNext/>
        <w:keepLines/>
        <w:widowControl w:val="0"/>
        <w:shd w:val="clear" w:color="auto" w:fill="auto"/>
        <w:bidi w:val="0"/>
        <w:spacing w:before="0" w:after="34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、基本情况</w:t>
      </w:r>
      <w:bookmarkEnd w:id="311"/>
      <w:bookmarkEnd w:id="312"/>
      <w:bookmarkEnd w:id="314"/>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谭宪才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康斌生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张宇锋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黄继军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郝恩元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杜旭升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理、董事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张奕敏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883,657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郭治国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434,626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侯菊艳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350,289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56,219,9 68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56,219,9 68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报告期是否存在任期内董事、监事离任和高级管理人员解聘的情况</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公司董事、监事、高级管理人员变动情况</w:t>
      </w:r>
    </w:p>
    <w:p>
      <w:pPr>
        <w:pStyle w:val="Style29"/>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、任职情况</w:t>
      </w:r>
      <w:bookmarkEnd w:id="315"/>
      <w:bookmarkEnd w:id="316"/>
      <w:bookmarkEnd w:id="318"/>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74" w:lineRule="auto"/>
        <w:ind w:left="0" w:right="0" w:firstLine="220"/>
        <w:jc w:val="left"/>
      </w:pPr>
      <w:bookmarkStart w:id="319" w:name="bookmark319"/>
      <w:r>
        <w:rPr>
          <w:rFonts w:ascii="Times New Roman" w:eastAsia="Times New Roman" w:hAnsi="Times New Roman" w:cs="Times New Roman"/>
          <w:color w:val="000000"/>
          <w:spacing w:val="0"/>
          <w:w w:val="100"/>
          <w:position w:val="0"/>
          <w:sz w:val="18"/>
          <w:szCs w:val="18"/>
        </w:rPr>
        <w:t>1</w:t>
      </w:r>
      <w:bookmarkEnd w:id="319"/>
      <w:r>
        <w:rPr>
          <w:color w:val="000000"/>
          <w:spacing w:val="0"/>
          <w:w w:val="100"/>
          <w:position w:val="0"/>
        </w:rPr>
        <w:t>、董事</w:t>
      </w:r>
    </w:p>
    <w:p>
      <w:pPr>
        <w:pStyle w:val="Style29"/>
        <w:keepNext w:val="0"/>
        <w:keepLines w:val="0"/>
        <w:widowControl w:val="0"/>
        <w:shd w:val="clear" w:color="auto" w:fill="auto"/>
        <w:bidi w:val="0"/>
        <w:spacing w:before="0" w:after="0" w:line="322" w:lineRule="exact"/>
        <w:ind w:left="0" w:right="0" w:firstLine="220"/>
        <w:jc w:val="left"/>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李海鹰先生，</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岁，本科学历，工程师。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月任公司董事长兼总经理，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月至今担任本公 司董事长。</w:t>
      </w:r>
    </w:p>
    <w:p>
      <w:pPr>
        <w:pStyle w:val="Style29"/>
        <w:keepNext w:val="0"/>
        <w:keepLines w:val="0"/>
        <w:widowControl w:val="0"/>
        <w:shd w:val="clear" w:color="auto" w:fill="auto"/>
        <w:bidi w:val="0"/>
        <w:spacing w:before="0" w:after="0" w:line="322" w:lineRule="exact"/>
        <w:ind w:left="0" w:right="0" w:firstLine="220"/>
        <w:jc w:val="left"/>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谢春生先生，</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岁，本科学历，高级工程师。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月任公司董事兼副总经理，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月任公司董事兼总经理，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月至今任公司总经 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月至今兼任河南辉煌软件有限公司执行董事，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月担任北京全路信通技术有限公司执行董事，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月至今任河南辉煌信通软件有限公司执行董事。</w:t>
      </w:r>
    </w:p>
    <w:p>
      <w:pPr>
        <w:pStyle w:val="Style29"/>
        <w:keepNext w:val="0"/>
        <w:keepLines w:val="0"/>
        <w:widowControl w:val="0"/>
        <w:shd w:val="clear" w:color="auto" w:fill="auto"/>
        <w:bidi w:val="0"/>
        <w:spacing w:before="0" w:after="0" w:line="314" w:lineRule="exact"/>
        <w:ind w:left="0" w:right="0" w:firstLine="220"/>
        <w:jc w:val="left"/>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康斌生先生，</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岁，硕士，高级工程师，清华大学首届</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中共党员。</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年曾先后在北京录音机厂、 松下电器（中国）有限公司、同方威视股份有限公司、易程科技股份有限公司工作。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月至今担任中科天艺（北京） 科技有限公司董事长，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年至今担任中科天艺信息技术江苏有限公司董事长，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月至今担任清谊汇（北京）科技有 限公司董事长兼</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w:t>
      </w:r>
      <w:r>
        <w:rPr>
          <w:color w:val="000000"/>
          <w:spacing w:val="0"/>
          <w:w w:val="100"/>
          <w:position w:val="0"/>
        </w:rPr>
        <w:t>辉煌科技现任独立董事。</w:t>
      </w:r>
    </w:p>
    <w:p>
      <w:pPr>
        <w:pStyle w:val="Style29"/>
        <w:keepNext w:val="0"/>
        <w:keepLines w:val="0"/>
        <w:widowControl w:val="0"/>
        <w:shd w:val="clear" w:color="auto" w:fill="auto"/>
        <w:bidi w:val="0"/>
        <w:spacing w:before="0" w:after="0" w:line="314" w:lineRule="exact"/>
        <w:ind w:left="0" w:right="0" w:firstLine="220"/>
        <w:jc w:val="left"/>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张宇锋先生，</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岁，硕士，经济师，律师，中共党员。</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年先后在中纪委驻卫生部纪检组、中国康华房 地产开发公司、中国建筑工程总公司进出口部从事行政管理、房地产开发、进出口贸易等工作。</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年至今任北京市华城律 师事务所创始合伙人、主任，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月至今任北京市广银律师事务所律师，现兼任中国政法大学金融法研究中心研究员， 中国政法大学国际银行法律实务研究中心研究员，中国贸促会、中国国际商会调解中心商事调解员、广州仲裁委员会仲裁员、 武汉仲裁委员会仲裁员、无锡仲裁委员会仲裁员、中国保健协会常务理事兼副秘书长、中华全国律师协会金融证券保险专业 委员会委员，上市公司胜利股份、德展健康的独立董事，互联网金融安全专家顾问委员会委员等职务；辉煌科技现任独立董 事。</w:t>
      </w:r>
    </w:p>
    <w:p>
      <w:pPr>
        <w:pStyle w:val="Style29"/>
        <w:keepNext w:val="0"/>
        <w:keepLines w:val="0"/>
        <w:widowControl w:val="0"/>
        <w:shd w:val="clear" w:color="auto" w:fill="auto"/>
        <w:bidi w:val="0"/>
        <w:spacing w:before="0" w:after="0" w:line="314" w:lineRule="exact"/>
        <w:ind w:left="0" w:right="0" w:firstLine="220"/>
        <w:jc w:val="left"/>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谭宪才先生，</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岁，硕士，高级会计师、注册会计师，中共党员。</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 xml:space="preserve">年任职于株洲市包装公司财务科， </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年任职于株洲市审计局、株洲审计师事务所，历任副科长、所长助理、所长，</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年任株洲大唐会计 师事务所董事长兼主任会计师，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年任湖南天华会计师事务所董事长兼主任会计师，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年初至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月任北京大公 天华会计师事务所董事长兼主任会计师。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月至今，任天职国际会计师事务所（特殊普通合伙）合伙人、总经理；现 兼任北京城建集团有限责任公司外部董事；辉煌科技现任独立董事。</w:t>
      </w:r>
    </w:p>
    <w:p>
      <w:pPr>
        <w:pStyle w:val="Style29"/>
        <w:keepNext w:val="0"/>
        <w:keepLines w:val="0"/>
        <w:widowControl w:val="0"/>
        <w:shd w:val="clear" w:color="auto" w:fill="auto"/>
        <w:tabs>
          <w:tab w:pos="577" w:val="left"/>
        </w:tabs>
        <w:bidi w:val="0"/>
        <w:spacing w:before="0" w:after="0" w:line="314" w:lineRule="exact"/>
        <w:ind w:left="0" w:right="0" w:firstLine="220"/>
        <w:jc w:val="left"/>
      </w:pPr>
      <w:bookmarkStart w:id="325" w:name="bookmark325"/>
      <w:r>
        <w:rPr>
          <w:rFonts w:ascii="Times New Roman" w:eastAsia="Times New Roman" w:hAnsi="Times New Roman" w:cs="Times New Roman"/>
          <w:color w:val="000000"/>
          <w:spacing w:val="0"/>
          <w:w w:val="100"/>
          <w:position w:val="0"/>
          <w:sz w:val="18"/>
          <w:szCs w:val="18"/>
        </w:rPr>
        <w:t>2</w:t>
      </w:r>
      <w:bookmarkEnd w:id="325"/>
      <w:r>
        <w:rPr>
          <w:color w:val="000000"/>
          <w:spacing w:val="0"/>
          <w:w w:val="100"/>
          <w:position w:val="0"/>
        </w:rPr>
        <w:t>、</w:t>
        <w:tab/>
        <w:t>监事</w:t>
      </w:r>
    </w:p>
    <w:p>
      <w:pPr>
        <w:pStyle w:val="Style29"/>
        <w:keepNext w:val="0"/>
        <w:keepLines w:val="0"/>
        <w:widowControl w:val="0"/>
        <w:shd w:val="clear" w:color="auto" w:fill="auto"/>
        <w:bidi w:val="0"/>
        <w:spacing w:before="0" w:after="0" w:line="314" w:lineRule="exact"/>
        <w:ind w:left="0" w:right="0" w:firstLine="22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黄继军先生，</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岁，本科学历，助理工程师。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月至今任公司物资部经理、监事，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月至今担任北京 国铁路阳技术有限公司监事，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月至今担任北京全路信通技术有限公司执行董事，公司现任监事会主席。</w:t>
      </w:r>
    </w:p>
    <w:p>
      <w:pPr>
        <w:pStyle w:val="Style29"/>
        <w:keepNext w:val="0"/>
        <w:keepLines w:val="0"/>
        <w:widowControl w:val="0"/>
        <w:shd w:val="clear" w:color="auto" w:fill="auto"/>
        <w:tabs>
          <w:tab w:pos="612" w:val="left"/>
        </w:tabs>
        <w:bidi w:val="0"/>
        <w:spacing w:before="0" w:after="0" w:line="314" w:lineRule="exact"/>
        <w:ind w:left="0" w:right="0" w:firstLine="22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郝恩元先生，</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岁，本科学历，中级会计师。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月至今任公司财务部会计、职工代表监事。</w:t>
      </w:r>
    </w:p>
    <w:p>
      <w:pPr>
        <w:pStyle w:val="Style29"/>
        <w:keepNext w:val="0"/>
        <w:keepLines w:val="0"/>
        <w:widowControl w:val="0"/>
        <w:shd w:val="clear" w:color="auto" w:fill="auto"/>
        <w:bidi w:val="0"/>
        <w:spacing w:before="0" w:after="0" w:line="314" w:lineRule="exact"/>
        <w:ind w:left="0" w:right="0" w:firstLine="22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杨超先生，</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岁，中专学历。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月任北京全路信通技术有限公司行政办公室职员，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 任北京国铁路阳技术有限公司行政办公室职员，兼任工会主席，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月至今任公司监事。</w:t>
      </w:r>
    </w:p>
    <w:p>
      <w:pPr>
        <w:pStyle w:val="Style29"/>
        <w:keepNext w:val="0"/>
        <w:keepLines w:val="0"/>
        <w:widowControl w:val="0"/>
        <w:shd w:val="clear" w:color="auto" w:fill="auto"/>
        <w:tabs>
          <w:tab w:pos="577" w:val="left"/>
        </w:tabs>
        <w:bidi w:val="0"/>
        <w:spacing w:before="0" w:after="0" w:line="314" w:lineRule="exact"/>
        <w:ind w:left="0" w:right="0" w:firstLine="220"/>
        <w:jc w:val="left"/>
      </w:pPr>
      <w:bookmarkStart w:id="329" w:name="bookmark329"/>
      <w:r>
        <w:rPr>
          <w:rFonts w:ascii="Times New Roman" w:eastAsia="Times New Roman" w:hAnsi="Times New Roman" w:cs="Times New Roman"/>
          <w:color w:val="000000"/>
          <w:spacing w:val="0"/>
          <w:w w:val="100"/>
          <w:position w:val="0"/>
          <w:sz w:val="18"/>
          <w:szCs w:val="18"/>
        </w:rPr>
        <w:t>3</w:t>
      </w:r>
      <w:bookmarkEnd w:id="329"/>
      <w:r>
        <w:rPr>
          <w:color w:val="000000"/>
          <w:spacing w:val="0"/>
          <w:w w:val="100"/>
          <w:position w:val="0"/>
        </w:rPr>
        <w:t>、</w:t>
        <w:tab/>
        <w:t>高级管理人员</w:t>
      </w:r>
    </w:p>
    <w:p>
      <w:pPr>
        <w:pStyle w:val="Style29"/>
        <w:keepNext w:val="0"/>
        <w:keepLines w:val="0"/>
        <w:widowControl w:val="0"/>
        <w:shd w:val="clear" w:color="auto" w:fill="auto"/>
        <w:bidi w:val="0"/>
        <w:spacing w:before="0" w:after="0" w:line="314" w:lineRule="exact"/>
        <w:ind w:left="0" w:right="0" w:firstLine="220"/>
        <w:jc w:val="left"/>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谢春生先生，公司现任董事、总经理，专业背景、主要工作经历等信息详见本节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val="0"/>
        <w:keepLines w:val="0"/>
        <w:widowControl w:val="0"/>
        <w:shd w:val="clear" w:color="auto" w:fill="auto"/>
        <w:bidi w:val="0"/>
        <w:spacing w:before="0" w:after="0" w:line="314" w:lineRule="exact"/>
        <w:ind w:left="0" w:right="0" w:firstLine="220"/>
        <w:jc w:val="left"/>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杜旭升先生，</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岁，大专学历，高级工程师。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年至今历任公司副总工程师、常务副总工程师、总工程师，</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月至今任公司董事会秘书。</w:t>
      </w:r>
    </w:p>
    <w:p>
      <w:pPr>
        <w:pStyle w:val="Style29"/>
        <w:keepNext w:val="0"/>
        <w:keepLines w:val="0"/>
        <w:widowControl w:val="0"/>
        <w:shd w:val="clear" w:color="auto" w:fill="auto"/>
        <w:tabs>
          <w:tab w:pos="695" w:val="left"/>
        </w:tabs>
        <w:bidi w:val="0"/>
        <w:spacing w:before="0" w:after="0" w:line="314" w:lineRule="exact"/>
        <w:ind w:left="0" w:right="0" w:firstLine="220"/>
        <w:jc w:val="left"/>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张奕敏女士，</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岁，硕士，工程师。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年至今历任公司营销总监、总经理助理，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月至今任公司副总经理，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月至今任河南辉煌城轨科技有限公司执行董事，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月至今任洛阳辉煌城轨科技有限公司执行董事。</w:t>
      </w:r>
    </w:p>
    <w:p>
      <w:pPr>
        <w:pStyle w:val="Style29"/>
        <w:keepNext w:val="0"/>
        <w:keepLines w:val="0"/>
        <w:widowControl w:val="0"/>
        <w:shd w:val="clear" w:color="auto" w:fill="auto"/>
        <w:tabs>
          <w:tab w:pos="695" w:val="left"/>
        </w:tabs>
        <w:bidi w:val="0"/>
        <w:spacing w:before="0" w:after="0" w:line="314" w:lineRule="exact"/>
        <w:ind w:left="0" w:right="0" w:firstLine="220"/>
        <w:jc w:val="left"/>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郭治国先生，</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岁，硕士，高级工程师。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年至今历任公司项目经理、总工程师助理、副总工程师、总经理助理，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月担任公司监事会主席，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月至今任北京国铁路阳技术有限公司执行董事，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 副总经理。</w:t>
      </w:r>
    </w:p>
    <w:p>
      <w:pPr>
        <w:pStyle w:val="Style29"/>
        <w:keepNext w:val="0"/>
        <w:keepLines w:val="0"/>
        <w:widowControl w:val="0"/>
        <w:shd w:val="clear" w:color="auto" w:fill="auto"/>
        <w:bidi w:val="0"/>
        <w:spacing w:before="0" w:after="0" w:line="314" w:lineRule="exact"/>
        <w:ind w:left="0" w:right="0" w:firstLine="220"/>
        <w:jc w:val="left"/>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侯菊艳女士，</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岁，本科学历，会计师。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年至今历任公司成本会计、财务主管，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月至今任公司财务总 监。</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河南辉煌信通软件有限公司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康斌生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中科天艺（北京）科技有限公司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康斌生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清谊汇（北京）科技有限公司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董事长兼</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北京市华城律师事务所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山东胜利股份有限公司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德展大健康股份有限公司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北京市广银律师事务所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谭宪才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合伙人、总经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张奕敏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张奕敏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洛阳辉煌城轨科技有限公司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郭治国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黄继军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7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张宇锋：</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年至今兼任中国贸促会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中国国际商会调解中心商事调解员、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月至今兼任中国保健 协会常务理事、副秘书长，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月至今兼任中国政法大学金融法研究中心研究员，</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 兼任广州仲裁委员会仲裁员，</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月至今兼任无锡仲裁委员会仲裁员，</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月至今兼任中国政 法大学国际银行法律实务研究中心研究员。康斌生：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年至今担任中科天艺信息技术江苏有限公司董事 长。谭宪才：现兼任北京城建集团有限责任公司外部董事。黄继军：</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月至今兼任北京国铁路阳技 术有限公司监事。</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、董事、监事、高级管理人员报酬情况</w:t>
      </w:r>
      <w:bookmarkEnd w:id="335"/>
      <w:bookmarkEnd w:id="336"/>
      <w:bookmarkEnd w:id="338"/>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140" w:line="310" w:lineRule="exact"/>
        <w:ind w:left="0" w:right="0" w:firstLine="380"/>
        <w:jc w:val="left"/>
      </w:pPr>
      <w:r>
        <w:rPr>
          <w:color w:val="000000"/>
          <w:spacing w:val="0"/>
          <w:w w:val="100"/>
          <w:position w:val="0"/>
        </w:rPr>
        <w:t>公司董事、监事、高级管理人员的报酬按照公司《薪酬体系管理规定》《高级管理人员薪酬管理制度》的规定进行考核， 并由公司董事会审议后提交公司股东大会审议。公司根据薪酬计划按月发放薪酬，报告期内共支付董事、监事、高级管理人 员薪酬</w:t>
      </w:r>
      <w:r>
        <w:rPr>
          <w:rFonts w:ascii="Times New Roman" w:eastAsia="Times New Roman" w:hAnsi="Times New Roman" w:cs="Times New Roman"/>
          <w:color w:val="000000"/>
          <w:spacing w:val="0"/>
          <w:w w:val="100"/>
          <w:position w:val="0"/>
          <w:sz w:val="18"/>
          <w:szCs w:val="18"/>
        </w:rPr>
        <w:t>627.46</w:t>
      </w:r>
      <w:r>
        <w:rPr>
          <w:color w:val="000000"/>
          <w:spacing w:val="0"/>
          <w:w w:val="100"/>
          <w:position w:val="0"/>
        </w:rPr>
        <w:t>万元。</w:t>
      </w:r>
      <w:r>
        <w:br w:type="page"/>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康斌生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谭宪才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黄继军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郝恩元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杜旭升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张奕敏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郭治国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侯菊艳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六</w:t>
      </w:r>
      <w:bookmarkEnd w:id="341"/>
      <w:r>
        <w:rPr>
          <w:color w:val="000000"/>
          <w:spacing w:val="0"/>
          <w:w w:val="100"/>
          <w:position w:val="0"/>
        </w:rPr>
        <w:t>、报告期内董事履行职责的情况</w:t>
      </w:r>
      <w:bookmarkEnd w:id="339"/>
      <w:bookmarkEnd w:id="340"/>
      <w:bookmarkEnd w:id="342"/>
    </w:p>
    <w:p>
      <w:pPr>
        <w:pStyle w:val="Style33"/>
        <w:keepNext/>
        <w:keepLines/>
        <w:widowControl w:val="0"/>
        <w:shd w:val="clear" w:color="auto" w:fill="auto"/>
        <w:bidi w:val="0"/>
        <w:spacing w:before="0" w:after="32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、本报告期董事会情况</w:t>
      </w:r>
      <w:bookmarkEnd w:id="343"/>
      <w:bookmarkEnd w:id="344"/>
      <w:bookmarkEnd w:id="346"/>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刊登在《中国证券报》《证券 时报》《上海证券报》和巨潮 资讯网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刊登在《中国证券报》《证券 时报》《上海证券报》和巨潮 资讯网</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刊登在《中国证券报》《证券 时报》《上海证券报》和巨潮 资讯网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刊登在《中国证券报》《证券 时报》《上海证券报》和巨潮 资讯网</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第七届董事会第十三次会议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刊登在《中国证券报》《证券 时报》《上海证券报》和巨潮</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刊登在《中国证券报》《证券 时报》《上海证券报》和巨潮 资讯网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第七届董事会第十五次会议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刊登在《中国证券报》《证券 时报》《上海证券报》和巨潮 资讯网</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第七届董事会第十六次会议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本次董事会仅审议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三季度报告一个议案，且无投 反对票或弃权情况，根据深交 所相关规定未披露本次董事 会决议公告。</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、董事出席董事会及股东大会的情况</w:t>
      </w:r>
      <w:bookmarkEnd w:id="347"/>
      <w:bookmarkEnd w:id="348"/>
      <w:bookmarkEnd w:id="350"/>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张宇锋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康斌生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谭宪才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不存在董事连续两次未亲自出席董事会的情况。</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董事对公司有关事项提出异议的情况</w:t>
      </w:r>
      <w:bookmarkEnd w:id="351"/>
      <w:bookmarkEnd w:id="352"/>
      <w:bookmarkEnd w:id="354"/>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董事对公司有关事项是否提出异议</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tabs>
          <w:tab w:pos="378" w:val="left"/>
        </w:tabs>
        <w:bidi w:val="0"/>
        <w:spacing w:before="0" w:after="2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董事履行职责的其他说明</w:t>
      </w:r>
      <w:bookmarkEnd w:id="355"/>
      <w:bookmarkEnd w:id="356"/>
      <w:bookmarkEnd w:id="358"/>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董事对公司有关建议是否被采纳</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董事对公司有关建议被采纳或未被采纳的说明</w:t>
      </w:r>
    </w:p>
    <w:p>
      <w:pPr>
        <w:pStyle w:val="Style29"/>
        <w:keepNext w:val="0"/>
        <w:keepLines w:val="0"/>
        <w:widowControl w:val="0"/>
        <w:shd w:val="clear" w:color="auto" w:fill="auto"/>
        <w:bidi w:val="0"/>
        <w:spacing w:before="0" w:after="220" w:line="317" w:lineRule="exact"/>
        <w:ind w:left="0" w:right="0" w:firstLine="380"/>
        <w:jc w:val="left"/>
      </w:pPr>
      <w:r>
        <w:rPr>
          <w:color w:val="000000"/>
          <w:spacing w:val="0"/>
          <w:w w:val="100"/>
          <w:position w:val="0"/>
        </w:rPr>
        <w:t>报告期内，公司董事严格按照《公司章程》《公司董事会议事规则》及相关法律、法规等相关规定和要求，勤勉履职， 并结合自身专业对公司提出了相关建议。公司对其在战略规划、经营管理、技术研发、人才选育、激励机制、公司治理、风 险控制、信息披露等方面的合理建议予以了采纳并落实。</w:t>
      </w:r>
      <w:r>
        <w:br w:type="page"/>
      </w:r>
    </w:p>
    <w:p>
      <w:pPr>
        <w:pStyle w:val="Style24"/>
        <w:keepNext/>
        <w:keepLines/>
        <w:widowControl w:val="0"/>
        <w:shd w:val="clear" w:color="auto" w:fill="auto"/>
        <w:bidi w:val="0"/>
        <w:spacing w:before="0" w:after="32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七</w:t>
      </w:r>
      <w:bookmarkEnd w:id="361"/>
      <w:r>
        <w:rPr>
          <w:color w:val="000000"/>
          <w:spacing w:val="0"/>
          <w:w w:val="100"/>
          <w:position w:val="0"/>
        </w:rPr>
        <w:t>、董事会下设专门委员会在报告期内的情况</w:t>
      </w:r>
      <w:bookmarkEnd w:id="359"/>
      <w:bookmarkEnd w:id="360"/>
      <w:bookmarkEnd w:id="362"/>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71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董事会战略决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李海鹰、谢春 生、谭宪才、 张宇锋、康斌 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《关于回购公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司股份方案》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《公司未来发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展展望》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《关于投资建 设智能微电网 及储能技术研 发中心项目的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77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董事会审计委 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谭宪才、谢春 生、张宇锋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部控制评价报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募集资金存放 与使用情况专 项报告》《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年年度内部审 计工作报告》</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 审项目计划》</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《关于续聘会 计师事务所的 议案》《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年度财务报 告》等议案。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季 度募集资金存 放与使用情况 专项报告》</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季 度内审工作总 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季度内审工作 计划》《</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年第一季度报 告》等议案。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度募集资金存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放与使用情况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254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专项报告》</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度内审工作总 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季度内审工作 计划》《</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年半年度财务 报告》等议案。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 度募集资金存 放与使用情况 专项报告》</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季 度内审工作总 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季度内审工作 计划》《</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 告》等议案。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董事会薪酬与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康斌生、谢春 生、谭宪才</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《关于公司高 级管理人员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年度绩效 考核结果的议 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《关于公司董 事、监事、高 级管理人员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年薪酬的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《关于回购注 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 期限制性股票 激励计划部分 限制性股票的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董事会提名委 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张宇锋、谢春 生、康斌生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《公司董事会 提名委员会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 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一致同意通 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（非独立董</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事）及高级管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一致同意通 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理人员的履职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八</w:t>
      </w:r>
      <w:bookmarkEnd w:id="365"/>
      <w:r>
        <w:rPr>
          <w:color w:val="000000"/>
          <w:spacing w:val="0"/>
          <w:w w:val="100"/>
          <w:position w:val="0"/>
        </w:rPr>
        <w:t>、监事会工作情况</w:t>
      </w:r>
      <w:bookmarkEnd w:id="363"/>
      <w:bookmarkEnd w:id="364"/>
      <w:bookmarkEnd w:id="36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九</w:t>
      </w:r>
      <w:bookmarkEnd w:id="369"/>
      <w:r>
        <w:rPr>
          <w:color w:val="000000"/>
          <w:spacing w:val="0"/>
          <w:w w:val="100"/>
          <w:position w:val="0"/>
        </w:rPr>
        <w:t>、公司员工情况</w:t>
      </w:r>
      <w:bookmarkEnd w:id="367"/>
      <w:bookmarkEnd w:id="368"/>
      <w:bookmarkEnd w:id="370"/>
    </w:p>
    <w:p>
      <w:pPr>
        <w:pStyle w:val="Style33"/>
        <w:keepNext/>
        <w:keepLines/>
        <w:widowControl w:val="0"/>
        <w:shd w:val="clear" w:color="auto" w:fill="auto"/>
        <w:bidi w:val="0"/>
        <w:spacing w:before="0" w:after="30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、员工数量、专业构成及教育程度</w:t>
      </w:r>
      <w:bookmarkEnd w:id="371"/>
      <w:bookmarkEnd w:id="372"/>
      <w:bookmarkEnd w:id="37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、薪酬政策</w:t>
      </w:r>
      <w:bookmarkEnd w:id="375"/>
      <w:bookmarkEnd w:id="376"/>
      <w:bookmarkEnd w:id="378"/>
    </w:p>
    <w:p>
      <w:pPr>
        <w:pStyle w:val="Style29"/>
        <w:keepNext w:val="0"/>
        <w:keepLines w:val="0"/>
        <w:widowControl w:val="0"/>
        <w:shd w:val="clear" w:color="auto" w:fill="auto"/>
        <w:bidi w:val="0"/>
        <w:spacing w:before="0" w:after="360" w:line="314"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年度，公司严格执行国家用工制度、劳动保护制度、社会保障制度和医疗保障制度，按照国家法律法规及时为员 工缴纳医疗保险金、养老保险、失业保险、工伤保险、生育保险和公积金。在此基础上，公司结合所处行业及经营特点，充 分考虑公平性和竞争力，形成了《薪酬体系管理规定》《高级管理人员薪酬管理制度》等一系列富有竞争力的薪酬考核制度 及绩效考核制度。报告期内，公司向员工提供稳定而有竞争力的薪酬，实施了公平公正的绩效考核机制，充分调动员工的积 </w:t>
      </w:r>
      <w:r>
        <w:rPr>
          <w:color w:val="000000"/>
          <w:spacing w:val="0"/>
          <w:w w:val="100"/>
          <w:position w:val="0"/>
        </w:rPr>
        <w:t>极性和创造性，稳定公司人才队伍和吸引外部优秀人才，为公司发展提供人力资源保障。</w:t>
      </w: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报告期内计入成本部分的职工薪酬总额为</w:t>
      </w:r>
      <w:r>
        <w:rPr>
          <w:rFonts w:ascii="Times New Roman" w:eastAsia="Times New Roman" w:hAnsi="Times New Roman" w:cs="Times New Roman"/>
          <w:color w:val="000000"/>
          <w:spacing w:val="0"/>
          <w:w w:val="100"/>
          <w:position w:val="0"/>
          <w:sz w:val="18"/>
          <w:szCs w:val="18"/>
        </w:rPr>
        <w:t>1,427.73</w:t>
      </w:r>
      <w:r>
        <w:rPr>
          <w:color w:val="000000"/>
          <w:spacing w:val="0"/>
          <w:w w:val="100"/>
          <w:position w:val="0"/>
        </w:rPr>
        <w:t>万元，占公司产品成本总额的比重</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，占比较小，对公司利润无 显著影响。报告期内核心技术人员数量占比</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，核心技术人员薪酬占比</w:t>
      </w:r>
      <w:r>
        <w:rPr>
          <w:rFonts w:ascii="Times New Roman" w:eastAsia="Times New Roman" w:hAnsi="Times New Roman" w:cs="Times New Roman"/>
          <w:color w:val="000000"/>
          <w:spacing w:val="0"/>
          <w:w w:val="100"/>
          <w:position w:val="0"/>
          <w:sz w:val="18"/>
          <w:szCs w:val="18"/>
        </w:rPr>
        <w:t>13.30%</w:t>
      </w:r>
      <w:r>
        <w:rPr>
          <w:color w:val="000000"/>
          <w:spacing w:val="0"/>
          <w:w w:val="100"/>
          <w:position w:val="0"/>
        </w:rPr>
        <w:t>，核心技术人员的薪酬高于公司的平均薪 酬。</w:t>
      </w:r>
    </w:p>
    <w:p>
      <w:pPr>
        <w:pStyle w:val="Style33"/>
        <w:keepNext/>
        <w:keepLines/>
        <w:widowControl w:val="0"/>
        <w:shd w:val="clear" w:color="auto" w:fill="auto"/>
        <w:bidi w:val="0"/>
        <w:spacing w:before="0" w:after="2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、培训计划</w:t>
      </w:r>
      <w:bookmarkEnd w:id="379"/>
      <w:bookmarkEnd w:id="380"/>
      <w:bookmarkEnd w:id="382"/>
    </w:p>
    <w:p>
      <w:pPr>
        <w:pStyle w:val="Style29"/>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公司充分认识到对员工培训的重要性，根据公司的经营发展状况及员工个人发展需要而选择合适培训方式方法进行培 训，培训方式为外派和内训相结合，同时大力开展线上网络视频学习模式，旨在提高员工个人专业水平和综合素质。报告期 内，公司优化已建立的学习型组织，帮助员工制定职业生涯规划，持续完善培训体系和内容，制订科学有效的培训制度。</w:t>
      </w:r>
    </w:p>
    <w:p>
      <w:pPr>
        <w:pStyle w:val="Style29"/>
        <w:keepNext w:val="0"/>
        <w:keepLines w:val="0"/>
        <w:widowControl w:val="0"/>
        <w:shd w:val="clear" w:color="auto" w:fill="auto"/>
        <w:bidi w:val="0"/>
        <w:spacing w:before="0" w:after="580" w:line="360" w:lineRule="auto"/>
        <w:ind w:left="0" w:right="0" w:firstLine="44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年公司将持续优化公司的培训体系，丰富培训的方式方法，满足各部门的业务需求和公司发展的需要。</w:t>
      </w:r>
    </w:p>
    <w:p>
      <w:pPr>
        <w:pStyle w:val="Style33"/>
        <w:keepNext/>
        <w:keepLines/>
        <w:widowControl w:val="0"/>
        <w:shd w:val="clear" w:color="auto" w:fill="auto"/>
        <w:bidi w:val="0"/>
        <w:spacing w:before="0" w:after="28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4</w:t>
      </w:r>
      <w:bookmarkEnd w:id="385"/>
      <w:r>
        <w:rPr>
          <w:color w:val="000000"/>
          <w:spacing w:val="0"/>
          <w:w w:val="100"/>
          <w:position w:val="0"/>
        </w:rPr>
        <w:t>、劳务外包情况</w:t>
      </w:r>
      <w:bookmarkEnd w:id="383"/>
      <w:bookmarkEnd w:id="384"/>
      <w:bookmarkEnd w:id="386"/>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387" w:name="bookmark387"/>
      <w:bookmarkStart w:id="388" w:name="bookmark388"/>
      <w:bookmarkStart w:id="389" w:name="bookmark389"/>
      <w:r>
        <w:rPr>
          <w:color w:val="000000"/>
          <w:spacing w:val="0"/>
          <w:w w:val="100"/>
          <w:position w:val="0"/>
        </w:rPr>
        <w:t>十、公司利润分配及资本公积金转增股本情况</w:t>
      </w:r>
      <w:bookmarkEnd w:id="387"/>
      <w:bookmarkEnd w:id="388"/>
      <w:bookmarkEnd w:id="38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报告期内，公司实行持续、稳定的利润分配政策，分红政策的制定、执行符合公司章程的规定及股东大会决议的要求， 分红标准明确，分红比例清晰，决策程序完备。独立董事对分红事项充分发表了意见，利润分配政策均提交股东大会审议， 中小股东权益得到充分保护，促进公司更好的发展。</w:t>
      </w:r>
    </w:p>
    <w:p>
      <w:pPr>
        <w:pStyle w:val="Style29"/>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根据中国证监会《关于进一步落实上市公司现金分红有关事项的通知》《上市公司监管指引第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上市公司现金分红》 《关于鼓励上市公司兼并重组、现金分红及回购股份的通知》等相关规定以及《公司章程》的约定，综合考虑公司所处行业 特征、公司发展战略和经营计划、股东回报、社会资金成本以及外部融资环境等因素，制订《公司未来三年股东回报规划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年）》，已经公司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日召开的第七届董事会第十次会议、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 过。</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根据《关于支持上市公司回购股份的意见》《深圳证券交易所 上市公司自律监管指引第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号——回购股份》相关规定，公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年度通过回购专用证券账户以集中竞价方式已完成回 购本公司股份金额为</w:t>
            </w:r>
            <w:r>
              <w:rPr>
                <w:rFonts w:ascii="Times New Roman" w:eastAsia="Times New Roman" w:hAnsi="Times New Roman" w:cs="Times New Roman"/>
                <w:color w:val="000000"/>
                <w:spacing w:val="0"/>
                <w:w w:val="100"/>
                <w:position w:val="0"/>
                <w:sz w:val="18"/>
                <w:szCs w:val="18"/>
              </w:rPr>
              <w:t>164,722,660.81</w:t>
            </w:r>
            <w:r>
              <w:rPr>
                <w:color w:val="000000"/>
                <w:spacing w:val="0"/>
                <w:w w:val="100"/>
                <w:position w:val="0"/>
              </w:rPr>
              <w:t>元（不含手续费），视同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164,722,660.81</w:t>
            </w:r>
            <w:r>
              <w:rPr>
                <w:color w:val="000000"/>
                <w:spacing w:val="0"/>
                <w:w w:val="100"/>
                <w:position w:val="0"/>
              </w:rPr>
              <w:t>元，占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年度归属 于上市公司股东的净利润的比例为</w:t>
            </w:r>
            <w:r>
              <w:rPr>
                <w:rFonts w:ascii="Times New Roman" w:eastAsia="Times New Roman" w:hAnsi="Times New Roman" w:cs="Times New Roman"/>
                <w:color w:val="000000"/>
                <w:spacing w:val="0"/>
                <w:w w:val="100"/>
                <w:position w:val="0"/>
                <w:sz w:val="18"/>
                <w:szCs w:val="18"/>
              </w:rPr>
              <w:t>137.12%</w:t>
            </w:r>
            <w:r>
              <w:rPr>
                <w:color w:val="000000"/>
                <w:spacing w:val="0"/>
                <w:w w:val="100"/>
                <w:position w:val="0"/>
              </w:rPr>
              <w:t>。结合公司目前 的经营现状、资金状况及未来的发展需要等因素，公司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年度拟不进行利润分配，不以公积金转增股本。</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6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年度未分配利润将累积滚存至下一年度，以满足公 司各项业务的开展及流动资金需要，为公司中长期发展战略 的顺利实施以及可持续发展提供可靠的保障。</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公司今后仍将严格按照相关法律法规和《公司章程》等规定， 综合考虑与利润分配相关的各种因素，从有利于公司发展和 投资者回报的角度出发，严格执行相关的利润分配制度，与 投资者共享公司发展的成果。</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本报告期利润分配及资本公积金转增股本情况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r>
        <w:rPr>
          <w:color w:val="000000"/>
          <w:spacing w:val="0"/>
          <w:w w:val="100"/>
          <w:position w:val="0"/>
        </w:rPr>
        <w:t>十一、公司股权激励计划、员工持股计划或其他员工激励措施的实施情况</w:t>
      </w:r>
      <w:bookmarkEnd w:id="390"/>
      <w:bookmarkEnd w:id="391"/>
      <w:bookmarkEnd w:id="392"/>
    </w:p>
    <w:p>
      <w:pPr>
        <w:pStyle w:val="Style29"/>
        <w:keepNext w:val="0"/>
        <w:keepLines w:val="0"/>
        <w:widowControl w:val="0"/>
        <w:shd w:val="clear" w:color="auto" w:fill="auto"/>
        <w:bidi w:val="0"/>
        <w:spacing w:before="0" w:after="26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、股权激励</w:t>
      </w:r>
      <w:bookmarkEnd w:id="393"/>
      <w:bookmarkEnd w:id="394"/>
      <w:bookmarkEnd w:id="396"/>
    </w:p>
    <w:p>
      <w:pPr>
        <w:pStyle w:val="Style29"/>
        <w:keepNext w:val="0"/>
        <w:keepLines w:val="0"/>
        <w:widowControl w:val="0"/>
        <w:shd w:val="clear" w:color="auto" w:fill="auto"/>
        <w:tabs>
          <w:tab w:pos="791" w:val="left"/>
        </w:tabs>
        <w:bidi w:val="0"/>
        <w:spacing w:before="0" w:after="0" w:line="320" w:lineRule="exact"/>
        <w:ind w:left="0" w:right="0" w:firstLine="380"/>
        <w:jc w:val="both"/>
      </w:pPr>
      <w:bookmarkStart w:id="397" w:name="bookmark397"/>
      <w:r>
        <w:rPr>
          <w:color w:val="000000"/>
          <w:spacing w:val="0"/>
          <w:w w:val="100"/>
          <w:position w:val="0"/>
        </w:rPr>
        <w:t>（</w:t>
      </w:r>
      <w:bookmarkEnd w:id="3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w:t>
      </w:r>
    </w:p>
    <w:p>
      <w:pPr>
        <w:pStyle w:val="Style29"/>
        <w:keepNext w:val="0"/>
        <w:keepLines w:val="0"/>
        <w:widowControl w:val="0"/>
        <w:shd w:val="clear" w:color="auto" w:fill="auto"/>
        <w:bidi w:val="0"/>
        <w:spacing w:before="0" w:after="0" w:line="320"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日，公司召开第七届董事会第十一次会议和第七届监事会第十次会议，审议通过了《关于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 票激励计划第一个解除限售期解除限售条件成就的议案》，同意公司为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名激励对象办理第一个解除限售期的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万股限制 性股票的解除限售手续。公司独立董事发表了独立意见，律师出具了法律意见书。</w:t>
      </w:r>
    </w:p>
    <w:p>
      <w:pPr>
        <w:pStyle w:val="Style29"/>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日，公司已办理完解除限售相关手续，公司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年限制性股票激励计划授予的限制性股票第一个解除 限售期解锁股份上市流通日为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w:t>
      </w:r>
      <w:r>
        <w:rPr>
          <w:color w:val="000000"/>
          <w:spacing w:val="0"/>
          <w:w w:val="100"/>
          <w:position w:val="0"/>
        </w:rPr>
        <w:t xml:space="preserve"> 划授予的限制性股票第一个解除限售期解锁股份上市流通的提示性公告》（</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p>
      <w:pPr>
        <w:pStyle w:val="Style29"/>
        <w:keepNext w:val="0"/>
        <w:keepLines w:val="0"/>
        <w:widowControl w:val="0"/>
        <w:shd w:val="clear" w:color="auto" w:fill="auto"/>
        <w:tabs>
          <w:tab w:pos="791" w:val="left"/>
        </w:tabs>
        <w:bidi w:val="0"/>
        <w:spacing w:before="0" w:after="0" w:line="320" w:lineRule="exact"/>
        <w:ind w:left="0" w:right="0" w:firstLine="38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w:t>
      </w:r>
    </w:p>
    <w:p>
      <w:pPr>
        <w:pStyle w:val="Style29"/>
        <w:keepNext w:val="0"/>
        <w:keepLines w:val="0"/>
        <w:widowControl w:val="0"/>
        <w:shd w:val="clear" w:color="auto" w:fill="auto"/>
        <w:tabs>
          <w:tab w:pos="671" w:val="left"/>
        </w:tabs>
        <w:bidi w:val="0"/>
        <w:spacing w:before="0" w:after="0" w:line="314" w:lineRule="exact"/>
        <w:ind w:left="0" w:right="0" w:firstLine="380"/>
        <w:jc w:val="both"/>
      </w:pPr>
      <w:bookmarkStart w:id="399" w:name="bookmark399"/>
      <w:r>
        <w:rPr>
          <w:rFonts w:ascii="Times New Roman" w:eastAsia="Times New Roman" w:hAnsi="Times New Roman" w:cs="Times New Roman"/>
          <w:color w:val="000000"/>
          <w:spacing w:val="0"/>
          <w:w w:val="100"/>
          <w:position w:val="0"/>
          <w:sz w:val="18"/>
          <w:szCs w:val="18"/>
        </w:rPr>
        <w:t>a</w:t>
      </w:r>
      <w:bookmarkEnd w:id="39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日公司召开第七届董事会第十二次会议和第七届监事会第十一次会议，审议通过了《关于回购注销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年第二期限制性股票激励计划部分限制性股票的议案》，公司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年第二期限制性股票激励计划激励对象许浩、刘仲彦两人 因个人原因主动离职，失去作为激励对象参与激励计划的资格，不再满足成为激励对象的条件。因此，公司将回购注销许浩、 刘仲彦已获授的但尚未解除限售的限制性股票共计</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股，回购价格</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股。公司独立董事发表了独立意见，律师出具 了法律意见书。并已经公司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日公司披露了《关于回 购注销部分限制性股票减资暨通知债权人的公告》，内容详见《证券时报》《中国证券报》《上海证券报》及巨潮资讯网</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日，公司已在中国证券登记结算有限责任公司深圳分公司完成上述限制性股</w:t>
      </w:r>
      <w:r>
        <w:rPr>
          <w:color w:val="000000"/>
          <w:spacing w:val="0"/>
          <w:w w:val="100"/>
          <w:position w:val="0"/>
        </w:rPr>
        <w:t xml:space="preserve"> 票回购注销事宜，内容详见《关于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年第二期限制性股票激励计划部分限制性股票回购注销完成的公告》（公告编号 </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p>
      <w:pPr>
        <w:pStyle w:val="Style29"/>
        <w:keepNext w:val="0"/>
        <w:keepLines w:val="0"/>
        <w:widowControl w:val="0"/>
        <w:shd w:val="clear" w:color="auto" w:fill="auto"/>
        <w:tabs>
          <w:tab w:pos="671" w:val="left"/>
        </w:tabs>
        <w:bidi w:val="0"/>
        <w:spacing w:before="0" w:after="0" w:line="320" w:lineRule="exact"/>
        <w:ind w:left="0" w:right="0" w:firstLine="380"/>
        <w:jc w:val="both"/>
      </w:pPr>
      <w:bookmarkStart w:id="400" w:name="bookmark400"/>
      <w:r>
        <w:rPr>
          <w:rFonts w:ascii="Times New Roman" w:eastAsia="Times New Roman" w:hAnsi="Times New Roman" w:cs="Times New Roman"/>
          <w:color w:val="000000"/>
          <w:spacing w:val="0"/>
          <w:w w:val="100"/>
          <w:position w:val="0"/>
          <w:sz w:val="18"/>
          <w:szCs w:val="18"/>
        </w:rPr>
        <w:t>b</w:t>
      </w:r>
      <w:bookmarkEnd w:id="40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日，公司召开的第七届董事会第十四次会议审议通过了《关于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年第二期限制性股票激励计划第一个 解除限售期解除限售条件成就的议案》，同意公司为</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名激励对象办理第一个解除限售期的</w:t>
      </w:r>
      <w:r>
        <w:rPr>
          <w:rFonts w:ascii="Times New Roman" w:eastAsia="Times New Roman" w:hAnsi="Times New Roman" w:cs="Times New Roman"/>
          <w:color w:val="000000"/>
          <w:spacing w:val="0"/>
          <w:w w:val="100"/>
          <w:position w:val="0"/>
          <w:sz w:val="18"/>
          <w:szCs w:val="18"/>
        </w:rPr>
        <w:t>398.4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万股限制性股票的解除 限售手续。公司独立董事发表了独立意见，律师出具了法律意见书。</w:t>
      </w:r>
    </w:p>
    <w:p>
      <w:pPr>
        <w:pStyle w:val="Style29"/>
        <w:keepNext w:val="0"/>
        <w:keepLines w:val="0"/>
        <w:widowControl w:val="0"/>
        <w:shd w:val="clear" w:color="auto" w:fill="auto"/>
        <w:bidi w:val="0"/>
        <w:spacing w:before="0" w:after="80" w:line="320"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日，公司已办理完解除限售相关手续，公司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年第二期限制性股票激励计划授予的限制性股票第一 个解除限售期解锁股份上市流通日为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w:t>
      </w:r>
      <w:r>
        <w:rPr>
          <w:color w:val="000000"/>
          <w:spacing w:val="0"/>
          <w:w w:val="100"/>
          <w:position w:val="0"/>
        </w:rPr>
        <w:t xml:space="preserve"> 制性股票激励计划授予的限制性股票第一个解除限售期解锁股份上市流通的提示性公告》（</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rPr>
        <w:t>）。</w:t>
      </w:r>
      <w:r>
        <w:br w:type="page"/>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公司董事、高级管理人员获得的股权激励情况</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2"/>
        <w:gridCol w:w="686"/>
        <w:gridCol w:w="682"/>
        <w:gridCol w:w="682"/>
        <w:gridCol w:w="682"/>
        <w:gridCol w:w="682"/>
        <w:gridCol w:w="686"/>
        <w:gridCol w:w="682"/>
        <w:gridCol w:w="682"/>
        <w:gridCol w:w="69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年初持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新授予</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解锁股</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份数量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杜旭升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副总经 理、董 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张奕敏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侯菊艳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杜旭升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副总经 理、董 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张奕敏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郭治国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侯菊艳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本报告期内，高级管理人员获授的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年第二期限制性股票激励计划因 满足解锁条件，公司分别办理了第一次解除限售手续。</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根据公司《章程》《高级管理人员薪酬管理制度》，公司对高级管理人员的考评实行基本薪酬与工作绩效挂钩的激励与 约束机制。年末根据公司年度经营目标完成情况以及高级管理人员的工作业绩，由董事会薪酬与考核委员会对高级管理人员 进行年度绩效考核，并监督薪酬制度执行情况。公司则根据绩效考核结果兑现其绩效年薪，并进行奖惩。</w:t>
      </w:r>
    </w:p>
    <w:p>
      <w:pPr>
        <w:pStyle w:val="Style29"/>
        <w:keepNext w:val="0"/>
        <w:keepLines w:val="0"/>
        <w:widowControl w:val="0"/>
        <w:shd w:val="clear" w:color="auto" w:fill="auto"/>
        <w:bidi w:val="0"/>
        <w:spacing w:before="0" w:after="0" w:line="320" w:lineRule="exact"/>
        <w:ind w:left="0" w:right="0" w:firstLine="380"/>
        <w:jc w:val="both"/>
      </w:pPr>
      <w:r>
        <w:rPr>
          <w:color w:val="000000"/>
          <w:spacing w:val="0"/>
          <w:w w:val="100"/>
          <w:position w:val="0"/>
        </w:rPr>
        <w:t>公司董事会薪酬与考核委员会根据实际情况对公司高级管理人员进行考核后，一致认为：公司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年度高级管理人员薪 酬方案严格执行公司薪酬考核制度，薪酬方案合理，薪酬发放的程序符合有关法律、法规及公司制度的规定。</w:t>
      </w:r>
    </w:p>
    <w:p>
      <w:pPr>
        <w:pStyle w:val="Style29"/>
        <w:keepNext w:val="0"/>
        <w:keepLines w:val="0"/>
        <w:widowControl w:val="0"/>
        <w:shd w:val="clear" w:color="auto" w:fill="auto"/>
        <w:bidi w:val="0"/>
        <w:spacing w:before="0" w:after="40" w:line="320" w:lineRule="exact"/>
        <w:ind w:left="0" w:right="0" w:firstLine="380"/>
        <w:jc w:val="both"/>
      </w:pPr>
      <w:r>
        <w:rPr>
          <w:color w:val="000000"/>
          <w:spacing w:val="0"/>
          <w:w w:val="100"/>
          <w:position w:val="0"/>
        </w:rPr>
        <w:t>本报告期内，相关高级管理人员获授的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年第二期限制性股票激励计划因满足解锁条 件，公司分别办理了第一次解除限售手续。截止本报告期末，上述参与两期限制性股票激励计划的高级管理人员，无减持其 所持解锁股份的情形。</w:t>
      </w:r>
    </w:p>
    <w:p>
      <w:pPr>
        <w:pStyle w:val="Style33"/>
        <w:keepNext/>
        <w:keepLines/>
        <w:widowControl w:val="0"/>
        <w:shd w:val="clear" w:color="auto" w:fill="auto"/>
        <w:tabs>
          <w:tab w:pos="378" w:val="left"/>
        </w:tabs>
        <w:bidi w:val="0"/>
        <w:spacing w:before="0" w:after="280" w:line="240" w:lineRule="auto"/>
        <w:ind w:left="0" w:right="0" w:firstLine="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员工持股计划的实施情况</w:t>
      </w:r>
      <w:bookmarkEnd w:id="401"/>
      <w:bookmarkEnd w:id="402"/>
      <w:bookmarkEnd w:id="404"/>
    </w:p>
    <w:p>
      <w:pPr>
        <w:pStyle w:val="Style29"/>
        <w:keepNext w:val="0"/>
        <w:keepLines w:val="0"/>
        <w:widowControl w:val="0"/>
        <w:shd w:val="clear" w:color="auto" w:fill="auto"/>
        <w:bidi w:val="0"/>
        <w:spacing w:before="0" w:after="36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80" w:line="240" w:lineRule="auto"/>
        <w:ind w:left="0" w:right="0" w:firstLine="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3</w:t>
      </w:r>
      <w:bookmarkEnd w:id="407"/>
      <w:r>
        <w:rPr>
          <w:color w:val="000000"/>
          <w:spacing w:val="0"/>
          <w:w w:val="100"/>
          <w:position w:val="0"/>
        </w:rPr>
        <w:t>、</w:t>
        <w:tab/>
        <w:t>其他员工激励措施</w:t>
      </w:r>
      <w:bookmarkEnd w:id="405"/>
      <w:bookmarkEnd w:id="406"/>
      <w:bookmarkEnd w:id="408"/>
    </w:p>
    <w:p>
      <w:pPr>
        <w:pStyle w:val="Style2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公司实施的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年第二期限制性股票激励计划在本报告期计提费用为</w:t>
      </w:r>
      <w:r>
        <w:rPr>
          <w:rFonts w:ascii="Times New Roman" w:eastAsia="Times New Roman" w:hAnsi="Times New Roman" w:cs="Times New Roman"/>
          <w:color w:val="000000"/>
          <w:spacing w:val="0"/>
          <w:w w:val="100"/>
          <w:position w:val="0"/>
          <w:sz w:val="18"/>
          <w:szCs w:val="18"/>
        </w:rPr>
        <w:t>2,601.03</w:t>
      </w:r>
      <w:r>
        <w:rPr>
          <w:color w:val="000000"/>
          <w:spacing w:val="0"/>
          <w:w w:val="100"/>
          <w:position w:val="0"/>
        </w:rPr>
        <w:t>万元，其中 计提的核心技术人员股权激励费用为</w:t>
      </w:r>
      <w:r>
        <w:rPr>
          <w:rFonts w:ascii="Times New Roman" w:eastAsia="Times New Roman" w:hAnsi="Times New Roman" w:cs="Times New Roman"/>
          <w:color w:val="000000"/>
          <w:spacing w:val="0"/>
          <w:w w:val="100"/>
          <w:position w:val="0"/>
          <w:sz w:val="18"/>
          <w:szCs w:val="18"/>
        </w:rPr>
        <w:t>1,290.6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万元，占公司本报告期内股权激励费用的比重为</w:t>
      </w:r>
      <w:r>
        <w:rPr>
          <w:rFonts w:ascii="Times New Roman" w:eastAsia="Times New Roman" w:hAnsi="Times New Roman" w:cs="Times New Roman"/>
          <w:color w:val="000000"/>
          <w:spacing w:val="0"/>
          <w:w w:val="100"/>
          <w:position w:val="0"/>
          <w:sz w:val="18"/>
          <w:szCs w:val="18"/>
        </w:rPr>
        <w:t>49.62%</w:t>
      </w:r>
      <w:r>
        <w:rPr>
          <w:color w:val="000000"/>
          <w:spacing w:val="0"/>
          <w:w w:val="100"/>
          <w:position w:val="0"/>
        </w:rPr>
        <w:t>。上述计提限制性股票 激励计划费用使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年归属于上市公司股东的净利润减少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,601.03</w:t>
      </w:r>
      <w:r>
        <w:rPr>
          <w:color w:val="000000"/>
          <w:spacing w:val="0"/>
          <w:w w:val="100"/>
          <w:position w:val="0"/>
        </w:rPr>
        <w:t>万元。</w:t>
      </w:r>
    </w:p>
    <w:p>
      <w:pPr>
        <w:pStyle w:val="Style24"/>
        <w:keepNext/>
        <w:keepLines/>
        <w:widowControl w:val="0"/>
        <w:shd w:val="clear" w:color="auto" w:fill="auto"/>
        <w:bidi w:val="0"/>
        <w:spacing w:before="0" w:after="360" w:line="240" w:lineRule="auto"/>
        <w:ind w:left="0" w:right="0" w:firstLine="0"/>
        <w:jc w:val="left"/>
      </w:pPr>
      <w:bookmarkStart w:id="409" w:name="bookmark409"/>
      <w:bookmarkStart w:id="410" w:name="bookmark410"/>
      <w:bookmarkStart w:id="411" w:name="bookmark411"/>
      <w:r>
        <w:rPr>
          <w:color w:val="000000"/>
          <w:spacing w:val="0"/>
          <w:w w:val="100"/>
          <w:position w:val="0"/>
        </w:rPr>
        <w:t>十二、报告期内的内部控制制度建设及实施情况</w:t>
      </w:r>
      <w:bookmarkEnd w:id="409"/>
      <w:bookmarkEnd w:id="410"/>
      <w:bookmarkEnd w:id="411"/>
    </w:p>
    <w:p>
      <w:pPr>
        <w:pStyle w:val="Style33"/>
        <w:keepNext/>
        <w:keepLines/>
        <w:widowControl w:val="0"/>
        <w:shd w:val="clear" w:color="auto" w:fill="auto"/>
        <w:tabs>
          <w:tab w:pos="368" w:val="left"/>
        </w:tabs>
        <w:bidi w:val="0"/>
        <w:spacing w:before="0" w:after="2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w:t>
        <w:tab/>
        <w:t>内部控制建设及实施情况</w:t>
      </w:r>
      <w:bookmarkEnd w:id="412"/>
      <w:bookmarkEnd w:id="413"/>
      <w:bookmarkEnd w:id="415"/>
    </w:p>
    <w:p>
      <w:pPr>
        <w:pStyle w:val="Style29"/>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公司严格按照《公司法》《证券法》《上市公司治理准则》《深圳证券交易所股票上市规则》等有关法律法规和《公司 章程》的规定，不断完善法人治理结构，建立了有效的内部控制体系，报告期内，公司进一步完善内控管理制度，加强内部 控制建设，并在采购、研发、生产、销售、管理、信披等日常工作中严格执行，不断提升规范运作水平，较好地防范了经营 风险，有效促进公司的健康发展。具体情况详见公司于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日登载于巨潮资讯网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度内部控制评价报告》。</w:t>
      </w:r>
    </w:p>
    <w:p>
      <w:pPr>
        <w:pStyle w:val="Style33"/>
        <w:keepNext/>
        <w:keepLines/>
        <w:widowControl w:val="0"/>
        <w:shd w:val="clear" w:color="auto" w:fill="auto"/>
        <w:tabs>
          <w:tab w:pos="378" w:val="left"/>
        </w:tabs>
        <w:bidi w:val="0"/>
        <w:spacing w:before="0" w:after="36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报告期内发现的内部控制重大缺陷的具体情况</w:t>
      </w:r>
      <w:bookmarkEnd w:id="416"/>
      <w:bookmarkEnd w:id="417"/>
      <w:bookmarkEnd w:id="41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both"/>
      </w:pPr>
      <w:bookmarkStart w:id="420" w:name="bookmark420"/>
      <w:bookmarkStart w:id="421" w:name="bookmark421"/>
      <w:bookmarkStart w:id="422" w:name="bookmark422"/>
      <w:r>
        <w:rPr>
          <w:color w:val="000000"/>
          <w:spacing w:val="0"/>
          <w:w w:val="100"/>
          <w:position w:val="0"/>
        </w:rPr>
        <w:t>十三、公司报告期内对子公司的管理控制情况</w:t>
      </w:r>
      <w:bookmarkEnd w:id="420"/>
      <w:bookmarkEnd w:id="421"/>
      <w:bookmarkEnd w:id="422"/>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423" w:name="bookmark423"/>
      <w:bookmarkStart w:id="424" w:name="bookmark424"/>
      <w:bookmarkStart w:id="425" w:name="bookmark425"/>
      <w:r>
        <w:rPr>
          <w:color w:val="000000"/>
          <w:spacing w:val="0"/>
          <w:w w:val="100"/>
          <w:position w:val="0"/>
        </w:rPr>
        <w:t>十四、内部控制自我评价报告或内部控制审计报告</w:t>
      </w:r>
      <w:bookmarkEnd w:id="423"/>
      <w:bookmarkEnd w:id="424"/>
      <w:bookmarkEnd w:id="425"/>
    </w:p>
    <w:p>
      <w:pPr>
        <w:pStyle w:val="Style33"/>
        <w:keepNext/>
        <w:keepLines/>
        <w:widowControl w:val="0"/>
        <w:shd w:val="clear" w:color="auto" w:fill="auto"/>
        <w:bidi w:val="0"/>
        <w:spacing w:before="0" w:after="28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、内控自我评价报告</w:t>
      </w:r>
      <w:bookmarkEnd w:id="426"/>
      <w:bookmarkEnd w:id="427"/>
      <w:bookmarkEnd w:id="429"/>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年度内部控制评价报告》刊登于巨潮资讯网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①如公司具备以下特征之一的缺陷，应定 义为重大缺陷：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上市公司组织架构设置 严重缺失；</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公司董事、监事和高级管理 人员滥用职权、发生重大舞弊行为；</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 司因发现以前年度存在重大会计差错，更 正已披露的财务报告；</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外部审计发现当 期财务报表存在重大错报，而内控在运行 过程中未能发现该错报；</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公司运营管理 上存在严重违反法律法规的行为。②如公 司具备以下特征之一的缺陷，应定义为重 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未依照公认会计准则选择和应 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对于非常规和特殊交易的账务处 理没有建立相应的控制机制或没有实施且 没有相应的补偿措施；</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对于财务报告过 程的控制存在一项或多项缺陷且不能合理 保证编制的财务报表达到真实、准确的目 标。③除上述重大缺陷、重要缺陷之外的 其他控制缺陷定义为一般缺陷。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①如公司具备以下特征之一的缺陷，应 定义为重大缺陷：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公司缺乏民主决策 程序；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公司决策程序导致重大失误；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公司高级管理人员和高级技术人员 流失严重；</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媒体频现负面新闻，涉及 面广且负面影响一直未能消除；</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公司 重要业务缺乏制度控制或制度体系失 效；</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公司内部控制重大或重要缺陷未 得到整改；</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公司遭受证监会处罚或证 券交易所警告。②其他情形按照影响程 度分别确定重要缺陷或一般缺陷。</w:t>
            </w:r>
          </w:p>
        </w:tc>
      </w:tr>
      <w:tr>
        <w:trPr>
          <w:trHeight w:val="352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①一般缺陷：失控金额</w:t>
            </w:r>
            <w:r>
              <w:rPr>
                <w:rFonts w:ascii="Courier New" w:eastAsia="Courier New" w:hAnsi="Courier New" w:cs="Courier New"/>
                <w:color w:val="000000"/>
                <w:spacing w:val="0"/>
                <w:w w:val="100"/>
                <w:position w:val="0"/>
                <w:sz w:val="18"/>
                <w:szCs w:val="18"/>
              </w:rPr>
              <w:t>V</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；失控金额</w:t>
            </w:r>
            <w:r>
              <w:rPr>
                <w:rFonts w:ascii="Courier New" w:eastAsia="Courier New" w:hAnsi="Courier New" w:cs="Courier New"/>
                <w:color w:val="000000"/>
                <w:spacing w:val="0"/>
                <w:w w:val="100"/>
                <w:position w:val="0"/>
                <w:sz w:val="18"/>
                <w:szCs w:val="18"/>
              </w:rPr>
              <w:t>V</w:t>
            </w:r>
            <w:r>
              <w:rPr>
                <w:color w:val="000000"/>
                <w:spacing w:val="0"/>
                <w:w w:val="100"/>
                <w:position w:val="0"/>
              </w:rPr>
              <w:t xml:space="preserve">主营业务收入总额的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;失控金额</w:t>
            </w:r>
            <w:r>
              <w:rPr>
                <w:rFonts w:ascii="Courier New" w:eastAsia="Courier New" w:hAnsi="Courier New" w:cs="Courier New"/>
                <w:color w:val="000000"/>
                <w:spacing w:val="0"/>
                <w:w w:val="100"/>
                <w:position w:val="0"/>
                <w:sz w:val="18"/>
                <w:szCs w:val="18"/>
              </w:rPr>
              <w:t>V</w:t>
            </w:r>
            <w:r>
              <w:rPr>
                <w:color w:val="000000"/>
                <w:spacing w:val="0"/>
                <w:w w:val="100"/>
                <w:position w:val="0"/>
              </w:rPr>
              <w:t>净利润总额的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 重要缺陷：资产总额的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失控金额</w:t>
            </w:r>
            <w:r>
              <w:rPr>
                <w:rFonts w:ascii="Courier New" w:eastAsia="Courier New" w:hAnsi="Courier New" w:cs="Courier New"/>
                <w:color w:val="000000"/>
                <w:spacing w:val="0"/>
                <w:w w:val="100"/>
                <w:position w:val="0"/>
                <w:sz w:val="18"/>
                <w:szCs w:val="18"/>
              </w:rPr>
              <w:t xml:space="preserve">V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；主营业务收入总额的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失控金额</w:t>
            </w:r>
            <w:r>
              <w:rPr>
                <w:rFonts w:ascii="Courier New" w:eastAsia="Courier New" w:hAnsi="Courier New" w:cs="Courier New"/>
                <w:color w:val="000000"/>
                <w:spacing w:val="0"/>
                <w:w w:val="100"/>
                <w:position w:val="0"/>
                <w:sz w:val="18"/>
                <w:szCs w:val="18"/>
              </w:rPr>
              <w:t>V</w:t>
            </w:r>
            <w:r>
              <w:rPr>
                <w:color w:val="000000"/>
                <w:spacing w:val="0"/>
                <w:w w:val="100"/>
                <w:position w:val="0"/>
              </w:rPr>
              <w:t xml:space="preserve">主营业务收入总额的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；净利润总额的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失控金额</w:t>
            </w:r>
            <w:r>
              <w:rPr>
                <w:rFonts w:ascii="Courier New" w:eastAsia="Courier New" w:hAnsi="Courier New" w:cs="Courier New"/>
                <w:color w:val="000000"/>
                <w:spacing w:val="0"/>
                <w:w w:val="100"/>
                <w:position w:val="0"/>
                <w:sz w:val="18"/>
                <w:szCs w:val="18"/>
              </w:rPr>
              <w:t>V</w:t>
            </w:r>
            <w:r>
              <w:rPr>
                <w:color w:val="000000"/>
                <w:spacing w:val="0"/>
                <w:w w:val="100"/>
                <w:position w:val="0"/>
              </w:rPr>
              <w:t>净利 润总额的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。③重大缺陷：失控金额</w:t>
            </w:r>
            <w:r>
              <w:rPr>
                <w:color w:val="000000"/>
                <w:spacing w:val="0"/>
                <w:w w:val="100"/>
                <w:position w:val="0"/>
                <w:sz w:val="18"/>
                <w:szCs w:val="18"/>
              </w:rPr>
              <w:t>女</w:t>
            </w:r>
            <w:r>
              <w:rPr>
                <w:color w:val="000000"/>
                <w:spacing w:val="0"/>
                <w:w w:val="100"/>
                <w:position w:val="0"/>
              </w:rPr>
              <w:t>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；失控金额</w:t>
            </w:r>
            <w:r>
              <w:rPr>
                <w:color w:val="000000"/>
                <w:spacing w:val="0"/>
                <w:w w:val="100"/>
                <w:position w:val="0"/>
                <w:sz w:val="18"/>
                <w:szCs w:val="18"/>
              </w:rPr>
              <w:t>女</w:t>
            </w:r>
            <w:r>
              <w:rPr>
                <w:color w:val="000000"/>
                <w:spacing w:val="0"/>
                <w:w w:val="100"/>
                <w:position w:val="0"/>
              </w:rPr>
              <w:t>主营业务收入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；失控金额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净利润总额的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①一般缺陷：直接财产损失的绝对金额 </w:t>
            </w:r>
            <w:r>
              <w:rPr>
                <w:rFonts w:ascii="Courier New" w:eastAsia="Courier New" w:hAnsi="Courier New" w:cs="Courier New"/>
                <w:color w:val="000000"/>
                <w:spacing w:val="0"/>
                <w:w w:val="100"/>
                <w:position w:val="0"/>
                <w:sz w:val="18"/>
                <w:szCs w:val="18"/>
              </w:rPr>
              <w:t>V</w:t>
            </w:r>
            <w:r>
              <w:rPr>
                <w:color w:val="000000"/>
                <w:spacing w:val="0"/>
                <w:w w:val="100"/>
                <w:position w:val="0"/>
              </w:rPr>
              <w:t>净利润总额的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；②重要缺陷：净 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直接财产损失的绝对 金额</w:t>
            </w:r>
            <w:r>
              <w:rPr>
                <w:rFonts w:ascii="Courier New" w:eastAsia="Courier New" w:hAnsi="Courier New" w:cs="Courier New"/>
                <w:color w:val="000000"/>
                <w:spacing w:val="0"/>
                <w:w w:val="100"/>
                <w:position w:val="0"/>
                <w:sz w:val="18"/>
                <w:szCs w:val="18"/>
              </w:rPr>
              <w:t>V</w:t>
            </w:r>
            <w:r>
              <w:rPr>
                <w:color w:val="000000"/>
                <w:spacing w:val="0"/>
                <w:w w:val="100"/>
                <w:position w:val="0"/>
              </w:rPr>
              <w:t>净利润总额的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；③重大缺陷： 直接财产损失的绝对金额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净利润总额 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、内部控制审计报告</w:t>
      </w:r>
      <w:bookmarkEnd w:id="430"/>
      <w:bookmarkEnd w:id="431"/>
      <w:bookmarkEnd w:id="433"/>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辉煌科技于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日按照《企业内部控制基本规范》和相关规定在所有重大方面保持了有效的财务报告内部控 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《河南辉煌科技股份有限公司内部控制审计报告》刊登于巨潮资讯网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left"/>
      </w:pPr>
      <w:bookmarkStart w:id="434" w:name="bookmark434"/>
      <w:bookmarkStart w:id="435" w:name="bookmark435"/>
      <w:bookmarkStart w:id="436" w:name="bookmark436"/>
      <w:r>
        <w:rPr>
          <w:color w:val="000000"/>
          <w:spacing w:val="0"/>
          <w:w w:val="100"/>
          <w:position w:val="0"/>
        </w:rPr>
        <w:t>十五、上市公司治理专项行动自查问题整改情况</w:t>
      </w:r>
      <w:bookmarkEnd w:id="434"/>
      <w:bookmarkEnd w:id="435"/>
      <w:bookmarkEnd w:id="436"/>
    </w:p>
    <w:p>
      <w:pPr>
        <w:pStyle w:val="Style29"/>
        <w:keepNext w:val="0"/>
        <w:keepLines w:val="0"/>
        <w:widowControl w:val="0"/>
        <w:shd w:val="clear" w:color="auto" w:fill="auto"/>
        <w:bidi w:val="0"/>
        <w:spacing w:before="0" w:after="200" w:line="314" w:lineRule="exact"/>
        <w:ind w:left="0" w:right="0" w:firstLine="380"/>
        <w:jc w:val="left"/>
        <w:sectPr>
          <w:footnotePr>
            <w:pos w:val="pageBottom"/>
            <w:numFmt w:val="decimal"/>
            <w:numRestart w:val="continuous"/>
          </w:footnotePr>
          <w:pgSz w:w="11900" w:h="16840"/>
          <w:pgMar w:top="1383" w:right="1045" w:bottom="1421" w:left="1067" w:header="0" w:footer="3" w:gutter="0"/>
          <w:cols w:space="720"/>
          <w:noEndnote/>
          <w:rtlGutter w:val="0"/>
          <w:docGrid w:linePitch="360"/>
        </w:sectPr>
      </w:pPr>
      <w:r>
        <w:rPr>
          <w:color w:val="000000"/>
          <w:spacing w:val="0"/>
          <w:w w:val="100"/>
          <w:position w:val="0"/>
        </w:rPr>
        <w:t>公司根据河南证监局的要求认真进行了公司治理自查并填报了上市公司治理自查清单。经自查，公司不存在证监会所述 需要整改的情况，公司已经按照《公司法》《证券法》《上市公司治理准则》等相关法律法规建立了较为健全的法人治理结 构及内部控制体系，并在生产经营活动中有效执行。公司未来将继续按照中国证监会、深圳证券交易所等有关文件的要求， 严格执行公司章程及内部控制制度，不断完善公司治理结构，主动、自觉、持续地规范运作，进一步提高公司治理水平。</w:t>
      </w:r>
    </w:p>
    <w:p>
      <w:pPr>
        <w:pStyle w:val="Style12"/>
        <w:keepNext/>
        <w:keepLines/>
        <w:widowControl w:val="0"/>
        <w:shd w:val="clear" w:color="auto" w:fill="auto"/>
        <w:bidi w:val="0"/>
        <w:spacing w:before="580" w:line="240" w:lineRule="auto"/>
        <w:ind w:left="0" w:right="0" w:firstLine="0"/>
        <w:jc w:val="center"/>
      </w:pPr>
      <w:bookmarkStart w:id="437" w:name="bookmark437"/>
      <w:bookmarkStart w:id="438" w:name="bookmark438"/>
      <w:bookmarkStart w:id="439" w:name="bookmark439"/>
      <w:r>
        <w:rPr>
          <w:color w:val="000000"/>
          <w:spacing w:val="0"/>
          <w:w w:val="100"/>
          <w:position w:val="0"/>
        </w:rPr>
        <w:t>第五节环境和社会责任</w:t>
      </w:r>
      <w:bookmarkEnd w:id="437"/>
      <w:bookmarkEnd w:id="438"/>
      <w:bookmarkEnd w:id="439"/>
    </w:p>
    <w:p>
      <w:pPr>
        <w:pStyle w:val="Style24"/>
        <w:keepNext/>
        <w:keepLines/>
        <w:widowControl w:val="0"/>
        <w:shd w:val="clear" w:color="auto" w:fill="auto"/>
        <w:bidi w:val="0"/>
        <w:spacing w:before="0" w:after="380" w:line="240" w:lineRule="auto"/>
        <w:ind w:left="0" w:right="0" w:firstLine="260"/>
        <w:jc w:val="left"/>
      </w:pPr>
      <w:bookmarkStart w:id="440" w:name="bookmark440"/>
      <w:bookmarkStart w:id="441" w:name="bookmark441"/>
      <w:bookmarkStart w:id="442" w:name="bookmark442"/>
      <w:bookmarkStart w:id="443" w:name="bookmark443"/>
      <w:r>
        <w:rPr>
          <w:color w:val="000000"/>
          <w:spacing w:val="0"/>
          <w:w w:val="100"/>
          <w:position w:val="0"/>
        </w:rPr>
        <w:t>、重大环保问题</w:t>
      </w:r>
      <w:bookmarkEnd w:id="441"/>
      <w:bookmarkEnd w:id="442"/>
      <w:bookmarkEnd w:id="443"/>
      <w:bookmarkEnd w:id="44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2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经公司核查，公司及子公司不属于环境保护部门公布的重点排污单位。公司及子公司在日常生产经营中认真执行《中 华人民共和国环境保护法》、《中华人民共和国水污染防治法》《中华人民共和国大气污染防治法》、《中华人民共和国固 体废物污染环境防治法》等环保方面的法律法规，报告期内未出现因违法违规而受到处罚的情况。</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二</w:t>
      </w:r>
      <w:bookmarkEnd w:id="446"/>
      <w:r>
        <w:rPr>
          <w:color w:val="000000"/>
          <w:spacing w:val="0"/>
          <w:w w:val="100"/>
          <w:position w:val="0"/>
        </w:rPr>
        <w:t>、社会责任情况</w:t>
      </w:r>
      <w:bookmarkEnd w:id="444"/>
      <w:bookmarkEnd w:id="445"/>
      <w:bookmarkEnd w:id="447"/>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公司积极努力推进经营业务发展，在追求最佳企业经济效益的同时，切实履行对股东、职工、客户、供应商等利益相 关者的社会责任，实现公司与社会的全面、协调、可持续性发展。</w:t>
      </w:r>
    </w:p>
    <w:p>
      <w:pPr>
        <w:pStyle w:val="Style29"/>
        <w:keepNext w:val="0"/>
        <w:keepLines w:val="0"/>
        <w:widowControl w:val="0"/>
        <w:shd w:val="clear" w:color="auto" w:fill="auto"/>
        <w:tabs>
          <w:tab w:pos="885" w:val="left"/>
        </w:tabs>
        <w:bidi w:val="0"/>
        <w:spacing w:before="0" w:after="0" w:line="312" w:lineRule="exact"/>
        <w:ind w:left="0" w:right="0" w:firstLine="44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股东和投资者权益保护</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公司严格按照《公司法》《证券法》《深圳证券交易所上市公司自律监管指引第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号一主板上市公司规范运作》等法 律法规以及《公司章程》的要求，建立健全公司内部控制体系，优化公司治理结构，不断提升公司治理水平。公司严格依法 履行信息披露义务，真实、准确、完整、及时、公平地向所有股东披露信息，通过深圳证券交易所网站互动平台、接待调研 采访等沟通渠道与广大投资者进行互动、交流，可及时接受投资者咨询，加深投资者对公司的了解和认同，促进公司与投资 者之间长期、健康、稳定的关系，提高了公司的透明度与诚信度，实现公司价值和股东利益最大化。</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公司非常重视对投资者的合理回报，严格依照法律法规关于上市公司利润分配的规定，制定并实施合理可行的利润分 配方案，决策程序透明，有效保障了股东的合法权益。</w:t>
      </w:r>
    </w:p>
    <w:p>
      <w:pPr>
        <w:pStyle w:val="Style29"/>
        <w:keepNext w:val="0"/>
        <w:keepLines w:val="0"/>
        <w:widowControl w:val="0"/>
        <w:shd w:val="clear" w:color="auto" w:fill="auto"/>
        <w:tabs>
          <w:tab w:pos="885" w:val="left"/>
        </w:tabs>
        <w:bidi w:val="0"/>
        <w:spacing w:before="0" w:after="0" w:line="312" w:lineRule="exact"/>
        <w:ind w:left="0" w:right="0" w:firstLine="44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职工权益保护</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公司一直坚持以人为本的理念，努力构建和谐的劳资关系，把员工作为企业生存和发展的宝贵资源，为员工提供良好 的工作环境、积极向上的文化氛围、公平合理的薪酬福利体系及广阔的职业发展道路，实现企业与员工的共同成长、发展。</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公司严格遵守《中华人民共和国劳动合同法》、《妇女权益保护法》等有关法律法规，规范执行劳动用工制度。公司 还设立了工会、职工代表大会等职工维权机构，从制度上为维护职工权益提供了保障。公司按照国家规定为员工缴纳五险一 金，同时关爱员工，为广大员工提供优厚的福利待遇，如：免费班车、员工餐厅、健康体检、节日慰问、意外险、运动场等。</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报告期内，公司结合铁路通信信号的行业特点及公司经营特点，按照市场化原则，公司对现有的制度不断优化，有效 的提升了员工的执行力及责任意识，有利于巩固公司的人才队伍，为企业的发展提供人力资源保障。同时，通过良性的企业 文化树立员工的主人翁意识，培养员工的进取精神，通过给员工提供成长和发展的机遇与平台，鼓励员工提升自我、实现自 </w:t>
      </w:r>
      <w:r>
        <w:rPr>
          <w:color w:val="000000"/>
          <w:spacing w:val="0"/>
          <w:w w:val="100"/>
          <w:position w:val="0"/>
        </w:rPr>
        <w:t>我，从而促进了员工与企业的共同发展。</w:t>
      </w:r>
    </w:p>
    <w:p>
      <w:pPr>
        <w:pStyle w:val="Style29"/>
        <w:keepNext w:val="0"/>
        <w:keepLines w:val="0"/>
        <w:widowControl w:val="0"/>
        <w:shd w:val="clear" w:color="auto" w:fill="auto"/>
        <w:tabs>
          <w:tab w:pos="863" w:val="left"/>
        </w:tabs>
        <w:bidi w:val="0"/>
        <w:spacing w:before="0" w:after="0" w:line="313" w:lineRule="exact"/>
        <w:ind w:left="0" w:right="0" w:firstLine="44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客户和供应商权益保护</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公司将诚实守信作为企业发展之基，注重与供应商、客户的沟通与协调，把其满意度作为衡量公司工作的标准之一， 并与其建立共生共荣的战略合作伙伴关系，充分尊重并保护供应商和客户的合法权益，保持长期良好的合作关系。</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公司遵循合法合规、互利双赢的原则，与主要供应商建立并保持了诚信共赢、长期稳定的战略合作关系。公司严格遵 守相关规定，不断完善采购流程与机制，推动双方更深层次的合作与发展，促进共同进步。</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公司一贯信守承诺，始终坚持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客户至上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的原则，为客户提供优质产品与满意的服务，充分保障客户利益。公司注重 加强与客户的沟通交流，以合作为纽带，以诚信为基础，形成长期友好合作的战略伙伴关系，达到供需双方的互惠共赢，共 同为社会创造财富。</w:t>
      </w:r>
    </w:p>
    <w:p>
      <w:pPr>
        <w:pStyle w:val="Style29"/>
        <w:keepNext w:val="0"/>
        <w:keepLines w:val="0"/>
        <w:widowControl w:val="0"/>
        <w:shd w:val="clear" w:color="auto" w:fill="auto"/>
        <w:tabs>
          <w:tab w:pos="863" w:val="left"/>
        </w:tabs>
        <w:bidi w:val="0"/>
        <w:spacing w:before="0" w:after="0" w:line="313" w:lineRule="exact"/>
        <w:ind w:left="0" w:right="0" w:firstLine="44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救灾助困公益情况</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报告期内，郑州市遭遇</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极端强降雨，部分区域受灾严重。公司身处灾区，在积极抢险自救的同时，主动承担社会 责任，及时向郑州高新区慈善总会捐赠人民币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万元，并筹措抗汛救灾急需物资帮扶受灾严重区域。同时在第一时间向郑 州地铁集团公司派驻技术骨干人员并准备相关应急物资设备，为郑州地铁灾后及时恢复开通做好人员、设备和技术保障。为 郑州市抗汛救灾和灾后重建工作贡献力量，践行社会责任。</w:t>
      </w:r>
    </w:p>
    <w:p>
      <w:pPr>
        <w:pStyle w:val="Style29"/>
        <w:keepNext w:val="0"/>
        <w:keepLines w:val="0"/>
        <w:widowControl w:val="0"/>
        <w:shd w:val="clear" w:color="auto" w:fill="auto"/>
        <w:tabs>
          <w:tab w:pos="863" w:val="left"/>
        </w:tabs>
        <w:bidi w:val="0"/>
        <w:spacing w:before="0" w:after="0" w:line="313" w:lineRule="exact"/>
        <w:ind w:left="0" w:right="0" w:firstLine="44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其他社会责任</w:t>
      </w:r>
    </w:p>
    <w:p>
      <w:pPr>
        <w:pStyle w:val="Style29"/>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公司诚信经营，遵纪守法，积极履行企业的纳税义务，为国家经济发展做贡献。公司在自身发展壮大的同时，也积极 为社会创造更多的就业机会，面向社会公开招聘员工，为缓解社会的就业压力、带动地方的经济发展做出贡献。公司积极、 主动的与相关政府部门、监管机构、媒体保持沟通交流，主动接受政府部门、监管机构的行政监督和社会公众、新闻媒体的 社会监督，力争营造友善、和谐的公共关系。</w:t>
      </w:r>
    </w:p>
    <w:p>
      <w:pPr>
        <w:pStyle w:val="Style24"/>
        <w:keepNext/>
        <w:keepLines/>
        <w:widowControl w:val="0"/>
        <w:shd w:val="clear" w:color="auto" w:fill="auto"/>
        <w:bidi w:val="0"/>
        <w:spacing w:before="0" w:after="2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三</w:t>
      </w:r>
      <w:bookmarkEnd w:id="455"/>
      <w:r>
        <w:rPr>
          <w:color w:val="000000"/>
          <w:spacing w:val="0"/>
          <w:w w:val="100"/>
          <w:position w:val="0"/>
        </w:rPr>
        <w:t>、巩固拓展脱贫攻坚成果、乡村振兴的情况</w:t>
      </w:r>
      <w:bookmarkEnd w:id="453"/>
      <w:bookmarkEnd w:id="454"/>
      <w:bookmarkEnd w:id="456"/>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报告期内，公司暂无巩固拓展脱贫攻坚成果及乡村振兴的情况。</w:t>
      </w:r>
      <w:r>
        <w:br w:type="page"/>
      </w:r>
    </w:p>
    <w:p>
      <w:pPr>
        <w:pStyle w:val="Style12"/>
        <w:keepNext/>
        <w:keepLines/>
        <w:widowControl w:val="0"/>
        <w:shd w:val="clear" w:color="auto" w:fill="auto"/>
        <w:bidi w:val="0"/>
        <w:spacing w:before="0" w:after="520" w:line="240" w:lineRule="auto"/>
        <w:ind w:left="0" w:right="0" w:firstLine="0"/>
        <w:jc w:val="center"/>
      </w:pPr>
      <w:bookmarkStart w:id="457" w:name="bookmark457"/>
      <w:bookmarkStart w:id="458" w:name="bookmark458"/>
      <w:bookmarkStart w:id="459" w:name="bookmark459"/>
      <w:r>
        <w:rPr>
          <w:color w:val="000000"/>
          <w:spacing w:val="0"/>
          <w:w w:val="100"/>
          <w:position w:val="0"/>
        </w:rPr>
        <w:t>第六节重要事项</w:t>
      </w:r>
      <w:bookmarkEnd w:id="457"/>
      <w:bookmarkEnd w:id="458"/>
      <w:bookmarkEnd w:id="459"/>
    </w:p>
    <w:p>
      <w:pPr>
        <w:pStyle w:val="Style24"/>
        <w:keepNext/>
        <w:keepLines/>
        <w:widowControl w:val="0"/>
        <w:shd w:val="clear" w:color="auto" w:fill="auto"/>
        <w:bidi w:val="0"/>
        <w:spacing w:before="0" w:after="340" w:line="240" w:lineRule="auto"/>
        <w:ind w:left="0" w:right="0" w:firstLine="0"/>
        <w:jc w:val="left"/>
      </w:pPr>
      <w:bookmarkStart w:id="460" w:name="bookmark460"/>
      <w:bookmarkStart w:id="461" w:name="bookmark461"/>
      <w:bookmarkStart w:id="462" w:name="bookmark462"/>
      <w:bookmarkStart w:id="463" w:name="bookmark463"/>
      <w:bookmarkStart w:id="464" w:name="bookmark464"/>
      <w:r>
        <w:rPr>
          <w:color w:val="000000"/>
          <w:spacing w:val="0"/>
          <w:w w:val="100"/>
          <w:position w:val="0"/>
        </w:rPr>
        <w:t>一</w:t>
      </w:r>
      <w:bookmarkEnd w:id="463"/>
      <w:r>
        <w:rPr>
          <w:color w:val="000000"/>
          <w:spacing w:val="0"/>
          <w:w w:val="100"/>
          <w:position w:val="0"/>
        </w:rPr>
        <w:t>、承诺事项履行情况</w:t>
      </w:r>
      <w:bookmarkEnd w:id="461"/>
      <w:bookmarkEnd w:id="462"/>
      <w:bookmarkEnd w:id="464"/>
      <w:bookmarkEnd w:id="460"/>
    </w:p>
    <w:p>
      <w:pPr>
        <w:pStyle w:val="Style33"/>
        <w:keepNext/>
        <w:keepLines/>
        <w:widowControl w:val="0"/>
        <w:shd w:val="clear" w:color="auto" w:fill="auto"/>
        <w:bidi w:val="0"/>
        <w:spacing w:before="0" w:line="307" w:lineRule="exact"/>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、公司实际控制人、股东、关联方、收购人以及公司等承诺相关方在报告期内履行完毕及截至报告期末 尚未履行完毕的承诺事项</w:t>
      </w:r>
      <w:bookmarkEnd w:id="465"/>
      <w:bookmarkEnd w:id="466"/>
      <w:bookmarkEnd w:id="46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关于同业竞 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在持有辉煌 科技股权或 担任辉煌科 技董事、监 事、高级管理 人员或核心 技术人员期 间及法定期 限内，不经营 或投资于任 何与辉煌科 技主营业务 构成同业竞 争的企业。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持有辉煌科 技股权或担 任辉煌科技 董事、监事、 高级管理人 员或核心技 术人员期间 及法定期限 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、公司资产或项目存在盈利预测，且报告期仍处在盈利预测期间，公司就资产或项目达到原盈利预测及 其原因做出说明</w:t>
      </w:r>
      <w:bookmarkEnd w:id="469"/>
      <w:bookmarkEnd w:id="470"/>
      <w:bookmarkEnd w:id="47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二</w:t>
      </w:r>
      <w:bookmarkEnd w:id="475"/>
      <w:r>
        <w:rPr>
          <w:color w:val="000000"/>
          <w:spacing w:val="0"/>
          <w:w w:val="100"/>
          <w:position w:val="0"/>
        </w:rPr>
        <w:t>、</w:t>
        <w:tab/>
        <w:t>控股股东及其他关联方对上市公司的非经营性占用资金情况</w:t>
      </w:r>
      <w:bookmarkEnd w:id="473"/>
      <w:bookmarkEnd w:id="474"/>
      <w:bookmarkEnd w:id="47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三</w:t>
      </w:r>
      <w:bookmarkEnd w:id="479"/>
      <w:r>
        <w:rPr>
          <w:color w:val="000000"/>
          <w:spacing w:val="0"/>
          <w:w w:val="100"/>
          <w:position w:val="0"/>
        </w:rPr>
        <w:t>、</w:t>
        <w:tab/>
        <w:t>违规对外担保情况</w:t>
      </w:r>
      <w:bookmarkEnd w:id="477"/>
      <w:bookmarkEnd w:id="478"/>
      <w:bookmarkEnd w:id="48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四</w:t>
      </w:r>
      <w:bookmarkEnd w:id="48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81"/>
      <w:bookmarkEnd w:id="482"/>
      <w:bookmarkEnd w:id="48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五</w:t>
      </w:r>
      <w:bookmarkEnd w:id="48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85"/>
      <w:bookmarkEnd w:id="486"/>
      <w:bookmarkEnd w:id="48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tabs>
          <w:tab w:pos="517" w:val="left"/>
        </w:tabs>
        <w:bidi w:val="0"/>
        <w:spacing w:before="0" w:after="38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六</w:t>
      </w:r>
      <w:bookmarkEnd w:id="491"/>
      <w:r>
        <w:rPr>
          <w:color w:val="000000"/>
          <w:spacing w:val="0"/>
          <w:w w:val="100"/>
          <w:position w:val="0"/>
        </w:rPr>
        <w:t>、</w:t>
        <w:tab/>
        <w:t>与上年度财务报告相比，会计政策、会计估计变更或重大会计差错更正的情况说明</w:t>
      </w:r>
      <w:bookmarkEnd w:id="489"/>
      <w:bookmarkEnd w:id="490"/>
      <w:bookmarkEnd w:id="492"/>
    </w:p>
    <w:p>
      <w:pPr>
        <w:pStyle w:val="Style29"/>
        <w:keepNext w:val="0"/>
        <w:keepLines w:val="0"/>
        <w:widowControl w:val="0"/>
        <w:numPr>
          <w:ilvl w:val="0"/>
          <w:numId w:val="5"/>
        </w:numPr>
        <w:shd w:val="clear" w:color="auto" w:fill="auto"/>
        <w:tabs>
          <w:tab w:pos="286" w:val="left"/>
        </w:tabs>
        <w:bidi w:val="0"/>
        <w:spacing w:before="0" w:after="40" w:line="240" w:lineRule="auto"/>
        <w:ind w:left="0" w:right="0" w:firstLine="0"/>
        <w:jc w:val="left"/>
      </w:pPr>
      <w:bookmarkStart w:id="493" w:name="bookmark493"/>
      <w:bookmarkEnd w:id="4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4"/>
        <w:keepNext w:val="0"/>
        <w:keepLines w:val="0"/>
        <w:widowControl w:val="0"/>
        <w:shd w:val="clear" w:color="auto" w:fill="auto"/>
        <w:tabs>
          <w:tab w:pos="432" w:val="left"/>
        </w:tabs>
        <w:bidi w:val="0"/>
        <w:spacing w:before="0" w:after="0" w:line="318" w:lineRule="exact"/>
        <w:ind w:left="0" w:right="0" w:firstLine="0"/>
        <w:jc w:val="left"/>
        <w:rPr>
          <w:sz w:val="20"/>
          <w:szCs w:val="20"/>
        </w:rPr>
      </w:pPr>
      <w:bookmarkStart w:id="494" w:name="bookmark494"/>
      <w:r>
        <w:rPr>
          <w:rFonts w:ascii="Times New Roman" w:eastAsia="Times New Roman" w:hAnsi="Times New Roman" w:cs="Times New Roman"/>
          <w:color w:val="000000"/>
          <w:spacing w:val="0"/>
          <w:w w:val="100"/>
          <w:position w:val="0"/>
          <w:sz w:val="20"/>
          <w:szCs w:val="20"/>
        </w:rPr>
        <w:t>1</w:t>
      </w:r>
      <w:bookmarkEnd w:id="494"/>
      <w:r>
        <w:rPr>
          <w:color w:val="000000"/>
          <w:spacing w:val="0"/>
          <w:w w:val="100"/>
          <w:position w:val="0"/>
          <w:sz w:val="20"/>
          <w:szCs w:val="20"/>
        </w:rPr>
        <w:t>、</w:t>
        <w:tab/>
        <w:t>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日（以下称首次执行日）起执行经修订的《企业会计准则第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 xml:space="preserve">号——租赁》。对于 首次执行日前已存在的合同，公司选择不重新评估其是否为租赁或者包含租赁。执行新租赁准则对公司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日财务报表无影响。</w:t>
      </w:r>
    </w:p>
    <w:p>
      <w:pPr>
        <w:pStyle w:val="Style14"/>
        <w:keepNext w:val="0"/>
        <w:keepLines w:val="0"/>
        <w:widowControl w:val="0"/>
        <w:shd w:val="clear" w:color="auto" w:fill="auto"/>
        <w:tabs>
          <w:tab w:pos="432" w:val="left"/>
        </w:tabs>
        <w:bidi w:val="0"/>
        <w:spacing w:before="0" w:after="0" w:line="318" w:lineRule="exact"/>
        <w:ind w:left="0" w:right="0" w:firstLine="0"/>
        <w:jc w:val="left"/>
        <w:rPr>
          <w:sz w:val="20"/>
          <w:szCs w:val="20"/>
        </w:rPr>
      </w:pPr>
      <w:bookmarkStart w:id="495" w:name="bookmark495"/>
      <w:r>
        <w:rPr>
          <w:rFonts w:ascii="Times New Roman" w:eastAsia="Times New Roman" w:hAnsi="Times New Roman" w:cs="Times New Roman"/>
          <w:color w:val="000000"/>
          <w:spacing w:val="0"/>
          <w:w w:val="100"/>
          <w:position w:val="0"/>
          <w:sz w:val="20"/>
          <w:szCs w:val="20"/>
        </w:rPr>
        <w:t>2</w:t>
      </w:r>
      <w:bookmarkEnd w:id="495"/>
      <w:r>
        <w:rPr>
          <w:color w:val="000000"/>
          <w:spacing w:val="0"/>
          <w:w w:val="100"/>
          <w:position w:val="0"/>
          <w:sz w:val="20"/>
          <w:szCs w:val="20"/>
        </w:rPr>
        <w:t>、</w:t>
        <w:tab/>
        <w:t>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日起执行财政部于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年度颁布的《企业会计准则解释第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号》，该项会计政策变 更对公司财务报表无影响。</w:t>
      </w:r>
    </w:p>
    <w:p>
      <w:pPr>
        <w:pStyle w:val="Style14"/>
        <w:keepNext w:val="0"/>
        <w:keepLines w:val="0"/>
        <w:widowControl w:val="0"/>
        <w:shd w:val="clear" w:color="auto" w:fill="auto"/>
        <w:tabs>
          <w:tab w:pos="373" w:val="left"/>
        </w:tabs>
        <w:bidi w:val="0"/>
        <w:spacing w:before="0" w:after="40" w:line="318" w:lineRule="exact"/>
        <w:ind w:left="0" w:right="0" w:firstLine="0"/>
        <w:jc w:val="left"/>
        <w:rPr>
          <w:sz w:val="20"/>
          <w:szCs w:val="20"/>
        </w:rPr>
      </w:pPr>
      <w:bookmarkStart w:id="496" w:name="bookmark496"/>
      <w:r>
        <w:rPr>
          <w:rFonts w:ascii="Times New Roman" w:eastAsia="Times New Roman" w:hAnsi="Times New Roman" w:cs="Times New Roman"/>
          <w:color w:val="000000"/>
          <w:spacing w:val="0"/>
          <w:w w:val="100"/>
          <w:position w:val="0"/>
          <w:sz w:val="20"/>
          <w:szCs w:val="20"/>
        </w:rPr>
        <w:t>3</w:t>
      </w:r>
      <w:bookmarkEnd w:id="496"/>
      <w:r>
        <w:rPr>
          <w:color w:val="000000"/>
          <w:spacing w:val="0"/>
          <w:w w:val="100"/>
          <w:position w:val="0"/>
          <w:sz w:val="20"/>
          <w:szCs w:val="20"/>
        </w:rPr>
        <w:t>、</w:t>
        <w:tab/>
        <w:t>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日起执行财政部颁布的《企业会计准则解释第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关于资金集中管理相关列报</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规定，该项会计政策变更对公司财务报表无影响。</w:t>
      </w:r>
    </w:p>
    <w:p>
      <w:pPr>
        <w:pStyle w:val="Style14"/>
        <w:keepNext w:val="0"/>
        <w:keepLines w:val="0"/>
        <w:widowControl w:val="0"/>
        <w:shd w:val="clear" w:color="auto" w:fill="auto"/>
        <w:bidi w:val="0"/>
        <w:spacing w:before="0" w:after="700" w:line="322" w:lineRule="exact"/>
        <w:ind w:left="0" w:right="0" w:firstLine="500"/>
        <w:jc w:val="left"/>
        <w:rPr>
          <w:sz w:val="20"/>
          <w:szCs w:val="20"/>
        </w:rPr>
      </w:pPr>
      <w:r>
        <w:rPr>
          <w:color w:val="000000"/>
          <w:spacing w:val="0"/>
          <w:w w:val="100"/>
          <w:position w:val="0"/>
          <w:sz w:val="20"/>
          <w:szCs w:val="20"/>
        </w:rPr>
        <w:t>公司会计政策变更情况详见</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年度报告全文的第十节财务报告中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重要会计政策和会计估计变更</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部分相关内容。</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七</w:t>
      </w:r>
      <w:bookmarkEnd w:id="499"/>
      <w:r>
        <w:rPr>
          <w:color w:val="000000"/>
          <w:spacing w:val="0"/>
          <w:w w:val="100"/>
          <w:position w:val="0"/>
        </w:rPr>
        <w:t>、</w:t>
        <w:tab/>
        <w:t>与上年度财务报告相比，合并报表范围发生变化的情况说明</w:t>
      </w:r>
      <w:bookmarkEnd w:id="497"/>
      <w:bookmarkEnd w:id="498"/>
      <w:bookmarkEnd w:id="500"/>
    </w:p>
    <w:p>
      <w:pPr>
        <w:pStyle w:val="Style29"/>
        <w:keepNext w:val="0"/>
        <w:keepLines w:val="0"/>
        <w:widowControl w:val="0"/>
        <w:numPr>
          <w:ilvl w:val="0"/>
          <w:numId w:val="5"/>
        </w:numPr>
        <w:shd w:val="clear" w:color="auto" w:fill="auto"/>
        <w:tabs>
          <w:tab w:pos="286" w:val="left"/>
        </w:tabs>
        <w:bidi w:val="0"/>
        <w:spacing w:before="0" w:after="40" w:line="240" w:lineRule="auto"/>
        <w:ind w:left="0" w:right="0" w:firstLine="0"/>
        <w:jc w:val="left"/>
      </w:pPr>
      <w:bookmarkStart w:id="501" w:name="bookmark501"/>
      <w:bookmarkEnd w:id="50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4"/>
        <w:keepNext w:val="0"/>
        <w:keepLines w:val="0"/>
        <w:widowControl w:val="0"/>
        <w:shd w:val="clear" w:color="auto" w:fill="auto"/>
        <w:bidi w:val="0"/>
        <w:spacing w:before="0" w:after="380" w:line="318" w:lineRule="exact"/>
        <w:ind w:left="0" w:right="0" w:firstLine="0"/>
        <w:jc w:val="left"/>
        <w:rPr>
          <w:sz w:val="20"/>
          <w:szCs w:val="20"/>
        </w:rPr>
      </w:pPr>
      <w:r>
        <w:rPr>
          <w:color w:val="000000"/>
          <w:spacing w:val="0"/>
          <w:w w:val="100"/>
          <w:position w:val="0"/>
          <w:sz w:val="20"/>
          <w:szCs w:val="20"/>
        </w:rPr>
        <w:t>本公司注销全资子公司天津信通铁路电气技术有限公司，本期不再纳入合并范围。</w:t>
      </w:r>
    </w:p>
    <w:p>
      <w:pPr>
        <w:pStyle w:val="Style24"/>
        <w:keepNext/>
        <w:keepLines/>
        <w:widowControl w:val="0"/>
        <w:shd w:val="clear" w:color="auto" w:fill="auto"/>
        <w:tabs>
          <w:tab w:pos="522"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八</w:t>
      </w:r>
      <w:bookmarkEnd w:id="504"/>
      <w:r>
        <w:rPr>
          <w:color w:val="000000"/>
          <w:spacing w:val="0"/>
          <w:w w:val="100"/>
          <w:position w:val="0"/>
        </w:rPr>
        <w:t>、</w:t>
        <w:tab/>
        <w:t>聘任、解聘会计师事务所情况</w:t>
      </w:r>
      <w:bookmarkEnd w:id="502"/>
      <w:bookmarkEnd w:id="503"/>
      <w:bookmarkEnd w:id="50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黄志刚、朱红辉</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年、朱红辉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740" w:line="307" w:lineRule="exact"/>
        <w:ind w:left="0" w:right="0" w:firstLine="380"/>
        <w:jc w:val="left"/>
      </w:pPr>
      <w:r>
        <w:rPr>
          <w:color w:val="000000"/>
          <w:spacing w:val="0"/>
          <w:w w:val="100"/>
          <w:position w:val="0"/>
        </w:rPr>
        <w:t>报告期内，公司聘请大华会计师事务所（特殊普通合伙）为公司财务报告和内部控制审计机构，报告期内支付审计费用 共计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w:t>
      </w:r>
    </w:p>
    <w:p>
      <w:pPr>
        <w:pStyle w:val="Style24"/>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九</w:t>
      </w:r>
      <w:bookmarkEnd w:id="508"/>
      <w:r>
        <w:rPr>
          <w:color w:val="000000"/>
          <w:spacing w:val="0"/>
          <w:w w:val="100"/>
          <w:position w:val="0"/>
        </w:rPr>
        <w:t>、年度报告披露后面临退市情况</w:t>
      </w:r>
      <w:bookmarkEnd w:id="506"/>
      <w:bookmarkEnd w:id="507"/>
      <w:bookmarkEnd w:id="509"/>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r>
        <w:rPr>
          <w:color w:val="000000"/>
          <w:spacing w:val="0"/>
          <w:w w:val="100"/>
          <w:position w:val="0"/>
        </w:rPr>
        <w:t>十、破产重整相关事项</w:t>
      </w:r>
      <w:bookmarkEnd w:id="510"/>
      <w:bookmarkEnd w:id="511"/>
      <w:bookmarkEnd w:id="512"/>
    </w:p>
    <w:p>
      <w:pPr>
        <w:pStyle w:val="Style29"/>
        <w:keepNext w:val="0"/>
        <w:keepLines w:val="0"/>
        <w:widowControl w:val="0"/>
        <w:numPr>
          <w:ilvl w:val="0"/>
          <w:numId w:val="7"/>
        </w:numPr>
        <w:shd w:val="clear" w:color="auto" w:fill="auto"/>
        <w:tabs>
          <w:tab w:pos="282" w:val="left"/>
        </w:tabs>
        <w:bidi w:val="0"/>
        <w:spacing w:before="0" w:after="0" w:line="360" w:lineRule="auto"/>
        <w:ind w:left="0" w:right="0" w:firstLine="0"/>
        <w:jc w:val="left"/>
      </w:pPr>
      <w:bookmarkStart w:id="513" w:name="bookmark513"/>
      <w:bookmarkEnd w:id="5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r>
        <w:rPr>
          <w:color w:val="000000"/>
          <w:spacing w:val="0"/>
          <w:w w:val="100"/>
          <w:position w:val="0"/>
        </w:rPr>
        <w:t>十一、重大诉讼、仲裁事项</w:t>
      </w:r>
      <w:bookmarkEnd w:id="514"/>
      <w:bookmarkEnd w:id="515"/>
      <w:bookmarkEnd w:id="516"/>
    </w:p>
    <w:p>
      <w:pPr>
        <w:pStyle w:val="Style29"/>
        <w:keepNext w:val="0"/>
        <w:keepLines w:val="0"/>
        <w:widowControl w:val="0"/>
        <w:numPr>
          <w:ilvl w:val="0"/>
          <w:numId w:val="7"/>
        </w:numPr>
        <w:shd w:val="clear" w:color="auto" w:fill="auto"/>
        <w:tabs>
          <w:tab w:pos="282" w:val="left"/>
        </w:tabs>
        <w:bidi w:val="0"/>
        <w:spacing w:before="0" w:after="0" w:line="360" w:lineRule="auto"/>
        <w:ind w:left="0" w:right="0" w:firstLine="0"/>
        <w:jc w:val="left"/>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r>
        <w:rPr>
          <w:color w:val="000000"/>
          <w:spacing w:val="0"/>
          <w:w w:val="100"/>
          <w:position w:val="0"/>
        </w:rPr>
        <w:t>十二、处罚及整改情况</w:t>
      </w:r>
      <w:bookmarkEnd w:id="518"/>
      <w:bookmarkEnd w:id="519"/>
      <w:bookmarkEnd w:id="520"/>
    </w:p>
    <w:p>
      <w:pPr>
        <w:pStyle w:val="Style29"/>
        <w:keepNext w:val="0"/>
        <w:keepLines w:val="0"/>
        <w:widowControl w:val="0"/>
        <w:numPr>
          <w:ilvl w:val="0"/>
          <w:numId w:val="7"/>
        </w:numPr>
        <w:shd w:val="clear" w:color="auto" w:fill="auto"/>
        <w:tabs>
          <w:tab w:pos="282" w:val="left"/>
        </w:tabs>
        <w:bidi w:val="0"/>
        <w:spacing w:before="0" w:after="0" w:line="360" w:lineRule="auto"/>
        <w:ind w:left="0" w:right="0" w:firstLine="0"/>
        <w:jc w:val="left"/>
      </w:pPr>
      <w:bookmarkStart w:id="521" w:name="bookmark521"/>
      <w:bookmarkEnd w:id="5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r>
        <w:rPr>
          <w:color w:val="000000"/>
          <w:spacing w:val="0"/>
          <w:w w:val="100"/>
          <w:position w:val="0"/>
        </w:rPr>
        <w:t>十三、公司及其控股股东、实际控制人的诚信状况</w:t>
      </w:r>
      <w:bookmarkEnd w:id="522"/>
      <w:bookmarkEnd w:id="523"/>
      <w:bookmarkEnd w:id="524"/>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0" w:right="0" w:firstLine="500"/>
        <w:jc w:val="left"/>
      </w:pPr>
      <w:r>
        <w:rPr>
          <w:color w:val="000000"/>
          <w:spacing w:val="0"/>
          <w:w w:val="100"/>
          <w:position w:val="0"/>
        </w:rPr>
        <w:t>报告期内，公司及公司第一大股东不存在未履行的法院生效判决、所负数额较大的债务到期未清偿等情况。</w:t>
      </w:r>
    </w:p>
    <w:p>
      <w:pPr>
        <w:pStyle w:val="Style24"/>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r>
        <w:rPr>
          <w:color w:val="000000"/>
          <w:spacing w:val="0"/>
          <w:w w:val="100"/>
          <w:position w:val="0"/>
        </w:rPr>
        <w:t>十四、重大关联交易</w:t>
      </w:r>
      <w:bookmarkEnd w:id="525"/>
      <w:bookmarkEnd w:id="526"/>
      <w:bookmarkEnd w:id="527"/>
    </w:p>
    <w:p>
      <w:pPr>
        <w:pStyle w:val="Style33"/>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、与日常经营相关的关联交易</w:t>
      </w:r>
      <w:bookmarkEnd w:id="528"/>
      <w:bookmarkEnd w:id="529"/>
      <w:bookmarkEnd w:id="531"/>
    </w:p>
    <w:p>
      <w:pPr>
        <w:pStyle w:val="Style29"/>
        <w:keepNext w:val="0"/>
        <w:keepLines w:val="0"/>
        <w:widowControl w:val="0"/>
        <w:numPr>
          <w:ilvl w:val="0"/>
          <w:numId w:val="7"/>
        </w:numPr>
        <w:shd w:val="clear" w:color="auto" w:fill="auto"/>
        <w:tabs>
          <w:tab w:pos="282" w:val="left"/>
        </w:tabs>
        <w:bidi w:val="0"/>
        <w:spacing w:before="0" w:after="0" w:line="360" w:lineRule="auto"/>
        <w:ind w:left="0" w:right="0" w:firstLine="0"/>
        <w:jc w:val="left"/>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w:t>
        <w:tab/>
        <w:t>资产或股权收购、出售发生的关联交易</w:t>
      </w:r>
      <w:bookmarkEnd w:id="533"/>
      <w:bookmarkEnd w:id="534"/>
      <w:bookmarkEnd w:id="53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t>共同对外投资的关联交易</w:t>
      </w:r>
      <w:bookmarkEnd w:id="537"/>
      <w:bookmarkEnd w:id="538"/>
      <w:bookmarkEnd w:id="54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w:t>
        <w:tab/>
        <w:t>关联债权债务往来</w:t>
      </w:r>
      <w:bookmarkEnd w:id="541"/>
      <w:bookmarkEnd w:id="542"/>
      <w:bookmarkEnd w:id="54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5</w:t>
      </w:r>
      <w:bookmarkEnd w:id="547"/>
      <w:r>
        <w:rPr>
          <w:color w:val="000000"/>
          <w:spacing w:val="0"/>
          <w:w w:val="100"/>
          <w:position w:val="0"/>
        </w:rPr>
        <w:t>、</w:t>
        <w:tab/>
        <w:t>与存在关联关系的财务公司的往来情况</w:t>
      </w:r>
      <w:bookmarkEnd w:id="545"/>
      <w:bookmarkEnd w:id="546"/>
      <w:bookmarkEnd w:id="54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6</w:t>
      </w:r>
      <w:bookmarkEnd w:id="551"/>
      <w:r>
        <w:rPr>
          <w:color w:val="000000"/>
          <w:spacing w:val="0"/>
          <w:w w:val="100"/>
          <w:position w:val="0"/>
        </w:rPr>
        <w:t>、</w:t>
        <w:tab/>
        <w:t>公司控股的财务公司与关联方的往来情况</w:t>
      </w:r>
      <w:bookmarkEnd w:id="549"/>
      <w:bookmarkEnd w:id="550"/>
      <w:bookmarkEnd w:id="552"/>
    </w:p>
    <w:p>
      <w:pPr>
        <w:pStyle w:val="Style29"/>
        <w:keepNext w:val="0"/>
        <w:keepLines w:val="0"/>
        <w:widowControl w:val="0"/>
        <w:numPr>
          <w:ilvl w:val="0"/>
          <w:numId w:val="7"/>
        </w:numPr>
        <w:shd w:val="clear" w:color="auto" w:fill="auto"/>
        <w:tabs>
          <w:tab w:pos="286" w:val="left"/>
        </w:tabs>
        <w:bidi w:val="0"/>
        <w:spacing w:before="0" w:after="140" w:line="240" w:lineRule="auto"/>
        <w:ind w:left="0" w:right="0" w:firstLine="0"/>
        <w:jc w:val="left"/>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3" w:val="left"/>
        </w:tabs>
        <w:bidi w:val="0"/>
        <w:spacing w:before="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7</w:t>
      </w:r>
      <w:bookmarkEnd w:id="556"/>
      <w:r>
        <w:rPr>
          <w:color w:val="000000"/>
          <w:spacing w:val="0"/>
          <w:w w:val="100"/>
          <w:position w:val="0"/>
        </w:rPr>
        <w:t>、</w:t>
        <w:tab/>
        <w:t>其他重大关联交易</w:t>
      </w:r>
      <w:bookmarkEnd w:id="554"/>
      <w:bookmarkEnd w:id="555"/>
      <w:bookmarkEnd w:id="557"/>
    </w:p>
    <w:p>
      <w:pPr>
        <w:pStyle w:val="Style29"/>
        <w:keepNext w:val="0"/>
        <w:keepLines w:val="0"/>
        <w:widowControl w:val="0"/>
        <w:numPr>
          <w:ilvl w:val="0"/>
          <w:numId w:val="7"/>
        </w:numPr>
        <w:shd w:val="clear" w:color="auto" w:fill="auto"/>
        <w:tabs>
          <w:tab w:pos="286" w:val="left"/>
        </w:tabs>
        <w:bidi w:val="0"/>
        <w:spacing w:before="0" w:after="140" w:line="240" w:lineRule="auto"/>
        <w:ind w:left="0" w:right="0" w:firstLine="0"/>
        <w:jc w:val="left"/>
      </w:pPr>
      <w:bookmarkStart w:id="558" w:name="bookmark558"/>
      <w:bookmarkEnd w:id="5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r>
        <w:rPr>
          <w:color w:val="000000"/>
          <w:spacing w:val="0"/>
          <w:w w:val="100"/>
          <w:position w:val="0"/>
        </w:rPr>
        <w:t>十五、重大合同及其履行情况</w:t>
      </w:r>
      <w:bookmarkEnd w:id="559"/>
      <w:bookmarkEnd w:id="560"/>
      <w:bookmarkEnd w:id="561"/>
    </w:p>
    <w:p>
      <w:pPr>
        <w:pStyle w:val="Style33"/>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、托管、承包、租赁事项情况</w:t>
      </w:r>
      <w:bookmarkEnd w:id="562"/>
      <w:bookmarkEnd w:id="563"/>
      <w:bookmarkEnd w:id="565"/>
    </w:p>
    <w:p>
      <w:pPr>
        <w:pStyle w:val="Style47"/>
        <w:keepNext/>
        <w:keepLines/>
        <w:widowControl w:val="0"/>
        <w:shd w:val="clear" w:color="auto" w:fill="auto"/>
        <w:tabs>
          <w:tab w:pos="493"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6"/>
      <w:bookmarkEnd w:id="567"/>
      <w:bookmarkEnd w:id="569"/>
    </w:p>
    <w:p>
      <w:pPr>
        <w:pStyle w:val="Style29"/>
        <w:keepNext w:val="0"/>
        <w:keepLines w:val="0"/>
        <w:widowControl w:val="0"/>
        <w:numPr>
          <w:ilvl w:val="0"/>
          <w:numId w:val="7"/>
        </w:numPr>
        <w:shd w:val="clear" w:color="auto" w:fill="auto"/>
        <w:tabs>
          <w:tab w:pos="286" w:val="left"/>
        </w:tabs>
        <w:bidi w:val="0"/>
        <w:spacing w:before="0" w:after="140" w:line="240" w:lineRule="auto"/>
        <w:ind w:left="0" w:right="0" w:firstLine="0"/>
        <w:jc w:val="left"/>
      </w:pPr>
      <w:bookmarkStart w:id="570" w:name="bookmark570"/>
      <w:bookmarkEnd w:id="5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1"/>
      <w:bookmarkEnd w:id="572"/>
      <w:bookmarkEnd w:id="574"/>
    </w:p>
    <w:p>
      <w:pPr>
        <w:pStyle w:val="Style29"/>
        <w:keepNext w:val="0"/>
        <w:keepLines w:val="0"/>
        <w:widowControl w:val="0"/>
        <w:numPr>
          <w:ilvl w:val="0"/>
          <w:numId w:val="7"/>
        </w:numPr>
        <w:shd w:val="clear" w:color="auto" w:fill="auto"/>
        <w:tabs>
          <w:tab w:pos="286" w:val="left"/>
        </w:tabs>
        <w:bidi w:val="0"/>
        <w:spacing w:before="0" w:after="140" w:line="240" w:lineRule="auto"/>
        <w:ind w:left="0" w:right="0" w:firstLine="0"/>
        <w:jc w:val="left"/>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7"/>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76"/>
      <w:bookmarkEnd w:id="577"/>
      <w:bookmarkEnd w:id="57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78" w:val="left"/>
        </w:tabs>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重大担保</w:t>
      </w:r>
      <w:bookmarkEnd w:id="580"/>
      <w:bookmarkEnd w:id="581"/>
      <w:bookmarkEnd w:id="58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33"/>
        <w:keepNext/>
        <w:keepLines/>
        <w:widowControl w:val="0"/>
        <w:shd w:val="clear" w:color="auto" w:fill="auto"/>
        <w:tabs>
          <w:tab w:pos="378" w:val="left"/>
        </w:tabs>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w:t>
        <w:tab/>
        <w:t>委托他人进行现金资产管理情况</w:t>
      </w:r>
      <w:bookmarkEnd w:id="584"/>
      <w:bookmarkEnd w:id="585"/>
      <w:bookmarkEnd w:id="587"/>
    </w:p>
    <w:p>
      <w:pPr>
        <w:pStyle w:val="Style47"/>
        <w:keepNext/>
        <w:keepLines/>
        <w:widowControl w:val="0"/>
        <w:shd w:val="clear" w:color="auto" w:fill="auto"/>
        <w:bidi w:val="0"/>
        <w:spacing w:before="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8"/>
      <w:bookmarkEnd w:id="589"/>
      <w:bookmarkEnd w:id="59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570"/>
        <w:gridCol w:w="1642"/>
        <w:gridCol w:w="1656"/>
        <w:gridCol w:w="1603"/>
        <w:gridCol w:w="1550"/>
        <w:gridCol w:w="156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9"/>
        <w:keepNext w:val="0"/>
        <w:keepLines w:val="0"/>
        <w:widowControl w:val="0"/>
        <w:numPr>
          <w:ilvl w:val="0"/>
          <w:numId w:val="7"/>
        </w:numPr>
        <w:shd w:val="clear" w:color="auto" w:fill="auto"/>
        <w:tabs>
          <w:tab w:pos="282" w:val="left"/>
        </w:tabs>
        <w:bidi w:val="0"/>
        <w:spacing w:before="0" w:after="380" w:line="240" w:lineRule="auto"/>
        <w:ind w:left="0" w:right="0" w:firstLine="0"/>
        <w:jc w:val="left"/>
      </w:pPr>
      <w:bookmarkStart w:id="592" w:name="bookmark592"/>
      <w:bookmarkEnd w:id="5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93"/>
      <w:bookmarkEnd w:id="594"/>
      <w:bookmarkEnd w:id="596"/>
    </w:p>
    <w:p>
      <w:pPr>
        <w:pStyle w:val="Style29"/>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597" w:name="bookmark597"/>
      <w:bookmarkEnd w:id="59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4</w:t>
      </w:r>
      <w:bookmarkEnd w:id="600"/>
      <w:r>
        <w:rPr>
          <w:color w:val="000000"/>
          <w:spacing w:val="0"/>
          <w:w w:val="100"/>
          <w:position w:val="0"/>
        </w:rPr>
        <w:t>、其他重大合同</w:t>
      </w:r>
      <w:bookmarkEnd w:id="598"/>
      <w:bookmarkEnd w:id="599"/>
      <w:bookmarkEnd w:id="601"/>
    </w:p>
    <w:p>
      <w:pPr>
        <w:pStyle w:val="Style29"/>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602" w:name="bookmark602"/>
      <w:bookmarkEnd w:id="6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r>
        <w:rPr>
          <w:color w:val="000000"/>
          <w:spacing w:val="0"/>
          <w:w w:val="100"/>
          <w:position w:val="0"/>
        </w:rPr>
        <w:t>十六、其他重大事项的说明</w:t>
      </w:r>
      <w:bookmarkEnd w:id="603"/>
      <w:bookmarkEnd w:id="604"/>
      <w:bookmarkEnd w:id="605"/>
    </w:p>
    <w:p>
      <w:pPr>
        <w:pStyle w:val="Style29"/>
        <w:keepNext w:val="0"/>
        <w:keepLines w:val="0"/>
        <w:widowControl w:val="0"/>
        <w:numPr>
          <w:ilvl w:val="0"/>
          <w:numId w:val="7"/>
        </w:numPr>
        <w:shd w:val="clear" w:color="auto" w:fill="auto"/>
        <w:tabs>
          <w:tab w:pos="282" w:val="left"/>
        </w:tabs>
        <w:bidi w:val="0"/>
        <w:spacing w:before="0" w:after="140" w:line="240" w:lineRule="auto"/>
        <w:ind w:left="0" w:right="0" w:firstLine="0"/>
        <w:jc w:val="left"/>
      </w:pPr>
      <w:bookmarkStart w:id="606" w:name="bookmark606"/>
      <w:bookmarkEnd w:id="6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80" w:line="240" w:lineRule="auto"/>
        <w:ind w:left="0" w:right="0" w:firstLine="0"/>
        <w:jc w:val="left"/>
      </w:pPr>
      <w:bookmarkStart w:id="607" w:name="bookmark607"/>
      <w:bookmarkStart w:id="608" w:name="bookmark608"/>
      <w:bookmarkStart w:id="609" w:name="bookmark609"/>
      <w:r>
        <w:rPr>
          <w:color w:val="000000"/>
          <w:spacing w:val="0"/>
          <w:w w:val="100"/>
          <w:position w:val="0"/>
        </w:rPr>
        <w:t>十七、公司子公司重大事项</w:t>
      </w:r>
      <w:bookmarkEnd w:id="607"/>
      <w:bookmarkEnd w:id="608"/>
      <w:bookmarkEnd w:id="609"/>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49" w:bottom="1566" w:left="107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40" w:line="240" w:lineRule="auto"/>
        <w:ind w:left="0" w:right="0" w:firstLine="0"/>
        <w:jc w:val="center"/>
      </w:pPr>
      <w:bookmarkStart w:id="610" w:name="bookmark610"/>
      <w:bookmarkStart w:id="611" w:name="bookmark611"/>
      <w:bookmarkStart w:id="612" w:name="bookmark612"/>
      <w:r>
        <w:rPr>
          <w:color w:val="000000"/>
          <w:spacing w:val="0"/>
          <w:w w:val="100"/>
          <w:position w:val="0"/>
        </w:rPr>
        <w:t>第七节股份变动及股东情况</w:t>
      </w:r>
      <w:bookmarkEnd w:id="610"/>
      <w:bookmarkEnd w:id="611"/>
      <w:bookmarkEnd w:id="612"/>
    </w:p>
    <w:p>
      <w:pPr>
        <w:pStyle w:val="Style24"/>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bookmarkStart w:id="617" w:name="bookmark617"/>
      <w:r>
        <w:rPr>
          <w:color w:val="000000"/>
          <w:spacing w:val="0"/>
          <w:w w:val="100"/>
          <w:position w:val="0"/>
        </w:rPr>
        <w:t>一</w:t>
      </w:r>
      <w:bookmarkEnd w:id="616"/>
      <w:r>
        <w:rPr>
          <w:color w:val="000000"/>
          <w:spacing w:val="0"/>
          <w:w w:val="100"/>
          <w:position w:val="0"/>
        </w:rPr>
        <w:t>、股份变动情况</w:t>
      </w:r>
      <w:bookmarkEnd w:id="614"/>
      <w:bookmarkEnd w:id="615"/>
      <w:bookmarkEnd w:id="617"/>
      <w:bookmarkEnd w:id="613"/>
    </w:p>
    <w:p>
      <w:pPr>
        <w:pStyle w:val="Style33"/>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、股份变动情况</w:t>
      </w:r>
      <w:bookmarkEnd w:id="618"/>
      <w:bookmarkEnd w:id="619"/>
      <w:bookmarkEnd w:id="6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56,627,25</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48,650,97</w:t>
            </w:r>
          </w:p>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56,627,25</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48,650,97</w:t>
            </w:r>
          </w:p>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56,627,25</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-7,976,28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48,650,97</w:t>
            </w:r>
          </w:p>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333,029,1</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340,965,4</w:t>
            </w:r>
          </w:p>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333,029,1</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340,965,4</w:t>
            </w:r>
          </w:p>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389,656,4</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389,616,4</w:t>
            </w:r>
          </w:p>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14" w:lineRule="exact"/>
        <w:ind w:left="0" w:right="0" w:firstLine="0"/>
        <w:jc w:val="left"/>
      </w:pPr>
      <w:bookmarkStart w:id="622" w:name="bookmark622"/>
      <w:r>
        <w:rPr>
          <w:rFonts w:ascii="Times New Roman" w:eastAsia="Times New Roman" w:hAnsi="Times New Roman" w:cs="Times New Roman"/>
          <w:color w:val="000000"/>
          <w:spacing w:val="0"/>
          <w:w w:val="100"/>
          <w:position w:val="0"/>
          <w:sz w:val="18"/>
          <w:szCs w:val="18"/>
        </w:rPr>
        <w:t>1</w:t>
      </w:r>
      <w:bookmarkEnd w:id="622"/>
      <w:r>
        <w:rPr>
          <w:color w:val="000000"/>
          <w:spacing w:val="0"/>
          <w:w w:val="100"/>
          <w:position w:val="0"/>
        </w:rPr>
        <w:t>、根据公司董事长李海鹰先生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年度股份减持计划，详见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日刊登于巨潮资讯网《关于持股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以上股东减持 股份的预披露公告》（公告编号</w:t>
      </w:r>
      <w:r>
        <w:rPr>
          <w:rFonts w:ascii="Times New Roman" w:eastAsia="Times New Roman" w:hAnsi="Times New Roman" w:cs="Times New Roman"/>
          <w:color w:val="000000"/>
          <w:spacing w:val="0"/>
          <w:w w:val="100"/>
          <w:position w:val="0"/>
          <w:sz w:val="18"/>
          <w:szCs w:val="18"/>
        </w:rPr>
        <w:t>2019-041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年度李海鹰先生共减持股份</w:t>
      </w:r>
      <w:r>
        <w:rPr>
          <w:rFonts w:ascii="Times New Roman" w:eastAsia="Times New Roman" w:hAnsi="Times New Roman" w:cs="Times New Roman"/>
          <w:color w:val="000000"/>
          <w:spacing w:val="0"/>
          <w:w w:val="100"/>
          <w:position w:val="0"/>
          <w:sz w:val="18"/>
          <w:szCs w:val="18"/>
        </w:rPr>
        <w:t>4,100,000</w:t>
      </w:r>
      <w:r>
        <w:rPr>
          <w:color w:val="000000"/>
          <w:spacing w:val="0"/>
          <w:w w:val="100"/>
          <w:position w:val="0"/>
        </w:rPr>
        <w:t>股，致本报告期内有限售条件股份减 少</w:t>
      </w:r>
      <w:r>
        <w:rPr>
          <w:rFonts w:ascii="Times New Roman" w:eastAsia="Times New Roman" w:hAnsi="Times New Roman" w:cs="Times New Roman"/>
          <w:color w:val="000000"/>
          <w:spacing w:val="0"/>
          <w:w w:val="100"/>
          <w:position w:val="0"/>
          <w:sz w:val="18"/>
          <w:szCs w:val="18"/>
        </w:rPr>
        <w:t>3,075,000</w:t>
      </w:r>
      <w:r>
        <w:rPr>
          <w:color w:val="000000"/>
          <w:spacing w:val="0"/>
          <w:w w:val="100"/>
          <w:position w:val="0"/>
        </w:rPr>
        <w:t>股，公司股本结构因此发生变动。</w:t>
      </w:r>
    </w:p>
    <w:p>
      <w:pPr>
        <w:pStyle w:val="Style29"/>
        <w:keepNext w:val="0"/>
        <w:keepLines w:val="0"/>
        <w:widowControl w:val="0"/>
        <w:shd w:val="clear" w:color="auto" w:fill="auto"/>
        <w:tabs>
          <w:tab w:pos="294" w:val="left"/>
        </w:tabs>
        <w:bidi w:val="0"/>
        <w:spacing w:before="0" w:after="0" w:line="314" w:lineRule="exact"/>
        <w:ind w:left="0" w:right="0" w:firstLine="0"/>
        <w:jc w:val="both"/>
      </w:pPr>
      <w:bookmarkStart w:id="623" w:name="bookmark623"/>
      <w:r>
        <w:rPr>
          <w:rFonts w:ascii="Times New Roman" w:eastAsia="Times New Roman" w:hAnsi="Times New Roman" w:cs="Times New Roman"/>
          <w:color w:val="000000"/>
          <w:spacing w:val="0"/>
          <w:w w:val="100"/>
          <w:position w:val="0"/>
          <w:sz w:val="18"/>
          <w:szCs w:val="18"/>
        </w:rPr>
        <w:t>2</w:t>
      </w:r>
      <w:bookmarkEnd w:id="623"/>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年限制性股票激励计划授予的限制性股票第一个解除限售期解锁股份上市流通日为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日，本次解除限 售的限制性股票数量为</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年第二期限制性股票激励计划授予的限制性股票第一个解除限售期解锁股份上市 流通日为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日，本次解除限售的限制性股票数量为</w:t>
      </w:r>
      <w:r>
        <w:rPr>
          <w:rFonts w:ascii="Times New Roman" w:eastAsia="Times New Roman" w:hAnsi="Times New Roman" w:cs="Times New Roman"/>
          <w:color w:val="000000"/>
          <w:spacing w:val="0"/>
          <w:w w:val="100"/>
          <w:position w:val="0"/>
          <w:sz w:val="18"/>
          <w:szCs w:val="18"/>
        </w:rPr>
        <w:t>398.4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万股。上述两次解锁过程中，激励对象杜旭升先生、张 奕敏女士、侯菊艳女士、郭治国先生的限制性股票解锁股数为</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万股，同时，根据相关规定按其各自持股数量的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作为高 管锁定股进行限售，四位高管解锁限制性股票中实际合计</w:t>
      </w:r>
      <w:r>
        <w:rPr>
          <w:rFonts w:ascii="Times New Roman" w:eastAsia="Times New Roman" w:hAnsi="Times New Roman" w:cs="Times New Roman"/>
          <w:color w:val="000000"/>
          <w:spacing w:val="0"/>
          <w:w w:val="100"/>
          <w:position w:val="0"/>
          <w:sz w:val="18"/>
          <w:szCs w:val="18"/>
        </w:rPr>
        <w:t>53.7283</w:t>
      </w:r>
      <w:r>
        <w:rPr>
          <w:color w:val="000000"/>
          <w:spacing w:val="0"/>
          <w:w w:val="100"/>
          <w:position w:val="0"/>
        </w:rPr>
        <w:t>万股变为无限售条件流通股。公司股本结构因此发生变动。</w:t>
      </w:r>
    </w:p>
    <w:p>
      <w:pPr>
        <w:pStyle w:val="Style29"/>
        <w:keepNext w:val="0"/>
        <w:keepLines w:val="0"/>
        <w:widowControl w:val="0"/>
        <w:shd w:val="clear" w:color="auto" w:fill="auto"/>
        <w:tabs>
          <w:tab w:pos="294" w:val="left"/>
        </w:tabs>
        <w:bidi w:val="0"/>
        <w:spacing w:before="0" w:after="0" w:line="317" w:lineRule="exact"/>
        <w:ind w:left="0" w:right="0" w:firstLine="0"/>
        <w:jc w:val="both"/>
      </w:pPr>
      <w:bookmarkStart w:id="624" w:name="bookmark624"/>
      <w:r>
        <w:rPr>
          <w:rFonts w:ascii="Times New Roman" w:eastAsia="Times New Roman" w:hAnsi="Times New Roman" w:cs="Times New Roman"/>
          <w:color w:val="000000"/>
          <w:spacing w:val="0"/>
          <w:w w:val="100"/>
          <w:position w:val="0"/>
          <w:sz w:val="18"/>
          <w:szCs w:val="18"/>
        </w:rPr>
        <w:t>3</w:t>
      </w:r>
      <w:bookmarkEnd w:id="62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年第二期限制性股票激励计划相关两名离职人员限制性股票数量合计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万股的回购注销手续， 股份总数减少了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万股，公司股本总额及结构因此发生变动。</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284" w:val="left"/>
        </w:tabs>
        <w:bidi w:val="0"/>
        <w:spacing w:before="0" w:after="0" w:line="315" w:lineRule="exact"/>
        <w:ind w:left="0" w:right="0" w:firstLine="0"/>
        <w:jc w:val="both"/>
      </w:pPr>
      <w:bookmarkStart w:id="625" w:name="bookmark625"/>
      <w:r>
        <w:rPr>
          <w:rFonts w:ascii="Times New Roman" w:eastAsia="Times New Roman" w:hAnsi="Times New Roman" w:cs="Times New Roman"/>
          <w:color w:val="000000"/>
          <w:spacing w:val="0"/>
          <w:w w:val="100"/>
          <w:position w:val="0"/>
          <w:sz w:val="18"/>
          <w:szCs w:val="18"/>
        </w:rPr>
        <w:t>1</w:t>
      </w:r>
      <w:bookmarkEnd w:id="6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日，公司召开第七届董事会第十一次会议和第七届监事会第十次会议，审议通过了《关于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 激励计划第一个解除限售期解除限售条件成就的议案》，同意公司为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名激励对象办理第一个解除限售期的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万股限制性 股票的解除限售手续。公司监事会对此发表了相关核实意见。公司独立董事发表了独立意见，律师出具了法律意见书。根据 股东大会的授权，董事会已于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月完成本次限制性股票的解除限售手续。</w:t>
      </w:r>
    </w:p>
    <w:p>
      <w:pPr>
        <w:pStyle w:val="Style29"/>
        <w:keepNext w:val="0"/>
        <w:keepLines w:val="0"/>
        <w:widowControl w:val="0"/>
        <w:shd w:val="clear" w:color="auto" w:fill="auto"/>
        <w:tabs>
          <w:tab w:pos="294" w:val="left"/>
        </w:tabs>
        <w:bidi w:val="0"/>
        <w:spacing w:before="0" w:after="0" w:line="314" w:lineRule="exact"/>
        <w:ind w:left="0" w:right="0" w:firstLine="0"/>
        <w:jc w:val="both"/>
      </w:pPr>
      <w:bookmarkStart w:id="626" w:name="bookmark626"/>
      <w:r>
        <w:rPr>
          <w:rFonts w:ascii="Times New Roman" w:eastAsia="Times New Roman" w:hAnsi="Times New Roman" w:cs="Times New Roman"/>
          <w:color w:val="000000"/>
          <w:spacing w:val="0"/>
          <w:w w:val="100"/>
          <w:position w:val="0"/>
          <w:sz w:val="18"/>
          <w:szCs w:val="18"/>
        </w:rPr>
        <w:t>2</w:t>
      </w:r>
      <w:bookmarkEnd w:id="6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日，公司召开第七届董事会第十四次会议和第七届监事会第十三次会议，审议通过了《关于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 制性股票激励计划第一个解除限售期解除限售条件成就的议案》，同意公司为</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名激励对象办理第一个解除限售期的</w:t>
      </w:r>
      <w:r>
        <w:rPr>
          <w:rFonts w:ascii="Times New Roman" w:eastAsia="Times New Roman" w:hAnsi="Times New Roman" w:cs="Times New Roman"/>
          <w:color w:val="000000"/>
          <w:spacing w:val="0"/>
          <w:w w:val="100"/>
          <w:position w:val="0"/>
          <w:sz w:val="18"/>
          <w:szCs w:val="18"/>
        </w:rPr>
        <w:t xml:space="preserve">398.40 </w:t>
      </w:r>
      <w:r>
        <w:rPr>
          <w:color w:val="000000"/>
          <w:spacing w:val="0"/>
          <w:w w:val="100"/>
          <w:position w:val="0"/>
        </w:rPr>
        <w:t>万股限制性股票的解除限售手续。公司独立董事发表了独立意见，律师出具了法律意见书。根据股东大会的授权，董事会已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月完成本次限制性股票的解除限售手续。</w:t>
      </w:r>
    </w:p>
    <w:p>
      <w:pPr>
        <w:pStyle w:val="Style29"/>
        <w:keepNext w:val="0"/>
        <w:keepLines w:val="0"/>
        <w:widowControl w:val="0"/>
        <w:shd w:val="clear" w:color="auto" w:fill="auto"/>
        <w:bidi w:val="0"/>
        <w:spacing w:before="0" w:after="0" w:line="314" w:lineRule="exact"/>
        <w:ind w:left="0" w:right="0" w:firstLine="0"/>
        <w:jc w:val="both"/>
      </w:pPr>
      <w:bookmarkStart w:id="627" w:name="bookmark627"/>
      <w:r>
        <w:rPr>
          <w:rFonts w:ascii="Times New Roman" w:eastAsia="Times New Roman" w:hAnsi="Times New Roman" w:cs="Times New Roman"/>
          <w:color w:val="000000"/>
          <w:spacing w:val="0"/>
          <w:w w:val="100"/>
          <w:position w:val="0"/>
          <w:sz w:val="18"/>
          <w:szCs w:val="18"/>
        </w:rPr>
        <w:t>3</w:t>
      </w:r>
      <w:bookmarkEnd w:id="62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日，公司召开第七届董事会第十二次会议和第七届监事会第十一次会议，审议通过了《关于回购注销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第二期限制性股票激励计划部分限制性股票的议案》，公司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名激励对象因个人原因主动 离职，失去作为激励对象参与激励计划的资格，不再满足成为激励对象的条件。因此，公司将回购注销其已获授的但尚未解 除限售的限制性股票共计</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股。公司独立董事发表了独立意见，律师出具了法律意见书。并已经公司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 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日公司披露了《关于回购注销部分限制性股票减资暨通知债权人的 公告》。公司已于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月完成本次回购注销程序。</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年第二期限制性股票激励计划两名激励对象因个人原因主动离职，不再满足成为激励对象的条件，公司已于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月完成本次回购过户及注销程序。</w:t>
      </w:r>
    </w:p>
    <w:p>
      <w:pPr>
        <w:pStyle w:val="Style29"/>
        <w:keepNext w:val="0"/>
        <w:keepLines w:val="0"/>
        <w:widowControl w:val="0"/>
        <w:shd w:val="clear" w:color="auto" w:fill="auto"/>
        <w:bidi w:val="0"/>
        <w:spacing w:before="0" w:after="60" w:line="346" w:lineRule="exact"/>
        <w:ind w:left="0" w:right="0" w:firstLine="0"/>
        <w:jc w:val="both"/>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246"/>
        <w:gridCol w:w="1541"/>
        <w:gridCol w:w="1546"/>
      </w:tblGrid>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股份变动前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股份变动后</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0.3286</w:t>
            </w:r>
          </w:p>
        </w:tc>
      </w:tr>
      <w:tr>
        <w:trPr>
          <w:trHeight w:val="341"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股份变动前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股份变动后</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归属于上市公司股东的每股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4.1632</w:t>
            </w:r>
          </w:p>
        </w:tc>
      </w:tr>
    </w:tbl>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、限售股份变动情况</w:t>
      </w:r>
      <w:bookmarkEnd w:id="628"/>
      <w:bookmarkEnd w:id="629"/>
      <w:bookmarkEnd w:id="63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3"/>
        <w:gridCol w:w="1349"/>
        <w:gridCol w:w="1349"/>
        <w:gridCol w:w="1349"/>
        <w:gridCol w:w="1349"/>
        <w:gridCol w:w="1066"/>
        <w:gridCol w:w="164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26,301,975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按高管锁定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股份管理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2021.1.4</w:t>
            </w:r>
          </w:p>
        </w:tc>
      </w:tr>
      <w:tr>
        <w:trPr>
          <w:trHeight w:val="6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杜旭升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956,785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报告期内作 为激励对象 满足解锁条 件，公司完成 了两期股权 激励的第一 次解锁手续， 同时，根据相 关规定按其 总持股数量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 高管锁定股 进行限售。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 票激励计划授予的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万股第一个解除 限售期解锁股份</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万股上市流通日为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同时，按其总持股数 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作为高管 锁定股进行限售。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 性股票激励计划授 予的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万股第一个 解除限售期解锁股 份</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万股上市流通 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日，同时，按其总持 股数量的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 高管锁定股进行限 售。综上，报告期内 实际共计解除限售 股数为</w:t>
            </w:r>
            <w:r>
              <w:rPr>
                <w:rFonts w:ascii="Times New Roman" w:eastAsia="Times New Roman" w:hAnsi="Times New Roman" w:cs="Times New Roman"/>
                <w:color w:val="000000"/>
                <w:spacing w:val="0"/>
                <w:w w:val="100"/>
                <w:position w:val="0"/>
                <w:sz w:val="18"/>
                <w:szCs w:val="18"/>
              </w:rPr>
              <w:t>175000</w:t>
            </w:r>
            <w:r>
              <w:rPr>
                <w:color w:val="000000"/>
                <w:spacing w:val="0"/>
                <w:w w:val="100"/>
                <w:position w:val="0"/>
              </w:rPr>
              <w:t>股。</w:t>
            </w:r>
          </w:p>
        </w:tc>
      </w:tr>
      <w:tr>
        <w:trPr>
          <w:trHeight w:val="4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张奕敏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837,743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报告期内作 为激励对象 满足解锁条 件，公司完成 了两期股权 激励的第一 次解锁手续， 同时，根据相 关规定按其 总持股数量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 高管锁定股 进行限售。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 票激励计划授予的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万股第一个解除 限售期解锁股份</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万股上市流通日为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同时，按其总持股数 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作为高管 锁定股进行限售。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 性股票激励计划授 予的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万股第一个 解除限售期解锁股 份</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万股上市流通</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066"/>
        <w:gridCol w:w="1642"/>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日，同时，按其总持 股数量的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 高管锁定股进行限 售。综上，报告期内 实际共计解除限售 股数为</w:t>
            </w:r>
            <w:r>
              <w:rPr>
                <w:rFonts w:ascii="Times New Roman" w:eastAsia="Times New Roman" w:hAnsi="Times New Roman" w:cs="Times New Roman"/>
                <w:color w:val="000000"/>
                <w:spacing w:val="0"/>
                <w:w w:val="100"/>
                <w:position w:val="0"/>
                <w:sz w:val="18"/>
                <w:szCs w:val="18"/>
              </w:rPr>
              <w:t>175000</w:t>
            </w:r>
            <w:r>
              <w:rPr>
                <w:color w:val="000000"/>
                <w:spacing w:val="0"/>
                <w:w w:val="100"/>
                <w:position w:val="0"/>
              </w:rPr>
              <w:t>股。</w:t>
            </w:r>
          </w:p>
        </w:tc>
      </w:tr>
      <w:tr>
        <w:trPr>
          <w:trHeight w:val="664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侯菊艳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报告期内作 为激励对象 满足解锁条 件，公司完成 了两期股权 激励的第一 次解锁手续， 同时，根据相 关规定按其 总持股数量 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 高管锁定股 进行限售。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 票激励计划授予的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万股第一个解除 限售期解锁股份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万 股上市流通日为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同时，按其总持股数 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作为高管 锁定股进行限售。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 性股票激励计划授 予的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万股第一个 解除限售期解锁股 份</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万股上市流通日 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日，同时，按其总持 股数量的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作为 高管锁定股进行限 售。综上，报告期内 实际共计解除限售 股数为</w:t>
            </w:r>
            <w:r>
              <w:rPr>
                <w:rFonts w:ascii="Times New Roman" w:eastAsia="Times New Roman" w:hAnsi="Times New Roman" w:cs="Times New Roman"/>
                <w:color w:val="000000"/>
                <w:spacing w:val="0"/>
                <w:w w:val="100"/>
                <w:position w:val="0"/>
                <w:sz w:val="18"/>
                <w:szCs w:val="18"/>
              </w:rPr>
              <w:t>87283</w:t>
            </w:r>
            <w:r>
              <w:rPr>
                <w:color w:val="000000"/>
                <w:spacing w:val="0"/>
                <w:w w:val="100"/>
                <w:position w:val="0"/>
              </w:rPr>
              <w:t>股。</w:t>
            </w:r>
          </w:p>
        </w:tc>
      </w:tr>
      <w:tr>
        <w:trPr>
          <w:trHeight w:val="445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郭治国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报告期内作 为激励对象 满足解锁条 件，公司完成 了第二期股 权激励的第 一次解锁手 续，同时，根 据相关规定 按其总持股 数量的</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作为高管锁 定股进行限 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 制性股票激励计划 授予的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万股第一 个解除限售期解锁 股份</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万股上市流 通日为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日，同时，按其总 持股数量的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作 为高管锁定股进行 限售。综上，报告期 内实际共计解除限 售股数为</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股。</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其他股权激励对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w:t>
            </w:r>
          </w:p>
        </w:tc>
      </w:tr>
    </w:tbl>
    <w:p>
      <w:pPr>
        <w:spacing w:lineRule="exact" w:line="1"/>
        <w:rPr>
          <w:sz w:val="2"/>
          <w:szCs w:val="2"/>
        </w:rPr>
      </w:pPr>
      <w:r>
        <w:br w:type="page"/>
      </w:r>
    </w:p>
    <w:tbl>
      <w:tblPr>
        <w:tblOverlap w:val="never"/>
        <w:jc w:val="center"/>
        <w:tblLayout w:type="fixed"/>
      </w:tblPr>
      <w:tblGrid>
        <w:gridCol w:w="1483"/>
        <w:gridCol w:w="1349"/>
        <w:gridCol w:w="1349"/>
        <w:gridCol w:w="1349"/>
        <w:gridCol w:w="1349"/>
        <w:gridCol w:w="1066"/>
        <w:gridCol w:w="1642"/>
      </w:tblGrid>
      <w:tr>
        <w:trPr>
          <w:trHeight w:val="660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象共计</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名离职激 励对象限售 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万股回 购注销。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报告期内其 他激励对象 </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人满足 解锁条件，公 司已完成两 期股权激励 的第一次解 锁手续。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票激励计划授予的 </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万股第一个解除 限售期解锁股份</w:t>
            </w:r>
            <w:r>
              <w:rPr>
                <w:rFonts w:ascii="Times New Roman" w:eastAsia="Times New Roman" w:hAnsi="Times New Roman" w:cs="Times New Roman"/>
                <w:color w:val="000000"/>
                <w:spacing w:val="0"/>
                <w:w w:val="100"/>
                <w:position w:val="0"/>
                <w:sz w:val="18"/>
                <w:szCs w:val="18"/>
              </w:rPr>
              <w:t xml:space="preserve">90 </w:t>
            </w:r>
            <w:r>
              <w:rPr>
                <w:color w:val="000000"/>
                <w:spacing w:val="0"/>
                <w:w w:val="100"/>
                <w:position w:val="0"/>
              </w:rPr>
              <w:t xml:space="preserve">万股上市流通日为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二期限制性股票激 励计划相关两名离 职人员限制性股票 数量合计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万股的回 购注销手续。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年第二期限制性股 票激励计划授予的 </w:t>
            </w:r>
            <w:r>
              <w:rPr>
                <w:rFonts w:ascii="Times New Roman" w:eastAsia="Times New Roman" w:hAnsi="Times New Roman" w:cs="Times New Roman"/>
                <w:color w:val="000000"/>
                <w:spacing w:val="0"/>
                <w:w w:val="100"/>
                <w:position w:val="0"/>
                <w:sz w:val="18"/>
                <w:szCs w:val="18"/>
              </w:rPr>
              <w:t>856</w:t>
            </w:r>
            <w:r>
              <w:rPr>
                <w:color w:val="000000"/>
                <w:spacing w:val="0"/>
                <w:w w:val="100"/>
                <w:position w:val="0"/>
              </w:rPr>
              <w:t xml:space="preserve">万股第一个解除 限售期解锁股份 </w:t>
            </w:r>
            <w:r>
              <w:rPr>
                <w:rFonts w:ascii="Times New Roman" w:eastAsia="Times New Roman" w:hAnsi="Times New Roman" w:cs="Times New Roman"/>
                <w:color w:val="000000"/>
                <w:spacing w:val="0"/>
                <w:w w:val="100"/>
                <w:position w:val="0"/>
                <w:sz w:val="18"/>
                <w:szCs w:val="18"/>
              </w:rPr>
              <w:t>342.4</w:t>
            </w:r>
            <w:r>
              <w:rPr>
                <w:color w:val="000000"/>
                <w:spacing w:val="0"/>
                <w:w w:val="100"/>
                <w:position w:val="0"/>
              </w:rPr>
              <w:t>万股上市流通 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 xml:space="preserve">日。综上，报告期内 共计解除限售股数 为 </w:t>
            </w:r>
            <w:r>
              <w:rPr>
                <w:rFonts w:ascii="Times New Roman" w:eastAsia="Times New Roman" w:hAnsi="Times New Roman" w:cs="Times New Roman"/>
                <w:color w:val="000000"/>
                <w:spacing w:val="0"/>
                <w:w w:val="100"/>
                <w:position w:val="0"/>
                <w:sz w:val="18"/>
                <w:szCs w:val="18"/>
              </w:rPr>
              <w:t xml:space="preserve">4364000 </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39,722,472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31,746,189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rPr>
        <w:t>二</w:t>
      </w:r>
      <w:bookmarkEnd w:id="634"/>
      <w:r>
        <w:rPr>
          <w:color w:val="000000"/>
          <w:spacing w:val="0"/>
          <w:w w:val="100"/>
          <w:position w:val="0"/>
        </w:rPr>
        <w:t>、证券发行与上市情况</w:t>
      </w:r>
      <w:bookmarkEnd w:id="632"/>
      <w:bookmarkEnd w:id="633"/>
      <w:bookmarkEnd w:id="635"/>
    </w:p>
    <w:p>
      <w:pPr>
        <w:pStyle w:val="Style33"/>
        <w:keepNext/>
        <w:keepLines/>
        <w:widowControl w:val="0"/>
        <w:shd w:val="clear" w:color="auto" w:fill="auto"/>
        <w:bidi w:val="0"/>
        <w:spacing w:before="0" w:after="360" w:line="240" w:lineRule="auto"/>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、报告期内证券发行（不含优先股）情况</w:t>
      </w:r>
      <w:bookmarkEnd w:id="636"/>
      <w:bookmarkEnd w:id="637"/>
      <w:bookmarkEnd w:id="63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、公司股份总数及股东结构的变动、公司资产和负债结构的变动情况说明</w:t>
      </w:r>
      <w:bookmarkEnd w:id="640"/>
      <w:bookmarkEnd w:id="641"/>
      <w:bookmarkEnd w:id="643"/>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40" w:line="313"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日，公司召开第七届董事会第十二次会议和第七届监事会第十一次会议，审议通过了《关于回购注销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年第二期限制性股票激励计划部分限制性股票的议案》，公司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年第二期限制性股票激励计划两名激励对象因个人原因主 动离职，失去作为激励对象参与激励计划的资格，不再满足成为激励对象的条件。因此，公司将回购注销其已获授的但尚未 解除限售的限制性股票共计</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股。公司独立董事发表了独立意见，律师出具了法律意见书。并已经公司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日公司披露了《关于回购注销部分限制性股票减资暨通知债权人 的公告》。大华会计师事务所（特殊普通合伙）对本次回购限制性股票回购注销事项进行了验资并出具了《验资报告》（大 华验字</w:t>
      </w:r>
      <w:r>
        <w:rPr>
          <w:rFonts w:ascii="Times New Roman" w:eastAsia="Times New Roman" w:hAnsi="Times New Roman" w:cs="Times New Roman"/>
          <w:color w:val="000000"/>
          <w:spacing w:val="0"/>
          <w:w w:val="100"/>
          <w:position w:val="0"/>
          <w:sz w:val="18"/>
          <w:szCs w:val="18"/>
        </w:rPr>
        <w:t>[2021]000639</w:t>
      </w:r>
      <w:r>
        <w:rPr>
          <w:color w:val="000000"/>
          <w:spacing w:val="0"/>
          <w:w w:val="100"/>
          <w:position w:val="0"/>
        </w:rPr>
        <w:t>号）。经中国证券登记结算有限责任公司深圳分公司审核确认，公司上述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万股限制性股票回购注销事 宜已于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日办理完成，导致公司股份总数由</w:t>
      </w:r>
      <w:r>
        <w:rPr>
          <w:rFonts w:ascii="Times New Roman" w:eastAsia="Times New Roman" w:hAnsi="Times New Roman" w:cs="Times New Roman"/>
          <w:color w:val="000000"/>
          <w:spacing w:val="0"/>
          <w:w w:val="100"/>
          <w:position w:val="0"/>
          <w:sz w:val="18"/>
          <w:szCs w:val="18"/>
        </w:rPr>
        <w:t>389,656,420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389,616,420</w:t>
      </w:r>
      <w:r>
        <w:rPr>
          <w:color w:val="000000"/>
          <w:spacing w:val="0"/>
          <w:w w:val="100"/>
          <w:position w:val="0"/>
        </w:rPr>
        <w:t>股，具体详见公司于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 露的《关于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年第二期限制性股票激励计部分限制性股票回购注销完成的公告》（公告编号：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r>
        <w:br w:type="page"/>
      </w:r>
    </w:p>
    <w:p>
      <w:pPr>
        <w:pStyle w:val="Style33"/>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、现存的内部职工股情况</w:t>
      </w:r>
      <w:bookmarkEnd w:id="644"/>
      <w:bookmarkEnd w:id="645"/>
      <w:bookmarkEnd w:id="64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三</w:t>
      </w:r>
      <w:bookmarkEnd w:id="650"/>
      <w:r>
        <w:rPr>
          <w:color w:val="000000"/>
          <w:spacing w:val="0"/>
          <w:w w:val="100"/>
          <w:position w:val="0"/>
        </w:rPr>
        <w:t>、股东和实际控制人情况</w:t>
      </w:r>
      <w:bookmarkEnd w:id="648"/>
      <w:bookmarkEnd w:id="649"/>
      <w:bookmarkEnd w:id="651"/>
    </w:p>
    <w:p>
      <w:pPr>
        <w:pStyle w:val="Style33"/>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、公司股东数量及持股情况</w:t>
      </w:r>
      <w:bookmarkEnd w:id="652"/>
      <w:bookmarkEnd w:id="653"/>
      <w:bookmarkEnd w:id="6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02"/>
        <w:gridCol w:w="773"/>
        <w:gridCol w:w="336"/>
        <w:gridCol w:w="456"/>
        <w:gridCol w:w="782"/>
        <w:gridCol w:w="221"/>
        <w:gridCol w:w="619"/>
        <w:gridCol w:w="446"/>
        <w:gridCol w:w="902"/>
        <w:gridCol w:w="422"/>
        <w:gridCol w:w="936"/>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35,844</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37,853</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30,969,30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23,226,97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7,742,325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22,168,00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16,626,00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16,628,27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16,208,27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张金梅</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9,533,000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9,533,000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胡江平</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苗卫东</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5,884,354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5,884,354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李树东</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3,444,724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3,444,724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宋丹斌</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2,225,682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1,745,682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河南惠众投资有 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1,733,064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1,733,064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冯伟平</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李海鹰先生与谢春生先生之间及其与其他前十名股东之间无关联关系、不属于一致行 动人。除此之外，未知上述其他股东之间是否存在关联关系，也未知是否属于一致行 动人。</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谢春生先生委托代理人代为行使股东大会表决权。</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截止本报告期末，本公司通过回购专用证券账户以集中竞价交易方式累计回购并持有 股份数量为</w:t>
            </w:r>
            <w:r>
              <w:rPr>
                <w:rFonts w:ascii="Times New Roman" w:eastAsia="Times New Roman" w:hAnsi="Times New Roman" w:cs="Times New Roman"/>
                <w:color w:val="000000"/>
                <w:spacing w:val="0"/>
                <w:w w:val="100"/>
                <w:position w:val="0"/>
                <w:sz w:val="18"/>
                <w:szCs w:val="18"/>
              </w:rPr>
              <w:t>23,851,683</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16,208,274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16,208,274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9,533,000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胡江平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7,742,325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7,742,325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苗卫东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5,884,354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5,884,354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谢春生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5,542,000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李树东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3,444,724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3,444,724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宋丹斌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1,745,682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河南惠众投资有限公司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1,733,064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1,733,064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冯伟平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李海鹰先生与谢春生先生之间及其与其他前十名无限售流通股股东之间无关联关系、 不属于一致行动人。除此之外，未知其他前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名无限售流通股股东之间，以及其他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名股东之间是否存在关联关系，也未知是否属于一 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tabs>
          <w:tab w:pos="378" w:val="left"/>
        </w:tabs>
        <w:bidi w:val="0"/>
        <w:spacing w:before="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w:t>
        <w:tab/>
        <w:t>公司控股股东情况</w:t>
      </w:r>
      <w:bookmarkEnd w:id="656"/>
      <w:bookmarkEnd w:id="657"/>
      <w:bookmarkEnd w:id="65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控股股东性质：无控股主体</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控股股东类型：不存在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公司不存在控股股东情况的说明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公司股权分散，不存在持有的股份占公司股本总额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以上的股东；也不存在持有股份的比例虽然不足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，但依其持有的</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股份所享有的表决权已足以对股东会、股东大会的决议产生重大影响的股东。</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tabs>
          <w:tab w:pos="378" w:val="left"/>
        </w:tabs>
        <w:bidi w:val="0"/>
        <w:spacing w:before="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3</w:t>
      </w:r>
      <w:bookmarkEnd w:id="662"/>
      <w:r>
        <w:rPr>
          <w:color w:val="000000"/>
          <w:spacing w:val="0"/>
          <w:w w:val="100"/>
          <w:position w:val="0"/>
        </w:rPr>
        <w:t>、</w:t>
        <w:tab/>
        <w:t>公司实际控制人及其一致行动人</w:t>
      </w:r>
      <w:bookmarkEnd w:id="660"/>
      <w:bookmarkEnd w:id="661"/>
      <w:bookmarkEnd w:id="66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实际控制人性质：无实际控制人</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实际控制人类型：不存在</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公司不存在实际控制人情况的说明</w:t>
      </w:r>
    </w:p>
    <w:p>
      <w:pPr>
        <w:pStyle w:val="Style29"/>
        <w:keepNext w:val="0"/>
        <w:keepLines w:val="0"/>
        <w:widowControl w:val="0"/>
        <w:shd w:val="clear" w:color="auto" w:fill="auto"/>
        <w:bidi w:val="0"/>
        <w:spacing w:before="0" w:after="680" w:line="319" w:lineRule="exact"/>
        <w:ind w:left="0" w:right="0" w:firstLine="0"/>
        <w:jc w:val="left"/>
      </w:pPr>
      <w:r>
        <w:rPr>
          <w:color w:val="000000"/>
          <w:spacing w:val="0"/>
          <w:w w:val="100"/>
          <w:position w:val="0"/>
        </w:rPr>
        <w:t>公司目前不存在以下情况：（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以上控股股东；（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）实际支配公司表决权超过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）通过实际支配 公司股份表决权能够决定公司董事会半数以上成员选任的股东；（</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）股东依其可实际支配的公司股份表决权足以对公司股 东大会的决议产生重大影响。故公司不存在实际控制人。</w:t>
      </w:r>
    </w:p>
    <w:p>
      <w:pPr>
        <w:pStyle w:val="Style29"/>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自然人</w:t>
      </w:r>
    </w:p>
    <w:p>
      <w:pPr>
        <w:pStyle w:val="Style29"/>
        <w:keepNext w:val="0"/>
        <w:keepLines w:val="0"/>
        <w:widowControl w:val="0"/>
        <w:shd w:val="clear" w:color="auto" w:fill="auto"/>
        <w:bidi w:val="0"/>
        <w:spacing w:before="0" w:after="100" w:line="319" w:lineRule="exact"/>
        <w:ind w:left="0" w:right="0" w:firstLine="0"/>
        <w:jc w:val="left"/>
      </w:pPr>
      <w:r>
        <w:rPr>
          <w:color w:val="000000"/>
          <w:spacing w:val="0"/>
          <w:w w:val="100"/>
          <w:position w:val="0"/>
        </w:rPr>
        <w:t>最终控制层面持股情况</w:t>
      </w:r>
    </w:p>
    <w:tbl>
      <w:tblPr>
        <w:tblOverlap w:val="never"/>
        <w:jc w:val="center"/>
        <w:tblLayout w:type="fixed"/>
      </w:tblPr>
      <w:tblGrid>
        <w:gridCol w:w="3331"/>
        <w:gridCol w:w="2261"/>
        <w:gridCol w:w="39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李海鹰先生自</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月至今一直担任公司董事长。</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2828290" cy="169481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828290" cy="1694815"/>
                    </a:xfrm>
                    <a:prstGeom prst="rect"/>
                  </pic:spPr>
                </pic:pic>
              </a:graphicData>
            </a:graphic>
          </wp:inline>
        </w:drawing>
      </w:r>
    </w:p>
    <w:p>
      <w:pPr>
        <w:widowControl w:val="0"/>
        <w:spacing w:after="33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4</w:t>
      </w:r>
      <w:bookmarkEnd w:id="666"/>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4"/>
      <w:bookmarkEnd w:id="665"/>
      <w:bookmarkEnd w:id="667"/>
    </w:p>
    <w:p>
      <w:pPr>
        <w:pStyle w:val="Style29"/>
        <w:keepNext w:val="0"/>
        <w:keepLines w:val="0"/>
        <w:widowControl w:val="0"/>
        <w:numPr>
          <w:ilvl w:val="0"/>
          <w:numId w:val="7"/>
        </w:numPr>
        <w:shd w:val="clear" w:color="auto" w:fill="auto"/>
        <w:tabs>
          <w:tab w:pos="282" w:val="left"/>
        </w:tabs>
        <w:bidi w:val="0"/>
        <w:spacing w:before="0" w:after="380" w:line="240" w:lineRule="auto"/>
        <w:ind w:left="0" w:right="0" w:firstLine="0"/>
        <w:jc w:val="both"/>
      </w:pPr>
      <w:bookmarkStart w:id="668" w:name="bookmark668"/>
      <w:bookmarkEnd w:id="6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5</w:t>
      </w:r>
      <w:bookmarkEnd w:id="67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9"/>
      <w:bookmarkEnd w:id="670"/>
      <w:bookmarkEnd w:id="672"/>
    </w:p>
    <w:p>
      <w:pPr>
        <w:pStyle w:val="Style29"/>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673" w:name="bookmark673"/>
      <w:bookmarkEnd w:id="67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6</w:t>
      </w:r>
      <w:bookmarkEnd w:id="676"/>
      <w:r>
        <w:rPr>
          <w:color w:val="000000"/>
          <w:spacing w:val="0"/>
          <w:w w:val="100"/>
          <w:position w:val="0"/>
        </w:rPr>
        <w:t>、控股股东、实际控制人、重组方及其他承诺主体股份限制减持情况</w:t>
      </w:r>
      <w:bookmarkEnd w:id="674"/>
      <w:bookmarkEnd w:id="675"/>
      <w:bookmarkEnd w:id="67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678" w:name="bookmark678"/>
      <w:bookmarkStart w:id="679" w:name="bookmark679"/>
      <w:bookmarkStart w:id="680" w:name="bookmark680"/>
      <w:bookmarkStart w:id="681" w:name="bookmark681"/>
      <w:r>
        <w:rPr>
          <w:color w:val="000000"/>
          <w:spacing w:val="0"/>
          <w:w w:val="100"/>
          <w:position w:val="0"/>
        </w:rPr>
        <w:t>四</w:t>
      </w:r>
      <w:bookmarkEnd w:id="680"/>
      <w:r>
        <w:rPr>
          <w:color w:val="000000"/>
          <w:spacing w:val="0"/>
          <w:w w:val="100"/>
          <w:position w:val="0"/>
        </w:rPr>
        <w:t>、股份回购在报告期的具体实施情况</w:t>
      </w:r>
      <w:bookmarkEnd w:id="678"/>
      <w:bookmarkEnd w:id="679"/>
      <w:bookmarkEnd w:id="681"/>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200"/>
        <w:gridCol w:w="1195"/>
        <w:gridCol w:w="1195"/>
        <w:gridCol w:w="1190"/>
        <w:gridCol w:w="1195"/>
        <w:gridCol w:w="1195"/>
        <w:gridCol w:w="1205"/>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方案披露时间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拟回购股份数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占总股本的比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已回购数量占</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股权激励计划</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所涉及的标的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股票的比例</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r>
        <w:trPr>
          <w:trHeight w:val="758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在回购股份价 格不超过</w:t>
            </w:r>
            <w:r>
              <w:rPr>
                <w:rFonts w:ascii="Times New Roman" w:eastAsia="Times New Roman" w:hAnsi="Times New Roman" w:cs="Times New Roman"/>
                <w:color w:val="000000"/>
                <w:spacing w:val="0"/>
                <w:w w:val="100"/>
                <w:position w:val="0"/>
                <w:sz w:val="18"/>
                <w:szCs w:val="18"/>
              </w:rPr>
              <w:t xml:space="preserve">9.30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股的条件 下，按回购金 额上限</w:t>
            </w:r>
            <w:r>
              <w:rPr>
                <w:rFonts w:ascii="Times New Roman" w:eastAsia="Times New Roman" w:hAnsi="Times New Roman" w:cs="Times New Roman"/>
                <w:color w:val="000000"/>
                <w:spacing w:val="0"/>
                <w:w w:val="100"/>
                <w:position w:val="0"/>
                <w:sz w:val="18"/>
                <w:szCs w:val="18"/>
              </w:rPr>
              <w:t xml:space="preserve">35,000 </w:t>
            </w:r>
            <w:r>
              <w:rPr>
                <w:color w:val="000000"/>
                <w:spacing w:val="0"/>
                <w:w w:val="100"/>
                <w:position w:val="0"/>
              </w:rPr>
              <w:t xml:space="preserve">万元测算，预 计可回购股份 数量约为 </w:t>
            </w:r>
            <w:r>
              <w:rPr>
                <w:rFonts w:ascii="Times New Roman" w:eastAsia="Times New Roman" w:hAnsi="Times New Roman" w:cs="Times New Roman"/>
                <w:color w:val="000000"/>
                <w:spacing w:val="0"/>
                <w:w w:val="100"/>
                <w:position w:val="0"/>
                <w:sz w:val="18"/>
                <w:szCs w:val="18"/>
              </w:rPr>
              <w:t xml:space="preserve">3,763.44 </w:t>
            </w:r>
            <w:r>
              <w:rPr>
                <w:color w:val="000000"/>
                <w:spacing w:val="0"/>
                <w:w w:val="100"/>
                <w:position w:val="0"/>
              </w:rPr>
              <w:t xml:space="preserve">万股， 约占公司当前 总股本的 </w:t>
            </w:r>
            <w:r>
              <w:rPr>
                <w:rFonts w:ascii="Times New Roman" w:eastAsia="Times New Roman" w:hAnsi="Times New Roman" w:cs="Times New Roman"/>
                <w:color w:val="000000"/>
                <w:spacing w:val="0"/>
                <w:w w:val="100"/>
                <w:position w:val="0"/>
                <w:sz w:val="18"/>
                <w:szCs w:val="18"/>
              </w:rPr>
              <w:t>9.66%</w:t>
            </w:r>
            <w:r>
              <w:rPr>
                <w:color w:val="000000"/>
                <w:spacing w:val="0"/>
                <w:w w:val="100"/>
                <w:position w:val="0"/>
              </w:rPr>
              <w:t xml:space="preserve">；按回购 金额下限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 xml:space="preserve">万元测 算，预计可回 购股份数量约 为 </w:t>
            </w:r>
            <w:r>
              <w:rPr>
                <w:rFonts w:ascii="Times New Roman" w:eastAsia="Times New Roman" w:hAnsi="Times New Roman" w:cs="Times New Roman"/>
                <w:color w:val="000000"/>
                <w:spacing w:val="0"/>
                <w:w w:val="100"/>
                <w:position w:val="0"/>
                <w:sz w:val="18"/>
                <w:szCs w:val="18"/>
              </w:rPr>
              <w:t xml:space="preserve">2,150.54 </w:t>
            </w:r>
            <w:r>
              <w:rPr>
                <w:color w:val="000000"/>
                <w:spacing w:val="0"/>
                <w:w w:val="100"/>
                <w:position w:val="0"/>
              </w:rPr>
              <w:t xml:space="preserve">万 股，约占公司 当前总股本的 </w:t>
            </w:r>
            <w:r>
              <w:rPr>
                <w:rFonts w:ascii="Times New Roman" w:eastAsia="Times New Roman" w:hAnsi="Times New Roman" w:cs="Times New Roman"/>
                <w:color w:val="000000"/>
                <w:spacing w:val="0"/>
                <w:w w:val="100"/>
                <w:position w:val="0"/>
                <w:sz w:val="18"/>
                <w:szCs w:val="18"/>
              </w:rPr>
              <w:t>5.52%</w:t>
            </w:r>
            <w:r>
              <w:rPr>
                <w:color w:val="000000"/>
                <w:spacing w:val="0"/>
                <w:w w:val="100"/>
                <w:position w:val="0"/>
              </w:rPr>
              <w:t>，具体回 购股份的数量 以回购期满时 实际回购的股 份数量为准。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约为</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本次回购金额 不低于人民币 </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 xml:space="preserve">万元， 不超过人民币 </w:t>
            </w:r>
            <w:r>
              <w:rPr>
                <w:rFonts w:ascii="Times New Roman" w:eastAsia="Times New Roman" w:hAnsi="Times New Roman" w:cs="Times New Roman"/>
                <w:color w:val="000000"/>
                <w:spacing w:val="0"/>
                <w:w w:val="100"/>
                <w:position w:val="0"/>
                <w:sz w:val="18"/>
                <w:szCs w:val="18"/>
              </w:rPr>
              <w:t xml:space="preserve">35,000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回购期限自第 七届董事会第 九次会议审议 通过本回购股 份方案后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用于实施股权</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激励或员工持 股计划。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23,851,683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日，公司通过回购专用证券账户以集中竞价交易方式累计回购股份数量为</w:t>
      </w:r>
      <w:r>
        <w:rPr>
          <w:rFonts w:ascii="Times New Roman" w:eastAsia="Times New Roman" w:hAnsi="Times New Roman" w:cs="Times New Roman"/>
          <w:color w:val="000000"/>
          <w:spacing w:val="0"/>
          <w:w w:val="100"/>
          <w:position w:val="0"/>
          <w:sz w:val="18"/>
          <w:szCs w:val="18"/>
        </w:rPr>
        <w:t>23,851,683</w:t>
      </w:r>
      <w:r>
        <w:rPr>
          <w:color w:val="000000"/>
          <w:spacing w:val="0"/>
          <w:w w:val="100"/>
          <w:position w:val="0"/>
        </w:rPr>
        <w:t>股，占公司目前 总股本的</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7.95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6.36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股，成交金额为</w:t>
      </w:r>
      <w:r>
        <w:rPr>
          <w:rFonts w:ascii="Times New Roman" w:eastAsia="Times New Roman" w:hAnsi="Times New Roman" w:cs="Times New Roman"/>
          <w:color w:val="000000"/>
          <w:spacing w:val="0"/>
          <w:w w:val="100"/>
          <w:position w:val="0"/>
          <w:sz w:val="18"/>
          <w:szCs w:val="18"/>
        </w:rPr>
        <w:t>164,722,660.81</w:t>
      </w:r>
      <w:r>
        <w:rPr>
          <w:color w:val="000000"/>
          <w:spacing w:val="0"/>
          <w:w w:val="100"/>
          <w:position w:val="0"/>
        </w:rPr>
        <w:t>元（不含手续费）。</w:t>
      </w:r>
    </w:p>
    <w:p>
      <w:pPr>
        <w:pStyle w:val="Style12"/>
        <w:keepNext/>
        <w:keepLines/>
        <w:widowControl w:val="0"/>
        <w:shd w:val="clear" w:color="auto" w:fill="auto"/>
        <w:bidi w:val="0"/>
        <w:spacing w:before="0" w:after="560" w:line="240" w:lineRule="auto"/>
        <w:ind w:left="0" w:right="0" w:firstLine="0"/>
        <w:jc w:val="center"/>
      </w:pPr>
      <w:bookmarkStart w:id="682" w:name="bookmark682"/>
      <w:bookmarkStart w:id="683" w:name="bookmark683"/>
      <w:bookmarkStart w:id="684" w:name="bookmark684"/>
      <w:r>
        <w:rPr>
          <w:color w:val="000000"/>
          <w:spacing w:val="0"/>
          <w:w w:val="100"/>
          <w:position w:val="0"/>
        </w:rPr>
        <w:t>第八节优先股相关情况</w:t>
      </w:r>
      <w:bookmarkEnd w:id="682"/>
      <w:bookmarkEnd w:id="683"/>
      <w:bookmarkEnd w:id="684"/>
    </w:p>
    <w:p>
      <w:pPr>
        <w:pStyle w:val="Style29"/>
        <w:keepNext w:val="0"/>
        <w:keepLines w:val="0"/>
        <w:widowControl w:val="0"/>
        <w:shd w:val="clear" w:color="auto" w:fill="auto"/>
        <w:bidi w:val="0"/>
        <w:spacing w:before="0" w:after="140" w:line="240" w:lineRule="auto"/>
        <w:ind w:left="0" w:right="0" w:firstLine="0"/>
        <w:jc w:val="left"/>
      </w:pPr>
      <w:bookmarkStart w:id="685" w:name="bookmark68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85"/>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62" w:bottom="1469" w:left="1051"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86" w:name="bookmark686"/>
      <w:bookmarkStart w:id="687" w:name="bookmark687"/>
      <w:bookmarkStart w:id="688" w:name="bookmark688"/>
      <w:r>
        <w:rPr>
          <w:color w:val="000000"/>
          <w:spacing w:val="0"/>
          <w:w w:val="100"/>
          <w:position w:val="0"/>
        </w:rPr>
        <w:t>第九节债券相关情况</w:t>
      </w:r>
      <w:bookmarkEnd w:id="686"/>
      <w:bookmarkEnd w:id="687"/>
      <w:bookmarkEnd w:id="688"/>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12" w:bottom="1935" w:left="1107" w:header="0" w:footer="3" w:gutter="0"/>
          <w:cols w:space="720"/>
          <w:noEndnote/>
          <w:rtlGutter w:val="0"/>
          <w:docGrid w:linePitch="360"/>
        </w:sectPr>
      </w:pPr>
      <w:bookmarkStart w:id="689" w:name="bookmark68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89"/>
    </w:p>
    <w:p>
      <w:pPr>
        <w:pStyle w:val="Style12"/>
        <w:keepNext/>
        <w:keepLines/>
        <w:widowControl w:val="0"/>
        <w:shd w:val="clear" w:color="auto" w:fill="auto"/>
        <w:bidi w:val="0"/>
        <w:spacing w:before="540" w:line="240" w:lineRule="auto"/>
        <w:ind w:left="0" w:right="0" w:firstLine="0"/>
        <w:jc w:val="center"/>
      </w:pPr>
      <w:bookmarkStart w:id="690" w:name="bookmark690"/>
      <w:bookmarkStart w:id="691" w:name="bookmark691"/>
      <w:bookmarkStart w:id="692" w:name="bookmark692"/>
      <w:r>
        <w:rPr>
          <w:color w:val="000000"/>
          <w:spacing w:val="0"/>
          <w:w w:val="100"/>
          <w:position w:val="0"/>
        </w:rPr>
        <w:t>第十节财务报告</w:t>
      </w:r>
      <w:bookmarkEnd w:id="690"/>
      <w:bookmarkEnd w:id="691"/>
      <w:bookmarkEnd w:id="692"/>
    </w:p>
    <w:p>
      <w:pPr>
        <w:pStyle w:val="Style24"/>
        <w:keepNext/>
        <w:keepLines/>
        <w:widowControl w:val="0"/>
        <w:shd w:val="clear" w:color="auto" w:fill="auto"/>
        <w:bidi w:val="0"/>
        <w:spacing w:before="0" w:after="320" w:line="240" w:lineRule="auto"/>
        <w:ind w:left="0" w:right="0" w:firstLine="260"/>
        <w:jc w:val="both"/>
      </w:pPr>
      <w:bookmarkStart w:id="693" w:name="bookmark693"/>
      <w:bookmarkStart w:id="694" w:name="bookmark694"/>
      <w:bookmarkStart w:id="695" w:name="bookmark695"/>
      <w:bookmarkStart w:id="696" w:name="bookmark696"/>
      <w:r>
        <w:rPr>
          <w:color w:val="000000"/>
          <w:spacing w:val="0"/>
          <w:w w:val="100"/>
          <w:position w:val="0"/>
        </w:rPr>
        <w:t>、审计报告</w:t>
      </w:r>
      <w:bookmarkEnd w:id="694"/>
      <w:bookmarkEnd w:id="695"/>
      <w:bookmarkEnd w:id="696"/>
      <w:bookmarkEnd w:id="693"/>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[2022]005247</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黄志刚朱红辉</w:t>
            </w:r>
          </w:p>
        </w:tc>
      </w:tr>
    </w:tbl>
    <w:p>
      <w:pPr>
        <w:pStyle w:val="Style2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219" w:line="1" w:lineRule="exact"/>
      </w:pPr>
    </w:p>
    <w:p>
      <w:pPr>
        <w:pStyle w:val="Style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审计报告</w:t>
      </w:r>
    </w:p>
    <w:p>
      <w:pPr>
        <w:pStyle w:val="Style7"/>
        <w:keepNext w:val="0"/>
        <w:keepLines w:val="0"/>
        <w:widowControl w:val="0"/>
        <w:shd w:val="clear" w:color="auto" w:fill="auto"/>
        <w:bidi w:val="0"/>
        <w:spacing w:before="0" w:after="320" w:line="240" w:lineRule="auto"/>
        <w:ind w:left="0" w:right="0" w:firstLine="0"/>
        <w:jc w:val="right"/>
        <w:rPr>
          <w:sz w:val="20"/>
          <w:szCs w:val="20"/>
        </w:rPr>
      </w:pPr>
      <w:r>
        <w:rPr>
          <w:rFonts w:ascii="SimSun" w:eastAsia="SimSun" w:hAnsi="SimSun" w:cs="SimSun"/>
          <w:color w:val="000000"/>
          <w:spacing w:val="0"/>
          <w:w w:val="100"/>
          <w:position w:val="0"/>
          <w:sz w:val="20"/>
          <w:szCs w:val="20"/>
        </w:rPr>
        <w:t>大华审字</w:t>
      </w:r>
      <w:r>
        <w:rPr>
          <w:color w:val="000000"/>
          <w:spacing w:val="0"/>
          <w:w w:val="100"/>
          <w:position w:val="0"/>
          <w:sz w:val="20"/>
          <w:szCs w:val="20"/>
        </w:rPr>
        <w:t>[2022]005247</w:t>
      </w:r>
      <w:r>
        <w:rPr>
          <w:rFonts w:ascii="SimSun" w:eastAsia="SimSun" w:hAnsi="SimSun" w:cs="SimSun"/>
          <w:color w:val="000000"/>
          <w:spacing w:val="0"/>
          <w:w w:val="100"/>
          <w:position w:val="0"/>
          <w:sz w:val="20"/>
          <w:szCs w:val="20"/>
        </w:rPr>
        <w:t>号</w:t>
      </w:r>
    </w:p>
    <w:p>
      <w:pPr>
        <w:pStyle w:val="Style14"/>
        <w:keepNext w:val="0"/>
        <w:keepLines w:val="0"/>
        <w:widowControl w:val="0"/>
        <w:shd w:val="clear" w:color="auto" w:fill="auto"/>
        <w:bidi w:val="0"/>
        <w:spacing w:before="0" w:after="0" w:line="313" w:lineRule="exact"/>
        <w:ind w:left="0" w:right="0" w:firstLine="0"/>
        <w:jc w:val="both"/>
        <w:rPr>
          <w:sz w:val="20"/>
          <w:szCs w:val="20"/>
        </w:rPr>
      </w:pPr>
      <w:r>
        <w:rPr>
          <w:b/>
          <w:bCs/>
          <w:color w:val="000000"/>
          <w:spacing w:val="0"/>
          <w:w w:val="100"/>
          <w:position w:val="0"/>
          <w:sz w:val="20"/>
          <w:szCs w:val="20"/>
        </w:rPr>
        <w:t>河南辉煌科技股份有限公司全体股东：</w:t>
      </w:r>
    </w:p>
    <w:p>
      <w:pPr>
        <w:pStyle w:val="Style14"/>
        <w:keepNext w:val="0"/>
        <w:keepLines w:val="0"/>
        <w:widowControl w:val="0"/>
        <w:numPr>
          <w:ilvl w:val="0"/>
          <w:numId w:val="9"/>
        </w:numPr>
        <w:shd w:val="clear" w:color="auto" w:fill="auto"/>
        <w:tabs>
          <w:tab w:pos="334" w:val="left"/>
        </w:tabs>
        <w:bidi w:val="0"/>
        <w:spacing w:before="0" w:after="0" w:line="313" w:lineRule="exact"/>
        <w:ind w:left="0" w:right="0" w:firstLine="0"/>
        <w:jc w:val="both"/>
        <w:rPr>
          <w:sz w:val="20"/>
          <w:szCs w:val="20"/>
        </w:rPr>
      </w:pPr>
      <w:bookmarkStart w:id="697" w:name="bookmark697"/>
      <w:bookmarkEnd w:id="697"/>
      <w:r>
        <w:rPr>
          <w:b/>
          <w:bCs/>
          <w:color w:val="000000"/>
          <w:spacing w:val="0"/>
          <w:w w:val="100"/>
          <w:position w:val="0"/>
          <w:sz w:val="20"/>
          <w:szCs w:val="20"/>
        </w:rPr>
        <w:t>审计意见</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我们审计了河南辉煌科技股份有限公司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以下简称辉煌科技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财务报表，包括</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 母公司资产负债表，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年度的合并及母公司利润表、合并及母公司现金流量表、合并及母公司股东权益 变动表以及相关财务报表附注。</w:t>
      </w:r>
    </w:p>
    <w:p>
      <w:pPr>
        <w:pStyle w:val="Style14"/>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我们认为，后附的财务报表在所有重大方面按照企业会计准则的规定编制，公允反映了辉煌科技</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日的合并及母公司财务状况以及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年度的合并及母公司经营成果和现金流量。</w:t>
      </w:r>
    </w:p>
    <w:p>
      <w:pPr>
        <w:pStyle w:val="Style14"/>
        <w:keepNext w:val="0"/>
        <w:keepLines w:val="0"/>
        <w:widowControl w:val="0"/>
        <w:numPr>
          <w:ilvl w:val="0"/>
          <w:numId w:val="9"/>
        </w:numPr>
        <w:shd w:val="clear" w:color="auto" w:fill="auto"/>
        <w:tabs>
          <w:tab w:pos="344" w:val="left"/>
        </w:tabs>
        <w:bidi w:val="0"/>
        <w:spacing w:before="0" w:after="0" w:line="313" w:lineRule="exact"/>
        <w:ind w:left="0" w:right="0" w:firstLine="0"/>
        <w:jc w:val="both"/>
        <w:rPr>
          <w:sz w:val="20"/>
          <w:szCs w:val="20"/>
        </w:rPr>
      </w:pPr>
      <w:bookmarkStart w:id="698" w:name="bookmark698"/>
      <w:bookmarkEnd w:id="698"/>
      <w:r>
        <w:rPr>
          <w:b/>
          <w:bCs/>
          <w:color w:val="000000"/>
          <w:spacing w:val="0"/>
          <w:w w:val="100"/>
          <w:position w:val="0"/>
          <w:sz w:val="20"/>
          <w:szCs w:val="20"/>
        </w:rPr>
        <w:t>形成审计意见的基础</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我们按照中国注册会计师审计准则的规定执行了审计工作。审计报告的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注册会计师对财务报表审计 的责任</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部分进一步阐述了我们在这些准则下的责任。按照中国注册会计师职业道德守则，我们独立于辉 煌科技，并履行了职业道德方面的其他责任。我们相信，我们获取的审计证据是充分、适当的，为发表审 计意见提供了基础。</w:t>
      </w:r>
    </w:p>
    <w:p>
      <w:pPr>
        <w:pStyle w:val="Style14"/>
        <w:keepNext w:val="0"/>
        <w:keepLines w:val="0"/>
        <w:widowControl w:val="0"/>
        <w:numPr>
          <w:ilvl w:val="0"/>
          <w:numId w:val="9"/>
        </w:numPr>
        <w:shd w:val="clear" w:color="auto" w:fill="auto"/>
        <w:tabs>
          <w:tab w:pos="344" w:val="left"/>
        </w:tabs>
        <w:bidi w:val="0"/>
        <w:spacing w:before="0" w:after="0" w:line="313" w:lineRule="exact"/>
        <w:ind w:left="0" w:right="0" w:firstLine="0"/>
        <w:jc w:val="both"/>
        <w:rPr>
          <w:sz w:val="20"/>
          <w:szCs w:val="20"/>
        </w:rPr>
      </w:pPr>
      <w:bookmarkStart w:id="699" w:name="bookmark699"/>
      <w:bookmarkEnd w:id="699"/>
      <w:r>
        <w:rPr>
          <w:b/>
          <w:bCs/>
          <w:color w:val="000000"/>
          <w:spacing w:val="0"/>
          <w:w w:val="100"/>
          <w:position w:val="0"/>
          <w:sz w:val="20"/>
          <w:szCs w:val="20"/>
        </w:rPr>
        <w:t>关键审计事项</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关键审计事项是我们根据职业判断，认为对本期财务报表审计最为重要的事项。这些事项的应对以对 财务报表整体进行审计并形成审计意见为背景，我们不对这些事项单独发表意见。</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我们确定应收账款坏账准备的计提是需要在审计报告中沟通的关键审计事项。</w:t>
      </w:r>
    </w:p>
    <w:p>
      <w:pPr>
        <w:pStyle w:val="Style14"/>
        <w:keepNext w:val="0"/>
        <w:keepLines w:val="0"/>
        <w:widowControl w:val="0"/>
        <w:shd w:val="clear" w:color="auto" w:fill="auto"/>
        <w:bidi w:val="0"/>
        <w:spacing w:before="0" w:after="0" w:line="313" w:lineRule="exact"/>
        <w:ind w:left="0" w:right="0" w:firstLine="580"/>
        <w:jc w:val="both"/>
        <w:rPr>
          <w:sz w:val="20"/>
          <w:szCs w:val="20"/>
        </w:rPr>
      </w:pPr>
      <w:bookmarkStart w:id="700" w:name="bookmark700"/>
      <w:r>
        <w:rPr>
          <w:color w:val="000000"/>
          <w:spacing w:val="0"/>
          <w:w w:val="100"/>
          <w:position w:val="0"/>
          <w:sz w:val="20"/>
          <w:szCs w:val="20"/>
        </w:rPr>
        <w:t>（</w:t>
      </w:r>
      <w:bookmarkEnd w:id="70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）事项描述</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辉煌科技应收账款预期信用损失的确定方法相关的会计政策见：附注五/（九）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金融工具减值、附 注五/（十一）应收账款，如财务报表附注七、注释</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所示，截止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日，辉煌科技应收账款账 面原值</w:t>
      </w:r>
      <w:r>
        <w:rPr>
          <w:rFonts w:ascii="Times New Roman" w:eastAsia="Times New Roman" w:hAnsi="Times New Roman" w:cs="Times New Roman"/>
          <w:color w:val="000000"/>
          <w:spacing w:val="0"/>
          <w:w w:val="100"/>
          <w:position w:val="0"/>
          <w:sz w:val="20"/>
          <w:szCs w:val="20"/>
        </w:rPr>
        <w:t>56,066.14</w:t>
      </w:r>
      <w:r>
        <w:rPr>
          <w:color w:val="000000"/>
          <w:spacing w:val="0"/>
          <w:w w:val="100"/>
          <w:position w:val="0"/>
          <w:sz w:val="20"/>
          <w:szCs w:val="20"/>
        </w:rPr>
        <w:t>万元，预期信用损失</w:t>
      </w:r>
      <w:r>
        <w:rPr>
          <w:rFonts w:ascii="Times New Roman" w:eastAsia="Times New Roman" w:hAnsi="Times New Roman" w:cs="Times New Roman"/>
          <w:color w:val="000000"/>
          <w:spacing w:val="0"/>
          <w:w w:val="100"/>
          <w:position w:val="0"/>
          <w:sz w:val="20"/>
          <w:szCs w:val="20"/>
        </w:rPr>
        <w:t>9,739.43</w:t>
      </w:r>
      <w:r>
        <w:rPr>
          <w:color w:val="000000"/>
          <w:spacing w:val="0"/>
          <w:w w:val="100"/>
          <w:position w:val="0"/>
          <w:sz w:val="20"/>
          <w:szCs w:val="20"/>
        </w:rPr>
        <w:t>万元，应收账款账面价值占资产总额的比例为</w:t>
      </w:r>
      <w:r>
        <w:rPr>
          <w:rFonts w:ascii="Times New Roman" w:eastAsia="Times New Roman" w:hAnsi="Times New Roman" w:cs="Times New Roman"/>
          <w:color w:val="000000"/>
          <w:spacing w:val="0"/>
          <w:w w:val="100"/>
          <w:position w:val="0"/>
          <w:sz w:val="20"/>
          <w:szCs w:val="20"/>
        </w:rPr>
        <w:t>20.28%</w:t>
      </w:r>
      <w:r>
        <w:rPr>
          <w:color w:val="000000"/>
          <w:spacing w:val="0"/>
          <w:w w:val="100"/>
          <w:position w:val="0"/>
          <w:sz w:val="20"/>
          <w:szCs w:val="20"/>
        </w:rPr>
        <w:t>。</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 xml:space="preserve">辉煌科技管理层根据应收账款的信用风险特征，以单项应收账款或应收账款组合为基础，按照整个存 续期内的预期信用损失计提损失准备。对于以单项为基础计量预期信用损失的应收账款，管理层综合考虑 有关过去事项、当前状况以及未来经济状况预测的合理且有依据的信息，估计预期收取的现金流量，据此 确定应计提的坏账准备；对于以组合为基础计量预期信用损失的应收账款，管理层以账龄为依据划分组合， 参考历史信用损失经验，结合当前状况以及前瞻性估计进行调整，编制应收账款账龄与违约损失率对照表， </w:t>
      </w:r>
      <w:r>
        <w:rPr>
          <w:color w:val="000000"/>
          <w:spacing w:val="0"/>
          <w:w w:val="100"/>
          <w:position w:val="0"/>
          <w:sz w:val="20"/>
          <w:szCs w:val="20"/>
        </w:rPr>
        <w:t>据此确认应收账款预期信用损失。</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由于应收账款金额重大，且应收账款减值涉及重大管理层判断，我们将应收账款坏账准备的计提确定 为关键审计事项。</w:t>
      </w:r>
    </w:p>
    <w:p>
      <w:pPr>
        <w:pStyle w:val="Style14"/>
        <w:keepNext w:val="0"/>
        <w:keepLines w:val="0"/>
        <w:widowControl w:val="0"/>
        <w:shd w:val="clear" w:color="auto" w:fill="auto"/>
        <w:bidi w:val="0"/>
        <w:spacing w:before="0" w:after="0" w:line="314" w:lineRule="exact"/>
        <w:ind w:left="0" w:right="0" w:firstLine="600"/>
        <w:jc w:val="both"/>
        <w:rPr>
          <w:sz w:val="20"/>
          <w:szCs w:val="20"/>
        </w:rPr>
      </w:pPr>
      <w:bookmarkStart w:id="701" w:name="bookmark701"/>
      <w:r>
        <w:rPr>
          <w:color w:val="000000"/>
          <w:spacing w:val="0"/>
          <w:w w:val="100"/>
          <w:position w:val="0"/>
          <w:sz w:val="20"/>
          <w:szCs w:val="20"/>
        </w:rPr>
        <w:t>（</w:t>
      </w:r>
      <w:bookmarkEnd w:id="70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）审计应对</w:t>
      </w:r>
    </w:p>
    <w:p>
      <w:pPr>
        <w:pStyle w:val="Style14"/>
        <w:keepNext w:val="0"/>
        <w:keepLines w:val="0"/>
        <w:widowControl w:val="0"/>
        <w:shd w:val="clear" w:color="auto" w:fill="auto"/>
        <w:bidi w:val="0"/>
        <w:spacing w:before="0" w:after="0" w:line="314" w:lineRule="exact"/>
        <w:ind w:left="0" w:right="0" w:firstLine="600"/>
        <w:jc w:val="both"/>
        <w:rPr>
          <w:sz w:val="20"/>
          <w:szCs w:val="20"/>
        </w:rPr>
      </w:pPr>
      <w:r>
        <w:rPr>
          <w:color w:val="000000"/>
          <w:spacing w:val="0"/>
          <w:w w:val="100"/>
          <w:position w:val="0"/>
          <w:sz w:val="20"/>
          <w:szCs w:val="20"/>
        </w:rPr>
        <w:t>我们对于应收账款减值所实施的重要审计程序包括：</w:t>
      </w:r>
    </w:p>
    <w:p>
      <w:pPr>
        <w:pStyle w:val="Style14"/>
        <w:keepNext w:val="0"/>
        <w:keepLines w:val="0"/>
        <w:widowControl w:val="0"/>
        <w:numPr>
          <w:ilvl w:val="0"/>
          <w:numId w:val="11"/>
        </w:numPr>
        <w:shd w:val="clear" w:color="auto" w:fill="auto"/>
        <w:tabs>
          <w:tab w:pos="814" w:val="left"/>
        </w:tabs>
        <w:bidi w:val="0"/>
        <w:spacing w:before="0" w:after="0" w:line="314" w:lineRule="exact"/>
        <w:ind w:left="0" w:right="0" w:firstLine="440"/>
        <w:jc w:val="both"/>
        <w:rPr>
          <w:sz w:val="20"/>
          <w:szCs w:val="20"/>
        </w:rPr>
      </w:pPr>
      <w:bookmarkStart w:id="702" w:name="bookmark702"/>
      <w:bookmarkEnd w:id="702"/>
      <w:r>
        <w:rPr>
          <w:color w:val="000000"/>
          <w:spacing w:val="0"/>
          <w:w w:val="100"/>
          <w:position w:val="0"/>
          <w:sz w:val="20"/>
          <w:szCs w:val="20"/>
        </w:rPr>
        <w:t>了解和评价管理层与应收账款减值相关的内部控制设计的合理性，并对关键控制运行的有效性进行 测试。</w:t>
      </w:r>
    </w:p>
    <w:p>
      <w:pPr>
        <w:pStyle w:val="Style14"/>
        <w:keepNext w:val="0"/>
        <w:keepLines w:val="0"/>
        <w:widowControl w:val="0"/>
        <w:numPr>
          <w:ilvl w:val="0"/>
          <w:numId w:val="11"/>
        </w:numPr>
        <w:shd w:val="clear" w:color="auto" w:fill="auto"/>
        <w:tabs>
          <w:tab w:pos="814" w:val="left"/>
        </w:tabs>
        <w:bidi w:val="0"/>
        <w:spacing w:before="0" w:after="0" w:line="314" w:lineRule="exact"/>
        <w:ind w:left="0" w:right="0" w:firstLine="440"/>
        <w:jc w:val="both"/>
        <w:rPr>
          <w:sz w:val="20"/>
          <w:szCs w:val="20"/>
        </w:rPr>
      </w:pPr>
      <w:bookmarkStart w:id="703" w:name="bookmark703"/>
      <w:bookmarkEnd w:id="703"/>
      <w:r>
        <w:rPr>
          <w:color w:val="000000"/>
          <w:spacing w:val="0"/>
          <w:w w:val="100"/>
          <w:position w:val="0"/>
          <w:sz w:val="20"/>
          <w:szCs w:val="20"/>
        </w:rPr>
        <w:t>对管理层按照信用风险特征组合确定应收账款预期信用损失进行测试，结合行业内其他上市公司预 期信用损失的确定方法，对账龄进行重新划分，参考历史信用损失经验，结合当前状况以及前瞻性估计进 行调整，评估预期信用损失是否准确。</w:t>
      </w:r>
    </w:p>
    <w:p>
      <w:pPr>
        <w:pStyle w:val="Style14"/>
        <w:keepNext w:val="0"/>
        <w:keepLines w:val="0"/>
        <w:widowControl w:val="0"/>
        <w:numPr>
          <w:ilvl w:val="0"/>
          <w:numId w:val="11"/>
        </w:numPr>
        <w:shd w:val="clear" w:color="auto" w:fill="auto"/>
        <w:tabs>
          <w:tab w:pos="814" w:val="left"/>
        </w:tabs>
        <w:bidi w:val="0"/>
        <w:spacing w:before="0" w:after="0" w:line="314" w:lineRule="exact"/>
        <w:ind w:left="0" w:right="0" w:firstLine="440"/>
        <w:jc w:val="both"/>
        <w:rPr>
          <w:sz w:val="20"/>
          <w:szCs w:val="20"/>
        </w:rPr>
      </w:pPr>
      <w:bookmarkStart w:id="704" w:name="bookmark704"/>
      <w:bookmarkEnd w:id="704"/>
      <w:r>
        <w:rPr>
          <w:color w:val="000000"/>
          <w:spacing w:val="0"/>
          <w:w w:val="100"/>
          <w:position w:val="0"/>
          <w:sz w:val="20"/>
          <w:szCs w:val="20"/>
        </w:rPr>
        <w:t>对年末余额重大及本期发生额重大的应收账款执行函证程序，将函证结果与辉煌科技账面记录进行 核对，以核实应收账款的存在性及准确性。</w:t>
      </w:r>
    </w:p>
    <w:p>
      <w:pPr>
        <w:pStyle w:val="Style14"/>
        <w:keepNext w:val="0"/>
        <w:keepLines w:val="0"/>
        <w:widowControl w:val="0"/>
        <w:numPr>
          <w:ilvl w:val="0"/>
          <w:numId w:val="11"/>
        </w:numPr>
        <w:shd w:val="clear" w:color="auto" w:fill="auto"/>
        <w:tabs>
          <w:tab w:pos="837" w:val="left"/>
        </w:tabs>
        <w:bidi w:val="0"/>
        <w:spacing w:before="0" w:after="0" w:line="314" w:lineRule="exact"/>
        <w:ind w:left="0" w:right="0" w:firstLine="440"/>
        <w:jc w:val="both"/>
        <w:rPr>
          <w:sz w:val="20"/>
          <w:szCs w:val="20"/>
        </w:rPr>
      </w:pPr>
      <w:bookmarkStart w:id="705" w:name="bookmark705"/>
      <w:bookmarkEnd w:id="705"/>
      <w:r>
        <w:rPr>
          <w:color w:val="000000"/>
          <w:spacing w:val="0"/>
          <w:w w:val="100"/>
          <w:position w:val="0"/>
          <w:sz w:val="20"/>
          <w:szCs w:val="20"/>
        </w:rPr>
        <w:t>检查与应收账款预期信用损失相关的信息是否已在财务报表中做出恰当列报与披露。</w:t>
      </w:r>
    </w:p>
    <w:p>
      <w:pPr>
        <w:pStyle w:val="Style1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基于已执行的审计工作，我们认为，管理层对应收账款坏账准备计提的相关判断及估计是合理的。</w:t>
      </w:r>
    </w:p>
    <w:p>
      <w:pPr>
        <w:pStyle w:val="Style14"/>
        <w:keepNext w:val="0"/>
        <w:keepLines w:val="0"/>
        <w:widowControl w:val="0"/>
        <w:numPr>
          <w:ilvl w:val="0"/>
          <w:numId w:val="9"/>
        </w:numPr>
        <w:shd w:val="clear" w:color="auto" w:fill="auto"/>
        <w:tabs>
          <w:tab w:pos="344" w:val="left"/>
        </w:tabs>
        <w:bidi w:val="0"/>
        <w:spacing w:before="0" w:after="0" w:line="329" w:lineRule="auto"/>
        <w:ind w:left="0" w:right="0" w:firstLine="0"/>
        <w:jc w:val="both"/>
        <w:rPr>
          <w:sz w:val="20"/>
          <w:szCs w:val="20"/>
        </w:rPr>
      </w:pPr>
      <w:bookmarkStart w:id="706" w:name="bookmark706"/>
      <w:bookmarkEnd w:id="706"/>
      <w:r>
        <w:rPr>
          <w:b/>
          <w:bCs/>
          <w:color w:val="000000"/>
          <w:spacing w:val="0"/>
          <w:w w:val="100"/>
          <w:position w:val="0"/>
          <w:sz w:val="20"/>
          <w:szCs w:val="20"/>
        </w:rPr>
        <w:t>其他信息</w:t>
      </w:r>
    </w:p>
    <w:p>
      <w:pPr>
        <w:pStyle w:val="Style14"/>
        <w:keepNext w:val="0"/>
        <w:keepLines w:val="0"/>
        <w:widowControl w:val="0"/>
        <w:shd w:val="clear" w:color="auto" w:fill="auto"/>
        <w:bidi w:val="0"/>
        <w:spacing w:before="0" w:after="0" w:line="336" w:lineRule="exact"/>
        <w:ind w:left="0" w:right="0" w:firstLine="440"/>
        <w:jc w:val="both"/>
        <w:rPr>
          <w:sz w:val="20"/>
          <w:szCs w:val="20"/>
        </w:rPr>
      </w:pPr>
      <w:r>
        <w:rPr>
          <w:color w:val="000000"/>
          <w:spacing w:val="0"/>
          <w:w w:val="100"/>
          <w:position w:val="0"/>
          <w:sz w:val="20"/>
          <w:szCs w:val="20"/>
        </w:rPr>
        <w:t>辉煌科技管理层对其他信息负责。其他信息包括</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年年度报告中涵盖的信息，但不包括财务报表和 我们的审计报告。</w:t>
      </w:r>
    </w:p>
    <w:p>
      <w:pPr>
        <w:pStyle w:val="Style14"/>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我们对财务报表发表的审计意见不涵盖其他信息，我们也不对其他信息发表任何形式的鉴证结论。</w:t>
      </w:r>
    </w:p>
    <w:p>
      <w:pPr>
        <w:pStyle w:val="Style14"/>
        <w:keepNext w:val="0"/>
        <w:keepLines w:val="0"/>
        <w:widowControl w:val="0"/>
        <w:shd w:val="clear" w:color="auto" w:fill="auto"/>
        <w:bidi w:val="0"/>
        <w:spacing w:before="0" w:after="0" w:line="322" w:lineRule="exact"/>
        <w:ind w:left="0" w:right="0" w:firstLine="440"/>
        <w:jc w:val="both"/>
        <w:rPr>
          <w:sz w:val="20"/>
          <w:szCs w:val="20"/>
        </w:rPr>
      </w:pPr>
      <w:r>
        <w:rPr>
          <w:color w:val="000000"/>
          <w:spacing w:val="0"/>
          <w:w w:val="100"/>
          <w:position w:val="0"/>
          <w:sz w:val="20"/>
          <w:szCs w:val="20"/>
        </w:rPr>
        <w:t>结合我们对财务报表的审计，我们的责任是阅读其他信息，在此过程中，考虑其他信息是否与财务报 表或我们在审计过程中了解的情况存在重大不一致或者似乎存在重大错报。</w:t>
      </w:r>
    </w:p>
    <w:p>
      <w:pPr>
        <w:pStyle w:val="Style14"/>
        <w:keepNext w:val="0"/>
        <w:keepLines w:val="0"/>
        <w:widowControl w:val="0"/>
        <w:shd w:val="clear" w:color="auto" w:fill="auto"/>
        <w:bidi w:val="0"/>
        <w:spacing w:before="0" w:after="80" w:line="322" w:lineRule="exact"/>
        <w:ind w:left="0" w:right="0" w:firstLine="440"/>
        <w:jc w:val="both"/>
        <w:rPr>
          <w:sz w:val="20"/>
          <w:szCs w:val="20"/>
        </w:rPr>
      </w:pPr>
      <w:r>
        <w:rPr>
          <w:color w:val="000000"/>
          <w:spacing w:val="0"/>
          <w:w w:val="100"/>
          <w:position w:val="0"/>
          <w:sz w:val="20"/>
          <w:szCs w:val="20"/>
        </w:rPr>
        <w:t>基于我们已执行的工作，如果我们确定其他信息存在重大错报，我们应当报告该事实。在这方面，我 们无任何事项需要报告。</w:t>
      </w:r>
    </w:p>
    <w:p>
      <w:pPr>
        <w:pStyle w:val="Style14"/>
        <w:keepNext w:val="0"/>
        <w:keepLines w:val="0"/>
        <w:widowControl w:val="0"/>
        <w:numPr>
          <w:ilvl w:val="0"/>
          <w:numId w:val="9"/>
        </w:numPr>
        <w:shd w:val="clear" w:color="auto" w:fill="auto"/>
        <w:tabs>
          <w:tab w:pos="344" w:val="left"/>
        </w:tabs>
        <w:bidi w:val="0"/>
        <w:spacing w:before="0" w:after="0" w:line="329" w:lineRule="auto"/>
        <w:ind w:left="0" w:right="0" w:firstLine="0"/>
        <w:jc w:val="left"/>
        <w:rPr>
          <w:sz w:val="20"/>
          <w:szCs w:val="20"/>
        </w:rPr>
      </w:pPr>
      <w:bookmarkStart w:id="707" w:name="bookmark707"/>
      <w:bookmarkEnd w:id="707"/>
      <w:r>
        <w:rPr>
          <w:b/>
          <w:bCs/>
          <w:color w:val="000000"/>
          <w:spacing w:val="0"/>
          <w:w w:val="100"/>
          <w:position w:val="0"/>
          <w:sz w:val="20"/>
          <w:szCs w:val="20"/>
        </w:rPr>
        <w:t>管理层和治理层对财务报表的责任</w:t>
      </w:r>
    </w:p>
    <w:p>
      <w:pPr>
        <w:pStyle w:val="Style14"/>
        <w:keepNext w:val="0"/>
        <w:keepLines w:val="0"/>
        <w:widowControl w:val="0"/>
        <w:shd w:val="clear" w:color="auto" w:fill="auto"/>
        <w:bidi w:val="0"/>
        <w:spacing w:before="0" w:after="0" w:line="336" w:lineRule="exact"/>
        <w:ind w:left="0" w:right="0" w:firstLine="440"/>
        <w:jc w:val="both"/>
        <w:rPr>
          <w:sz w:val="20"/>
          <w:szCs w:val="20"/>
        </w:rPr>
      </w:pPr>
      <w:r>
        <w:rPr>
          <w:color w:val="000000"/>
          <w:spacing w:val="0"/>
          <w:w w:val="100"/>
          <w:position w:val="0"/>
          <w:sz w:val="20"/>
          <w:szCs w:val="20"/>
        </w:rPr>
        <w:t>辉煌科技管理层负责按照企业会计准则的规定编制财务报表，使其实现公允反映，并设计、执行和维 护必要的内部控制，以使财务报表不存在由于舞弊或错误导致的重大错报。</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在编制财务报表时，辉煌科技管理层负责评估辉煌科技的持续经营能力，披露与持续经营相关的事项 （如适用），并运用持续经营假设，除非管理层计划清算辉煌科技、终止运营或别无其他现实的选择。</w:t>
      </w:r>
    </w:p>
    <w:p>
      <w:pPr>
        <w:pStyle w:val="Style14"/>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治理层负责监督辉煌科技的财务报告过程。</w:t>
      </w:r>
    </w:p>
    <w:p>
      <w:pPr>
        <w:pStyle w:val="Style14"/>
        <w:keepNext w:val="0"/>
        <w:keepLines w:val="0"/>
        <w:widowControl w:val="0"/>
        <w:numPr>
          <w:ilvl w:val="0"/>
          <w:numId w:val="9"/>
        </w:numPr>
        <w:shd w:val="clear" w:color="auto" w:fill="auto"/>
        <w:tabs>
          <w:tab w:pos="344" w:val="left"/>
        </w:tabs>
        <w:bidi w:val="0"/>
        <w:spacing w:before="0" w:after="0" w:line="326" w:lineRule="auto"/>
        <w:ind w:left="0" w:right="0" w:firstLine="0"/>
        <w:jc w:val="left"/>
        <w:rPr>
          <w:sz w:val="20"/>
          <w:szCs w:val="20"/>
        </w:rPr>
      </w:pPr>
      <w:bookmarkStart w:id="708" w:name="bookmark708"/>
      <w:bookmarkEnd w:id="708"/>
      <w:r>
        <w:rPr>
          <w:b/>
          <w:bCs/>
          <w:color w:val="000000"/>
          <w:spacing w:val="0"/>
          <w:w w:val="100"/>
          <w:position w:val="0"/>
          <w:sz w:val="20"/>
          <w:szCs w:val="20"/>
        </w:rPr>
        <w:t>注册会计师对财务报表审计的责任</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在按照审计准则执行审计工作的过程中，我们运用职业判断，并保持职业怀疑。同时，我们也执行以 下工作：</w:t>
      </w:r>
    </w:p>
    <w:p>
      <w:pPr>
        <w:pStyle w:val="Style14"/>
        <w:keepNext w:val="0"/>
        <w:keepLines w:val="0"/>
        <w:widowControl w:val="0"/>
        <w:numPr>
          <w:ilvl w:val="0"/>
          <w:numId w:val="13"/>
        </w:numPr>
        <w:shd w:val="clear" w:color="auto" w:fill="auto"/>
        <w:tabs>
          <w:tab w:pos="733" w:val="left"/>
        </w:tabs>
        <w:bidi w:val="0"/>
        <w:spacing w:before="0" w:after="0" w:line="312" w:lineRule="exact"/>
        <w:ind w:left="0" w:right="0" w:firstLine="360"/>
        <w:jc w:val="both"/>
        <w:rPr>
          <w:sz w:val="20"/>
          <w:szCs w:val="20"/>
        </w:rPr>
      </w:pPr>
      <w:bookmarkStart w:id="709" w:name="bookmark709"/>
      <w:bookmarkEnd w:id="709"/>
      <w:r>
        <w:rPr>
          <w:color w:val="000000"/>
          <w:spacing w:val="0"/>
          <w:w w:val="100"/>
          <w:position w:val="0"/>
          <w:sz w:val="20"/>
          <w:szCs w:val="2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14"/>
        <w:keepNext w:val="0"/>
        <w:keepLines w:val="0"/>
        <w:widowControl w:val="0"/>
        <w:numPr>
          <w:ilvl w:val="0"/>
          <w:numId w:val="13"/>
        </w:numPr>
        <w:shd w:val="clear" w:color="auto" w:fill="auto"/>
        <w:tabs>
          <w:tab w:pos="757" w:val="left"/>
        </w:tabs>
        <w:bidi w:val="0"/>
        <w:spacing w:before="0" w:after="0" w:line="312" w:lineRule="exact"/>
        <w:ind w:left="0" w:right="0" w:firstLine="360"/>
        <w:jc w:val="both"/>
        <w:rPr>
          <w:sz w:val="20"/>
          <w:szCs w:val="20"/>
        </w:rPr>
      </w:pPr>
      <w:bookmarkStart w:id="710" w:name="bookmark710"/>
      <w:bookmarkEnd w:id="710"/>
      <w:r>
        <w:rPr>
          <w:color w:val="000000"/>
          <w:spacing w:val="0"/>
          <w:w w:val="100"/>
          <w:position w:val="0"/>
          <w:sz w:val="20"/>
          <w:szCs w:val="20"/>
        </w:rPr>
        <w:t>了解与审计相关的内部控制，以设计恰当的审计程序。</w:t>
      </w:r>
    </w:p>
    <w:p>
      <w:pPr>
        <w:pStyle w:val="Style14"/>
        <w:keepNext w:val="0"/>
        <w:keepLines w:val="0"/>
        <w:widowControl w:val="0"/>
        <w:numPr>
          <w:ilvl w:val="0"/>
          <w:numId w:val="13"/>
        </w:numPr>
        <w:shd w:val="clear" w:color="auto" w:fill="auto"/>
        <w:tabs>
          <w:tab w:pos="757" w:val="left"/>
        </w:tabs>
        <w:bidi w:val="0"/>
        <w:spacing w:before="0" w:after="0" w:line="312" w:lineRule="exact"/>
        <w:ind w:left="0" w:right="0" w:firstLine="360"/>
        <w:jc w:val="both"/>
        <w:rPr>
          <w:sz w:val="20"/>
          <w:szCs w:val="20"/>
        </w:rPr>
      </w:pPr>
      <w:bookmarkStart w:id="711" w:name="bookmark711"/>
      <w:bookmarkEnd w:id="711"/>
      <w:r>
        <w:rPr>
          <w:color w:val="000000"/>
          <w:spacing w:val="0"/>
          <w:w w:val="100"/>
          <w:position w:val="0"/>
          <w:sz w:val="20"/>
          <w:szCs w:val="20"/>
        </w:rPr>
        <w:t>评价管理层选用会计政策的恰当性和作出会计估计及相关披露的合理性。</w:t>
      </w:r>
    </w:p>
    <w:p>
      <w:pPr>
        <w:pStyle w:val="Style14"/>
        <w:keepNext w:val="0"/>
        <w:keepLines w:val="0"/>
        <w:widowControl w:val="0"/>
        <w:numPr>
          <w:ilvl w:val="0"/>
          <w:numId w:val="13"/>
        </w:numPr>
        <w:shd w:val="clear" w:color="auto" w:fill="auto"/>
        <w:tabs>
          <w:tab w:pos="733" w:val="left"/>
        </w:tabs>
        <w:bidi w:val="0"/>
        <w:spacing w:before="0" w:after="0" w:line="312" w:lineRule="exact"/>
        <w:ind w:left="0" w:right="0" w:firstLine="360"/>
        <w:jc w:val="both"/>
        <w:rPr>
          <w:sz w:val="20"/>
          <w:szCs w:val="20"/>
        </w:rPr>
      </w:pPr>
      <w:bookmarkStart w:id="712" w:name="bookmark712"/>
      <w:bookmarkEnd w:id="712"/>
      <w:r>
        <w:rPr>
          <w:color w:val="000000"/>
          <w:spacing w:val="0"/>
          <w:w w:val="100"/>
          <w:position w:val="0"/>
          <w:sz w:val="20"/>
          <w:szCs w:val="20"/>
        </w:rPr>
        <w:t xml:space="preserve">对管理层使用持续经营假设的恰当性得出结论。同时，根据获取的审计证据，就可能导致对辉煌科 技持续经营能力产生重大疑虑的事项或情况是否存在重大不确定性得出结论。如果我们得出结论认为存在 重大不确定性，审计准则要求我们在审计报告中提请报告使用者注意财务报表中的相关披露；如果披露不 </w:t>
      </w:r>
      <w:r>
        <w:rPr>
          <w:color w:val="000000"/>
          <w:spacing w:val="0"/>
          <w:w w:val="100"/>
          <w:position w:val="0"/>
          <w:sz w:val="20"/>
          <w:szCs w:val="20"/>
        </w:rPr>
        <w:t>充分，我们应当发表非无保留意见。我们的结论基于截至审计报告日可获得的信息。然而，未来的事项或 情况可能导致辉煌科技不能持续经营。</w:t>
      </w:r>
    </w:p>
    <w:p>
      <w:pPr>
        <w:pStyle w:val="Style14"/>
        <w:keepNext w:val="0"/>
        <w:keepLines w:val="0"/>
        <w:widowControl w:val="0"/>
        <w:numPr>
          <w:ilvl w:val="0"/>
          <w:numId w:val="13"/>
        </w:numPr>
        <w:shd w:val="clear" w:color="auto" w:fill="auto"/>
        <w:tabs>
          <w:tab w:pos="757" w:val="left"/>
        </w:tabs>
        <w:bidi w:val="0"/>
        <w:spacing w:before="0" w:after="0" w:line="315" w:lineRule="exact"/>
        <w:ind w:left="0" w:right="0" w:firstLine="360"/>
        <w:jc w:val="both"/>
        <w:rPr>
          <w:sz w:val="20"/>
          <w:szCs w:val="20"/>
        </w:rPr>
      </w:pPr>
      <w:bookmarkStart w:id="713" w:name="bookmark713"/>
      <w:bookmarkEnd w:id="713"/>
      <w:r>
        <w:rPr>
          <w:color w:val="000000"/>
          <w:spacing w:val="0"/>
          <w:w w:val="100"/>
          <w:position w:val="0"/>
          <w:sz w:val="20"/>
          <w:szCs w:val="20"/>
        </w:rPr>
        <w:t>评价财务报表的总体列报、结构和内容，并评价财务报表是否公允反映相关交易和事项。</w:t>
      </w:r>
    </w:p>
    <w:p>
      <w:pPr>
        <w:pStyle w:val="Style14"/>
        <w:keepNext w:val="0"/>
        <w:keepLines w:val="0"/>
        <w:widowControl w:val="0"/>
        <w:numPr>
          <w:ilvl w:val="0"/>
          <w:numId w:val="13"/>
        </w:numPr>
        <w:shd w:val="clear" w:color="auto" w:fill="auto"/>
        <w:tabs>
          <w:tab w:pos="733" w:val="left"/>
        </w:tabs>
        <w:bidi w:val="0"/>
        <w:spacing w:before="0" w:after="0" w:line="315" w:lineRule="exact"/>
        <w:ind w:left="0" w:right="0" w:firstLine="360"/>
        <w:jc w:val="both"/>
        <w:rPr>
          <w:sz w:val="20"/>
          <w:szCs w:val="20"/>
        </w:rPr>
      </w:pPr>
      <w:bookmarkStart w:id="714" w:name="bookmark714"/>
      <w:bookmarkEnd w:id="714"/>
      <w:r>
        <w:rPr>
          <w:color w:val="000000"/>
          <w:spacing w:val="0"/>
          <w:w w:val="100"/>
          <w:position w:val="0"/>
          <w:sz w:val="20"/>
          <w:szCs w:val="20"/>
        </w:rPr>
        <w:t>就辉煌科技中实体或业务活动的财务信息获取充分、适当的审计证据，以对财务报表发表意见。我 们负责指导、监督和执行集团审计。我们对审计意见承担全部责任。</w:t>
      </w:r>
    </w:p>
    <w:p>
      <w:pPr>
        <w:pStyle w:val="Style14"/>
        <w:keepNext w:val="0"/>
        <w:keepLines w:val="0"/>
        <w:widowControl w:val="0"/>
        <w:shd w:val="clear" w:color="auto" w:fill="auto"/>
        <w:bidi w:val="0"/>
        <w:spacing w:before="0" w:after="0" w:line="315" w:lineRule="exact"/>
        <w:ind w:left="0" w:right="0" w:firstLine="460"/>
        <w:jc w:val="both"/>
        <w:rPr>
          <w:sz w:val="20"/>
          <w:szCs w:val="20"/>
        </w:rPr>
      </w:pPr>
      <w:r>
        <w:rPr>
          <w:color w:val="000000"/>
          <w:spacing w:val="0"/>
          <w:w w:val="100"/>
          <w:position w:val="0"/>
          <w:sz w:val="20"/>
          <w:szCs w:val="20"/>
        </w:rPr>
        <w:t>我们与治理层就计划的审计范围、时间安排和重大审计发现等事项进行沟通，包括沟通我们在审计中 识别出的值得关注的内部控制缺陷。</w:t>
      </w:r>
    </w:p>
    <w:p>
      <w:pPr>
        <w:pStyle w:val="Style14"/>
        <w:keepNext w:val="0"/>
        <w:keepLines w:val="0"/>
        <w:widowControl w:val="0"/>
        <w:shd w:val="clear" w:color="auto" w:fill="auto"/>
        <w:bidi w:val="0"/>
        <w:spacing w:before="0" w:after="0" w:line="315" w:lineRule="exact"/>
        <w:ind w:left="0" w:right="0" w:firstLine="460"/>
        <w:jc w:val="both"/>
        <w:rPr>
          <w:sz w:val="20"/>
          <w:szCs w:val="20"/>
        </w:rPr>
      </w:pPr>
      <w:r>
        <w:rPr>
          <w:color w:val="000000"/>
          <w:spacing w:val="0"/>
          <w:w w:val="100"/>
          <w:position w:val="0"/>
          <w:sz w:val="20"/>
          <w:szCs w:val="20"/>
        </w:rPr>
        <w:t>我们还就已遵守与独立性相关的职业道德要求向治理层提供声明，并与治理层沟通可能被合理认为影 响我们独立性的所有关系和其他事项，以及相关的防范措施（如适用）。</w:t>
      </w:r>
    </w:p>
    <w:p>
      <w:pPr>
        <w:pStyle w:val="Style14"/>
        <w:keepNext w:val="0"/>
        <w:keepLines w:val="0"/>
        <w:widowControl w:val="0"/>
        <w:shd w:val="clear" w:color="auto" w:fill="auto"/>
        <w:bidi w:val="0"/>
        <w:spacing w:before="0" w:after="0" w:line="315" w:lineRule="exact"/>
        <w:ind w:left="0" w:right="0" w:firstLine="460"/>
        <w:jc w:val="both"/>
        <w:rPr>
          <w:sz w:val="20"/>
          <w:szCs w:val="20"/>
        </w:rPr>
      </w:pPr>
      <w:r>
        <w:rPr>
          <w:color w:val="000000"/>
          <w:spacing w:val="0"/>
          <w:w w:val="100"/>
          <w:position w:val="0"/>
          <w:sz w:val="20"/>
          <w:szCs w:val="2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14"/>
        <w:keepNext w:val="0"/>
        <w:keepLines w:val="0"/>
        <w:widowControl w:val="0"/>
        <w:shd w:val="clear" w:color="auto" w:fill="auto"/>
        <w:bidi w:val="0"/>
        <w:spacing w:before="0" w:after="0" w:line="315" w:lineRule="exact"/>
        <w:ind w:left="2760" w:right="0" w:firstLine="0"/>
        <w:jc w:val="left"/>
        <w:rPr>
          <w:sz w:val="20"/>
          <w:szCs w:val="20"/>
        </w:rPr>
      </w:pPr>
      <w:r>
        <w:rPr>
          <w:color w:val="000000"/>
          <w:spacing w:val="0"/>
          <w:w w:val="100"/>
          <w:position w:val="0"/>
          <w:sz w:val="20"/>
          <w:szCs w:val="20"/>
        </w:rPr>
        <w:t>大华会计师事务所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特殊普通合伙</w:t>
      </w:r>
      <w:r>
        <w:rPr>
          <w:color w:val="000000"/>
          <w:spacing w:val="0"/>
          <w:w w:val="100"/>
          <w:position w:val="0"/>
          <w:sz w:val="20"/>
          <w:szCs w:val="20"/>
        </w:rPr>
        <w:t>）</w:t>
      </w:r>
      <w:r>
        <w:rPr>
          <w:color w:val="000000"/>
          <w:spacing w:val="0"/>
          <w:w w:val="100"/>
          <w:position w:val="0"/>
          <w:sz w:val="20"/>
          <w:szCs w:val="20"/>
        </w:rPr>
        <w:t>中国注册会计师：黄志刚</w:t>
      </w:r>
    </w:p>
    <w:p>
      <w:pPr>
        <w:pStyle w:val="Style14"/>
        <w:keepNext w:val="0"/>
        <w:keepLines w:val="0"/>
        <w:widowControl w:val="0"/>
        <w:shd w:val="clear" w:color="auto" w:fill="auto"/>
        <w:tabs>
          <w:tab w:pos="6172" w:val="left"/>
        </w:tabs>
        <w:bidi w:val="0"/>
        <w:spacing w:before="0" w:after="0" w:line="315" w:lineRule="exact"/>
        <w:ind w:left="3820" w:right="0" w:firstLine="0"/>
        <w:jc w:val="both"/>
        <w:rPr>
          <w:sz w:val="20"/>
          <w:szCs w:val="20"/>
        </w:rPr>
      </w:pPr>
      <w:r>
        <w:rPr>
          <w:color w:val="000000"/>
          <w:spacing w:val="0"/>
          <w:w w:val="100"/>
          <w:position w:val="0"/>
          <w:sz w:val="20"/>
          <w:szCs w:val="20"/>
        </w:rPr>
        <w:t>中国</w:t>
      </w:r>
      <w:r>
        <w:rPr>
          <w:rFonts w:ascii="Times New Roman" w:eastAsia="Times New Roman" w:hAnsi="Times New Roman" w:cs="Times New Roman"/>
          <w:b/>
          <w:bCs/>
          <w:color w:val="000000"/>
          <w:spacing w:val="0"/>
          <w:w w:val="100"/>
          <w:position w:val="0"/>
          <w:sz w:val="20"/>
          <w:szCs w:val="20"/>
        </w:rPr>
        <w:t>•</w:t>
      </w:r>
      <w:r>
        <w:rPr>
          <w:color w:val="000000"/>
          <w:spacing w:val="0"/>
          <w:w w:val="100"/>
          <w:position w:val="0"/>
          <w:sz w:val="20"/>
          <w:szCs w:val="20"/>
        </w:rPr>
        <w:t>北京</w:t>
        <w:tab/>
        <w:t>（项目合伙人）</w:t>
      </w:r>
    </w:p>
    <w:p>
      <w:pPr>
        <w:pStyle w:val="Style14"/>
        <w:keepNext w:val="0"/>
        <w:keepLines w:val="0"/>
        <w:widowControl w:val="0"/>
        <w:shd w:val="clear" w:color="auto" w:fill="auto"/>
        <w:bidi w:val="0"/>
        <w:spacing w:before="0" w:after="380" w:line="315" w:lineRule="exact"/>
        <w:ind w:left="5080" w:right="0" w:firstLine="0"/>
        <w:jc w:val="both"/>
        <w:rPr>
          <w:sz w:val="20"/>
          <w:szCs w:val="20"/>
        </w:rPr>
      </w:pPr>
      <w:r>
        <w:rPr>
          <w:color w:val="000000"/>
          <w:spacing w:val="0"/>
          <w:w w:val="100"/>
          <w:position w:val="0"/>
          <w:sz w:val="20"/>
          <w:szCs w:val="20"/>
        </w:rPr>
        <w:t>中国注册会计师：朱红辉</w:t>
      </w:r>
    </w:p>
    <w:p>
      <w:pPr>
        <w:pStyle w:val="Style14"/>
        <w:keepNext w:val="0"/>
        <w:keepLines w:val="0"/>
        <w:widowControl w:val="0"/>
        <w:shd w:val="clear" w:color="auto" w:fill="auto"/>
        <w:bidi w:val="0"/>
        <w:spacing w:before="0" w:after="2000" w:line="315" w:lineRule="exact"/>
        <w:ind w:left="5260" w:right="0" w:firstLine="0"/>
        <w:jc w:val="both"/>
        <w:rPr>
          <w:sz w:val="20"/>
          <w:szCs w:val="20"/>
        </w:rPr>
      </w:pPr>
      <w:r>
        <w:rPr>
          <w:color w:val="000000"/>
          <w:spacing w:val="0"/>
          <w:w w:val="100"/>
          <w:position w:val="0"/>
          <w:sz w:val="20"/>
          <w:szCs w:val="20"/>
        </w:rPr>
        <w:t>二</w:t>
      </w:r>
      <w:r>
        <w:rPr>
          <w:rFonts w:ascii="Tahoma" w:eastAsia="Tahoma" w:hAnsi="Tahoma" w:cs="Tahoma"/>
          <w:color w:val="000000"/>
          <w:spacing w:val="0"/>
          <w:w w:val="100"/>
          <w:position w:val="0"/>
          <w:sz w:val="20"/>
          <w:szCs w:val="20"/>
        </w:rPr>
        <w:t>O</w:t>
      </w:r>
      <w:r>
        <w:rPr>
          <w:color w:val="000000"/>
          <w:spacing w:val="0"/>
          <w:w w:val="100"/>
          <w:position w:val="0"/>
          <w:sz w:val="20"/>
          <w:szCs w:val="20"/>
        </w:rPr>
        <w:t>二二年四月十四日</w:t>
      </w:r>
    </w:p>
    <w:p>
      <w:pPr>
        <w:pStyle w:val="Style24"/>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r>
        <w:rPr>
          <w:color w:val="000000"/>
          <w:spacing w:val="0"/>
          <w:w w:val="100"/>
          <w:position w:val="0"/>
        </w:rPr>
        <w:t>二、财务报表</w:t>
      </w:r>
      <w:bookmarkEnd w:id="715"/>
      <w:bookmarkEnd w:id="716"/>
      <w:bookmarkEnd w:id="717"/>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33"/>
        <w:keepNext/>
        <w:keepLines/>
        <w:widowControl w:val="0"/>
        <w:shd w:val="clear" w:color="auto" w:fill="auto"/>
        <w:bidi w:val="0"/>
        <w:spacing w:before="0" w:line="240" w:lineRule="auto"/>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、合并资产负债表</w:t>
      </w:r>
      <w:bookmarkEnd w:id="718"/>
      <w:bookmarkEnd w:id="719"/>
      <w:bookmarkEnd w:id="721"/>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编制单位：河南辉煌科技股份有限公司</w:t>
      </w:r>
    </w:p>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197,076,299.90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391,608,066.80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180,750,651.48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69,740,434.40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78,653,337.72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463,267,132.65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456,156,171.71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28,320,019.32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18,626,672.73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12,882,628.62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15,578,301.17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388,089,357.33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333,110,434.83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13,436,885.37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7,921,451.47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1,443,134,757.59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1,482,405,087.91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163,121,784.75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4,838,121.73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35,845,613.20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20,234,100.00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20,234,100.00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392,585,194.13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157,156,782.78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86,447,308.59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294,274,547.32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48,387,293.16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50,104,660.53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3,050,711.00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123,774,736.28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101,886,017.25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1,465,386.27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3,402,207.19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840,853,924.91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685,954,639.27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2,283,988,682.50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2,168,359,727.18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192,212,462.87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222,359,361.62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265,105,111.82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102,678,744.33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14,257,104.85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15,228,246.66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36,549,117.29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28,500,394.50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72,466,175.25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116,421,918.86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534,325.90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1,315,144.14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584,124,297.98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489,539,810.11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51,070,954.29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36,869,663.32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51,070,954.29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36,869,663.32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635,195,252.27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526,409,473.43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389,616,420.00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389,656,420.00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770,811,263.83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739,208,172.00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198,470,260.81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56,520,000.00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-93,301,014.86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-93,276,117.15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91,850,457.40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79,317,780.46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661,535,922.37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553,941,771.80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1,622,042,787.93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1,612,328,027.11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26,750,642.30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29,622,226.64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1,648,793,430.23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1,641,950,253.75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2,283,988,682.50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2,168,359,727.18</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703580</wp:posOffset>
                </wp:positionH>
                <wp:positionV relativeFrom="margin">
                  <wp:posOffset>6897370</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55.399999999999999pt;margin-top:543.10000000000002pt;width:83.049999999999997pt;height:11.75pt;z-index:-125829375;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2879725</wp:posOffset>
                </wp:positionH>
                <wp:positionV relativeFrom="margin">
                  <wp:posOffset>6897370</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32" type="#_x0000_t202" style="position:absolute;margin-left:226.75pt;margin-top:543.10000000000002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5504180</wp:posOffset>
                </wp:positionH>
                <wp:positionV relativeFrom="margin">
                  <wp:posOffset>6897370</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会计机构负责人：窦永贺</w:t>
                            </w:r>
                          </w:p>
                        </w:txbxContent>
                      </wps:txbx>
                      <wps:bodyPr wrap="none" lIns="0" tIns="0" rIns="0" bIns="0">
                        <a:noAutoFit/>
                      </wps:bodyPr>
                    </wps:wsp>
                  </a:graphicData>
                </a:graphic>
              </wp:anchor>
            </w:drawing>
          </mc:Choice>
          <mc:Fallback>
            <w:pict>
              <v:shape id="_x0000_s1034" type="#_x0000_t202" style="position:absolute;margin-left:433.40000000000003pt;margin-top:543.10000000000002pt;width:101.3pt;height:11.75pt;z-index:-125829371;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会计机构负责人：窦永贺</w:t>
                      </w:r>
                    </w:p>
                  </w:txbxContent>
                </v:textbox>
                <w10:wrap type="topAndBottom" anchorx="page" anchory="margin"/>
              </v:shape>
            </w:pict>
          </mc:Fallback>
        </mc:AlternateContent>
      </w: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、母公司资产负债表</w:t>
      </w:r>
      <w:bookmarkEnd w:id="722"/>
      <w:bookmarkEnd w:id="723"/>
      <w:bookmarkEnd w:id="7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148,882,691.46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348,900,369.67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180,750,651.48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51,117,673.46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72,973,466.52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323,920,629.14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309,365,200.09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464,299.56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3,416,113.90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74,348,706.48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72,896,251.58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14,829,791.66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12,454,791.66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381,541,443.64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269,720,535.86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10,530,214.07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5,388,501.67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1,261,127,657.81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1,263,411,090.77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163,121,784.75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344,582,882.39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374,972,682.39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318,582,258.35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80,542,553.24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84,002,146.54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292,406,136.87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36,173,434.83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37,095,374.31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3,050,711.00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85,870,175.84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76,400,779.09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1,465,386.27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3,402,207.19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1,033,798,068.97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887,870,444.09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2,294,925,726.78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2,151,281,534.86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412,266,661.44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415,100,132.26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263,677,708.50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99,297,219.35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8,946,741.39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9,070,579.96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20,566,024.13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23,015,537.36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68,936,407.18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112,785,630.55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348,763.46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1,174,258.26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774,742,306.10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660,443,357.74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51,035,839.29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36,605,298.44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51,035,839.29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36,605,298.44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825,778,145.39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697,048,656.18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389,616,420.00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389,656,420.00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650,648,931.64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619,045,839.81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198,470,260.81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91,850,457.40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79,317,780.46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535,502,033.02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422,707,940.56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1,469,147,581.39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1,454,232,878.68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2,294,925,726.78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2,151,281,534.86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、合并利润表</w:t>
      </w:r>
      <w:bookmarkEnd w:id="726"/>
      <w:bookmarkEnd w:id="727"/>
      <w:bookmarkEnd w:id="72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737,168,052.65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637,661,580.01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737,168,052.65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637,661,580.01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579,962,450.33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506,062,661.99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385,872,350.60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359,015,381.06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8,149,482.53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6,920,811.82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29,925,179.07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28,420,494.67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66,577,608.75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48,432,702.00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94,445,481.52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67,584,065.93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-5,007,652.14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-4,310,793.49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208,697.24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5,899,992.77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4,903,078.18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22,628,362.71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21,397,266.16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-1,785,579.15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-6,440,554.56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-8,164,775.78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-9,841,127.00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577,551.48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-10,181,056.59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742,771.73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-28,544,563.14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-42,301,603.59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655,856.85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139,322,766.15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106,230,206.09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20,073,187.80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25,800,118.45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1,516,742.51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133,595,835.50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104,802,097.56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16,340,592.33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19,844,630.45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117,255,243.17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84,957,467.11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117,255,243.17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84,957,467.11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120,126,827.51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85,256,848.08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-2,871,584.34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-299,380.97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8,718.07</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8,718.07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8,718.07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117,230,345.46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84,966,185.18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120,101,929.80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85,265,566.15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-2,871,584.34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-299,380.97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29"/>
        <w:keepNext w:val="0"/>
        <w:keepLines w:val="0"/>
        <w:widowControl w:val="0"/>
        <w:shd w:val="clear" w:color="auto" w:fill="auto"/>
        <w:tabs>
          <w:tab w:pos="3422" w:val="left"/>
          <w:tab w:pos="7555" w:val="left"/>
        </w:tabs>
        <w:bidi w:val="0"/>
        <w:spacing w:before="0" w:after="0" w:line="240" w:lineRule="auto"/>
        <w:ind w:left="0" w:right="0" w:firstLine="0"/>
        <w:jc w:val="left"/>
      </w:pPr>
      <w:r>
        <w:rPr>
          <w:color w:val="000000"/>
          <w:spacing w:val="0"/>
          <w:w w:val="100"/>
          <w:position w:val="0"/>
        </w:rPr>
        <w:t>法定代表人：李海鹰</w:t>
        <w:tab/>
        <w:t>主管会计工作负责人：侯菊艳</w:t>
        <w:tab/>
        <w:t>会计机构负责人：窦永贺</w:t>
      </w:r>
      <w:r>
        <w:br w:type="page"/>
      </w:r>
    </w:p>
    <w:p>
      <w:pPr>
        <w:pStyle w:val="Style33"/>
        <w:keepNext/>
        <w:keepLines/>
        <w:widowControl w:val="0"/>
        <w:shd w:val="clear" w:color="auto" w:fill="auto"/>
        <w:bidi w:val="0"/>
        <w:spacing w:before="0" w:after="40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、母公司利润表</w:t>
      </w:r>
      <w:bookmarkEnd w:id="730"/>
      <w:bookmarkEnd w:id="731"/>
      <w:bookmarkEnd w:id="73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611,279,227.66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497,522,251.74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314,404,786.04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317,851,005.35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4,781,554.12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4,153,914.07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17,678,214.46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16,354,457.30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46,902,633.05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30,089,175.09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61,221,761.54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34,605,486.65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-5,058,172.32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-4,295,922.33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74,779.71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5,642,564.10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4,567,507.41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12,429,094.63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17,053,591.90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-1,167,887.68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-5,322,687.97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-7,547,084.31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-8,723,260.41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577,551.48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-3,502,581.81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4,190,317.48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-28,544,563.14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-40,987,242.34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150,562,512.77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74,275,666.16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20,000,260.92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31,986.22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20,764,160.77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1,392,979.36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149,798,612.92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72,914,673.02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24,471,843.52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15,298,098.14</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125,326,769.40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57,616,574.88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125,326,769.40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57,616,574.88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8,718.07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8,718.07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8,718.07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125,301,871.69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57,625,292.95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、合并现金流量表</w:t>
      </w:r>
      <w:bookmarkEnd w:id="734"/>
      <w:bookmarkEnd w:id="735"/>
      <w:bookmarkEnd w:id="737"/>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954,725,748.71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652,131,386.40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15,026,801.63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18,179,023.67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20,479,802.50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15,245,770.91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990,232,352.84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685,556,180.98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446,579,348.96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315,775,866.57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113,709,021.06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98,634,871.70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71,131,334.52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57,362,569.70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98,250,752.35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66,221,505.18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729,670,456.89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537,994,813.15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260,561,895.95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147,561,367.83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3,620,345.05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3,573,087.35</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3,620,345.05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53,358,087.35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67,245,265.08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109,085,697.92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232,371,133.27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53,986,264.79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299,616,398.35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163,071,962.71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-295,996,053.30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-109,713,875.36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56,670,000.00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59,670,000.00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20,212,721.09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19,041,518.24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164,896,660.81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168,095,660.81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39,254,239.33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-165,095,660.81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20,415,760.67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-200,529,818.16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58,263,253.14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365,833,747.22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307,570,494.08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165,303,929.06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365,833,747.22</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6</w:t>
      </w:r>
      <w:bookmarkEnd w:id="740"/>
      <w:r>
        <w:rPr>
          <w:color w:val="000000"/>
          <w:spacing w:val="0"/>
          <w:w w:val="100"/>
          <w:position w:val="0"/>
        </w:rPr>
        <w:t>、母公司现金流量表</w:t>
      </w:r>
      <w:bookmarkEnd w:id="738"/>
      <w:bookmarkEnd w:id="739"/>
      <w:bookmarkEnd w:id="74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839,042,614.94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534,093,007.99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10,348,266.79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15,318,979.90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8,521,153.38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8,885,528.45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857,912,035.11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558,297,516.34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431,800,071.45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288,037,103.79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60,457,762.16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54,066,553.69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55,594,631.05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39,759,120.88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57,051,576.11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28,567,225.85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604,904,040.77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410,430,004.21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253,007,994.34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147,867,512.13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3,620,345.05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3,573,087.35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3,620,345.05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52,573,087.35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65,023,480.52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101,143,208.63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232,371,133.27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55,986,264.79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297,394,613.79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157,129,473.42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-293,774,268.74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-104,556,386.07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56,670,000.00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56,670,000.00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17,212,721.09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18,907,600.71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164,896,660.81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164,969,148.31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36,120,321.80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-164,969,148.31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20,549,678.20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-205,735,422.71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63,860,804.26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329,455,456.93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265,594,652.67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123,720,034.22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329,455,456.93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7</w:t>
      </w:r>
      <w:bookmarkEnd w:id="744"/>
      <w:r>
        <w:rPr>
          <w:color w:val="000000"/>
          <w:spacing w:val="0"/>
          <w:w w:val="100"/>
          <w:position w:val="0"/>
        </w:rPr>
        <w:t>、合并所有者权益变动表</w:t>
      </w:r>
      <w:bookmarkEnd w:id="742"/>
      <w:bookmarkEnd w:id="743"/>
      <w:bookmarkEnd w:id="7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739,20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79,317 </w:t>
            </w:r>
            <w:r>
              <w:rPr>
                <w:rFonts w:ascii="Times New Roman" w:eastAsia="Times New Roman" w:hAnsi="Times New Roman" w:cs="Times New Roman"/>
                <w:color w:val="000000"/>
                <w:spacing w:val="0"/>
                <w:w w:val="100"/>
                <w:position w:val="0"/>
                <w:sz w:val="18"/>
                <w:szCs w:val="18"/>
              </w:rPr>
              <w:t xml:space="preserve">,780.4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1,612, 328,02</w:t>
            </w:r>
          </w:p>
          <w:p>
            <w:pPr>
              <w:pStyle w:val="Style21"/>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29,622 </w:t>
            </w:r>
            <w:r>
              <w:rPr>
                <w:rFonts w:ascii="Times New Roman" w:eastAsia="Times New Roman" w:hAnsi="Times New Roman" w:cs="Times New Roman"/>
                <w:color w:val="000000"/>
                <w:spacing w:val="0"/>
                <w:w w:val="100"/>
                <w:position w:val="0"/>
                <w:sz w:val="18"/>
                <w:szCs w:val="18"/>
              </w:rPr>
              <w:t xml:space="preserve">,226.6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739,20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56,520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79,317 </w:t>
            </w:r>
            <w:r>
              <w:rPr>
                <w:rFonts w:ascii="Times New Roman" w:eastAsia="Times New Roman" w:hAnsi="Times New Roman" w:cs="Times New Roman"/>
                <w:color w:val="000000"/>
                <w:spacing w:val="0"/>
                <w:w w:val="100"/>
                <w:position w:val="0"/>
                <w:sz w:val="18"/>
                <w:szCs w:val="18"/>
              </w:rPr>
              <w:t xml:space="preserve">,780.4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1,612, 328,02</w:t>
            </w:r>
          </w:p>
          <w:p>
            <w:pPr>
              <w:pStyle w:val="Style21"/>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29,622 </w:t>
            </w:r>
            <w:r>
              <w:rPr>
                <w:rFonts w:ascii="Times New Roman" w:eastAsia="Times New Roman" w:hAnsi="Times New Roman" w:cs="Times New Roman"/>
                <w:color w:val="000000"/>
                <w:spacing w:val="0"/>
                <w:w w:val="100"/>
                <w:position w:val="0"/>
                <w:sz w:val="18"/>
                <w:szCs w:val="18"/>
              </w:rPr>
              <w:t xml:space="preserve">,226.6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360" w:right="0" w:hanging="360"/>
              <w:jc w:val="left"/>
              <w:rPr>
                <w:sz w:val="18"/>
                <w:szCs w:val="18"/>
              </w:rPr>
            </w:pPr>
            <w:r>
              <w:rPr>
                <w:rFonts w:ascii="Times New Roman" w:eastAsia="Times New Roman" w:hAnsi="Times New Roman" w:cs="Times New Roman"/>
                <w:color w:val="000000"/>
                <w:spacing w:val="0"/>
                <w:w w:val="100"/>
                <w:position w:val="0"/>
                <w:sz w:val="18"/>
                <w:szCs w:val="18"/>
              </w:rPr>
              <w:t xml:space="preserve">0,260.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760.82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584.34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176.48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w:t>
            </w:r>
          </w:p>
          <w:p>
            <w:pPr>
              <w:pStyle w:val="Style21"/>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117,23 </w:t>
            </w:r>
            <w:r>
              <w:rPr>
                <w:rFonts w:ascii="Times New Roman" w:eastAsia="Times New Roman" w:hAnsi="Times New Roman" w:cs="Times New Roman"/>
                <w:color w:val="000000"/>
                <w:spacing w:val="0"/>
                <w:w w:val="100"/>
                <w:position w:val="0"/>
                <w:sz w:val="18"/>
                <w:szCs w:val="18"/>
              </w:rPr>
              <w:t>0,345.</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25,876 </w:t>
            </w:r>
            <w:r>
              <w:rPr>
                <w:rFonts w:ascii="Times New Roman" w:eastAsia="Times New Roman" w:hAnsi="Times New Roman" w:cs="Times New Roman"/>
                <w:color w:val="000000"/>
                <w:spacing w:val="0"/>
                <w:w w:val="100"/>
                <w:position w:val="0"/>
                <w:sz w:val="18"/>
                <w:szCs w:val="18"/>
              </w:rPr>
              <w:t xml:space="preserve">,346.6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0,260.</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96,660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96,660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48,782 </w:t>
            </w:r>
            <w:r>
              <w:rPr>
                <w:rFonts w:ascii="Times New Roman" w:eastAsia="Times New Roman" w:hAnsi="Times New Roman" w:cs="Times New Roman"/>
                <w:color w:val="000000"/>
                <w:spacing w:val="0"/>
                <w:w w:val="100"/>
                <w:position w:val="0"/>
                <w:sz w:val="18"/>
                <w:szCs w:val="18"/>
              </w:rPr>
              <w:t xml:space="preserve">,746.6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48,782 </w:t>
            </w:r>
            <w:r>
              <w:rPr>
                <w:rFonts w:ascii="Times New Roman" w:eastAsia="Times New Roman" w:hAnsi="Times New Roman" w:cs="Times New Roman"/>
                <w:color w:val="000000"/>
                <w:spacing w:val="0"/>
                <w:w w:val="100"/>
                <w:position w:val="0"/>
                <w:sz w:val="18"/>
                <w:szCs w:val="18"/>
              </w:rPr>
              <w:t xml:space="preserve">,746.6 </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w:t>
            </w:r>
          </w:p>
          <w:p>
            <w:pPr>
              <w:pStyle w:val="Style21"/>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w:t>
            </w:r>
          </w:p>
          <w:p>
            <w:pPr>
              <w:pStyle w:val="Style21"/>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745.16</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770,81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198,47 </w:t>
            </w:r>
            <w:r>
              <w:rPr>
                <w:rFonts w:ascii="Times New Roman" w:eastAsia="Times New Roman" w:hAnsi="Times New Roman" w:cs="Times New Roman"/>
                <w:color w:val="000000"/>
                <w:spacing w:val="0"/>
                <w:w w:val="100"/>
                <w:position w:val="0"/>
                <w:sz w:val="18"/>
                <w:szCs w:val="18"/>
              </w:rPr>
              <w:t>0,260.</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1,622, 042,78</w:t>
            </w:r>
          </w:p>
          <w:p>
            <w:pPr>
              <w:pStyle w:val="Style21"/>
              <w:keepNext w:val="0"/>
              <w:keepLines w:val="0"/>
              <w:widowControl w:val="0"/>
              <w:shd w:val="clear" w:color="auto" w:fill="auto"/>
              <w:bidi w:val="0"/>
              <w:spacing w:before="0" w:after="0" w:line="36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26,750 </w:t>
            </w:r>
            <w:r>
              <w:rPr>
                <w:rFonts w:ascii="Times New Roman" w:eastAsia="Times New Roman" w:hAnsi="Times New Roman" w:cs="Times New Roman"/>
                <w:color w:val="000000"/>
                <w:spacing w:val="0"/>
                <w:w w:val="100"/>
                <w:position w:val="0"/>
                <w:sz w:val="18"/>
                <w:szCs w:val="18"/>
              </w:rPr>
              <w:t xml:space="preserve">,642.3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793,43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675,29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4,835.</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653,33</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675,29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4,835.</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653,33</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29,921,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74,939.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 变动金额（减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86,674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85,256</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85,265 </w:t>
            </w:r>
            <w:r>
              <w:rPr>
                <w:rFonts w:ascii="Times New Roman" w:eastAsia="Times New Roman" w:hAnsi="Times New Roman" w:cs="Times New Roman"/>
                <w:color w:val="000000"/>
                <w:spacing w:val="0"/>
                <w:w w:val="100"/>
                <w:position w:val="0"/>
                <w:sz w:val="18"/>
                <w:szCs w:val="18"/>
              </w:rPr>
              <w:t>,566.1</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84,966,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185.18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54,550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43,670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56,670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56,670, </w:t>
            </w: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10,880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-45,64 0,000.</w:t>
            </w:r>
          </w:p>
          <w:p>
            <w:pPr>
              <w:pStyle w:val="Style21"/>
              <w:keepNext w:val="0"/>
              <w:keepLines w:val="0"/>
              <w:widowControl w:val="0"/>
              <w:shd w:val="clear" w:color="auto" w:fill="auto"/>
              <w:bidi w:val="0"/>
              <w:spacing w:before="0" w:after="0" w:line="36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-45,640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-24,74</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-5,761, 657.49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w:t>
            </w:r>
          </w:p>
          <w:p>
            <w:pPr>
              <w:pStyle w:val="Style21"/>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56,42</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739,20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8,172.</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79,317 </w:t>
            </w:r>
            <w:r>
              <w:rPr>
                <w:rFonts w:ascii="Times New Roman" w:eastAsia="Times New Roman" w:hAnsi="Times New Roman" w:cs="Times New Roman"/>
                <w:color w:val="000000"/>
                <w:spacing w:val="0"/>
                <w:w w:val="100"/>
                <w:position w:val="0"/>
                <w:sz w:val="18"/>
                <w:szCs w:val="18"/>
              </w:rPr>
              <w:t xml:space="preserve">,780.4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1,612, 328,02</w:t>
            </w:r>
          </w:p>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8</w:t>
      </w:r>
      <w:bookmarkEnd w:id="748"/>
      <w:r>
        <w:rPr>
          <w:color w:val="000000"/>
          <w:spacing w:val="0"/>
          <w:w w:val="100"/>
          <w:position w:val="0"/>
        </w:rPr>
        <w:t>、母公司所有者权益变动表</w:t>
      </w:r>
      <w:bookmarkEnd w:id="746"/>
      <w:bookmarkEnd w:id="747"/>
      <w:bookmarkEnd w:id="74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619,045, </w:t>
            </w:r>
            <w:r>
              <w:rPr>
                <w:rFonts w:ascii="Times New Roman" w:eastAsia="Times New Roman" w:hAnsi="Times New Roman" w:cs="Times New Roman"/>
                <w:color w:val="000000"/>
                <w:spacing w:val="0"/>
                <w:w w:val="100"/>
                <w:position w:val="0"/>
                <w:sz w:val="18"/>
                <w:szCs w:val="18"/>
              </w:rPr>
              <w:t>839.81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79,317,7</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422,70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7,940.5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619,045, </w:t>
            </w:r>
            <w:r>
              <w:rPr>
                <w:rFonts w:ascii="Times New Roman" w:eastAsia="Times New Roman" w:hAnsi="Times New Roman" w:cs="Times New Roman"/>
                <w:color w:val="000000"/>
                <w:spacing w:val="0"/>
                <w:w w:val="100"/>
                <w:position w:val="0"/>
                <w:sz w:val="18"/>
                <w:szCs w:val="18"/>
              </w:rPr>
              <w:t>839.81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79,317,7</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422,70</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7,940.5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31,603,0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141,950,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12,532,6</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4,092.4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125,301,8</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25,876,3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141,950,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164,722,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26,010,3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48,782,74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12,532,6</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12,532,6</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5,726,745.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1,469,147,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555,133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73,556,</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389,835,8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1,395,198,4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376,65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555,133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73,556,</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389,835,8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1,395,198,4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63,911,9</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5,761,6</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59,034,421.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57,616,57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57,625,292.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54,550,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13,000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43,670,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10,880,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56,520,0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-45,640,000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5,761,6</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-24,744,4</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-18,982,821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5,761,6</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-5,761,65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-18,982,8</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-18,982,821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9,361,950.0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6,420.</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619,045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422,707,9</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1,454,232,8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r>
        <w:rPr>
          <w:color w:val="000000"/>
          <w:spacing w:val="0"/>
          <w:w w:val="100"/>
          <w:position w:val="0"/>
        </w:rPr>
        <w:t>三、公司基本情况</w:t>
      </w:r>
      <w:bookmarkEnd w:id="750"/>
      <w:bookmarkEnd w:id="751"/>
      <w:bookmarkEnd w:id="752"/>
    </w:p>
    <w:p>
      <w:pPr>
        <w:pStyle w:val="Style14"/>
        <w:keepNext w:val="0"/>
        <w:keepLines w:val="0"/>
        <w:widowControl w:val="0"/>
        <w:numPr>
          <w:ilvl w:val="0"/>
          <w:numId w:val="15"/>
        </w:numPr>
        <w:shd w:val="clear" w:color="auto" w:fill="auto"/>
        <w:bidi w:val="0"/>
        <w:spacing w:before="0" w:after="60" w:line="240" w:lineRule="auto"/>
        <w:ind w:left="0" w:right="0" w:firstLine="0"/>
        <w:jc w:val="left"/>
        <w:rPr>
          <w:sz w:val="20"/>
          <w:szCs w:val="20"/>
        </w:rPr>
      </w:pPr>
      <w:bookmarkStart w:id="753" w:name="bookmark753"/>
      <w:bookmarkEnd w:id="753"/>
      <w:r>
        <w:rPr>
          <w:b/>
          <w:bCs/>
          <w:color w:val="000000"/>
          <w:spacing w:val="0"/>
          <w:w w:val="100"/>
          <w:position w:val="0"/>
          <w:sz w:val="20"/>
          <w:szCs w:val="20"/>
        </w:rPr>
        <w:t>公司注册地、组织形式和总部地址</w:t>
      </w:r>
    </w:p>
    <w:p>
      <w:pPr>
        <w:pStyle w:val="Style1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河南辉煌科技股份有限公司（以下简称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）系于</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月经河南省人民政府豫 </w:t>
      </w:r>
      <w:r>
        <w:rPr>
          <w:color w:val="000000"/>
          <w:spacing w:val="0"/>
          <w:w w:val="100"/>
          <w:position w:val="0"/>
          <w:sz w:val="20"/>
          <w:szCs w:val="20"/>
        </w:rPr>
        <w:t>股批字</w:t>
      </w:r>
      <w:r>
        <w:rPr>
          <w:rFonts w:ascii="Times New Roman" w:eastAsia="Times New Roman" w:hAnsi="Times New Roman" w:cs="Times New Roman"/>
          <w:color w:val="000000"/>
          <w:spacing w:val="0"/>
          <w:w w:val="100"/>
          <w:position w:val="0"/>
          <w:sz w:val="20"/>
          <w:szCs w:val="20"/>
        </w:rPr>
        <w:t>（2001）35</w:t>
      </w:r>
      <w:r>
        <w:rPr>
          <w:color w:val="000000"/>
          <w:spacing w:val="0"/>
          <w:w w:val="100"/>
          <w:position w:val="0"/>
          <w:sz w:val="20"/>
          <w:szCs w:val="20"/>
        </w:rPr>
        <w:t>号文批准，由李海鹰等</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位自然人共同发起设立的股份有限公司。公司于</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29 </w:t>
      </w:r>
      <w:r>
        <w:rPr>
          <w:color w:val="000000"/>
          <w:spacing w:val="0"/>
          <w:w w:val="100"/>
          <w:position w:val="0"/>
          <w:sz w:val="20"/>
          <w:szCs w:val="20"/>
        </w:rPr>
        <w:t>日在深圳证券交易所上市，现持有统一社会信用代码为</w:t>
      </w:r>
      <w:r>
        <w:rPr>
          <w:rFonts w:ascii="Times New Roman" w:eastAsia="Times New Roman" w:hAnsi="Times New Roman" w:cs="Times New Roman"/>
          <w:color w:val="000000"/>
          <w:spacing w:val="0"/>
          <w:w w:val="100"/>
          <w:position w:val="0"/>
          <w:sz w:val="20"/>
          <w:szCs w:val="20"/>
        </w:rPr>
        <w:t>914101007324826746</w:t>
      </w:r>
      <w:r>
        <w:rPr>
          <w:color w:val="000000"/>
          <w:spacing w:val="0"/>
          <w:w w:val="100"/>
          <w:position w:val="0"/>
          <w:sz w:val="20"/>
          <w:szCs w:val="20"/>
        </w:rPr>
        <w:t>的营业执照。</w:t>
      </w:r>
    </w:p>
    <w:p>
      <w:pPr>
        <w:pStyle w:val="Style14"/>
        <w:keepNext w:val="0"/>
        <w:keepLines w:val="0"/>
        <w:widowControl w:val="0"/>
        <w:shd w:val="clear" w:color="auto" w:fill="auto"/>
        <w:bidi w:val="0"/>
        <w:spacing w:before="0" w:after="140" w:line="312" w:lineRule="exact"/>
        <w:ind w:left="360" w:right="0" w:firstLine="440"/>
        <w:jc w:val="both"/>
        <w:rPr>
          <w:sz w:val="20"/>
          <w:szCs w:val="20"/>
        </w:rPr>
      </w:pPr>
      <w:r>
        <w:rPr>
          <w:color w:val="000000"/>
          <w:spacing w:val="0"/>
          <w:w w:val="100"/>
          <w:position w:val="0"/>
          <w:sz w:val="20"/>
          <w:szCs w:val="20"/>
        </w:rPr>
        <w:t>经过历年的派送红股、配售新股、转增股本及增发新股，截止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日，本公司累计发行 股本总数</w:t>
      </w:r>
      <w:r>
        <w:rPr>
          <w:rFonts w:ascii="Times New Roman" w:eastAsia="Times New Roman" w:hAnsi="Times New Roman" w:cs="Times New Roman"/>
          <w:color w:val="000000"/>
          <w:spacing w:val="0"/>
          <w:w w:val="100"/>
          <w:position w:val="0"/>
          <w:sz w:val="20"/>
          <w:szCs w:val="20"/>
        </w:rPr>
        <w:t>38,961.64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万股，注册资本为</w:t>
      </w:r>
      <w:r>
        <w:rPr>
          <w:rFonts w:ascii="Times New Roman" w:eastAsia="Times New Roman" w:hAnsi="Times New Roman" w:cs="Times New Roman"/>
          <w:color w:val="000000"/>
          <w:spacing w:val="0"/>
          <w:w w:val="100"/>
          <w:position w:val="0"/>
          <w:sz w:val="20"/>
          <w:szCs w:val="20"/>
        </w:rPr>
        <w:t>38,961.64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万元，注册地址：郑州高新技术产业开发区科学大道 </w:t>
      </w:r>
      <w:r>
        <w:rPr>
          <w:rFonts w:ascii="Times New Roman" w:eastAsia="Times New Roman" w:hAnsi="Times New Roman" w:cs="Times New Roman"/>
          <w:color w:val="000000"/>
          <w:spacing w:val="0"/>
          <w:w w:val="100"/>
          <w:position w:val="0"/>
          <w:sz w:val="20"/>
          <w:szCs w:val="20"/>
        </w:rPr>
        <w:t>188</w:t>
      </w:r>
      <w:r>
        <w:rPr>
          <w:color w:val="000000"/>
          <w:spacing w:val="0"/>
          <w:w w:val="100"/>
          <w:position w:val="0"/>
          <w:sz w:val="20"/>
          <w:szCs w:val="20"/>
        </w:rPr>
        <w:t>号，总部地址：郑州高新技术产业开发区科学大道</w:t>
      </w:r>
      <w:r>
        <w:rPr>
          <w:rFonts w:ascii="Times New Roman" w:eastAsia="Times New Roman" w:hAnsi="Times New Roman" w:cs="Times New Roman"/>
          <w:color w:val="000000"/>
          <w:spacing w:val="0"/>
          <w:w w:val="100"/>
          <w:position w:val="0"/>
          <w:sz w:val="20"/>
          <w:szCs w:val="20"/>
        </w:rPr>
        <w:t>188</w:t>
      </w:r>
      <w:r>
        <w:rPr>
          <w:color w:val="000000"/>
          <w:spacing w:val="0"/>
          <w:w w:val="100"/>
          <w:position w:val="0"/>
          <w:sz w:val="20"/>
          <w:szCs w:val="20"/>
        </w:rPr>
        <w:t xml:space="preserve">号，公司第一大股东为李海鹰，持股比例为 </w:t>
      </w:r>
      <w:r>
        <w:rPr>
          <w:rFonts w:ascii="Times New Roman" w:eastAsia="Times New Roman" w:hAnsi="Times New Roman" w:cs="Times New Roman"/>
          <w:color w:val="000000"/>
          <w:spacing w:val="0"/>
          <w:w w:val="100"/>
          <w:position w:val="0"/>
          <w:sz w:val="20"/>
          <w:szCs w:val="20"/>
        </w:rPr>
        <w:t>7.95%</w:t>
      </w:r>
      <w:r>
        <w:rPr>
          <w:color w:val="000000"/>
          <w:spacing w:val="0"/>
          <w:w w:val="100"/>
          <w:position w:val="0"/>
          <w:sz w:val="20"/>
          <w:szCs w:val="20"/>
        </w:rPr>
        <w:t>。</w:t>
      </w:r>
    </w:p>
    <w:p>
      <w:pPr>
        <w:pStyle w:val="Style14"/>
        <w:keepNext w:val="0"/>
        <w:keepLines w:val="0"/>
        <w:widowControl w:val="0"/>
        <w:numPr>
          <w:ilvl w:val="0"/>
          <w:numId w:val="17"/>
        </w:numPr>
        <w:shd w:val="clear" w:color="auto" w:fill="auto"/>
        <w:bidi w:val="0"/>
        <w:spacing w:before="0" w:after="0" w:line="312" w:lineRule="exact"/>
        <w:ind w:left="0" w:right="0" w:firstLine="0"/>
        <w:jc w:val="left"/>
        <w:rPr>
          <w:sz w:val="20"/>
          <w:szCs w:val="20"/>
        </w:rPr>
      </w:pPr>
      <w:bookmarkStart w:id="754" w:name="bookmark754"/>
      <w:bookmarkEnd w:id="754"/>
      <w:r>
        <w:rPr>
          <w:b/>
          <w:bCs/>
          <w:color w:val="000000"/>
          <w:spacing w:val="0"/>
          <w:w w:val="100"/>
          <w:position w:val="0"/>
          <w:sz w:val="20"/>
          <w:szCs w:val="20"/>
        </w:rPr>
        <w:t>经营范围</w:t>
      </w:r>
    </w:p>
    <w:p>
      <w:pPr>
        <w:pStyle w:val="Style14"/>
        <w:keepNext w:val="0"/>
        <w:keepLines w:val="0"/>
        <w:widowControl w:val="0"/>
        <w:shd w:val="clear" w:color="auto" w:fill="auto"/>
        <w:bidi w:val="0"/>
        <w:spacing w:before="0" w:after="140" w:line="312" w:lineRule="exact"/>
        <w:ind w:left="360" w:right="0" w:firstLine="440"/>
        <w:jc w:val="both"/>
        <w:rPr>
          <w:sz w:val="20"/>
          <w:szCs w:val="20"/>
        </w:rPr>
      </w:pPr>
      <w:r>
        <w:rPr>
          <w:color w:val="000000"/>
          <w:spacing w:val="0"/>
          <w:w w:val="100"/>
          <w:position w:val="0"/>
          <w:sz w:val="20"/>
          <w:szCs w:val="20"/>
        </w:rPr>
        <w:t>公司主要经营范围：许可项目：铁路运输基础设备制造；各类工程建设活动；电气安装服务；建 筑智能化工程施工（依法须经批准的项目，经相关部门批准后方可开展经营活动，具体经营项目以相 关部门批准文件或许可证件为准）一般项目：铁路运输基础设备销售；铁路运输辅助活动；安全系统 监控服务；数字视频监控系统制造；数字视频监控系统销售；工业控制计算机及系统制造；工业控制 计算机及系统销售；轨道交通运营管理系统开发；轨道交通专用设备、关键系统及部件销售；轨道交 通通信信号系统开发；计算机软硬件及辅助设备零售；技术服务、技术开发、技术咨询、技术交流、 技术转让、技术推广；通讯设备销售；电子元器件零售；仪器仪表销售；电子产品销售；软件开发； 软件销售；信息技术咨询服务；信息系统运行维护服务；信息系统集成服务；广告设计、代理；广告 制作；广告发布（非广播电台、电视台、报刊出版单位）；会议及展览服务；安全技术防范系统设计 施工服务（除依法须经批准的项目外，凭营业执照依法自主开展经营活动）</w:t>
      </w:r>
    </w:p>
    <w:p>
      <w:pPr>
        <w:pStyle w:val="Style14"/>
        <w:keepNext w:val="0"/>
        <w:keepLines w:val="0"/>
        <w:widowControl w:val="0"/>
        <w:numPr>
          <w:ilvl w:val="0"/>
          <w:numId w:val="19"/>
        </w:numPr>
        <w:shd w:val="clear" w:color="auto" w:fill="auto"/>
        <w:bidi w:val="0"/>
        <w:spacing w:before="0" w:after="0" w:line="312" w:lineRule="exact"/>
        <w:ind w:left="0" w:right="0" w:firstLine="0"/>
        <w:jc w:val="left"/>
        <w:rPr>
          <w:sz w:val="20"/>
          <w:szCs w:val="20"/>
        </w:rPr>
      </w:pPr>
      <w:bookmarkStart w:id="755" w:name="bookmark755"/>
      <w:bookmarkEnd w:id="755"/>
      <w:r>
        <w:rPr>
          <w:b/>
          <w:bCs/>
          <w:color w:val="000000"/>
          <w:spacing w:val="0"/>
          <w:w w:val="100"/>
          <w:position w:val="0"/>
          <w:sz w:val="20"/>
          <w:szCs w:val="20"/>
        </w:rPr>
        <w:t>公司业务性质和主要经营活动</w:t>
      </w:r>
    </w:p>
    <w:p>
      <w:pPr>
        <w:pStyle w:val="Style14"/>
        <w:keepNext w:val="0"/>
        <w:keepLines w:val="0"/>
        <w:widowControl w:val="0"/>
        <w:shd w:val="clear" w:color="auto" w:fill="auto"/>
        <w:bidi w:val="0"/>
        <w:spacing w:before="0" w:after="0" w:line="312" w:lineRule="exact"/>
        <w:ind w:left="0" w:right="0" w:firstLine="800"/>
        <w:jc w:val="both"/>
        <w:rPr>
          <w:sz w:val="20"/>
          <w:szCs w:val="20"/>
        </w:rPr>
      </w:pPr>
      <w:r>
        <w:rPr>
          <w:color w:val="000000"/>
          <w:spacing w:val="0"/>
          <w:w w:val="100"/>
          <w:position w:val="0"/>
          <w:sz w:val="20"/>
          <w:szCs w:val="20"/>
        </w:rPr>
        <w:t>公司的主营业务为铁路通信信号领域产品的研制开发、生产及销售。</w:t>
      </w:r>
    </w:p>
    <w:p>
      <w:pPr>
        <w:pStyle w:val="Style14"/>
        <w:keepNext w:val="0"/>
        <w:keepLines w:val="0"/>
        <w:widowControl w:val="0"/>
        <w:shd w:val="clear" w:color="auto" w:fill="auto"/>
        <w:bidi w:val="0"/>
        <w:spacing w:before="0" w:after="220" w:line="312" w:lineRule="exact"/>
        <w:ind w:left="360" w:right="0" w:firstLine="440"/>
        <w:jc w:val="both"/>
        <w:rPr>
          <w:sz w:val="20"/>
          <w:szCs w:val="20"/>
        </w:rPr>
      </w:pPr>
      <w:r>
        <w:rPr>
          <w:color w:val="000000"/>
          <w:spacing w:val="0"/>
          <w:w w:val="100"/>
          <w:position w:val="0"/>
          <w:sz w:val="20"/>
          <w:szCs w:val="20"/>
        </w:rPr>
        <w:t>公司的主要产品为铁路通信信号和铁路运输调度指挥管理领域的软件和系统集成产品，具体为： 设备监测类产品：包括信号集中监测及子系统、融雪系统、信号维护支持系统、道岔缺口监测、道岔 综合监测、电务设备动态监测分析系统等；安防类产品：包括铁路防灾安全监控系统、铁路综合视频 监控系统、城轨综合监控系统、动力环境监控等；生产指挥及运输调度信息化类产品：包括电务生产 指挥、铁路安全生产指挥综合系统等；信号控制类产品：包括无线调车机车信号、计算机联锁等；电 源类设备产品：包括电源屏设备及子系统；信号设备及器材产品：包括信号设备及器材、道岔转辙机、 水冲洗设备产品等。</w:t>
      </w:r>
    </w:p>
    <w:p>
      <w:pPr>
        <w:pStyle w:val="Style27"/>
        <w:keepNext w:val="0"/>
        <w:keepLines w:val="0"/>
        <w:widowControl w:val="0"/>
        <w:shd w:val="clear" w:color="auto" w:fill="auto"/>
        <w:bidi w:val="0"/>
        <w:spacing w:before="0" w:after="60" w:line="240" w:lineRule="auto"/>
        <w:ind w:left="5"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财务报表的批准报出</w:t>
      </w:r>
    </w:p>
    <w:p>
      <w:pPr>
        <w:pStyle w:val="Style27"/>
        <w:keepNext w:val="0"/>
        <w:keepLines w:val="0"/>
        <w:widowControl w:val="0"/>
        <w:shd w:val="clear" w:color="auto" w:fill="auto"/>
        <w:bidi w:val="0"/>
        <w:spacing w:before="0" w:after="60" w:line="240" w:lineRule="auto"/>
        <w:ind w:left="5" w:right="0" w:firstLine="0"/>
        <w:jc w:val="left"/>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日批准报出。</w:t>
      </w:r>
    </w:p>
    <w:p>
      <w:pPr>
        <w:pStyle w:val="Style27"/>
        <w:keepNext w:val="0"/>
        <w:keepLines w:val="0"/>
        <w:widowControl w:val="0"/>
        <w:shd w:val="clear" w:color="auto" w:fill="auto"/>
        <w:bidi w:val="0"/>
        <w:spacing w:before="0" w:after="60" w:line="240" w:lineRule="auto"/>
        <w:ind w:left="5" w:right="0" w:firstLine="0"/>
        <w:jc w:val="left"/>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户，具体包括</w:t>
      </w:r>
    </w:p>
    <w:tbl>
      <w:tblPr>
        <w:tblOverlap w:val="never"/>
        <w:jc w:val="center"/>
        <w:tblLayout w:type="fixed"/>
      </w:tblPr>
      <w:tblGrid>
        <w:gridCol w:w="3514"/>
        <w:gridCol w:w="1267"/>
        <w:gridCol w:w="725"/>
        <w:gridCol w:w="1517"/>
        <w:gridCol w:w="163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河南辉煌信通软件有限公司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天津辉煌路阳科技有限公司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成都新一驱动技术有限责任公司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成都新一驱动科技有限责任公司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三级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洛阳辉煌城轨科技有限公司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本期纳入合并财务报表范围的主体较上期相比，减少</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户，合并范围变更主体的具体信息详见附注八、 合并范围的变更。</w:t>
      </w:r>
    </w:p>
    <w:p>
      <w:pPr>
        <w:pStyle w:val="Style24"/>
        <w:keepNext/>
        <w:keepLines/>
        <w:widowControl w:val="0"/>
        <w:shd w:val="clear" w:color="auto" w:fill="auto"/>
        <w:tabs>
          <w:tab w:pos="498" w:val="left"/>
        </w:tabs>
        <w:bidi w:val="0"/>
        <w:spacing w:before="0" w:after="380" w:line="240" w:lineRule="auto"/>
        <w:ind w:left="0" w:right="0" w:firstLine="0"/>
        <w:jc w:val="both"/>
      </w:pPr>
      <w:bookmarkStart w:id="756" w:name="bookmark756"/>
      <w:bookmarkStart w:id="757" w:name="bookmark757"/>
      <w:bookmarkStart w:id="758" w:name="bookmark758"/>
      <w:bookmarkStart w:id="759" w:name="bookmark759"/>
      <w:r>
        <w:rPr>
          <w:color w:val="000000"/>
          <w:spacing w:val="0"/>
          <w:w w:val="100"/>
          <w:position w:val="0"/>
        </w:rPr>
        <w:t>四</w:t>
      </w:r>
      <w:bookmarkEnd w:id="758"/>
      <w:r>
        <w:rPr>
          <w:color w:val="000000"/>
          <w:spacing w:val="0"/>
          <w:w w:val="100"/>
          <w:position w:val="0"/>
        </w:rPr>
        <w:t>、</w:t>
        <w:tab/>
        <w:t>财务报表的编制基础</w:t>
      </w:r>
      <w:bookmarkEnd w:id="756"/>
      <w:bookmarkEnd w:id="757"/>
      <w:bookmarkEnd w:id="759"/>
    </w:p>
    <w:p>
      <w:pPr>
        <w:pStyle w:val="Style33"/>
        <w:keepNext/>
        <w:keepLines/>
        <w:widowControl w:val="0"/>
        <w:shd w:val="clear" w:color="auto" w:fill="auto"/>
        <w:tabs>
          <w:tab w:pos="368" w:val="left"/>
        </w:tabs>
        <w:bidi w:val="0"/>
        <w:spacing w:before="0" w:after="200" w:line="326"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t>编制基础</w:t>
      </w:r>
      <w:bookmarkEnd w:id="760"/>
      <w:bookmarkEnd w:id="761"/>
      <w:bookmarkEnd w:id="763"/>
    </w:p>
    <w:p>
      <w:pPr>
        <w:pStyle w:val="Style14"/>
        <w:keepNext w:val="0"/>
        <w:keepLines w:val="0"/>
        <w:widowControl w:val="0"/>
        <w:shd w:val="clear" w:color="auto" w:fill="auto"/>
        <w:bidi w:val="0"/>
        <w:spacing w:before="0" w:after="1000" w:line="310" w:lineRule="exact"/>
        <w:ind w:left="0" w:right="0" w:firstLine="440"/>
        <w:jc w:val="both"/>
        <w:rPr>
          <w:sz w:val="20"/>
          <w:szCs w:val="20"/>
        </w:rPr>
      </w:pPr>
      <w:r>
        <w:rPr>
          <w:color w:val="000000"/>
          <w:spacing w:val="0"/>
          <w:w w:val="100"/>
          <w:position w:val="0"/>
          <w:sz w:val="20"/>
          <w:szCs w:val="2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 财务报告的一般规定》（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年修订）的规定，编制财务报表。</w:t>
      </w:r>
    </w:p>
    <w:p>
      <w:pPr>
        <w:pStyle w:val="Style33"/>
        <w:keepNext/>
        <w:keepLines/>
        <w:widowControl w:val="0"/>
        <w:shd w:val="clear" w:color="auto" w:fill="auto"/>
        <w:tabs>
          <w:tab w:pos="378" w:val="left"/>
        </w:tabs>
        <w:bidi w:val="0"/>
        <w:spacing w:before="0" w:after="200" w:line="326"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持续经营</w:t>
      </w:r>
      <w:bookmarkEnd w:id="764"/>
      <w:bookmarkEnd w:id="765"/>
      <w:bookmarkEnd w:id="767"/>
    </w:p>
    <w:p>
      <w:pPr>
        <w:pStyle w:val="Style14"/>
        <w:keepNext w:val="0"/>
        <w:keepLines w:val="0"/>
        <w:widowControl w:val="0"/>
        <w:shd w:val="clear" w:color="auto" w:fill="auto"/>
        <w:bidi w:val="0"/>
        <w:spacing w:before="0" w:after="680" w:line="326" w:lineRule="exact"/>
        <w:ind w:left="0" w:right="0" w:firstLine="360"/>
        <w:jc w:val="both"/>
        <w:rPr>
          <w:sz w:val="20"/>
          <w:szCs w:val="20"/>
        </w:rPr>
      </w:pPr>
      <w:r>
        <w:rPr>
          <w:color w:val="000000"/>
          <w:spacing w:val="0"/>
          <w:w w:val="100"/>
          <w:position w:val="0"/>
          <w:sz w:val="20"/>
          <w:szCs w:val="20"/>
        </w:rPr>
        <w:t>本公司对报告期末起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个月的持续经营能力进行了评价，未发现对持续经营能力产生重大怀疑的事项 或情况。因此，本财务报表系在持续经营假设的基础上编制。</w:t>
      </w:r>
    </w:p>
    <w:p>
      <w:pPr>
        <w:pStyle w:val="Style24"/>
        <w:keepNext/>
        <w:keepLines/>
        <w:widowControl w:val="0"/>
        <w:shd w:val="clear" w:color="auto" w:fill="auto"/>
        <w:tabs>
          <w:tab w:pos="517" w:val="left"/>
        </w:tabs>
        <w:bidi w:val="0"/>
        <w:spacing w:before="0" w:after="38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五</w:t>
      </w:r>
      <w:bookmarkEnd w:id="770"/>
      <w:r>
        <w:rPr>
          <w:color w:val="000000"/>
          <w:spacing w:val="0"/>
          <w:w w:val="100"/>
          <w:position w:val="0"/>
        </w:rPr>
        <w:t>、</w:t>
        <w:tab/>
        <w:t>重要会计政策及会计估计</w:t>
      </w:r>
      <w:bookmarkEnd w:id="768"/>
      <w:bookmarkEnd w:id="769"/>
      <w:bookmarkEnd w:id="771"/>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14"/>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368" w:val="left"/>
        </w:tabs>
        <w:bidi w:val="0"/>
        <w:spacing w:before="0" w:after="300" w:line="312"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color w:val="000000"/>
          <w:spacing w:val="0"/>
          <w:w w:val="100"/>
          <w:position w:val="0"/>
        </w:rPr>
        <w:t>、</w:t>
        <w:tab/>
        <w:t>遵循企业会计准则的声明</w:t>
      </w:r>
      <w:bookmarkEnd w:id="772"/>
      <w:bookmarkEnd w:id="773"/>
      <w:bookmarkEnd w:id="775"/>
    </w:p>
    <w:p>
      <w:pPr>
        <w:pStyle w:val="Style14"/>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本公司所编制的财务报表符合企业会计准则的要求，真实、完整地反映了报告期公司的财务状况、经 营成果、现金流量等有关信息。</w:t>
      </w:r>
    </w:p>
    <w:p>
      <w:pPr>
        <w:pStyle w:val="Style33"/>
        <w:keepNext/>
        <w:keepLines/>
        <w:widowControl w:val="0"/>
        <w:shd w:val="clear" w:color="auto" w:fill="auto"/>
        <w:tabs>
          <w:tab w:pos="378" w:val="left"/>
        </w:tabs>
        <w:bidi w:val="0"/>
        <w:spacing w:before="0" w:after="200" w:line="326"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color w:val="000000"/>
          <w:spacing w:val="0"/>
          <w:w w:val="100"/>
          <w:position w:val="0"/>
        </w:rPr>
        <w:t>、</w:t>
        <w:tab/>
        <w:t>会计期间</w:t>
      </w:r>
      <w:bookmarkEnd w:id="776"/>
      <w:bookmarkEnd w:id="777"/>
      <w:bookmarkEnd w:id="779"/>
    </w:p>
    <w:p>
      <w:pPr>
        <w:pStyle w:val="Style14"/>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33"/>
        <w:keepNext/>
        <w:keepLines/>
        <w:widowControl w:val="0"/>
        <w:shd w:val="clear" w:color="auto" w:fill="auto"/>
        <w:tabs>
          <w:tab w:pos="378" w:val="left"/>
        </w:tabs>
        <w:bidi w:val="0"/>
        <w:spacing w:before="0" w:after="200" w:line="326"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3</w:t>
      </w:r>
      <w:bookmarkEnd w:id="782"/>
      <w:r>
        <w:rPr>
          <w:color w:val="000000"/>
          <w:spacing w:val="0"/>
          <w:w w:val="100"/>
          <w:position w:val="0"/>
        </w:rPr>
        <w:t>、</w:t>
        <w:tab/>
        <w:t>营业周期</w:t>
      </w:r>
      <w:bookmarkEnd w:id="780"/>
      <w:bookmarkEnd w:id="781"/>
      <w:bookmarkEnd w:id="783"/>
    </w:p>
    <w:p>
      <w:pPr>
        <w:pStyle w:val="Style14"/>
        <w:keepNext w:val="0"/>
        <w:keepLines w:val="0"/>
        <w:widowControl w:val="0"/>
        <w:shd w:val="clear" w:color="auto" w:fill="auto"/>
        <w:bidi w:val="0"/>
        <w:spacing w:before="0" w:after="380" w:line="317" w:lineRule="exact"/>
        <w:ind w:left="0" w:right="0" w:firstLine="360"/>
        <w:jc w:val="left"/>
        <w:rPr>
          <w:sz w:val="20"/>
          <w:szCs w:val="20"/>
        </w:rPr>
      </w:pPr>
      <w:r>
        <w:rPr>
          <w:color w:val="000000"/>
          <w:spacing w:val="0"/>
          <w:w w:val="100"/>
          <w:position w:val="0"/>
          <w:sz w:val="20"/>
          <w:szCs w:val="2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个月作为一 个营业周期，并以其作为资产和负债的流动性划分标准。</w:t>
      </w:r>
    </w:p>
    <w:p>
      <w:pPr>
        <w:pStyle w:val="Style33"/>
        <w:keepNext/>
        <w:keepLines/>
        <w:widowControl w:val="0"/>
        <w:shd w:val="clear" w:color="auto" w:fill="auto"/>
        <w:tabs>
          <w:tab w:pos="378" w:val="left"/>
        </w:tabs>
        <w:bidi w:val="0"/>
        <w:spacing w:before="0" w:after="200" w:line="326"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4</w:t>
      </w:r>
      <w:bookmarkEnd w:id="786"/>
      <w:r>
        <w:rPr>
          <w:color w:val="000000"/>
          <w:spacing w:val="0"/>
          <w:w w:val="100"/>
          <w:position w:val="0"/>
        </w:rPr>
        <w:t>、</w:t>
        <w:tab/>
        <w:t>记账本位币</w:t>
      </w:r>
      <w:bookmarkEnd w:id="784"/>
      <w:bookmarkEnd w:id="785"/>
      <w:bookmarkEnd w:id="787"/>
    </w:p>
    <w:p>
      <w:pPr>
        <w:pStyle w:val="Style14"/>
        <w:keepNext w:val="0"/>
        <w:keepLines w:val="0"/>
        <w:widowControl w:val="0"/>
        <w:shd w:val="clear" w:color="auto" w:fill="auto"/>
        <w:bidi w:val="0"/>
        <w:spacing w:before="0" w:after="340" w:line="312" w:lineRule="exact"/>
        <w:ind w:left="0" w:right="0" w:firstLine="440"/>
        <w:jc w:val="both"/>
        <w:rPr>
          <w:sz w:val="20"/>
          <w:szCs w:val="20"/>
        </w:rPr>
      </w:pPr>
      <w:r>
        <w:rPr>
          <w:color w:val="000000"/>
          <w:spacing w:val="0"/>
          <w:w w:val="100"/>
          <w:position w:val="0"/>
          <w:sz w:val="20"/>
          <w:szCs w:val="20"/>
        </w:rPr>
        <w:t>采用人民币为记账本位币。</w:t>
      </w:r>
    </w:p>
    <w:p>
      <w:pPr>
        <w:pStyle w:val="Style33"/>
        <w:keepNext/>
        <w:keepLines/>
        <w:widowControl w:val="0"/>
        <w:shd w:val="clear" w:color="auto" w:fill="auto"/>
        <w:bidi w:val="0"/>
        <w:spacing w:before="0" w:after="300" w:line="313" w:lineRule="exact"/>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5</w:t>
      </w:r>
      <w:bookmarkEnd w:id="790"/>
      <w:r>
        <w:rPr>
          <w:color w:val="000000"/>
          <w:spacing w:val="0"/>
          <w:w w:val="100"/>
          <w:position w:val="0"/>
        </w:rPr>
        <w:t>、同一控制下和非同一控制下企业合并的会计处理方法</w:t>
      </w:r>
      <w:bookmarkEnd w:id="788"/>
      <w:bookmarkEnd w:id="789"/>
      <w:bookmarkEnd w:id="791"/>
    </w:p>
    <w:p>
      <w:pPr>
        <w:pStyle w:val="Style14"/>
        <w:keepNext w:val="0"/>
        <w:keepLines w:val="0"/>
        <w:widowControl w:val="0"/>
        <w:shd w:val="clear" w:color="auto" w:fill="auto"/>
        <w:tabs>
          <w:tab w:pos="1011" w:val="left"/>
        </w:tabs>
        <w:bidi w:val="0"/>
        <w:spacing w:before="0" w:after="0" w:line="313" w:lineRule="exact"/>
        <w:ind w:left="0" w:right="0" w:firstLine="440"/>
        <w:jc w:val="both"/>
        <w:rPr>
          <w:sz w:val="20"/>
          <w:szCs w:val="20"/>
        </w:rPr>
      </w:pPr>
      <w:bookmarkStart w:id="792" w:name="bookmark792"/>
      <w:r>
        <w:rPr>
          <w:b/>
          <w:bCs/>
          <w:color w:val="000000"/>
          <w:spacing w:val="0"/>
          <w:w w:val="100"/>
          <w:position w:val="0"/>
          <w:sz w:val="20"/>
          <w:szCs w:val="20"/>
        </w:rPr>
        <w:t>（</w:t>
      </w:r>
      <w:bookmarkEnd w:id="79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分步实现企业合并过程中的各项交易的条款、条件以及经济影响符合以下一种或多种情况，将 多次交易事项作为一揽子交易进行会计处理</w:t>
      </w:r>
    </w:p>
    <w:p>
      <w:pPr>
        <w:pStyle w:val="Style14"/>
        <w:keepNext w:val="0"/>
        <w:keepLines w:val="0"/>
        <w:widowControl w:val="0"/>
        <w:numPr>
          <w:ilvl w:val="0"/>
          <w:numId w:val="21"/>
        </w:numPr>
        <w:shd w:val="clear" w:color="auto" w:fill="auto"/>
        <w:tabs>
          <w:tab w:pos="822" w:val="left"/>
        </w:tabs>
        <w:bidi w:val="0"/>
        <w:spacing w:before="0" w:after="0" w:line="313" w:lineRule="exact"/>
        <w:ind w:left="0" w:right="0" w:firstLine="440"/>
        <w:jc w:val="both"/>
        <w:rPr>
          <w:sz w:val="20"/>
          <w:szCs w:val="20"/>
        </w:rPr>
      </w:pPr>
      <w:bookmarkStart w:id="793" w:name="bookmark793"/>
      <w:bookmarkEnd w:id="793"/>
      <w:r>
        <w:rPr>
          <w:color w:val="000000"/>
          <w:spacing w:val="0"/>
          <w:w w:val="100"/>
          <w:position w:val="0"/>
          <w:sz w:val="20"/>
          <w:szCs w:val="20"/>
        </w:rPr>
        <w:t>这些交易是同时或者在考虑了彼此影响的情况下订立的；</w:t>
      </w:r>
    </w:p>
    <w:p>
      <w:pPr>
        <w:pStyle w:val="Style14"/>
        <w:keepNext w:val="0"/>
        <w:keepLines w:val="0"/>
        <w:widowControl w:val="0"/>
        <w:numPr>
          <w:ilvl w:val="0"/>
          <w:numId w:val="21"/>
        </w:numPr>
        <w:shd w:val="clear" w:color="auto" w:fill="auto"/>
        <w:tabs>
          <w:tab w:pos="827" w:val="left"/>
        </w:tabs>
        <w:bidi w:val="0"/>
        <w:spacing w:before="0" w:after="0" w:line="313" w:lineRule="exact"/>
        <w:ind w:left="0" w:right="0" w:firstLine="440"/>
        <w:jc w:val="both"/>
        <w:rPr>
          <w:sz w:val="20"/>
          <w:szCs w:val="20"/>
        </w:rPr>
      </w:pPr>
      <w:bookmarkStart w:id="794" w:name="bookmark794"/>
      <w:bookmarkEnd w:id="794"/>
      <w:r>
        <w:rPr>
          <w:color w:val="000000"/>
          <w:spacing w:val="0"/>
          <w:w w:val="100"/>
          <w:position w:val="0"/>
          <w:sz w:val="20"/>
          <w:szCs w:val="20"/>
        </w:rPr>
        <w:t>这些交易整体才能达成一项完整的商业结果；</w:t>
      </w:r>
    </w:p>
    <w:p>
      <w:pPr>
        <w:pStyle w:val="Style14"/>
        <w:keepNext w:val="0"/>
        <w:keepLines w:val="0"/>
        <w:widowControl w:val="0"/>
        <w:numPr>
          <w:ilvl w:val="0"/>
          <w:numId w:val="21"/>
        </w:numPr>
        <w:shd w:val="clear" w:color="auto" w:fill="auto"/>
        <w:tabs>
          <w:tab w:pos="827" w:val="left"/>
        </w:tabs>
        <w:bidi w:val="0"/>
        <w:spacing w:before="0" w:after="0" w:line="313" w:lineRule="exact"/>
        <w:ind w:left="0" w:right="0" w:firstLine="440"/>
        <w:jc w:val="both"/>
        <w:rPr>
          <w:sz w:val="20"/>
          <w:szCs w:val="20"/>
        </w:rPr>
      </w:pPr>
      <w:bookmarkStart w:id="795" w:name="bookmark795"/>
      <w:bookmarkEnd w:id="795"/>
      <w:r>
        <w:rPr>
          <w:color w:val="000000"/>
          <w:spacing w:val="0"/>
          <w:w w:val="100"/>
          <w:position w:val="0"/>
          <w:sz w:val="20"/>
          <w:szCs w:val="20"/>
        </w:rPr>
        <w:t>一项交易的发生取决于其他至少一项交易的发生；</w:t>
      </w:r>
    </w:p>
    <w:p>
      <w:pPr>
        <w:pStyle w:val="Style14"/>
        <w:keepNext w:val="0"/>
        <w:keepLines w:val="0"/>
        <w:widowControl w:val="0"/>
        <w:numPr>
          <w:ilvl w:val="0"/>
          <w:numId w:val="21"/>
        </w:numPr>
        <w:shd w:val="clear" w:color="auto" w:fill="auto"/>
        <w:tabs>
          <w:tab w:pos="827" w:val="left"/>
        </w:tabs>
        <w:bidi w:val="0"/>
        <w:spacing w:before="0" w:after="0" w:line="313" w:lineRule="exact"/>
        <w:ind w:left="0" w:right="0" w:firstLine="440"/>
        <w:jc w:val="both"/>
        <w:rPr>
          <w:sz w:val="20"/>
          <w:szCs w:val="20"/>
        </w:rPr>
      </w:pPr>
      <w:bookmarkStart w:id="796" w:name="bookmark796"/>
      <w:bookmarkEnd w:id="796"/>
      <w:r>
        <w:rPr>
          <w:color w:val="000000"/>
          <w:spacing w:val="0"/>
          <w:w w:val="100"/>
          <w:position w:val="0"/>
          <w:sz w:val="20"/>
          <w:szCs w:val="20"/>
        </w:rPr>
        <w:t>一项交易单独看是不经济的，但是和其他交易一并考虑时是经济的。</w:t>
      </w:r>
    </w:p>
    <w:p>
      <w:pPr>
        <w:pStyle w:val="Style14"/>
        <w:keepNext w:val="0"/>
        <w:keepLines w:val="0"/>
        <w:widowControl w:val="0"/>
        <w:shd w:val="clear" w:color="auto" w:fill="auto"/>
        <w:tabs>
          <w:tab w:pos="923" w:val="left"/>
        </w:tabs>
        <w:bidi w:val="0"/>
        <w:spacing w:before="0" w:after="0" w:line="313" w:lineRule="exact"/>
        <w:ind w:left="0" w:right="0" w:firstLine="440"/>
        <w:jc w:val="both"/>
        <w:rPr>
          <w:sz w:val="20"/>
          <w:szCs w:val="20"/>
        </w:rPr>
      </w:pPr>
      <w:bookmarkStart w:id="797" w:name="bookmark797"/>
      <w:r>
        <w:rPr>
          <w:b/>
          <w:bCs/>
          <w:color w:val="000000"/>
          <w:spacing w:val="0"/>
          <w:w w:val="100"/>
          <w:position w:val="0"/>
          <w:sz w:val="20"/>
          <w:szCs w:val="20"/>
        </w:rPr>
        <w:t>（</w:t>
      </w:r>
      <w:bookmarkEnd w:id="79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同一控制下的企业合并</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如果存在或有对价并需要确认预计负债或资产，该预计负债或资产金额与后续或有对价结算金额的差 额，调整资本公积（资本溢价或股本溢价），资本公积不足的，调整留存收益。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14"/>
        <w:keepNext w:val="0"/>
        <w:keepLines w:val="0"/>
        <w:widowControl w:val="0"/>
        <w:shd w:val="clear" w:color="auto" w:fill="auto"/>
        <w:tabs>
          <w:tab w:pos="923" w:val="left"/>
        </w:tabs>
        <w:bidi w:val="0"/>
        <w:spacing w:before="0" w:after="0" w:line="313" w:lineRule="exact"/>
        <w:ind w:left="0" w:right="0" w:firstLine="440"/>
        <w:jc w:val="both"/>
        <w:rPr>
          <w:sz w:val="20"/>
          <w:szCs w:val="20"/>
        </w:rPr>
      </w:pPr>
      <w:bookmarkStart w:id="798" w:name="bookmark798"/>
      <w:r>
        <w:rPr>
          <w:b/>
          <w:bCs/>
          <w:color w:val="000000"/>
          <w:spacing w:val="0"/>
          <w:w w:val="100"/>
          <w:position w:val="0"/>
          <w:sz w:val="20"/>
          <w:szCs w:val="20"/>
        </w:rPr>
        <w:t>（</w:t>
      </w:r>
      <w:bookmarkEnd w:id="79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非同一控制下的企业合并</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购买日是指本公司实际取得对被购买方控制权的日期，即被购买方的净资产或生产经营决策的控制权 转移给本公司的日期。同时满足下列条件时，本公司一般认为实现了控制权的转移：</w:t>
      </w:r>
    </w:p>
    <w:p>
      <w:pPr>
        <w:pStyle w:val="Style14"/>
        <w:keepNext w:val="0"/>
        <w:keepLines w:val="0"/>
        <w:widowControl w:val="0"/>
        <w:numPr>
          <w:ilvl w:val="0"/>
          <w:numId w:val="23"/>
        </w:numPr>
        <w:shd w:val="clear" w:color="auto" w:fill="auto"/>
        <w:tabs>
          <w:tab w:pos="822" w:val="left"/>
        </w:tabs>
        <w:bidi w:val="0"/>
        <w:spacing w:before="0" w:after="0" w:line="313" w:lineRule="exact"/>
        <w:ind w:left="0" w:right="0" w:firstLine="440"/>
        <w:jc w:val="both"/>
        <w:rPr>
          <w:sz w:val="20"/>
          <w:szCs w:val="20"/>
        </w:rPr>
      </w:pPr>
      <w:bookmarkStart w:id="799" w:name="bookmark799"/>
      <w:bookmarkEnd w:id="799"/>
      <w:r>
        <w:rPr>
          <w:color w:val="000000"/>
          <w:spacing w:val="0"/>
          <w:w w:val="100"/>
          <w:position w:val="0"/>
          <w:sz w:val="20"/>
          <w:szCs w:val="20"/>
        </w:rPr>
        <w:t>企业合并合同或协议已获本公司内部权力机构通过。</w:t>
      </w:r>
    </w:p>
    <w:p>
      <w:pPr>
        <w:pStyle w:val="Style14"/>
        <w:keepNext w:val="0"/>
        <w:keepLines w:val="0"/>
        <w:widowControl w:val="0"/>
        <w:numPr>
          <w:ilvl w:val="0"/>
          <w:numId w:val="23"/>
        </w:numPr>
        <w:shd w:val="clear" w:color="auto" w:fill="auto"/>
        <w:tabs>
          <w:tab w:pos="827" w:val="left"/>
        </w:tabs>
        <w:bidi w:val="0"/>
        <w:spacing w:before="0" w:after="0" w:line="313" w:lineRule="exact"/>
        <w:ind w:left="0" w:right="0" w:firstLine="440"/>
        <w:jc w:val="both"/>
        <w:rPr>
          <w:sz w:val="20"/>
          <w:szCs w:val="20"/>
        </w:rPr>
      </w:pPr>
      <w:bookmarkStart w:id="800" w:name="bookmark800"/>
      <w:bookmarkEnd w:id="800"/>
      <w:r>
        <w:rPr>
          <w:color w:val="000000"/>
          <w:spacing w:val="0"/>
          <w:w w:val="100"/>
          <w:position w:val="0"/>
          <w:sz w:val="20"/>
          <w:szCs w:val="20"/>
        </w:rPr>
        <w:t>企业合并事项需要经过国家有关主管部门审批的，已获得批准。</w:t>
      </w:r>
    </w:p>
    <w:p>
      <w:pPr>
        <w:pStyle w:val="Style14"/>
        <w:keepNext w:val="0"/>
        <w:keepLines w:val="0"/>
        <w:widowControl w:val="0"/>
        <w:numPr>
          <w:ilvl w:val="0"/>
          <w:numId w:val="23"/>
        </w:numPr>
        <w:shd w:val="clear" w:color="auto" w:fill="auto"/>
        <w:tabs>
          <w:tab w:pos="827" w:val="left"/>
        </w:tabs>
        <w:bidi w:val="0"/>
        <w:spacing w:before="0" w:after="0" w:line="313" w:lineRule="exact"/>
        <w:ind w:left="0" w:right="0" w:firstLine="440"/>
        <w:jc w:val="both"/>
        <w:rPr>
          <w:sz w:val="20"/>
          <w:szCs w:val="20"/>
        </w:rPr>
      </w:pPr>
      <w:bookmarkStart w:id="801" w:name="bookmark801"/>
      <w:bookmarkEnd w:id="801"/>
      <w:r>
        <w:rPr>
          <w:color w:val="000000"/>
          <w:spacing w:val="0"/>
          <w:w w:val="100"/>
          <w:position w:val="0"/>
          <w:sz w:val="20"/>
          <w:szCs w:val="20"/>
        </w:rPr>
        <w:t>已办理了必要的财产权转移手续。</w:t>
      </w:r>
    </w:p>
    <w:p>
      <w:pPr>
        <w:pStyle w:val="Style14"/>
        <w:keepNext w:val="0"/>
        <w:keepLines w:val="0"/>
        <w:widowControl w:val="0"/>
        <w:numPr>
          <w:ilvl w:val="0"/>
          <w:numId w:val="23"/>
        </w:numPr>
        <w:shd w:val="clear" w:color="auto" w:fill="auto"/>
        <w:tabs>
          <w:tab w:pos="827" w:val="left"/>
        </w:tabs>
        <w:bidi w:val="0"/>
        <w:spacing w:before="0" w:after="0" w:line="313" w:lineRule="exact"/>
        <w:ind w:left="0" w:right="0" w:firstLine="440"/>
        <w:jc w:val="both"/>
        <w:rPr>
          <w:sz w:val="20"/>
          <w:szCs w:val="20"/>
        </w:rPr>
      </w:pPr>
      <w:bookmarkStart w:id="802" w:name="bookmark802"/>
      <w:bookmarkEnd w:id="802"/>
      <w:r>
        <w:rPr>
          <w:color w:val="000000"/>
          <w:spacing w:val="0"/>
          <w:w w:val="100"/>
          <w:position w:val="0"/>
          <w:sz w:val="20"/>
          <w:szCs w:val="20"/>
        </w:rPr>
        <w:t>本公司已支付了合并价款的大部分，并且有能力、有计划支付剩余款项。</w:t>
      </w:r>
    </w:p>
    <w:p>
      <w:pPr>
        <w:pStyle w:val="Style14"/>
        <w:keepNext w:val="0"/>
        <w:keepLines w:val="0"/>
        <w:widowControl w:val="0"/>
        <w:numPr>
          <w:ilvl w:val="0"/>
          <w:numId w:val="23"/>
        </w:numPr>
        <w:shd w:val="clear" w:color="auto" w:fill="auto"/>
        <w:tabs>
          <w:tab w:pos="827" w:val="left"/>
        </w:tabs>
        <w:bidi w:val="0"/>
        <w:spacing w:before="0" w:after="0" w:line="313" w:lineRule="exact"/>
        <w:ind w:left="0" w:right="0" w:firstLine="440"/>
        <w:jc w:val="both"/>
        <w:rPr>
          <w:sz w:val="20"/>
          <w:szCs w:val="20"/>
        </w:rPr>
      </w:pPr>
      <w:bookmarkStart w:id="803" w:name="bookmark803"/>
      <w:bookmarkEnd w:id="803"/>
      <w:r>
        <w:rPr>
          <w:color w:val="000000"/>
          <w:spacing w:val="0"/>
          <w:w w:val="100"/>
          <w:position w:val="0"/>
          <w:sz w:val="20"/>
          <w:szCs w:val="20"/>
        </w:rPr>
        <w:t>本公司实际上已经控制了被购买方的财务和经营政策，并享有相应的利益、承担相应的风险。</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本公司在购买日对作为企业合并对价付出的资产、发生或承担的负债按照公允价值计量，公允价值与 其账面价值的差额，计入当期损益。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14"/>
        <w:keepNext w:val="0"/>
        <w:keepLines w:val="0"/>
        <w:widowControl w:val="0"/>
        <w:shd w:val="clear" w:color="auto" w:fill="auto"/>
        <w:tabs>
          <w:tab w:pos="923" w:val="left"/>
        </w:tabs>
        <w:bidi w:val="0"/>
        <w:spacing w:before="0" w:after="0" w:line="313" w:lineRule="exact"/>
        <w:ind w:left="0" w:right="0" w:firstLine="440"/>
        <w:jc w:val="both"/>
        <w:rPr>
          <w:sz w:val="20"/>
          <w:szCs w:val="20"/>
        </w:rPr>
      </w:pPr>
      <w:bookmarkStart w:id="804" w:name="bookmark804"/>
      <w:r>
        <w:rPr>
          <w:b/>
          <w:bCs/>
          <w:color w:val="000000"/>
          <w:spacing w:val="0"/>
          <w:w w:val="100"/>
          <w:position w:val="0"/>
          <w:sz w:val="20"/>
          <w:szCs w:val="20"/>
        </w:rPr>
        <w:t>（</w:t>
      </w:r>
      <w:bookmarkEnd w:id="80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为合并发生的相关费用</w:t>
      </w:r>
    </w:p>
    <w:p>
      <w:pPr>
        <w:pStyle w:val="Style14"/>
        <w:keepNext w:val="0"/>
        <w:keepLines w:val="0"/>
        <w:widowControl w:val="0"/>
        <w:shd w:val="clear" w:color="auto" w:fill="auto"/>
        <w:bidi w:val="0"/>
        <w:spacing w:before="0" w:after="940" w:line="307" w:lineRule="exact"/>
        <w:ind w:left="0" w:right="0" w:firstLine="440"/>
        <w:jc w:val="both"/>
        <w:rPr>
          <w:sz w:val="20"/>
          <w:szCs w:val="20"/>
        </w:rPr>
      </w:pPr>
      <w:r>
        <w:rPr>
          <w:color w:val="000000"/>
          <w:spacing w:val="0"/>
          <w:w w:val="100"/>
          <w:position w:val="0"/>
          <w:sz w:val="20"/>
          <w:szCs w:val="2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3"/>
        <w:keepNext/>
        <w:keepLines/>
        <w:widowControl w:val="0"/>
        <w:shd w:val="clear" w:color="auto" w:fill="auto"/>
        <w:bidi w:val="0"/>
        <w:spacing w:before="0" w:after="300" w:line="312" w:lineRule="exact"/>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6</w:t>
      </w:r>
      <w:bookmarkEnd w:id="807"/>
      <w:r>
        <w:rPr>
          <w:color w:val="000000"/>
          <w:spacing w:val="0"/>
          <w:w w:val="100"/>
          <w:position w:val="0"/>
        </w:rPr>
        <w:t>、合并财务报表的编制方法</w:t>
      </w:r>
      <w:bookmarkEnd w:id="805"/>
      <w:bookmarkEnd w:id="806"/>
      <w:bookmarkEnd w:id="808"/>
    </w:p>
    <w:p>
      <w:pPr>
        <w:pStyle w:val="Style33"/>
        <w:keepNext/>
        <w:keepLines/>
        <w:widowControl w:val="0"/>
        <w:shd w:val="clear" w:color="auto" w:fill="auto"/>
        <w:tabs>
          <w:tab w:pos="888" w:val="left"/>
        </w:tabs>
        <w:bidi w:val="0"/>
        <w:spacing w:before="0" w:after="0" w:line="312" w:lineRule="exact"/>
        <w:ind w:left="0" w:right="0" w:firstLine="440"/>
        <w:jc w:val="both"/>
      </w:pPr>
      <w:bookmarkStart w:id="805" w:name="bookmark805"/>
      <w:bookmarkStart w:id="806" w:name="bookmark806"/>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bookmarkEnd w:id="805"/>
      <w:bookmarkEnd w:id="806"/>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本公司合并财务报表的合并范围以控制为基础确定，所有子公司（包括本公司所控制的单独主体）均 纳入合并财务报表。</w:t>
      </w:r>
    </w:p>
    <w:p>
      <w:pPr>
        <w:pStyle w:val="Style14"/>
        <w:keepNext w:val="0"/>
        <w:keepLines w:val="0"/>
        <w:widowControl w:val="0"/>
        <w:shd w:val="clear" w:color="auto" w:fill="auto"/>
        <w:tabs>
          <w:tab w:pos="888" w:val="left"/>
        </w:tabs>
        <w:bidi w:val="0"/>
        <w:spacing w:before="0" w:after="0" w:line="312" w:lineRule="exact"/>
        <w:ind w:left="0" w:right="0" w:firstLine="440"/>
        <w:jc w:val="both"/>
        <w:rPr>
          <w:sz w:val="20"/>
          <w:szCs w:val="20"/>
        </w:rPr>
      </w:pPr>
      <w:bookmarkStart w:id="810" w:name="bookmark810"/>
      <w:r>
        <w:rPr>
          <w:b/>
          <w:bCs/>
          <w:color w:val="000000"/>
          <w:spacing w:val="0"/>
          <w:w w:val="100"/>
          <w:position w:val="0"/>
          <w:sz w:val="20"/>
          <w:szCs w:val="20"/>
        </w:rPr>
        <w:t>（</w:t>
      </w:r>
      <w:bookmarkEnd w:id="81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合并程序</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对于同一控制下企业合并取得的子公司，以其资产、负债（包括最终控制方收购该子公司而形成的商 誉）在最终控制方财务报表中的账面价值为基础对其财务报表进行调整。</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对于非同一控制下企业合并取得的子公司，以购买日可辨认净资产公允价值为基础对其财务报表进行 调整</w:t>
      </w:r>
    </w:p>
    <w:p>
      <w:pPr>
        <w:pStyle w:val="Style14"/>
        <w:keepNext w:val="0"/>
        <w:keepLines w:val="0"/>
        <w:widowControl w:val="0"/>
        <w:numPr>
          <w:ilvl w:val="0"/>
          <w:numId w:val="25"/>
        </w:numPr>
        <w:shd w:val="clear" w:color="auto" w:fill="auto"/>
        <w:bidi w:val="0"/>
        <w:spacing w:before="0" w:after="0" w:line="312" w:lineRule="exact"/>
        <w:ind w:left="0" w:right="0" w:firstLine="440"/>
        <w:jc w:val="both"/>
        <w:rPr>
          <w:sz w:val="20"/>
          <w:szCs w:val="20"/>
        </w:rPr>
      </w:pPr>
      <w:bookmarkStart w:id="811" w:name="bookmark811"/>
      <w:bookmarkEnd w:id="811"/>
      <w:r>
        <w:rPr>
          <w:color w:val="000000"/>
          <w:spacing w:val="0"/>
          <w:w w:val="100"/>
          <w:position w:val="0"/>
          <w:sz w:val="20"/>
          <w:szCs w:val="20"/>
        </w:rPr>
        <w:t>增加子公司或业务</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14"/>
        <w:keepNext w:val="0"/>
        <w:keepLines w:val="0"/>
        <w:widowControl w:val="0"/>
        <w:numPr>
          <w:ilvl w:val="0"/>
          <w:numId w:val="25"/>
        </w:numPr>
        <w:shd w:val="clear" w:color="auto" w:fill="auto"/>
        <w:tabs>
          <w:tab w:pos="837" w:val="left"/>
        </w:tabs>
        <w:bidi w:val="0"/>
        <w:spacing w:before="0" w:after="80" w:line="314" w:lineRule="exact"/>
        <w:ind w:left="0" w:right="0" w:firstLine="440"/>
        <w:jc w:val="left"/>
        <w:rPr>
          <w:sz w:val="20"/>
          <w:szCs w:val="20"/>
        </w:rPr>
      </w:pPr>
      <w:bookmarkStart w:id="812" w:name="bookmark812"/>
      <w:bookmarkEnd w:id="812"/>
      <w:r>
        <w:rPr>
          <w:color w:val="000000"/>
          <w:spacing w:val="0"/>
          <w:w w:val="100"/>
          <w:position w:val="0"/>
          <w:sz w:val="20"/>
          <w:szCs w:val="20"/>
        </w:rPr>
        <w:t>处置子公司或业务</w:t>
      </w:r>
    </w:p>
    <w:p>
      <w:pPr>
        <w:pStyle w:val="Style14"/>
        <w:keepNext w:val="0"/>
        <w:keepLines w:val="0"/>
        <w:widowControl w:val="0"/>
        <w:shd w:val="clear" w:color="auto" w:fill="auto"/>
        <w:tabs>
          <w:tab w:pos="813" w:val="left"/>
        </w:tabs>
        <w:bidi w:val="0"/>
        <w:spacing w:before="0" w:after="0" w:line="329" w:lineRule="auto"/>
        <w:ind w:left="0" w:right="0" w:firstLine="440"/>
        <w:jc w:val="left"/>
        <w:rPr>
          <w:sz w:val="20"/>
          <w:szCs w:val="20"/>
        </w:rPr>
      </w:pPr>
      <w:bookmarkStart w:id="813" w:name="bookmark813"/>
      <w:r>
        <w:rPr>
          <w:rFonts w:ascii="Times New Roman" w:eastAsia="Times New Roman" w:hAnsi="Times New Roman" w:cs="Times New Roman"/>
          <w:color w:val="000000"/>
          <w:spacing w:val="0"/>
          <w:w w:val="100"/>
          <w:position w:val="0"/>
          <w:sz w:val="20"/>
          <w:szCs w:val="20"/>
        </w:rPr>
        <w:t>1</w:t>
      </w:r>
      <w:bookmarkEnd w:id="813"/>
      <w:r>
        <w:rPr>
          <w:color w:val="000000"/>
          <w:spacing w:val="0"/>
          <w:w w:val="100"/>
          <w:position w:val="0"/>
          <w:sz w:val="20"/>
          <w:szCs w:val="20"/>
        </w:rPr>
        <w:t>）</w:t>
        <w:tab/>
        <w:t>一般处理方法</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在报告期内，本公司处置子公司或业务，则该子公司或业务期初至处置日的收入、费用、利润纳入合 并利润表；该子公司或业务期初至处置日的现金流量纳入合并现金流量表。</w:t>
      </w:r>
    </w:p>
    <w:p>
      <w:pPr>
        <w:pStyle w:val="Style1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14"/>
        <w:keepNext w:val="0"/>
        <w:keepLines w:val="0"/>
        <w:widowControl w:val="0"/>
        <w:shd w:val="clear" w:color="auto" w:fill="auto"/>
        <w:tabs>
          <w:tab w:pos="832" w:val="left"/>
        </w:tabs>
        <w:bidi w:val="0"/>
        <w:spacing w:before="0" w:after="0" w:line="329" w:lineRule="auto"/>
        <w:ind w:left="0" w:right="0" w:firstLine="440"/>
        <w:jc w:val="both"/>
        <w:rPr>
          <w:sz w:val="20"/>
          <w:szCs w:val="20"/>
        </w:rPr>
      </w:pPr>
      <w:bookmarkStart w:id="814" w:name="bookmark814"/>
      <w:r>
        <w:rPr>
          <w:rFonts w:ascii="Times New Roman" w:eastAsia="Times New Roman" w:hAnsi="Times New Roman" w:cs="Times New Roman"/>
          <w:color w:val="000000"/>
          <w:spacing w:val="0"/>
          <w:w w:val="100"/>
          <w:position w:val="0"/>
          <w:sz w:val="20"/>
          <w:szCs w:val="20"/>
        </w:rPr>
        <w:t>2</w:t>
      </w:r>
      <w:bookmarkEnd w:id="814"/>
      <w:r>
        <w:rPr>
          <w:color w:val="000000"/>
          <w:spacing w:val="0"/>
          <w:w w:val="100"/>
          <w:position w:val="0"/>
          <w:sz w:val="20"/>
          <w:szCs w:val="20"/>
        </w:rPr>
        <w:t>）</w:t>
        <w:tab/>
        <w:t>分步处置子公司</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14"/>
        <w:keepNext w:val="0"/>
        <w:keepLines w:val="0"/>
        <w:widowControl w:val="0"/>
        <w:numPr>
          <w:ilvl w:val="0"/>
          <w:numId w:val="27"/>
        </w:numPr>
        <w:shd w:val="clear" w:color="auto" w:fill="auto"/>
        <w:tabs>
          <w:tab w:pos="822" w:val="left"/>
        </w:tabs>
        <w:bidi w:val="0"/>
        <w:spacing w:before="0" w:after="0" w:line="314" w:lineRule="exact"/>
        <w:ind w:left="0" w:right="0" w:firstLine="440"/>
        <w:jc w:val="left"/>
        <w:rPr>
          <w:sz w:val="20"/>
          <w:szCs w:val="20"/>
        </w:rPr>
      </w:pPr>
      <w:bookmarkStart w:id="815" w:name="bookmark815"/>
      <w:bookmarkEnd w:id="815"/>
      <w:r>
        <w:rPr>
          <w:color w:val="000000"/>
          <w:spacing w:val="0"/>
          <w:w w:val="100"/>
          <w:position w:val="0"/>
          <w:sz w:val="20"/>
          <w:szCs w:val="20"/>
        </w:rPr>
        <w:t>这些交易是同时或者在考虑了彼此影响的情况下订立的；</w:t>
      </w:r>
    </w:p>
    <w:p>
      <w:pPr>
        <w:pStyle w:val="Style14"/>
        <w:keepNext w:val="0"/>
        <w:keepLines w:val="0"/>
        <w:widowControl w:val="0"/>
        <w:numPr>
          <w:ilvl w:val="0"/>
          <w:numId w:val="27"/>
        </w:numPr>
        <w:shd w:val="clear" w:color="auto" w:fill="auto"/>
        <w:tabs>
          <w:tab w:pos="822" w:val="left"/>
        </w:tabs>
        <w:bidi w:val="0"/>
        <w:spacing w:before="0" w:after="0" w:line="314" w:lineRule="exact"/>
        <w:ind w:left="0" w:right="0" w:firstLine="440"/>
        <w:jc w:val="left"/>
        <w:rPr>
          <w:sz w:val="20"/>
          <w:szCs w:val="20"/>
        </w:rPr>
      </w:pPr>
      <w:bookmarkStart w:id="816" w:name="bookmark816"/>
      <w:bookmarkEnd w:id="816"/>
      <w:r>
        <w:rPr>
          <w:color w:val="000000"/>
          <w:spacing w:val="0"/>
          <w:w w:val="100"/>
          <w:position w:val="0"/>
          <w:sz w:val="20"/>
          <w:szCs w:val="20"/>
        </w:rPr>
        <w:t>这些交易整体才能达成一项完整的商业结果；</w:t>
      </w:r>
    </w:p>
    <w:p>
      <w:pPr>
        <w:pStyle w:val="Style14"/>
        <w:keepNext w:val="0"/>
        <w:keepLines w:val="0"/>
        <w:widowControl w:val="0"/>
        <w:numPr>
          <w:ilvl w:val="0"/>
          <w:numId w:val="27"/>
        </w:numPr>
        <w:shd w:val="clear" w:color="auto" w:fill="auto"/>
        <w:tabs>
          <w:tab w:pos="822" w:val="left"/>
        </w:tabs>
        <w:bidi w:val="0"/>
        <w:spacing w:before="0" w:after="0" w:line="314" w:lineRule="exact"/>
        <w:ind w:left="0" w:right="0" w:firstLine="440"/>
        <w:jc w:val="left"/>
        <w:rPr>
          <w:sz w:val="20"/>
          <w:szCs w:val="20"/>
        </w:rPr>
      </w:pPr>
      <w:bookmarkStart w:id="817" w:name="bookmark817"/>
      <w:bookmarkEnd w:id="817"/>
      <w:r>
        <w:rPr>
          <w:color w:val="000000"/>
          <w:spacing w:val="0"/>
          <w:w w:val="100"/>
          <w:position w:val="0"/>
          <w:sz w:val="20"/>
          <w:szCs w:val="20"/>
        </w:rPr>
        <w:t>一项交易的发生取决于其他至少一项交易的发生；</w:t>
      </w:r>
    </w:p>
    <w:p>
      <w:pPr>
        <w:pStyle w:val="Style14"/>
        <w:keepNext w:val="0"/>
        <w:keepLines w:val="0"/>
        <w:widowControl w:val="0"/>
        <w:numPr>
          <w:ilvl w:val="0"/>
          <w:numId w:val="27"/>
        </w:numPr>
        <w:shd w:val="clear" w:color="auto" w:fill="auto"/>
        <w:tabs>
          <w:tab w:pos="822" w:val="left"/>
        </w:tabs>
        <w:bidi w:val="0"/>
        <w:spacing w:before="0" w:after="0" w:line="314" w:lineRule="exact"/>
        <w:ind w:left="0" w:right="0" w:firstLine="440"/>
        <w:jc w:val="left"/>
        <w:rPr>
          <w:sz w:val="20"/>
          <w:szCs w:val="20"/>
        </w:rPr>
      </w:pPr>
      <w:bookmarkStart w:id="818" w:name="bookmark818"/>
      <w:bookmarkEnd w:id="818"/>
      <w:r>
        <w:rPr>
          <w:color w:val="000000"/>
          <w:spacing w:val="0"/>
          <w:w w:val="100"/>
          <w:position w:val="0"/>
          <w:sz w:val="20"/>
          <w:szCs w:val="20"/>
        </w:rPr>
        <w:t>一项交易单独看是不经济的，但是和其他交易一并考虑时是经济的。</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14"/>
        <w:keepNext w:val="0"/>
        <w:keepLines w:val="0"/>
        <w:widowControl w:val="0"/>
        <w:numPr>
          <w:ilvl w:val="0"/>
          <w:numId w:val="25"/>
        </w:numPr>
        <w:shd w:val="clear" w:color="auto" w:fill="auto"/>
        <w:tabs>
          <w:tab w:pos="837" w:val="left"/>
        </w:tabs>
        <w:bidi w:val="0"/>
        <w:spacing w:before="0" w:after="0" w:line="314" w:lineRule="exact"/>
        <w:ind w:left="0" w:right="0" w:firstLine="440"/>
        <w:jc w:val="both"/>
        <w:rPr>
          <w:sz w:val="20"/>
          <w:szCs w:val="20"/>
        </w:rPr>
      </w:pPr>
      <w:bookmarkStart w:id="819" w:name="bookmark819"/>
      <w:bookmarkEnd w:id="819"/>
      <w:r>
        <w:rPr>
          <w:color w:val="000000"/>
          <w:spacing w:val="0"/>
          <w:w w:val="100"/>
          <w:position w:val="0"/>
          <w:sz w:val="20"/>
          <w:szCs w:val="20"/>
        </w:rPr>
        <w:t>购买子公司少数股权</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14"/>
        <w:keepNext w:val="0"/>
        <w:keepLines w:val="0"/>
        <w:widowControl w:val="0"/>
        <w:numPr>
          <w:ilvl w:val="0"/>
          <w:numId w:val="25"/>
        </w:numPr>
        <w:shd w:val="clear" w:color="auto" w:fill="auto"/>
        <w:tabs>
          <w:tab w:pos="837" w:val="left"/>
        </w:tabs>
        <w:bidi w:val="0"/>
        <w:spacing w:before="0" w:after="0" w:line="314" w:lineRule="exact"/>
        <w:ind w:left="0" w:right="0" w:firstLine="440"/>
        <w:jc w:val="both"/>
        <w:rPr>
          <w:sz w:val="20"/>
          <w:szCs w:val="20"/>
        </w:rPr>
      </w:pPr>
      <w:bookmarkStart w:id="820" w:name="bookmark820"/>
      <w:bookmarkEnd w:id="820"/>
      <w:r>
        <w:rPr>
          <w:color w:val="000000"/>
          <w:spacing w:val="0"/>
          <w:w w:val="100"/>
          <w:position w:val="0"/>
          <w:sz w:val="20"/>
          <w:szCs w:val="20"/>
        </w:rPr>
        <w:t>不丧失控制权的情况下部分处置对子公司的股权投资</w:t>
      </w:r>
    </w:p>
    <w:p>
      <w:pPr>
        <w:pStyle w:val="Style14"/>
        <w:keepNext w:val="0"/>
        <w:keepLines w:val="0"/>
        <w:widowControl w:val="0"/>
        <w:shd w:val="clear" w:color="auto" w:fill="auto"/>
        <w:bidi w:val="0"/>
        <w:spacing w:before="0" w:after="600" w:line="314" w:lineRule="exact"/>
        <w:ind w:left="0" w:right="0" w:firstLine="440"/>
        <w:jc w:val="both"/>
        <w:rPr>
          <w:sz w:val="20"/>
          <w:szCs w:val="20"/>
        </w:rPr>
      </w:pPr>
      <w:r>
        <w:rPr>
          <w:color w:val="000000"/>
          <w:spacing w:val="0"/>
          <w:w w:val="100"/>
          <w:position w:val="0"/>
          <w:sz w:val="20"/>
          <w:szCs w:val="2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3"/>
        <w:keepNext/>
        <w:keepLines/>
        <w:widowControl w:val="0"/>
        <w:shd w:val="clear" w:color="auto" w:fill="auto"/>
        <w:bidi w:val="0"/>
        <w:spacing w:before="0" w:after="300" w:line="317" w:lineRule="exact"/>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、合营安排分类及共同经营会计处理方法</w:t>
      </w:r>
      <w:bookmarkEnd w:id="821"/>
      <w:bookmarkEnd w:id="822"/>
      <w:bookmarkEnd w:id="824"/>
    </w:p>
    <w:p>
      <w:pPr>
        <w:pStyle w:val="Style33"/>
        <w:keepNext/>
        <w:keepLines/>
        <w:widowControl w:val="0"/>
        <w:shd w:val="clear" w:color="auto" w:fill="auto"/>
        <w:bidi w:val="0"/>
        <w:spacing w:before="0" w:after="0" w:line="317" w:lineRule="exact"/>
        <w:ind w:left="0" w:right="0" w:firstLine="440"/>
        <w:jc w:val="both"/>
      </w:pPr>
      <w:bookmarkStart w:id="821" w:name="bookmark821"/>
      <w:bookmarkStart w:id="822" w:name="bookmark822"/>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）合营安排的分类</w:t>
      </w:r>
      <w:bookmarkEnd w:id="821"/>
      <w:bookmarkEnd w:id="822"/>
    </w:p>
    <w:p>
      <w:pPr>
        <w:pStyle w:val="Style1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本公司根据合营安排的结构、法律形式以及合营安排中约定的条款、其他相关事实和情况等因素，将 合营安排分为共同经营和合营企业。</w:t>
      </w:r>
    </w:p>
    <w:p>
      <w:pPr>
        <w:pStyle w:val="Style1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14"/>
        <w:keepNext w:val="0"/>
        <w:keepLines w:val="0"/>
        <w:widowControl w:val="0"/>
        <w:numPr>
          <w:ilvl w:val="0"/>
          <w:numId w:val="29"/>
        </w:numPr>
        <w:shd w:val="clear" w:color="auto" w:fill="auto"/>
        <w:tabs>
          <w:tab w:pos="832" w:val="left"/>
        </w:tabs>
        <w:bidi w:val="0"/>
        <w:spacing w:before="0" w:after="0" w:line="317" w:lineRule="exact"/>
        <w:ind w:left="0" w:right="0" w:firstLine="440"/>
        <w:jc w:val="left"/>
        <w:rPr>
          <w:sz w:val="20"/>
          <w:szCs w:val="20"/>
        </w:rPr>
      </w:pPr>
      <w:bookmarkStart w:id="826" w:name="bookmark826"/>
      <w:bookmarkEnd w:id="826"/>
      <w:r>
        <w:rPr>
          <w:color w:val="000000"/>
          <w:spacing w:val="0"/>
          <w:w w:val="100"/>
          <w:position w:val="0"/>
          <w:sz w:val="20"/>
          <w:szCs w:val="20"/>
        </w:rPr>
        <w:t>合营安排的法律形式表明，合营方对该安排中的相关资产和负债分别享有权利和承担义务。</w:t>
      </w:r>
    </w:p>
    <w:p>
      <w:pPr>
        <w:pStyle w:val="Style14"/>
        <w:keepNext w:val="0"/>
        <w:keepLines w:val="0"/>
        <w:widowControl w:val="0"/>
        <w:numPr>
          <w:ilvl w:val="0"/>
          <w:numId w:val="29"/>
        </w:numPr>
        <w:shd w:val="clear" w:color="auto" w:fill="auto"/>
        <w:tabs>
          <w:tab w:pos="837" w:val="left"/>
        </w:tabs>
        <w:bidi w:val="0"/>
        <w:spacing w:before="0" w:after="80" w:line="317" w:lineRule="exact"/>
        <w:ind w:left="0" w:right="0" w:firstLine="440"/>
        <w:jc w:val="left"/>
        <w:rPr>
          <w:sz w:val="20"/>
          <w:szCs w:val="20"/>
        </w:rPr>
      </w:pPr>
      <w:bookmarkStart w:id="827" w:name="bookmark827"/>
      <w:bookmarkEnd w:id="827"/>
      <w:r>
        <w:rPr>
          <w:color w:val="000000"/>
          <w:spacing w:val="0"/>
          <w:w w:val="100"/>
          <w:position w:val="0"/>
          <w:sz w:val="20"/>
          <w:szCs w:val="20"/>
        </w:rPr>
        <w:t>合营安排的合同条款约定，合营方对该安排中的相关资产和负债分别享有权利和承担义务。</w:t>
      </w:r>
    </w:p>
    <w:p>
      <w:pPr>
        <w:pStyle w:val="Style14"/>
        <w:keepNext w:val="0"/>
        <w:keepLines w:val="0"/>
        <w:widowControl w:val="0"/>
        <w:numPr>
          <w:ilvl w:val="0"/>
          <w:numId w:val="29"/>
        </w:numPr>
        <w:shd w:val="clear" w:color="auto" w:fill="auto"/>
        <w:bidi w:val="0"/>
        <w:spacing w:before="0" w:after="0" w:line="312" w:lineRule="exact"/>
        <w:ind w:left="0" w:right="0" w:firstLine="440"/>
        <w:jc w:val="both"/>
        <w:rPr>
          <w:sz w:val="20"/>
          <w:szCs w:val="20"/>
        </w:rPr>
      </w:pPr>
      <w:bookmarkStart w:id="828" w:name="bookmark828"/>
      <w:bookmarkEnd w:id="828"/>
      <w:r>
        <w:rPr>
          <w:color w:val="000000"/>
          <w:spacing w:val="0"/>
          <w:w w:val="100"/>
          <w:position w:val="0"/>
          <w:sz w:val="20"/>
          <w:szCs w:val="20"/>
        </w:rPr>
        <w:t>其他相关事实和情况表明，合营方对该安排中的相关资产和负债分别享有权利和承担义务，如合营 方享有与合营安排相关的几乎所有产出，并且该安排中负债的清偿持续依赖于合营方的支持。</w:t>
      </w:r>
    </w:p>
    <w:p>
      <w:pPr>
        <w:pStyle w:val="Style14"/>
        <w:keepNext w:val="0"/>
        <w:keepLines w:val="0"/>
        <w:widowControl w:val="0"/>
        <w:shd w:val="clear" w:color="auto" w:fill="auto"/>
        <w:bidi w:val="0"/>
        <w:spacing w:before="0" w:after="0" w:line="312" w:lineRule="exact"/>
        <w:ind w:left="0" w:right="0" w:firstLine="440"/>
        <w:jc w:val="both"/>
        <w:rPr>
          <w:sz w:val="20"/>
          <w:szCs w:val="20"/>
        </w:rPr>
      </w:pPr>
      <w:bookmarkStart w:id="829" w:name="bookmark829"/>
      <w:r>
        <w:rPr>
          <w:b/>
          <w:bCs/>
          <w:color w:val="000000"/>
          <w:spacing w:val="0"/>
          <w:w w:val="100"/>
          <w:position w:val="0"/>
          <w:sz w:val="20"/>
          <w:szCs w:val="20"/>
        </w:rPr>
        <w:t>（</w:t>
      </w:r>
      <w:bookmarkEnd w:id="82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）共同经营会计处理方法</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本公司确认共同经营中利益份额中与本公司相关的下列项目，并按照相关企业会计准则的规定进行会 计处理：</w:t>
      </w:r>
    </w:p>
    <w:p>
      <w:pPr>
        <w:pStyle w:val="Style14"/>
        <w:keepNext w:val="0"/>
        <w:keepLines w:val="0"/>
        <w:widowControl w:val="0"/>
        <w:numPr>
          <w:ilvl w:val="0"/>
          <w:numId w:val="31"/>
        </w:numPr>
        <w:shd w:val="clear" w:color="auto" w:fill="auto"/>
        <w:tabs>
          <w:tab w:pos="832" w:val="left"/>
        </w:tabs>
        <w:bidi w:val="0"/>
        <w:spacing w:before="0" w:after="0" w:line="312" w:lineRule="exact"/>
        <w:ind w:left="0" w:right="0" w:firstLine="440"/>
        <w:jc w:val="both"/>
        <w:rPr>
          <w:sz w:val="20"/>
          <w:szCs w:val="20"/>
        </w:rPr>
      </w:pPr>
      <w:bookmarkStart w:id="830" w:name="bookmark830"/>
      <w:bookmarkEnd w:id="830"/>
      <w:r>
        <w:rPr>
          <w:color w:val="000000"/>
          <w:spacing w:val="0"/>
          <w:w w:val="100"/>
          <w:position w:val="0"/>
          <w:sz w:val="20"/>
          <w:szCs w:val="20"/>
        </w:rPr>
        <w:t>确认单独所持有的资产，以及按其份额确认共同持有的资产；</w:t>
      </w:r>
    </w:p>
    <w:p>
      <w:pPr>
        <w:pStyle w:val="Style14"/>
        <w:keepNext w:val="0"/>
        <w:keepLines w:val="0"/>
        <w:widowControl w:val="0"/>
        <w:numPr>
          <w:ilvl w:val="0"/>
          <w:numId w:val="31"/>
        </w:numPr>
        <w:shd w:val="clear" w:color="auto" w:fill="auto"/>
        <w:tabs>
          <w:tab w:pos="837" w:val="left"/>
        </w:tabs>
        <w:bidi w:val="0"/>
        <w:spacing w:before="0" w:after="0" w:line="312" w:lineRule="exact"/>
        <w:ind w:left="0" w:right="0" w:firstLine="440"/>
        <w:jc w:val="both"/>
        <w:rPr>
          <w:sz w:val="20"/>
          <w:szCs w:val="20"/>
        </w:rPr>
      </w:pPr>
      <w:bookmarkStart w:id="831" w:name="bookmark831"/>
      <w:bookmarkEnd w:id="831"/>
      <w:r>
        <w:rPr>
          <w:color w:val="000000"/>
          <w:spacing w:val="0"/>
          <w:w w:val="100"/>
          <w:position w:val="0"/>
          <w:sz w:val="20"/>
          <w:szCs w:val="20"/>
        </w:rPr>
        <w:t>确认单独所承担的负债，以及按其份额确认共同承担的负债；</w:t>
      </w:r>
    </w:p>
    <w:p>
      <w:pPr>
        <w:pStyle w:val="Style14"/>
        <w:keepNext w:val="0"/>
        <w:keepLines w:val="0"/>
        <w:widowControl w:val="0"/>
        <w:numPr>
          <w:ilvl w:val="0"/>
          <w:numId w:val="31"/>
        </w:numPr>
        <w:shd w:val="clear" w:color="auto" w:fill="auto"/>
        <w:tabs>
          <w:tab w:pos="837" w:val="left"/>
        </w:tabs>
        <w:bidi w:val="0"/>
        <w:spacing w:before="0" w:after="0" w:line="312" w:lineRule="exact"/>
        <w:ind w:left="0" w:right="0" w:firstLine="440"/>
        <w:jc w:val="both"/>
        <w:rPr>
          <w:sz w:val="20"/>
          <w:szCs w:val="20"/>
        </w:rPr>
      </w:pPr>
      <w:bookmarkStart w:id="832" w:name="bookmark832"/>
      <w:bookmarkEnd w:id="832"/>
      <w:r>
        <w:rPr>
          <w:color w:val="000000"/>
          <w:spacing w:val="0"/>
          <w:w w:val="100"/>
          <w:position w:val="0"/>
          <w:sz w:val="20"/>
          <w:szCs w:val="20"/>
        </w:rPr>
        <w:t>确认出售其享有的共同经营产出份额所产生的收入；</w:t>
      </w:r>
    </w:p>
    <w:p>
      <w:pPr>
        <w:pStyle w:val="Style14"/>
        <w:keepNext w:val="0"/>
        <w:keepLines w:val="0"/>
        <w:widowControl w:val="0"/>
        <w:numPr>
          <w:ilvl w:val="0"/>
          <w:numId w:val="31"/>
        </w:numPr>
        <w:shd w:val="clear" w:color="auto" w:fill="auto"/>
        <w:tabs>
          <w:tab w:pos="837" w:val="left"/>
        </w:tabs>
        <w:bidi w:val="0"/>
        <w:spacing w:before="0" w:after="0" w:line="312" w:lineRule="exact"/>
        <w:ind w:left="0" w:right="0" w:firstLine="440"/>
        <w:jc w:val="both"/>
        <w:rPr>
          <w:sz w:val="20"/>
          <w:szCs w:val="20"/>
        </w:rPr>
      </w:pPr>
      <w:bookmarkStart w:id="833" w:name="bookmark833"/>
      <w:bookmarkEnd w:id="833"/>
      <w:r>
        <w:rPr>
          <w:color w:val="000000"/>
          <w:spacing w:val="0"/>
          <w:w w:val="100"/>
          <w:position w:val="0"/>
          <w:sz w:val="20"/>
          <w:szCs w:val="20"/>
        </w:rPr>
        <w:t>按其份额确认共同经营因出售产出所产生的收入；</w:t>
      </w:r>
    </w:p>
    <w:p>
      <w:pPr>
        <w:pStyle w:val="Style14"/>
        <w:keepNext w:val="0"/>
        <w:keepLines w:val="0"/>
        <w:widowControl w:val="0"/>
        <w:numPr>
          <w:ilvl w:val="0"/>
          <w:numId w:val="31"/>
        </w:numPr>
        <w:shd w:val="clear" w:color="auto" w:fill="auto"/>
        <w:tabs>
          <w:tab w:pos="837" w:val="left"/>
        </w:tabs>
        <w:bidi w:val="0"/>
        <w:spacing w:before="0" w:after="0" w:line="312" w:lineRule="exact"/>
        <w:ind w:left="0" w:right="0" w:firstLine="440"/>
        <w:jc w:val="both"/>
        <w:rPr>
          <w:sz w:val="20"/>
          <w:szCs w:val="20"/>
        </w:rPr>
      </w:pPr>
      <w:bookmarkStart w:id="834" w:name="bookmark834"/>
      <w:bookmarkEnd w:id="834"/>
      <w:r>
        <w:rPr>
          <w:color w:val="000000"/>
          <w:spacing w:val="0"/>
          <w:w w:val="100"/>
          <w:position w:val="0"/>
          <w:sz w:val="20"/>
          <w:szCs w:val="20"/>
        </w:rPr>
        <w:t>确认单独所发生的费用，以及按其份额确认共同经营发生的费用。</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号——资产减值》等规定的资产减值损失的，本公司全额确认该损失。</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 资产减值》等规定的资产减值损失的，本公司按承担的份额确认该部分损失。</w:t>
      </w:r>
    </w:p>
    <w:p>
      <w:pPr>
        <w:pStyle w:val="Style14"/>
        <w:keepNext w:val="0"/>
        <w:keepLines w:val="0"/>
        <w:widowControl w:val="0"/>
        <w:shd w:val="clear" w:color="auto" w:fill="auto"/>
        <w:bidi w:val="0"/>
        <w:spacing w:before="0" w:after="640" w:line="317" w:lineRule="exact"/>
        <w:ind w:left="0" w:right="0" w:firstLine="0"/>
        <w:jc w:val="both"/>
        <w:rPr>
          <w:sz w:val="20"/>
          <w:szCs w:val="20"/>
        </w:rPr>
      </w:pPr>
      <w:r>
        <w:rPr>
          <w:color w:val="000000"/>
          <w:spacing w:val="0"/>
          <w:w w:val="100"/>
          <w:position w:val="0"/>
          <w:sz w:val="20"/>
          <w:szCs w:val="20"/>
        </w:rPr>
        <w:t>本公司对共同经营不享有共同控制，如果本公司享有该共同经营相关资产且承担该共同经营相关负债的， 仍按上述原则进行会计处理，否则，应当按照相关企业会计准则的规定进行会计处理。</w:t>
      </w:r>
    </w:p>
    <w:p>
      <w:pPr>
        <w:pStyle w:val="Style33"/>
        <w:keepNext/>
        <w:keepLines/>
        <w:widowControl w:val="0"/>
        <w:shd w:val="clear" w:color="auto" w:fill="auto"/>
        <w:bidi w:val="0"/>
        <w:spacing w:before="0" w:after="280" w:line="312" w:lineRule="exact"/>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8</w:t>
      </w:r>
      <w:bookmarkEnd w:id="837"/>
      <w:r>
        <w:rPr>
          <w:color w:val="000000"/>
          <w:spacing w:val="0"/>
          <w:w w:val="100"/>
          <w:position w:val="0"/>
        </w:rPr>
        <w:t>、现金及现金等价物的确定标准</w:t>
      </w:r>
      <w:bookmarkEnd w:id="835"/>
      <w:bookmarkEnd w:id="836"/>
      <w:bookmarkEnd w:id="838"/>
    </w:p>
    <w:p>
      <w:pPr>
        <w:pStyle w:val="Style14"/>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3"/>
        <w:keepNext/>
        <w:keepLines/>
        <w:widowControl w:val="0"/>
        <w:shd w:val="clear" w:color="auto" w:fill="auto"/>
        <w:bidi w:val="0"/>
        <w:spacing w:before="0" w:after="280" w:line="310" w:lineRule="exact"/>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9</w:t>
      </w:r>
      <w:bookmarkEnd w:id="841"/>
      <w:r>
        <w:rPr>
          <w:color w:val="000000"/>
          <w:spacing w:val="0"/>
          <w:w w:val="100"/>
          <w:position w:val="0"/>
        </w:rPr>
        <w:t>、金融工具</w:t>
      </w:r>
      <w:bookmarkEnd w:id="839"/>
      <w:bookmarkEnd w:id="840"/>
      <w:bookmarkEnd w:id="842"/>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在本公司成为金融工具合同的一方时确认一项金融资产或金融负债。</w:t>
      </w:r>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实际利率法是指计算金融资产或金融负债的摊余成本以及将利息收入或利息费用分摊计入各会计期 间的方法。</w:t>
      </w:r>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 提前还款、展期、看涨期权或其他类似期权等</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的基础上估计预期现金流量，但不考虑预期信用损失。</w:t>
      </w:r>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仅适用于金融资产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4"/>
        <w:keepNext w:val="0"/>
        <w:keepLines w:val="0"/>
        <w:widowControl w:val="0"/>
        <w:shd w:val="clear" w:color="auto" w:fill="auto"/>
        <w:bidi w:val="0"/>
        <w:spacing w:before="0" w:after="0" w:line="310" w:lineRule="exact"/>
        <w:ind w:left="0" w:right="0" w:firstLine="440"/>
        <w:jc w:val="both"/>
        <w:rPr>
          <w:sz w:val="20"/>
          <w:szCs w:val="20"/>
        </w:rPr>
      </w:pPr>
      <w:bookmarkStart w:id="843" w:name="bookmark843"/>
      <w:r>
        <w:rPr>
          <w:b/>
          <w:bCs/>
          <w:color w:val="000000"/>
          <w:spacing w:val="0"/>
          <w:w w:val="100"/>
          <w:position w:val="0"/>
          <w:sz w:val="20"/>
          <w:szCs w:val="20"/>
        </w:rPr>
        <w:t>（</w:t>
      </w:r>
      <w:bookmarkEnd w:id="84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）金融资产分类和计量</w:t>
      </w:r>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本公司根据所管理金融资产的业务模式和金融资产的合同现金流量特征，将金融资产划分为以下三 类：</w:t>
      </w:r>
    </w:p>
    <w:p>
      <w:pPr>
        <w:pStyle w:val="Style14"/>
        <w:keepNext w:val="0"/>
        <w:keepLines w:val="0"/>
        <w:widowControl w:val="0"/>
        <w:numPr>
          <w:ilvl w:val="0"/>
          <w:numId w:val="33"/>
        </w:numPr>
        <w:shd w:val="clear" w:color="auto" w:fill="auto"/>
        <w:tabs>
          <w:tab w:pos="832" w:val="left"/>
        </w:tabs>
        <w:bidi w:val="0"/>
        <w:spacing w:before="0" w:after="0" w:line="310" w:lineRule="exact"/>
        <w:ind w:left="0" w:right="0" w:firstLine="440"/>
        <w:jc w:val="both"/>
        <w:rPr>
          <w:sz w:val="20"/>
          <w:szCs w:val="20"/>
        </w:rPr>
      </w:pPr>
      <w:bookmarkStart w:id="844" w:name="bookmark844"/>
      <w:bookmarkEnd w:id="844"/>
      <w:r>
        <w:rPr>
          <w:color w:val="000000"/>
          <w:spacing w:val="0"/>
          <w:w w:val="100"/>
          <w:position w:val="0"/>
          <w:sz w:val="20"/>
          <w:szCs w:val="20"/>
        </w:rPr>
        <w:t>以摊余成本计量的金融资产。</w:t>
      </w:r>
    </w:p>
    <w:p>
      <w:pPr>
        <w:pStyle w:val="Style14"/>
        <w:keepNext w:val="0"/>
        <w:keepLines w:val="0"/>
        <w:widowControl w:val="0"/>
        <w:numPr>
          <w:ilvl w:val="0"/>
          <w:numId w:val="33"/>
        </w:numPr>
        <w:shd w:val="clear" w:color="auto" w:fill="auto"/>
        <w:tabs>
          <w:tab w:pos="837" w:val="left"/>
        </w:tabs>
        <w:bidi w:val="0"/>
        <w:spacing w:before="0" w:after="0" w:line="310" w:lineRule="exact"/>
        <w:ind w:left="0" w:right="0" w:firstLine="440"/>
        <w:jc w:val="left"/>
        <w:rPr>
          <w:sz w:val="20"/>
          <w:szCs w:val="20"/>
        </w:rPr>
      </w:pPr>
      <w:bookmarkStart w:id="845" w:name="bookmark845"/>
      <w:bookmarkEnd w:id="845"/>
      <w:r>
        <w:rPr>
          <w:color w:val="000000"/>
          <w:spacing w:val="0"/>
          <w:w w:val="100"/>
          <w:position w:val="0"/>
          <w:sz w:val="20"/>
          <w:szCs w:val="20"/>
        </w:rPr>
        <w:t>以公允价值计量且其变动计入其他综合收益的金融资产。</w:t>
      </w:r>
    </w:p>
    <w:p>
      <w:pPr>
        <w:pStyle w:val="Style14"/>
        <w:keepNext w:val="0"/>
        <w:keepLines w:val="0"/>
        <w:widowControl w:val="0"/>
        <w:numPr>
          <w:ilvl w:val="0"/>
          <w:numId w:val="33"/>
        </w:numPr>
        <w:shd w:val="clear" w:color="auto" w:fill="auto"/>
        <w:tabs>
          <w:tab w:pos="837" w:val="left"/>
        </w:tabs>
        <w:bidi w:val="0"/>
        <w:spacing w:before="0" w:after="0" w:line="310" w:lineRule="exact"/>
        <w:ind w:left="0" w:right="0" w:firstLine="440"/>
        <w:jc w:val="left"/>
        <w:rPr>
          <w:sz w:val="20"/>
          <w:szCs w:val="20"/>
        </w:rPr>
      </w:pPr>
      <w:bookmarkStart w:id="846" w:name="bookmark846"/>
      <w:bookmarkEnd w:id="846"/>
      <w:r>
        <w:rPr>
          <w:color w:val="000000"/>
          <w:spacing w:val="0"/>
          <w:w w:val="100"/>
          <w:position w:val="0"/>
          <w:sz w:val="20"/>
          <w:szCs w:val="20"/>
        </w:rPr>
        <w:t>以公允价值计量且其变动计入当期损益的金融资产。</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金融资产在初始确认时以公允价值计量，但是因销售商品或提供服务等产生的应收账款或应收票据未 包含重大融资成分或不考虑不超过一年的融资成分的，按照交易价格进行初始计量。</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对于以公允价值计量且其变动计入当期损益的金融资产，相关交易费用直接计入当期损益，其他类别 的金融资产相关交易费用计入其初始确认金额。</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金融资产的后续计量取决于其分类，当且仅当本公司改变管理金融资产的业务模式时，才对所有受影 响的相关金融资产进行重分类。</w:t>
      </w:r>
    </w:p>
    <w:p>
      <w:pPr>
        <w:pStyle w:val="Style14"/>
        <w:keepNext w:val="0"/>
        <w:keepLines w:val="0"/>
        <w:widowControl w:val="0"/>
        <w:numPr>
          <w:ilvl w:val="0"/>
          <w:numId w:val="35"/>
        </w:numPr>
        <w:shd w:val="clear" w:color="auto" w:fill="auto"/>
        <w:tabs>
          <w:tab w:pos="791" w:val="left"/>
        </w:tabs>
        <w:bidi w:val="0"/>
        <w:spacing w:before="0" w:after="0" w:line="313" w:lineRule="exact"/>
        <w:ind w:left="0" w:right="0" w:firstLine="440"/>
        <w:jc w:val="both"/>
        <w:rPr>
          <w:sz w:val="20"/>
          <w:szCs w:val="20"/>
        </w:rPr>
      </w:pPr>
      <w:bookmarkStart w:id="847" w:name="bookmark847"/>
      <w:bookmarkEnd w:id="847"/>
      <w:r>
        <w:rPr>
          <w:color w:val="000000"/>
          <w:spacing w:val="0"/>
          <w:w w:val="100"/>
          <w:position w:val="0"/>
          <w:sz w:val="20"/>
          <w:szCs w:val="20"/>
        </w:rPr>
        <w:t>分类为以摊余成本计量的金融资产</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余成本计量的金融资产。本公司分类为以摊余成本计量的金融资产包括货币资金、应收票据、应收账款、 其他应收款、债权投资等。</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14"/>
        <w:keepNext w:val="0"/>
        <w:keepLines w:val="0"/>
        <w:widowControl w:val="0"/>
        <w:shd w:val="clear" w:color="auto" w:fill="auto"/>
        <w:tabs>
          <w:tab w:pos="769" w:val="left"/>
        </w:tabs>
        <w:bidi w:val="0"/>
        <w:spacing w:before="0" w:after="0" w:line="313" w:lineRule="exact"/>
        <w:ind w:left="0" w:right="0" w:firstLine="440"/>
        <w:jc w:val="both"/>
        <w:rPr>
          <w:sz w:val="20"/>
          <w:szCs w:val="20"/>
        </w:rPr>
      </w:pPr>
      <w:bookmarkStart w:id="848" w:name="bookmark848"/>
      <w:r>
        <w:rPr>
          <w:rFonts w:ascii="Times New Roman" w:eastAsia="Times New Roman" w:hAnsi="Times New Roman" w:cs="Times New Roman"/>
          <w:color w:val="000000"/>
          <w:spacing w:val="0"/>
          <w:w w:val="100"/>
          <w:position w:val="0"/>
          <w:sz w:val="20"/>
          <w:szCs w:val="20"/>
        </w:rPr>
        <w:t>1</w:t>
      </w:r>
      <w:bookmarkEnd w:id="848"/>
      <w:r>
        <w:rPr>
          <w:color w:val="000000"/>
          <w:spacing w:val="0"/>
          <w:w w:val="100"/>
          <w:position w:val="0"/>
          <w:sz w:val="20"/>
          <w:szCs w:val="20"/>
        </w:rPr>
        <w:t>）</w:t>
        <w:tab/>
        <w:t>对于购入或源生的已发生信用减值的金融资产，本公司自初始确认起，按照该金融资产的摊余成 本和经信用调整的实际利率计算确定其利息收入。</w:t>
      </w:r>
    </w:p>
    <w:p>
      <w:pPr>
        <w:pStyle w:val="Style14"/>
        <w:keepNext w:val="0"/>
        <w:keepLines w:val="0"/>
        <w:widowControl w:val="0"/>
        <w:shd w:val="clear" w:color="auto" w:fill="auto"/>
        <w:tabs>
          <w:tab w:pos="769" w:val="left"/>
        </w:tabs>
        <w:bidi w:val="0"/>
        <w:spacing w:before="0" w:after="0" w:line="313" w:lineRule="exact"/>
        <w:ind w:left="0" w:right="0" w:firstLine="440"/>
        <w:jc w:val="both"/>
        <w:rPr>
          <w:sz w:val="20"/>
          <w:szCs w:val="20"/>
        </w:rPr>
      </w:pPr>
      <w:bookmarkStart w:id="849" w:name="bookmark849"/>
      <w:r>
        <w:rPr>
          <w:rFonts w:ascii="Times New Roman" w:eastAsia="Times New Roman" w:hAnsi="Times New Roman" w:cs="Times New Roman"/>
          <w:color w:val="000000"/>
          <w:spacing w:val="0"/>
          <w:w w:val="100"/>
          <w:position w:val="0"/>
          <w:sz w:val="20"/>
          <w:szCs w:val="20"/>
        </w:rPr>
        <w:t>2</w:t>
      </w:r>
      <w:bookmarkEnd w:id="849"/>
      <w:r>
        <w:rPr>
          <w:color w:val="000000"/>
          <w:spacing w:val="0"/>
          <w:w w:val="100"/>
          <w:position w:val="0"/>
          <w:sz w:val="20"/>
          <w:szCs w:val="20"/>
        </w:rPr>
        <w:t>）</w:t>
        <w:tab/>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14"/>
        <w:keepNext w:val="0"/>
        <w:keepLines w:val="0"/>
        <w:widowControl w:val="0"/>
        <w:numPr>
          <w:ilvl w:val="0"/>
          <w:numId w:val="35"/>
        </w:numPr>
        <w:shd w:val="clear" w:color="auto" w:fill="auto"/>
        <w:tabs>
          <w:tab w:pos="796" w:val="left"/>
        </w:tabs>
        <w:bidi w:val="0"/>
        <w:spacing w:before="0" w:after="0" w:line="313" w:lineRule="exact"/>
        <w:ind w:left="0" w:right="0" w:firstLine="440"/>
        <w:jc w:val="both"/>
        <w:rPr>
          <w:sz w:val="20"/>
          <w:szCs w:val="20"/>
        </w:rPr>
      </w:pPr>
      <w:bookmarkStart w:id="850" w:name="bookmark850"/>
      <w:bookmarkEnd w:id="850"/>
      <w:r>
        <w:rPr>
          <w:color w:val="000000"/>
          <w:spacing w:val="0"/>
          <w:w w:val="100"/>
          <w:position w:val="0"/>
          <w:sz w:val="20"/>
          <w:szCs w:val="20"/>
        </w:rPr>
        <w:t>分类为以公允价值计量且其变动计入其他综合收益的金融资产</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14"/>
        <w:keepNext w:val="0"/>
        <w:keepLines w:val="0"/>
        <w:widowControl w:val="0"/>
        <w:numPr>
          <w:ilvl w:val="0"/>
          <w:numId w:val="35"/>
        </w:numPr>
        <w:shd w:val="clear" w:color="auto" w:fill="auto"/>
        <w:tabs>
          <w:tab w:pos="796" w:val="left"/>
        </w:tabs>
        <w:bidi w:val="0"/>
        <w:spacing w:before="0" w:after="0" w:line="313" w:lineRule="exact"/>
        <w:ind w:left="0" w:right="0" w:firstLine="440"/>
        <w:jc w:val="both"/>
        <w:rPr>
          <w:sz w:val="20"/>
          <w:szCs w:val="20"/>
        </w:rPr>
      </w:pPr>
      <w:bookmarkStart w:id="851" w:name="bookmark851"/>
      <w:bookmarkEnd w:id="851"/>
      <w:r>
        <w:rPr>
          <w:color w:val="000000"/>
          <w:spacing w:val="0"/>
          <w:w w:val="100"/>
          <w:position w:val="0"/>
          <w:sz w:val="20"/>
          <w:szCs w:val="20"/>
        </w:rPr>
        <w:t>指定为以公允价值计量且其变动计入其他综合收益的金融资产</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在初始确认时，本公司可以单项金融资产为基础不可撤销地将非交易性权益工具投资指定为以公允价 值计量且其变动计入其他综合收益的金融资产。</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14"/>
        <w:keepNext w:val="0"/>
        <w:keepLines w:val="0"/>
        <w:widowControl w:val="0"/>
        <w:numPr>
          <w:ilvl w:val="0"/>
          <w:numId w:val="35"/>
        </w:numPr>
        <w:shd w:val="clear" w:color="auto" w:fill="auto"/>
        <w:tabs>
          <w:tab w:pos="796" w:val="left"/>
        </w:tabs>
        <w:bidi w:val="0"/>
        <w:spacing w:before="0" w:after="0" w:line="313" w:lineRule="exact"/>
        <w:ind w:left="0" w:right="0" w:firstLine="440"/>
        <w:jc w:val="both"/>
        <w:rPr>
          <w:sz w:val="20"/>
          <w:szCs w:val="20"/>
        </w:rPr>
      </w:pPr>
      <w:bookmarkStart w:id="852" w:name="bookmark852"/>
      <w:bookmarkEnd w:id="852"/>
      <w:r>
        <w:rPr>
          <w:color w:val="000000"/>
          <w:spacing w:val="0"/>
          <w:w w:val="100"/>
          <w:position w:val="0"/>
          <w:sz w:val="20"/>
          <w:szCs w:val="20"/>
        </w:rPr>
        <w:t>分类为以公允价值计量且其变动计入当期损益的金融资产</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本公司对此类金融资产采用公允价值进行后续计量，将公允价值变动形成的利得或损失以及与此类金 融资产相关的股利和利息收入计入当期损益。</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本公司对此类金融资产根据其流动性在交易性金融资产、其他非流动金融资产项目列报。</w:t>
      </w:r>
    </w:p>
    <w:p>
      <w:pPr>
        <w:pStyle w:val="Style14"/>
        <w:keepNext w:val="0"/>
        <w:keepLines w:val="0"/>
        <w:widowControl w:val="0"/>
        <w:numPr>
          <w:ilvl w:val="0"/>
          <w:numId w:val="35"/>
        </w:numPr>
        <w:shd w:val="clear" w:color="auto" w:fill="auto"/>
        <w:bidi w:val="0"/>
        <w:spacing w:before="0" w:after="0" w:line="314" w:lineRule="exact"/>
        <w:ind w:left="0" w:right="0" w:firstLine="440"/>
        <w:jc w:val="both"/>
        <w:rPr>
          <w:sz w:val="20"/>
          <w:szCs w:val="20"/>
        </w:rPr>
      </w:pPr>
      <w:bookmarkStart w:id="853" w:name="bookmark853"/>
      <w:bookmarkEnd w:id="853"/>
      <w:r>
        <w:rPr>
          <w:color w:val="000000"/>
          <w:spacing w:val="0"/>
          <w:w w:val="100"/>
          <w:position w:val="0"/>
          <w:sz w:val="20"/>
          <w:szCs w:val="20"/>
        </w:rPr>
        <w:t>指定为以公允价值计量且其变动计入当期损益的金融资产</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在初始确认时，本公司为了消除或显著减少会计错配，可以单项金融资产为基础不可撤销地将金融资 产指定为以公允价值计量且其变动计入当期损益的金融资产。</w:t>
      </w:r>
    </w:p>
    <w:p>
      <w:pPr>
        <w:pStyle w:val="Style1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混合合同包含一项或多项嵌入衍生工具，且其主合同不属于以上金融资产的，本公司可以将其整体指 定为以公允价值计量且其变动计入当期损益的金融工具。但下列情况除外：</w:t>
      </w:r>
    </w:p>
    <w:p>
      <w:pPr>
        <w:pStyle w:val="Style14"/>
        <w:keepNext w:val="0"/>
        <w:keepLines w:val="0"/>
        <w:widowControl w:val="0"/>
        <w:shd w:val="clear" w:color="auto" w:fill="auto"/>
        <w:tabs>
          <w:tab w:pos="813" w:val="left"/>
        </w:tabs>
        <w:bidi w:val="0"/>
        <w:spacing w:before="0" w:after="0" w:line="326" w:lineRule="auto"/>
        <w:ind w:left="0" w:right="0" w:firstLine="440"/>
        <w:jc w:val="both"/>
        <w:rPr>
          <w:sz w:val="20"/>
          <w:szCs w:val="20"/>
        </w:rPr>
      </w:pPr>
      <w:bookmarkStart w:id="854" w:name="bookmark854"/>
      <w:r>
        <w:rPr>
          <w:rFonts w:ascii="Times New Roman" w:eastAsia="Times New Roman" w:hAnsi="Times New Roman" w:cs="Times New Roman"/>
          <w:color w:val="000000"/>
          <w:spacing w:val="0"/>
          <w:w w:val="100"/>
          <w:position w:val="0"/>
          <w:sz w:val="20"/>
          <w:szCs w:val="20"/>
        </w:rPr>
        <w:t>1</w:t>
      </w:r>
      <w:bookmarkEnd w:id="854"/>
      <w:r>
        <w:rPr>
          <w:color w:val="000000"/>
          <w:spacing w:val="0"/>
          <w:w w:val="100"/>
          <w:position w:val="0"/>
          <w:sz w:val="20"/>
          <w:szCs w:val="20"/>
        </w:rPr>
        <w:t>）</w:t>
        <w:tab/>
        <w:t>嵌入衍生工具不会对混合合同的现金流量产生重大改变。</w:t>
      </w:r>
    </w:p>
    <w:p>
      <w:pPr>
        <w:pStyle w:val="Style14"/>
        <w:keepNext w:val="0"/>
        <w:keepLines w:val="0"/>
        <w:widowControl w:val="0"/>
        <w:shd w:val="clear" w:color="auto" w:fill="auto"/>
        <w:tabs>
          <w:tab w:pos="810" w:val="left"/>
        </w:tabs>
        <w:bidi w:val="0"/>
        <w:spacing w:before="0" w:after="0" w:line="322" w:lineRule="exact"/>
        <w:ind w:left="0" w:right="0" w:firstLine="440"/>
        <w:jc w:val="both"/>
        <w:rPr>
          <w:sz w:val="20"/>
          <w:szCs w:val="20"/>
        </w:rPr>
      </w:pPr>
      <w:bookmarkStart w:id="855" w:name="bookmark855"/>
      <w:r>
        <w:rPr>
          <w:rFonts w:ascii="Times New Roman" w:eastAsia="Times New Roman" w:hAnsi="Times New Roman" w:cs="Times New Roman"/>
          <w:color w:val="000000"/>
          <w:spacing w:val="0"/>
          <w:w w:val="100"/>
          <w:position w:val="0"/>
          <w:sz w:val="20"/>
          <w:szCs w:val="20"/>
        </w:rPr>
        <w:t>2</w:t>
      </w:r>
      <w:bookmarkEnd w:id="855"/>
      <w:r>
        <w:rPr>
          <w:color w:val="000000"/>
          <w:spacing w:val="0"/>
          <w:w w:val="100"/>
          <w:position w:val="0"/>
          <w:sz w:val="20"/>
          <w:szCs w:val="20"/>
        </w:rPr>
        <w:t>）</w:t>
        <w:tab/>
        <w:t>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14"/>
        <w:keepNext w:val="0"/>
        <w:keepLines w:val="0"/>
        <w:widowControl w:val="0"/>
        <w:shd w:val="clear" w:color="auto" w:fill="auto"/>
        <w:bidi w:val="0"/>
        <w:spacing w:before="0" w:after="0" w:line="326" w:lineRule="exact"/>
        <w:ind w:left="0" w:right="0" w:firstLine="440"/>
        <w:jc w:val="both"/>
        <w:rPr>
          <w:sz w:val="20"/>
          <w:szCs w:val="20"/>
        </w:rPr>
      </w:pPr>
      <w:r>
        <w:rPr>
          <w:color w:val="000000"/>
          <w:spacing w:val="0"/>
          <w:w w:val="100"/>
          <w:position w:val="0"/>
          <w:sz w:val="20"/>
          <w:szCs w:val="20"/>
        </w:rPr>
        <w:t>本公司对此类金融资产采用公允价值进行后续计量，将公允价值变动形成的利得或损失以及与此类金 融资产相关的股利和利息收入计入当期损益。</w:t>
      </w:r>
    </w:p>
    <w:p>
      <w:pPr>
        <w:pStyle w:val="Style14"/>
        <w:keepNext w:val="0"/>
        <w:keepLines w:val="0"/>
        <w:widowControl w:val="0"/>
        <w:shd w:val="clear" w:color="auto" w:fill="auto"/>
        <w:bidi w:val="0"/>
        <w:spacing w:before="0" w:after="80" w:line="326" w:lineRule="exact"/>
        <w:ind w:left="0" w:right="0" w:firstLine="440"/>
        <w:jc w:val="left"/>
        <w:rPr>
          <w:sz w:val="20"/>
          <w:szCs w:val="20"/>
        </w:rPr>
      </w:pPr>
      <w:r>
        <w:rPr>
          <w:color w:val="000000"/>
          <w:spacing w:val="0"/>
          <w:w w:val="100"/>
          <w:position w:val="0"/>
          <w:sz w:val="20"/>
          <w:szCs w:val="20"/>
        </w:rPr>
        <w:t>本公司对此类金融资产根据其流动性在交易性金融资产、其他非流动金融资产项目列报。</w:t>
      </w:r>
    </w:p>
    <w:p>
      <w:pPr>
        <w:pStyle w:val="Style14"/>
        <w:keepNext w:val="0"/>
        <w:keepLines w:val="0"/>
        <w:widowControl w:val="0"/>
        <w:shd w:val="clear" w:color="auto" w:fill="auto"/>
        <w:bidi w:val="0"/>
        <w:spacing w:before="0" w:after="0" w:line="314" w:lineRule="exact"/>
        <w:ind w:left="0" w:right="0" w:firstLine="440"/>
        <w:jc w:val="both"/>
        <w:rPr>
          <w:sz w:val="20"/>
          <w:szCs w:val="20"/>
        </w:rPr>
      </w:pPr>
      <w:bookmarkStart w:id="856" w:name="bookmark856"/>
      <w:r>
        <w:rPr>
          <w:b/>
          <w:bCs/>
          <w:color w:val="000000"/>
          <w:spacing w:val="0"/>
          <w:w w:val="100"/>
          <w:position w:val="0"/>
          <w:sz w:val="20"/>
          <w:szCs w:val="20"/>
        </w:rPr>
        <w:t>（</w:t>
      </w:r>
      <w:bookmarkEnd w:id="85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）金融负债分类和计量</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金融负债的后续计量取决于其分类：</w:t>
      </w:r>
    </w:p>
    <w:p>
      <w:pPr>
        <w:pStyle w:val="Style14"/>
        <w:keepNext w:val="0"/>
        <w:keepLines w:val="0"/>
        <w:widowControl w:val="0"/>
        <w:numPr>
          <w:ilvl w:val="0"/>
          <w:numId w:val="37"/>
        </w:numPr>
        <w:shd w:val="clear" w:color="auto" w:fill="auto"/>
        <w:tabs>
          <w:tab w:pos="832" w:val="left"/>
        </w:tabs>
        <w:bidi w:val="0"/>
        <w:spacing w:before="0" w:after="0" w:line="314" w:lineRule="exact"/>
        <w:ind w:left="0" w:right="0" w:firstLine="440"/>
        <w:jc w:val="both"/>
        <w:rPr>
          <w:sz w:val="20"/>
          <w:szCs w:val="20"/>
        </w:rPr>
      </w:pPr>
      <w:bookmarkStart w:id="857" w:name="bookmark857"/>
      <w:bookmarkEnd w:id="857"/>
      <w:r>
        <w:rPr>
          <w:color w:val="000000"/>
          <w:spacing w:val="0"/>
          <w:w w:val="100"/>
          <w:position w:val="0"/>
          <w:sz w:val="20"/>
          <w:szCs w:val="20"/>
        </w:rPr>
        <w:t>以公允价值计量且其变动计入当期损益的金融负债</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此类金融负债包括交易性金融负债（含属于金融负债的衍生工具）和初始确认时指定为以公允价值计 量且其变动计入当期损益的金融负债。</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1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在初始确认时，为了提供更相关的会计信息，本公司将满足下列条件之一的金融负债不可撤销地指定 为以公允价值计量且其变动计入当期损益的金融负债：</w:t>
      </w:r>
    </w:p>
    <w:p>
      <w:pPr>
        <w:pStyle w:val="Style14"/>
        <w:keepNext w:val="0"/>
        <w:keepLines w:val="0"/>
        <w:widowControl w:val="0"/>
        <w:shd w:val="clear" w:color="auto" w:fill="auto"/>
        <w:tabs>
          <w:tab w:pos="813" w:val="left"/>
        </w:tabs>
        <w:bidi w:val="0"/>
        <w:spacing w:before="0" w:after="0" w:line="329" w:lineRule="auto"/>
        <w:ind w:left="0" w:right="0" w:firstLine="440"/>
        <w:jc w:val="both"/>
        <w:rPr>
          <w:sz w:val="20"/>
          <w:szCs w:val="20"/>
        </w:rPr>
      </w:pPr>
      <w:bookmarkStart w:id="858" w:name="bookmark858"/>
      <w:r>
        <w:rPr>
          <w:rFonts w:ascii="Times New Roman" w:eastAsia="Times New Roman" w:hAnsi="Times New Roman" w:cs="Times New Roman"/>
          <w:color w:val="000000"/>
          <w:spacing w:val="0"/>
          <w:w w:val="100"/>
          <w:position w:val="0"/>
          <w:sz w:val="20"/>
          <w:szCs w:val="20"/>
        </w:rPr>
        <w:t>1</w:t>
      </w:r>
      <w:bookmarkEnd w:id="858"/>
      <w:r>
        <w:rPr>
          <w:color w:val="000000"/>
          <w:spacing w:val="0"/>
          <w:w w:val="100"/>
          <w:position w:val="0"/>
          <w:sz w:val="20"/>
          <w:szCs w:val="20"/>
        </w:rPr>
        <w:t>）</w:t>
        <w:tab/>
        <w:t>能够消除或显著减少会计错配。</w:t>
      </w:r>
    </w:p>
    <w:p>
      <w:pPr>
        <w:pStyle w:val="Style14"/>
        <w:keepNext w:val="0"/>
        <w:keepLines w:val="0"/>
        <w:widowControl w:val="0"/>
        <w:shd w:val="clear" w:color="auto" w:fill="auto"/>
        <w:tabs>
          <w:tab w:pos="810" w:val="left"/>
        </w:tabs>
        <w:bidi w:val="0"/>
        <w:spacing w:before="0" w:after="0" w:line="314" w:lineRule="exact"/>
        <w:ind w:left="0" w:right="0" w:firstLine="440"/>
        <w:jc w:val="both"/>
        <w:rPr>
          <w:sz w:val="20"/>
          <w:szCs w:val="20"/>
        </w:rPr>
      </w:pPr>
      <w:bookmarkStart w:id="859" w:name="bookmark859"/>
      <w:r>
        <w:rPr>
          <w:rFonts w:ascii="Times New Roman" w:eastAsia="Times New Roman" w:hAnsi="Times New Roman" w:cs="Times New Roman"/>
          <w:color w:val="000000"/>
          <w:spacing w:val="0"/>
          <w:w w:val="100"/>
          <w:position w:val="0"/>
          <w:sz w:val="20"/>
          <w:szCs w:val="20"/>
        </w:rPr>
        <w:t>2</w:t>
      </w:r>
      <w:bookmarkEnd w:id="859"/>
      <w:r>
        <w:rPr>
          <w:color w:val="000000"/>
          <w:spacing w:val="0"/>
          <w:w w:val="100"/>
          <w:position w:val="0"/>
          <w:sz w:val="20"/>
          <w:szCs w:val="2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14"/>
        <w:keepNext w:val="0"/>
        <w:keepLines w:val="0"/>
        <w:widowControl w:val="0"/>
        <w:numPr>
          <w:ilvl w:val="0"/>
          <w:numId w:val="37"/>
        </w:numPr>
        <w:shd w:val="clear" w:color="auto" w:fill="auto"/>
        <w:tabs>
          <w:tab w:pos="837" w:val="left"/>
        </w:tabs>
        <w:bidi w:val="0"/>
        <w:spacing w:before="0" w:after="0" w:line="314" w:lineRule="exact"/>
        <w:ind w:left="0" w:right="0" w:firstLine="440"/>
        <w:jc w:val="both"/>
        <w:rPr>
          <w:sz w:val="20"/>
          <w:szCs w:val="20"/>
        </w:rPr>
      </w:pPr>
      <w:bookmarkStart w:id="860" w:name="bookmark860"/>
      <w:bookmarkEnd w:id="860"/>
      <w:r>
        <w:rPr>
          <w:color w:val="000000"/>
          <w:spacing w:val="0"/>
          <w:w w:val="100"/>
          <w:position w:val="0"/>
          <w:sz w:val="20"/>
          <w:szCs w:val="20"/>
        </w:rPr>
        <w:t>其他金融负债</w:t>
      </w:r>
    </w:p>
    <w:p>
      <w:pPr>
        <w:pStyle w:val="Style14"/>
        <w:keepNext w:val="0"/>
        <w:keepLines w:val="0"/>
        <w:widowControl w:val="0"/>
        <w:shd w:val="clear" w:color="auto" w:fill="auto"/>
        <w:bidi w:val="0"/>
        <w:spacing w:before="0" w:after="80" w:line="314" w:lineRule="exact"/>
        <w:ind w:left="0" w:right="0" w:firstLine="440"/>
        <w:jc w:val="both"/>
        <w:rPr>
          <w:sz w:val="20"/>
          <w:szCs w:val="20"/>
        </w:rPr>
      </w:pPr>
      <w:r>
        <w:rPr>
          <w:color w:val="000000"/>
          <w:spacing w:val="0"/>
          <w:w w:val="100"/>
          <w:position w:val="0"/>
          <w:sz w:val="20"/>
          <w:szCs w:val="20"/>
        </w:rPr>
        <w:t>除下列各项外，公司将金融负债分类为以摊余成本计量的金融负债，对此类金融负债采用实际利率法， 按照摊余成本进行后续计量，终止确认或摊销产生的利得或损失计入当期损益：</w:t>
      </w:r>
    </w:p>
    <w:p>
      <w:pPr>
        <w:pStyle w:val="Style14"/>
        <w:keepNext w:val="0"/>
        <w:keepLines w:val="0"/>
        <w:widowControl w:val="0"/>
        <w:shd w:val="clear" w:color="auto" w:fill="auto"/>
        <w:bidi w:val="0"/>
        <w:spacing w:before="0" w:after="80" w:line="329" w:lineRule="auto"/>
        <w:ind w:left="0" w:right="0" w:firstLine="440"/>
        <w:jc w:val="both"/>
        <w:rPr>
          <w:sz w:val="20"/>
          <w:szCs w:val="20"/>
        </w:rPr>
      </w:pPr>
      <w:bookmarkStart w:id="861" w:name="bookmark861"/>
      <w:r>
        <w:rPr>
          <w:rFonts w:ascii="Times New Roman" w:eastAsia="Times New Roman" w:hAnsi="Times New Roman" w:cs="Times New Roman"/>
          <w:color w:val="000000"/>
          <w:spacing w:val="0"/>
          <w:w w:val="100"/>
          <w:position w:val="0"/>
          <w:sz w:val="20"/>
          <w:szCs w:val="20"/>
        </w:rPr>
        <w:t>1</w:t>
      </w:r>
      <w:bookmarkEnd w:id="861"/>
      <w:r>
        <w:rPr>
          <w:color w:val="000000"/>
          <w:spacing w:val="0"/>
          <w:w w:val="100"/>
          <w:position w:val="0"/>
          <w:sz w:val="20"/>
          <w:szCs w:val="20"/>
        </w:rPr>
        <w:t>）以公允价值计量且其变动计入当期损益的金融负债。</w:t>
      </w:r>
    </w:p>
    <w:p>
      <w:pPr>
        <w:pStyle w:val="Style14"/>
        <w:keepNext w:val="0"/>
        <w:keepLines w:val="0"/>
        <w:widowControl w:val="0"/>
        <w:shd w:val="clear" w:color="auto" w:fill="auto"/>
        <w:tabs>
          <w:tab w:pos="832" w:val="left"/>
        </w:tabs>
        <w:bidi w:val="0"/>
        <w:spacing w:before="0" w:after="0" w:line="313" w:lineRule="exact"/>
        <w:ind w:left="0" w:right="0" w:firstLine="440"/>
        <w:jc w:val="both"/>
        <w:rPr>
          <w:sz w:val="20"/>
          <w:szCs w:val="20"/>
        </w:rPr>
      </w:pPr>
      <w:bookmarkStart w:id="862" w:name="bookmark862"/>
      <w:r>
        <w:rPr>
          <w:rFonts w:ascii="Times New Roman" w:eastAsia="Times New Roman" w:hAnsi="Times New Roman" w:cs="Times New Roman"/>
          <w:color w:val="000000"/>
          <w:spacing w:val="0"/>
          <w:w w:val="100"/>
          <w:position w:val="0"/>
          <w:sz w:val="20"/>
          <w:szCs w:val="20"/>
        </w:rPr>
        <w:t>2</w:t>
      </w:r>
      <w:bookmarkEnd w:id="862"/>
      <w:r>
        <w:rPr>
          <w:color w:val="000000"/>
          <w:spacing w:val="0"/>
          <w:w w:val="100"/>
          <w:position w:val="0"/>
          <w:sz w:val="20"/>
          <w:szCs w:val="20"/>
        </w:rPr>
        <w:t>）</w:t>
        <w:tab/>
        <w:t>金融资产转移不符合终止确认条件或继续涉入被转移金融资产所形成的金融负债。</w:t>
      </w:r>
    </w:p>
    <w:p>
      <w:pPr>
        <w:pStyle w:val="Style14"/>
        <w:keepNext w:val="0"/>
        <w:keepLines w:val="0"/>
        <w:widowControl w:val="0"/>
        <w:shd w:val="clear" w:color="auto" w:fill="auto"/>
        <w:bidi w:val="0"/>
        <w:spacing w:before="0" w:after="0" w:line="313" w:lineRule="exact"/>
        <w:ind w:left="440" w:right="0" w:firstLine="0"/>
        <w:jc w:val="both"/>
        <w:rPr>
          <w:sz w:val="20"/>
          <w:szCs w:val="20"/>
        </w:rPr>
      </w:pPr>
      <w:bookmarkStart w:id="863" w:name="bookmark863"/>
      <w:r>
        <w:rPr>
          <w:rFonts w:ascii="Times New Roman" w:eastAsia="Times New Roman" w:hAnsi="Times New Roman" w:cs="Times New Roman"/>
          <w:color w:val="000000"/>
          <w:spacing w:val="0"/>
          <w:w w:val="100"/>
          <w:position w:val="0"/>
          <w:sz w:val="20"/>
          <w:szCs w:val="20"/>
        </w:rPr>
        <w:t>3</w:t>
      </w:r>
      <w:bookmarkEnd w:id="863"/>
      <w:r>
        <w:rPr>
          <w:color w:val="000000"/>
          <w:spacing w:val="0"/>
          <w:w w:val="100"/>
          <w:position w:val="0"/>
          <w:sz w:val="20"/>
          <w:szCs w:val="20"/>
        </w:rPr>
        <w:t>） 不属于本条前两类情形的财务担保合同，以及不属于本条第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）类情形的以低于市场利率贷款的贷 款承诺。</w:t>
      </w:r>
    </w:p>
    <w:p>
      <w:pPr>
        <w:pStyle w:val="Style14"/>
        <w:keepNext w:val="0"/>
        <w:keepLines w:val="0"/>
        <w:widowControl w:val="0"/>
        <w:shd w:val="clear" w:color="auto" w:fill="auto"/>
        <w:bidi w:val="0"/>
        <w:spacing w:before="0" w:after="120" w:line="313" w:lineRule="exact"/>
        <w:ind w:left="0" w:right="0" w:firstLine="440"/>
        <w:jc w:val="both"/>
        <w:rPr>
          <w:sz w:val="20"/>
          <w:szCs w:val="20"/>
        </w:rPr>
      </w:pPr>
      <w:r>
        <w:rPr>
          <w:color w:val="000000"/>
          <w:spacing w:val="0"/>
          <w:w w:val="100"/>
          <w:position w:val="0"/>
          <w:sz w:val="20"/>
          <w:szCs w:val="2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864" w:name="bookmark864"/>
      <w:r>
        <w:rPr>
          <w:b/>
          <w:bCs/>
          <w:color w:val="000000"/>
          <w:spacing w:val="0"/>
          <w:w w:val="100"/>
          <w:position w:val="0"/>
          <w:sz w:val="20"/>
          <w:szCs w:val="20"/>
        </w:rPr>
        <w:t>（</w:t>
      </w:r>
      <w:bookmarkEnd w:id="86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金融资产和金融负债的终止确认</w:t>
      </w:r>
    </w:p>
    <w:p>
      <w:pPr>
        <w:pStyle w:val="Style14"/>
        <w:keepNext w:val="0"/>
        <w:keepLines w:val="0"/>
        <w:widowControl w:val="0"/>
        <w:numPr>
          <w:ilvl w:val="0"/>
          <w:numId w:val="39"/>
        </w:numPr>
        <w:shd w:val="clear" w:color="auto" w:fill="auto"/>
        <w:tabs>
          <w:tab w:pos="832" w:val="left"/>
        </w:tabs>
        <w:bidi w:val="0"/>
        <w:spacing w:before="0" w:after="0" w:line="314" w:lineRule="exact"/>
        <w:ind w:left="0" w:right="0" w:firstLine="440"/>
        <w:jc w:val="both"/>
        <w:rPr>
          <w:sz w:val="20"/>
          <w:szCs w:val="20"/>
        </w:rPr>
      </w:pPr>
      <w:bookmarkStart w:id="865" w:name="bookmark865"/>
      <w:bookmarkEnd w:id="865"/>
      <w:r>
        <w:rPr>
          <w:color w:val="000000"/>
          <w:spacing w:val="0"/>
          <w:w w:val="100"/>
          <w:position w:val="0"/>
          <w:sz w:val="20"/>
          <w:szCs w:val="20"/>
        </w:rPr>
        <w:t>金融资产满足下列条件之一的，终止确认金融资产，即从其账户和资产负债表内予以转销：</w:t>
      </w:r>
    </w:p>
    <w:p>
      <w:pPr>
        <w:pStyle w:val="Style14"/>
        <w:keepNext w:val="0"/>
        <w:keepLines w:val="0"/>
        <w:widowControl w:val="0"/>
        <w:shd w:val="clear" w:color="auto" w:fill="auto"/>
        <w:tabs>
          <w:tab w:pos="813" w:val="left"/>
        </w:tabs>
        <w:bidi w:val="0"/>
        <w:spacing w:before="0" w:after="0" w:line="314" w:lineRule="exact"/>
        <w:ind w:left="0" w:right="0" w:firstLine="440"/>
        <w:jc w:val="both"/>
        <w:rPr>
          <w:sz w:val="20"/>
          <w:szCs w:val="20"/>
        </w:rPr>
      </w:pPr>
      <w:bookmarkStart w:id="866" w:name="bookmark866"/>
      <w:r>
        <w:rPr>
          <w:rFonts w:ascii="Times New Roman" w:eastAsia="Times New Roman" w:hAnsi="Times New Roman" w:cs="Times New Roman"/>
          <w:color w:val="000000"/>
          <w:spacing w:val="0"/>
          <w:w w:val="100"/>
          <w:position w:val="0"/>
          <w:sz w:val="20"/>
          <w:szCs w:val="20"/>
        </w:rPr>
        <w:t>1</w:t>
      </w:r>
      <w:bookmarkEnd w:id="866"/>
      <w:r>
        <w:rPr>
          <w:color w:val="000000"/>
          <w:spacing w:val="0"/>
          <w:w w:val="100"/>
          <w:position w:val="0"/>
          <w:sz w:val="20"/>
          <w:szCs w:val="20"/>
        </w:rPr>
        <w:t>）</w:t>
        <w:tab/>
        <w:t>收取该金融资产现金流量的合同权利终止。</w:t>
      </w:r>
    </w:p>
    <w:p>
      <w:pPr>
        <w:pStyle w:val="Style14"/>
        <w:keepNext w:val="0"/>
        <w:keepLines w:val="0"/>
        <w:widowControl w:val="0"/>
        <w:shd w:val="clear" w:color="auto" w:fill="auto"/>
        <w:bidi w:val="0"/>
        <w:spacing w:before="0" w:after="0" w:line="314" w:lineRule="exact"/>
        <w:ind w:left="0" w:right="0" w:firstLine="440"/>
        <w:jc w:val="both"/>
        <w:rPr>
          <w:sz w:val="20"/>
          <w:szCs w:val="20"/>
        </w:rPr>
      </w:pPr>
      <w:bookmarkStart w:id="867" w:name="bookmark867"/>
      <w:r>
        <w:rPr>
          <w:rFonts w:ascii="Times New Roman" w:eastAsia="Times New Roman" w:hAnsi="Times New Roman" w:cs="Times New Roman"/>
          <w:color w:val="000000"/>
          <w:spacing w:val="0"/>
          <w:w w:val="100"/>
          <w:position w:val="0"/>
          <w:sz w:val="20"/>
          <w:szCs w:val="20"/>
        </w:rPr>
        <w:t>2</w:t>
      </w:r>
      <w:bookmarkEnd w:id="867"/>
      <w:r>
        <w:rPr>
          <w:color w:val="000000"/>
          <w:spacing w:val="0"/>
          <w:w w:val="100"/>
          <w:position w:val="0"/>
          <w:sz w:val="20"/>
          <w:szCs w:val="20"/>
        </w:rPr>
        <w:t>） 该金融资产已转移，且该转移满足金融资产终止确认的规定。</w:t>
      </w:r>
    </w:p>
    <w:p>
      <w:pPr>
        <w:pStyle w:val="Style14"/>
        <w:keepNext w:val="0"/>
        <w:keepLines w:val="0"/>
        <w:widowControl w:val="0"/>
        <w:numPr>
          <w:ilvl w:val="0"/>
          <w:numId w:val="39"/>
        </w:numPr>
        <w:shd w:val="clear" w:color="auto" w:fill="auto"/>
        <w:tabs>
          <w:tab w:pos="837" w:val="left"/>
        </w:tabs>
        <w:bidi w:val="0"/>
        <w:spacing w:before="0" w:after="0" w:line="314" w:lineRule="exact"/>
        <w:ind w:left="0" w:right="0" w:firstLine="440"/>
        <w:jc w:val="both"/>
        <w:rPr>
          <w:sz w:val="20"/>
          <w:szCs w:val="20"/>
        </w:rPr>
      </w:pPr>
      <w:bookmarkStart w:id="868" w:name="bookmark868"/>
      <w:bookmarkEnd w:id="868"/>
      <w:r>
        <w:rPr>
          <w:color w:val="000000"/>
          <w:spacing w:val="0"/>
          <w:w w:val="100"/>
          <w:position w:val="0"/>
          <w:sz w:val="20"/>
          <w:szCs w:val="20"/>
        </w:rPr>
        <w:t>金融负债终止确认条件</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金融负债（或其一部分）的现时义务已经解除的，则终止确认该金融负债（或该部分金融负债）。</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869" w:name="bookmark869"/>
      <w:r>
        <w:rPr>
          <w:b/>
          <w:bCs/>
          <w:color w:val="000000"/>
          <w:spacing w:val="0"/>
          <w:w w:val="100"/>
          <w:position w:val="0"/>
          <w:sz w:val="20"/>
          <w:szCs w:val="20"/>
        </w:rPr>
        <w:t>（</w:t>
      </w:r>
      <w:bookmarkEnd w:id="86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金融资产转移的确认依据和计量方法</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本公司在发生金融资产转移时，评估其保留金融资产所有权上的风险和报酬的程度，并分别下列情形 处理：</w:t>
      </w:r>
    </w:p>
    <w:p>
      <w:pPr>
        <w:pStyle w:val="Style14"/>
        <w:keepNext w:val="0"/>
        <w:keepLines w:val="0"/>
        <w:widowControl w:val="0"/>
        <w:numPr>
          <w:ilvl w:val="0"/>
          <w:numId w:val="41"/>
        </w:numPr>
        <w:shd w:val="clear" w:color="auto" w:fill="auto"/>
        <w:tabs>
          <w:tab w:pos="800" w:val="left"/>
        </w:tabs>
        <w:bidi w:val="0"/>
        <w:spacing w:before="0" w:after="0" w:line="314" w:lineRule="exact"/>
        <w:ind w:left="0" w:right="0" w:firstLine="440"/>
        <w:jc w:val="both"/>
        <w:rPr>
          <w:sz w:val="20"/>
          <w:szCs w:val="20"/>
        </w:rPr>
      </w:pPr>
      <w:bookmarkStart w:id="870" w:name="bookmark870"/>
      <w:bookmarkEnd w:id="870"/>
      <w:r>
        <w:rPr>
          <w:color w:val="000000"/>
          <w:spacing w:val="0"/>
          <w:w w:val="100"/>
          <w:position w:val="0"/>
          <w:sz w:val="20"/>
          <w:szCs w:val="20"/>
        </w:rPr>
        <w:t>转移了金融资产所有权上几乎所有风险和报酬的，则终止确认该金融资产，并将转移中产生或保留 的权利和义务单独确认为资产或负债。</w:t>
      </w:r>
    </w:p>
    <w:p>
      <w:pPr>
        <w:pStyle w:val="Style14"/>
        <w:keepNext w:val="0"/>
        <w:keepLines w:val="0"/>
        <w:widowControl w:val="0"/>
        <w:numPr>
          <w:ilvl w:val="0"/>
          <w:numId w:val="41"/>
        </w:numPr>
        <w:shd w:val="clear" w:color="auto" w:fill="auto"/>
        <w:tabs>
          <w:tab w:pos="837" w:val="left"/>
        </w:tabs>
        <w:bidi w:val="0"/>
        <w:spacing w:before="0" w:after="0" w:line="314" w:lineRule="exact"/>
        <w:ind w:left="0" w:right="0" w:firstLine="440"/>
        <w:jc w:val="both"/>
        <w:rPr>
          <w:sz w:val="20"/>
          <w:szCs w:val="20"/>
        </w:rPr>
      </w:pPr>
      <w:bookmarkStart w:id="871" w:name="bookmark871"/>
      <w:bookmarkEnd w:id="871"/>
      <w:r>
        <w:rPr>
          <w:color w:val="000000"/>
          <w:spacing w:val="0"/>
          <w:w w:val="100"/>
          <w:position w:val="0"/>
          <w:sz w:val="20"/>
          <w:szCs w:val="20"/>
        </w:rPr>
        <w:t>保留了金融资产所有权上几乎所有风险和报酬的，则继续确认该金融资产。</w:t>
      </w:r>
    </w:p>
    <w:p>
      <w:pPr>
        <w:pStyle w:val="Style14"/>
        <w:keepNext w:val="0"/>
        <w:keepLines w:val="0"/>
        <w:widowControl w:val="0"/>
        <w:numPr>
          <w:ilvl w:val="0"/>
          <w:numId w:val="41"/>
        </w:numPr>
        <w:shd w:val="clear" w:color="auto" w:fill="auto"/>
        <w:tabs>
          <w:tab w:pos="810" w:val="left"/>
        </w:tabs>
        <w:bidi w:val="0"/>
        <w:spacing w:before="0" w:after="0" w:line="314" w:lineRule="exact"/>
        <w:ind w:left="0" w:right="0" w:firstLine="440"/>
        <w:jc w:val="both"/>
        <w:rPr>
          <w:sz w:val="20"/>
          <w:szCs w:val="20"/>
        </w:rPr>
      </w:pPr>
      <w:bookmarkStart w:id="872" w:name="bookmark872"/>
      <w:bookmarkEnd w:id="872"/>
      <w:r>
        <w:rPr>
          <w:color w:val="000000"/>
          <w:spacing w:val="0"/>
          <w:w w:val="100"/>
          <w:position w:val="0"/>
          <w:sz w:val="20"/>
          <w:szCs w:val="20"/>
        </w:rPr>
        <w:t>既没有转移也没有保留金融资产所有权上几乎所有风险和报酬的（即除本条①、②之外的其他情 形），则根据其是否保留了对金融资产的控制，分别下列情形处理：</w:t>
      </w:r>
    </w:p>
    <w:p>
      <w:pPr>
        <w:pStyle w:val="Style14"/>
        <w:keepNext w:val="0"/>
        <w:keepLines w:val="0"/>
        <w:widowControl w:val="0"/>
        <w:shd w:val="clear" w:color="auto" w:fill="auto"/>
        <w:tabs>
          <w:tab w:pos="810" w:val="left"/>
        </w:tabs>
        <w:bidi w:val="0"/>
        <w:spacing w:before="0" w:after="0" w:line="314" w:lineRule="exact"/>
        <w:ind w:left="0" w:right="0" w:firstLine="440"/>
        <w:jc w:val="both"/>
        <w:rPr>
          <w:sz w:val="20"/>
          <w:szCs w:val="20"/>
        </w:rPr>
      </w:pPr>
      <w:bookmarkStart w:id="873" w:name="bookmark873"/>
      <w:r>
        <w:rPr>
          <w:rFonts w:ascii="Times New Roman" w:eastAsia="Times New Roman" w:hAnsi="Times New Roman" w:cs="Times New Roman"/>
          <w:color w:val="000000"/>
          <w:spacing w:val="0"/>
          <w:w w:val="100"/>
          <w:position w:val="0"/>
          <w:sz w:val="20"/>
          <w:szCs w:val="20"/>
        </w:rPr>
        <w:t>1</w:t>
      </w:r>
      <w:bookmarkEnd w:id="873"/>
      <w:r>
        <w:rPr>
          <w:color w:val="000000"/>
          <w:spacing w:val="0"/>
          <w:w w:val="100"/>
          <w:position w:val="0"/>
          <w:sz w:val="20"/>
          <w:szCs w:val="20"/>
        </w:rPr>
        <w:t>）</w:t>
        <w:tab/>
        <w:t>未保留对该金融资产控制的，则终止确认该金融资产，并将转移中产生或保留的权利和义务单独 确认为资产或负债。</w:t>
      </w:r>
    </w:p>
    <w:p>
      <w:pPr>
        <w:pStyle w:val="Style14"/>
        <w:keepNext w:val="0"/>
        <w:keepLines w:val="0"/>
        <w:widowControl w:val="0"/>
        <w:shd w:val="clear" w:color="auto" w:fill="auto"/>
        <w:tabs>
          <w:tab w:pos="805" w:val="left"/>
        </w:tabs>
        <w:bidi w:val="0"/>
        <w:spacing w:before="0" w:after="0" w:line="314" w:lineRule="exact"/>
        <w:ind w:left="0" w:right="0" w:firstLine="440"/>
        <w:jc w:val="both"/>
        <w:rPr>
          <w:sz w:val="20"/>
          <w:szCs w:val="20"/>
        </w:rPr>
      </w:pPr>
      <w:bookmarkStart w:id="874" w:name="bookmark874"/>
      <w:r>
        <w:rPr>
          <w:rFonts w:ascii="Times New Roman" w:eastAsia="Times New Roman" w:hAnsi="Times New Roman" w:cs="Times New Roman"/>
          <w:color w:val="000000"/>
          <w:spacing w:val="0"/>
          <w:w w:val="100"/>
          <w:position w:val="0"/>
          <w:sz w:val="20"/>
          <w:szCs w:val="20"/>
        </w:rPr>
        <w:t>2</w:t>
      </w:r>
      <w:bookmarkEnd w:id="874"/>
      <w:r>
        <w:rPr>
          <w:color w:val="000000"/>
          <w:spacing w:val="0"/>
          <w:w w:val="100"/>
          <w:position w:val="0"/>
          <w:sz w:val="20"/>
          <w:szCs w:val="20"/>
        </w:rPr>
        <w:t>）</w:t>
        <w:tab/>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在判断金融资产转移是否满足上述金融资产终止确认条件时，采用实质重于形式的原则。公司将金融 资产转移区分为金融资产整体转移和部分转移。</w:t>
      </w:r>
    </w:p>
    <w:p>
      <w:pPr>
        <w:pStyle w:val="Style14"/>
        <w:keepNext w:val="0"/>
        <w:keepLines w:val="0"/>
        <w:widowControl w:val="0"/>
        <w:numPr>
          <w:ilvl w:val="0"/>
          <w:numId w:val="43"/>
        </w:numPr>
        <w:shd w:val="clear" w:color="auto" w:fill="auto"/>
        <w:tabs>
          <w:tab w:pos="832" w:val="left"/>
        </w:tabs>
        <w:bidi w:val="0"/>
        <w:spacing w:before="0" w:after="0" w:line="314" w:lineRule="exact"/>
        <w:ind w:left="0" w:right="0" w:firstLine="440"/>
        <w:jc w:val="both"/>
        <w:rPr>
          <w:sz w:val="20"/>
          <w:szCs w:val="20"/>
        </w:rPr>
      </w:pPr>
      <w:bookmarkStart w:id="875" w:name="bookmark875"/>
      <w:bookmarkEnd w:id="875"/>
      <w:r>
        <w:rPr>
          <w:color w:val="000000"/>
          <w:spacing w:val="0"/>
          <w:w w:val="100"/>
          <w:position w:val="0"/>
          <w:sz w:val="20"/>
          <w:szCs w:val="20"/>
        </w:rPr>
        <w:t>金融资产整体转移满足终止确认条件的，将下列两项金额的差额计入当期损益：</w:t>
      </w:r>
    </w:p>
    <w:p>
      <w:pPr>
        <w:pStyle w:val="Style14"/>
        <w:keepNext w:val="0"/>
        <w:keepLines w:val="0"/>
        <w:widowControl w:val="0"/>
        <w:shd w:val="clear" w:color="auto" w:fill="auto"/>
        <w:tabs>
          <w:tab w:pos="813" w:val="left"/>
        </w:tabs>
        <w:bidi w:val="0"/>
        <w:spacing w:before="0" w:after="0" w:line="314" w:lineRule="exact"/>
        <w:ind w:left="0" w:right="0" w:firstLine="440"/>
        <w:jc w:val="both"/>
        <w:rPr>
          <w:sz w:val="20"/>
          <w:szCs w:val="20"/>
        </w:rPr>
      </w:pPr>
      <w:bookmarkStart w:id="876" w:name="bookmark876"/>
      <w:r>
        <w:rPr>
          <w:rFonts w:ascii="Times New Roman" w:eastAsia="Times New Roman" w:hAnsi="Times New Roman" w:cs="Times New Roman"/>
          <w:color w:val="000000"/>
          <w:spacing w:val="0"/>
          <w:w w:val="100"/>
          <w:position w:val="0"/>
          <w:sz w:val="20"/>
          <w:szCs w:val="20"/>
        </w:rPr>
        <w:t>1</w:t>
      </w:r>
      <w:bookmarkEnd w:id="876"/>
      <w:r>
        <w:rPr>
          <w:color w:val="000000"/>
          <w:spacing w:val="0"/>
          <w:w w:val="100"/>
          <w:position w:val="0"/>
          <w:sz w:val="20"/>
          <w:szCs w:val="20"/>
        </w:rPr>
        <w:t>）</w:t>
        <w:tab/>
        <w:t>被转移金融资产在终止确认日的账面价值。</w:t>
      </w:r>
    </w:p>
    <w:p>
      <w:pPr>
        <w:pStyle w:val="Style14"/>
        <w:keepNext w:val="0"/>
        <w:keepLines w:val="0"/>
        <w:widowControl w:val="0"/>
        <w:shd w:val="clear" w:color="auto" w:fill="auto"/>
        <w:tabs>
          <w:tab w:pos="810" w:val="left"/>
        </w:tabs>
        <w:bidi w:val="0"/>
        <w:spacing w:before="0" w:after="0" w:line="318" w:lineRule="exact"/>
        <w:ind w:left="0" w:right="0" w:firstLine="440"/>
        <w:jc w:val="both"/>
        <w:rPr>
          <w:sz w:val="20"/>
          <w:szCs w:val="20"/>
        </w:rPr>
      </w:pPr>
      <w:bookmarkStart w:id="877" w:name="bookmark877"/>
      <w:r>
        <w:rPr>
          <w:rFonts w:ascii="Times New Roman" w:eastAsia="Times New Roman" w:hAnsi="Times New Roman" w:cs="Times New Roman"/>
          <w:color w:val="000000"/>
          <w:spacing w:val="0"/>
          <w:w w:val="100"/>
          <w:position w:val="0"/>
          <w:sz w:val="20"/>
          <w:szCs w:val="20"/>
        </w:rPr>
        <w:t>2</w:t>
      </w:r>
      <w:bookmarkEnd w:id="877"/>
      <w:r>
        <w:rPr>
          <w:color w:val="000000"/>
          <w:spacing w:val="0"/>
          <w:w w:val="100"/>
          <w:position w:val="0"/>
          <w:sz w:val="20"/>
          <w:szCs w:val="20"/>
        </w:rPr>
        <w:t>）</w:t>
        <w:tab/>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14"/>
        <w:keepNext w:val="0"/>
        <w:keepLines w:val="0"/>
        <w:widowControl w:val="0"/>
        <w:numPr>
          <w:ilvl w:val="0"/>
          <w:numId w:val="43"/>
        </w:numPr>
        <w:shd w:val="clear" w:color="auto" w:fill="auto"/>
        <w:tabs>
          <w:tab w:pos="814" w:val="left"/>
        </w:tabs>
        <w:bidi w:val="0"/>
        <w:spacing w:before="0" w:after="0" w:line="318" w:lineRule="exact"/>
        <w:ind w:left="0" w:right="0" w:firstLine="440"/>
        <w:jc w:val="both"/>
        <w:rPr>
          <w:sz w:val="20"/>
          <w:szCs w:val="20"/>
        </w:rPr>
      </w:pPr>
      <w:bookmarkStart w:id="878" w:name="bookmark878"/>
      <w:bookmarkEnd w:id="878"/>
      <w:r>
        <w:rPr>
          <w:color w:val="000000"/>
          <w:spacing w:val="0"/>
          <w:w w:val="100"/>
          <w:position w:val="0"/>
          <w:sz w:val="20"/>
          <w:szCs w:val="20"/>
        </w:rPr>
        <w:t>金融资产部分转移且该被转移部分整体满足终止确认条件的，将转移前金融资产整体的账面价值， 在终止确认部分和继续确认部分（在此种情形下，所保留的服务资产应当视同继续确认金融资产的一部分） 之间，按照转移日各自的相对公允价值进行分摊，并将下列两项金额的差额计入当期损益：</w:t>
      </w:r>
    </w:p>
    <w:p>
      <w:pPr>
        <w:pStyle w:val="Style14"/>
        <w:keepNext w:val="0"/>
        <w:keepLines w:val="0"/>
        <w:widowControl w:val="0"/>
        <w:shd w:val="clear" w:color="auto" w:fill="auto"/>
        <w:tabs>
          <w:tab w:pos="813" w:val="left"/>
        </w:tabs>
        <w:bidi w:val="0"/>
        <w:spacing w:before="0" w:after="0" w:line="318" w:lineRule="exact"/>
        <w:ind w:left="0" w:right="0" w:firstLine="440"/>
        <w:jc w:val="both"/>
        <w:rPr>
          <w:sz w:val="20"/>
          <w:szCs w:val="20"/>
        </w:rPr>
      </w:pPr>
      <w:bookmarkStart w:id="879" w:name="bookmark879"/>
      <w:r>
        <w:rPr>
          <w:rFonts w:ascii="Times New Roman" w:eastAsia="Times New Roman" w:hAnsi="Times New Roman" w:cs="Times New Roman"/>
          <w:color w:val="000000"/>
          <w:spacing w:val="0"/>
          <w:w w:val="100"/>
          <w:position w:val="0"/>
          <w:sz w:val="20"/>
          <w:szCs w:val="20"/>
        </w:rPr>
        <w:t>1</w:t>
      </w:r>
      <w:bookmarkEnd w:id="879"/>
      <w:r>
        <w:rPr>
          <w:color w:val="000000"/>
          <w:spacing w:val="0"/>
          <w:w w:val="100"/>
          <w:position w:val="0"/>
          <w:sz w:val="20"/>
          <w:szCs w:val="20"/>
        </w:rPr>
        <w:t>）</w:t>
        <w:tab/>
        <w:t>终止确认部分在终止确认日的账面价值。</w:t>
      </w:r>
    </w:p>
    <w:p>
      <w:pPr>
        <w:pStyle w:val="Style14"/>
        <w:keepNext w:val="0"/>
        <w:keepLines w:val="0"/>
        <w:widowControl w:val="0"/>
        <w:shd w:val="clear" w:color="auto" w:fill="auto"/>
        <w:tabs>
          <w:tab w:pos="392" w:val="left"/>
        </w:tabs>
        <w:bidi w:val="0"/>
        <w:spacing w:before="0" w:after="0" w:line="318" w:lineRule="exact"/>
        <w:ind w:left="0" w:right="0" w:firstLine="440"/>
        <w:jc w:val="both"/>
        <w:rPr>
          <w:sz w:val="20"/>
          <w:szCs w:val="20"/>
        </w:rPr>
      </w:pPr>
      <w:bookmarkStart w:id="880" w:name="bookmark880"/>
      <w:r>
        <w:rPr>
          <w:rFonts w:ascii="Times New Roman" w:eastAsia="Times New Roman" w:hAnsi="Times New Roman" w:cs="Times New Roman"/>
          <w:color w:val="000000"/>
          <w:spacing w:val="0"/>
          <w:w w:val="100"/>
          <w:position w:val="0"/>
          <w:sz w:val="20"/>
          <w:szCs w:val="20"/>
        </w:rPr>
        <w:t>2</w:t>
      </w:r>
      <w:bookmarkEnd w:id="880"/>
      <w:r>
        <w:rPr>
          <w:color w:val="000000"/>
          <w:spacing w:val="0"/>
          <w:w w:val="100"/>
          <w:position w:val="0"/>
          <w:sz w:val="20"/>
          <w:szCs w:val="20"/>
        </w:rPr>
        <w:t>）</w:t>
        <w:tab/>
        <w:t xml:space="preserve">终止确认部分收到的对价，与原计入其他综合收益的公允价值变动累计额中对应终止确认部分的 </w:t>
      </w:r>
      <w:r>
        <w:rPr>
          <w:color w:val="000000"/>
          <w:spacing w:val="0"/>
          <w:w w:val="100"/>
          <w:position w:val="0"/>
          <w:sz w:val="20"/>
          <w:szCs w:val="20"/>
        </w:rPr>
        <w:t>金额（涉及转移的金融资产为以公允价值计量且其变动计入其他综合收益的金融资产）之和。</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14"/>
        <w:keepNext w:val="0"/>
        <w:keepLines w:val="0"/>
        <w:widowControl w:val="0"/>
        <w:shd w:val="clear" w:color="auto" w:fill="auto"/>
        <w:tabs>
          <w:tab w:pos="883" w:val="left"/>
        </w:tabs>
        <w:bidi w:val="0"/>
        <w:spacing w:before="0" w:after="0" w:line="313" w:lineRule="exact"/>
        <w:ind w:left="0" w:right="0" w:firstLine="440"/>
        <w:jc w:val="both"/>
        <w:rPr>
          <w:sz w:val="20"/>
          <w:szCs w:val="20"/>
        </w:rPr>
      </w:pPr>
      <w:bookmarkStart w:id="881" w:name="bookmark881"/>
      <w:r>
        <w:rPr>
          <w:b/>
          <w:bCs/>
          <w:color w:val="000000"/>
          <w:spacing w:val="0"/>
          <w:w w:val="100"/>
          <w:position w:val="0"/>
          <w:sz w:val="20"/>
          <w:szCs w:val="20"/>
        </w:rPr>
        <w:t>（</w:t>
      </w:r>
      <w:bookmarkEnd w:id="88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金融资产和金融负债公允价值的确定方法</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初始取得或衍生的金融资产或承担的金融负债，以市场交易价格作为确定其公允价值的基础。</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14"/>
        <w:keepNext w:val="0"/>
        <w:keepLines w:val="0"/>
        <w:widowControl w:val="0"/>
        <w:shd w:val="clear" w:color="auto" w:fill="auto"/>
        <w:tabs>
          <w:tab w:pos="883" w:val="left"/>
        </w:tabs>
        <w:bidi w:val="0"/>
        <w:spacing w:before="0" w:after="0" w:line="313" w:lineRule="exact"/>
        <w:ind w:left="0" w:right="0" w:firstLine="440"/>
        <w:jc w:val="both"/>
        <w:rPr>
          <w:sz w:val="20"/>
          <w:szCs w:val="20"/>
        </w:rPr>
      </w:pPr>
      <w:bookmarkStart w:id="882" w:name="bookmark882"/>
      <w:r>
        <w:rPr>
          <w:b/>
          <w:bCs/>
          <w:color w:val="000000"/>
          <w:spacing w:val="0"/>
          <w:w w:val="100"/>
          <w:position w:val="0"/>
          <w:sz w:val="20"/>
          <w:szCs w:val="20"/>
        </w:rPr>
        <w:t>（</w:t>
      </w:r>
      <w:bookmarkEnd w:id="882"/>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金融工具减值</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对由收入准则规范的交易形成的应收款项，本公司运用简化计量方法，按照相当于整个存续期内预期 信用损失的金额计量损失准备。</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14"/>
        <w:keepNext w:val="0"/>
        <w:keepLines w:val="0"/>
        <w:widowControl w:val="0"/>
        <w:numPr>
          <w:ilvl w:val="0"/>
          <w:numId w:val="45"/>
        </w:numPr>
        <w:shd w:val="clear" w:color="auto" w:fill="auto"/>
        <w:tabs>
          <w:tab w:pos="760" w:val="left"/>
        </w:tabs>
        <w:bidi w:val="0"/>
        <w:spacing w:before="0" w:after="0" w:line="313" w:lineRule="exact"/>
        <w:ind w:left="0" w:right="0" w:firstLine="440"/>
        <w:jc w:val="both"/>
        <w:rPr>
          <w:sz w:val="20"/>
          <w:szCs w:val="20"/>
        </w:rPr>
      </w:pPr>
      <w:bookmarkStart w:id="883" w:name="bookmark883"/>
      <w:bookmarkEnd w:id="883"/>
      <w:r>
        <w:rPr>
          <w:color w:val="000000"/>
          <w:spacing w:val="0"/>
          <w:w w:val="100"/>
          <w:position w:val="0"/>
          <w:sz w:val="20"/>
          <w:szCs w:val="20"/>
        </w:rPr>
        <w:t>如果该金融工具的信用风险自初始确认后并未显著增加，处于第一阶段，则按照相当于该金融工具 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个月内预期信用损失的金额计量其损失准备，并按照账面余额和实际利率计算利息收入。</w:t>
      </w:r>
    </w:p>
    <w:p>
      <w:pPr>
        <w:pStyle w:val="Style14"/>
        <w:keepNext w:val="0"/>
        <w:keepLines w:val="0"/>
        <w:widowControl w:val="0"/>
        <w:numPr>
          <w:ilvl w:val="0"/>
          <w:numId w:val="45"/>
        </w:numPr>
        <w:shd w:val="clear" w:color="auto" w:fill="auto"/>
        <w:tabs>
          <w:tab w:pos="765" w:val="left"/>
        </w:tabs>
        <w:bidi w:val="0"/>
        <w:spacing w:before="0" w:after="0" w:line="313" w:lineRule="exact"/>
        <w:ind w:left="0" w:right="0" w:firstLine="440"/>
        <w:jc w:val="both"/>
        <w:rPr>
          <w:sz w:val="20"/>
          <w:szCs w:val="20"/>
        </w:rPr>
      </w:pPr>
      <w:bookmarkStart w:id="884" w:name="bookmark884"/>
      <w:bookmarkEnd w:id="884"/>
      <w:r>
        <w:rPr>
          <w:color w:val="000000"/>
          <w:spacing w:val="0"/>
          <w:w w:val="100"/>
          <w:position w:val="0"/>
          <w:sz w:val="20"/>
          <w:szCs w:val="20"/>
        </w:rPr>
        <w:t>如果该金融工具的信用风险自初始确认后已显著增加但尚未发生信用减值的，处于第二阶段，则按 照相当于该金融工具整个存续期内预期信用损失的金额计量其损失准备，并按照账面余额和实际利率计算 利息收入。</w:t>
      </w:r>
    </w:p>
    <w:p>
      <w:pPr>
        <w:pStyle w:val="Style14"/>
        <w:keepNext w:val="0"/>
        <w:keepLines w:val="0"/>
        <w:widowControl w:val="0"/>
        <w:numPr>
          <w:ilvl w:val="0"/>
          <w:numId w:val="45"/>
        </w:numPr>
        <w:shd w:val="clear" w:color="auto" w:fill="auto"/>
        <w:tabs>
          <w:tab w:pos="765" w:val="left"/>
        </w:tabs>
        <w:bidi w:val="0"/>
        <w:spacing w:before="0" w:after="0" w:line="313" w:lineRule="exact"/>
        <w:ind w:left="0" w:right="0" w:firstLine="440"/>
        <w:jc w:val="both"/>
        <w:rPr>
          <w:sz w:val="20"/>
          <w:szCs w:val="20"/>
        </w:rPr>
      </w:pPr>
      <w:bookmarkStart w:id="885" w:name="bookmark885"/>
      <w:bookmarkEnd w:id="885"/>
      <w:r>
        <w:rPr>
          <w:color w:val="000000"/>
          <w:spacing w:val="0"/>
          <w:w w:val="100"/>
          <w:position w:val="0"/>
          <w:sz w:val="20"/>
          <w:szCs w:val="20"/>
        </w:rPr>
        <w:t>如果该金融工具自初始确认后已经发生信用减值的，处于第三阶段，本公司按照相当于该金融工具 整个存续期内预期信用损失的金额计量其损失准备，并按照摊余成本和实际利率计算利息收入。</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个月内预期信用损失的金额计量该金融工具的损失准备，由此形成的损失 准备的转回金额作为减值利得计入当期损益。</w:t>
      </w:r>
    </w:p>
    <w:p>
      <w:pPr>
        <w:pStyle w:val="Style14"/>
        <w:keepNext w:val="0"/>
        <w:keepLines w:val="0"/>
        <w:widowControl w:val="0"/>
        <w:numPr>
          <w:ilvl w:val="0"/>
          <w:numId w:val="47"/>
        </w:numPr>
        <w:shd w:val="clear" w:color="auto" w:fill="auto"/>
        <w:tabs>
          <w:tab w:pos="832" w:val="left"/>
        </w:tabs>
        <w:bidi w:val="0"/>
        <w:spacing w:before="0" w:after="0" w:line="311" w:lineRule="exact"/>
        <w:ind w:left="0" w:right="0" w:firstLine="440"/>
        <w:jc w:val="both"/>
        <w:rPr>
          <w:sz w:val="20"/>
          <w:szCs w:val="20"/>
        </w:rPr>
      </w:pPr>
      <w:bookmarkStart w:id="886" w:name="bookmark886"/>
      <w:bookmarkEnd w:id="886"/>
      <w:r>
        <w:rPr>
          <w:color w:val="000000"/>
          <w:spacing w:val="0"/>
          <w:w w:val="100"/>
          <w:position w:val="0"/>
          <w:sz w:val="20"/>
          <w:szCs w:val="20"/>
        </w:rPr>
        <w:t>信用风险显著增加</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1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本公司在评估信用风险是否显著增加时会考虑如下因素：</w:t>
      </w:r>
    </w:p>
    <w:p>
      <w:pPr>
        <w:pStyle w:val="Style14"/>
        <w:keepNext w:val="0"/>
        <w:keepLines w:val="0"/>
        <w:widowControl w:val="0"/>
        <w:shd w:val="clear" w:color="auto" w:fill="auto"/>
        <w:tabs>
          <w:tab w:pos="813" w:val="left"/>
        </w:tabs>
        <w:bidi w:val="0"/>
        <w:spacing w:before="0" w:after="0" w:line="324" w:lineRule="auto"/>
        <w:ind w:left="0" w:right="0" w:firstLine="440"/>
        <w:jc w:val="both"/>
        <w:rPr>
          <w:sz w:val="20"/>
          <w:szCs w:val="20"/>
        </w:rPr>
      </w:pPr>
      <w:bookmarkStart w:id="887" w:name="bookmark887"/>
      <w:r>
        <w:rPr>
          <w:rFonts w:ascii="Times New Roman" w:eastAsia="Times New Roman" w:hAnsi="Times New Roman" w:cs="Times New Roman"/>
          <w:color w:val="000000"/>
          <w:spacing w:val="0"/>
          <w:w w:val="100"/>
          <w:position w:val="0"/>
          <w:sz w:val="20"/>
          <w:szCs w:val="20"/>
        </w:rPr>
        <w:t>1</w:t>
      </w:r>
      <w:bookmarkEnd w:id="887"/>
      <w:r>
        <w:rPr>
          <w:color w:val="000000"/>
          <w:spacing w:val="0"/>
          <w:w w:val="100"/>
          <w:position w:val="0"/>
          <w:sz w:val="20"/>
          <w:szCs w:val="20"/>
        </w:rPr>
        <w:t>）</w:t>
        <w:tab/>
        <w:t>债务人经营成果实际或预期是否发生显著变化；</w:t>
      </w:r>
    </w:p>
    <w:p>
      <w:pPr>
        <w:pStyle w:val="Style14"/>
        <w:keepNext w:val="0"/>
        <w:keepLines w:val="0"/>
        <w:widowControl w:val="0"/>
        <w:shd w:val="clear" w:color="auto" w:fill="auto"/>
        <w:bidi w:val="0"/>
        <w:spacing w:before="0" w:after="0" w:line="324" w:lineRule="auto"/>
        <w:ind w:left="0" w:right="0" w:firstLine="440"/>
        <w:jc w:val="both"/>
        <w:rPr>
          <w:sz w:val="20"/>
          <w:szCs w:val="20"/>
        </w:rPr>
      </w:pPr>
      <w:bookmarkStart w:id="888" w:name="bookmark888"/>
      <w:r>
        <w:rPr>
          <w:rFonts w:ascii="Times New Roman" w:eastAsia="Times New Roman" w:hAnsi="Times New Roman" w:cs="Times New Roman"/>
          <w:color w:val="000000"/>
          <w:spacing w:val="0"/>
          <w:w w:val="100"/>
          <w:position w:val="0"/>
          <w:sz w:val="20"/>
          <w:szCs w:val="20"/>
        </w:rPr>
        <w:t>2</w:t>
      </w:r>
      <w:bookmarkEnd w:id="888"/>
      <w:r>
        <w:rPr>
          <w:color w:val="000000"/>
          <w:spacing w:val="0"/>
          <w:w w:val="100"/>
          <w:position w:val="0"/>
          <w:sz w:val="20"/>
          <w:szCs w:val="20"/>
        </w:rPr>
        <w:t>） 债务人所处的监管、经济或技术环境是否发生显著不利变化；</w:t>
      </w:r>
    </w:p>
    <w:p>
      <w:pPr>
        <w:pStyle w:val="Style14"/>
        <w:keepNext w:val="0"/>
        <w:keepLines w:val="0"/>
        <w:widowControl w:val="0"/>
        <w:shd w:val="clear" w:color="auto" w:fill="auto"/>
        <w:tabs>
          <w:tab w:pos="805" w:val="left"/>
        </w:tabs>
        <w:bidi w:val="0"/>
        <w:spacing w:before="0" w:after="80" w:line="311" w:lineRule="exact"/>
        <w:ind w:left="0" w:right="0" w:firstLine="440"/>
        <w:jc w:val="both"/>
        <w:rPr>
          <w:sz w:val="20"/>
          <w:szCs w:val="20"/>
        </w:rPr>
      </w:pPr>
      <w:bookmarkStart w:id="889" w:name="bookmark889"/>
      <w:r>
        <w:rPr>
          <w:rFonts w:ascii="Times New Roman" w:eastAsia="Times New Roman" w:hAnsi="Times New Roman" w:cs="Times New Roman"/>
          <w:color w:val="000000"/>
          <w:spacing w:val="0"/>
          <w:w w:val="100"/>
          <w:position w:val="0"/>
          <w:sz w:val="20"/>
          <w:szCs w:val="20"/>
        </w:rPr>
        <w:t>3</w:t>
      </w:r>
      <w:bookmarkEnd w:id="889"/>
      <w:r>
        <w:rPr>
          <w:color w:val="000000"/>
          <w:spacing w:val="0"/>
          <w:w w:val="100"/>
          <w:position w:val="0"/>
          <w:sz w:val="20"/>
          <w:szCs w:val="20"/>
        </w:rPr>
        <w:t>）</w:t>
        <w:tab/>
        <w:t>作为债务抵押的担保物价值或第三方提供的担保或信用增级质量是否发生显著变化，这些变化预 期将降低债务人按合同规定期限还款的经济动机或者影响违约概率；</w:t>
      </w:r>
    </w:p>
    <w:p>
      <w:pPr>
        <w:pStyle w:val="Style14"/>
        <w:keepNext w:val="0"/>
        <w:keepLines w:val="0"/>
        <w:widowControl w:val="0"/>
        <w:shd w:val="clear" w:color="auto" w:fill="auto"/>
        <w:tabs>
          <w:tab w:pos="832" w:val="left"/>
        </w:tabs>
        <w:bidi w:val="0"/>
        <w:spacing w:before="0" w:after="0" w:line="324" w:lineRule="auto"/>
        <w:ind w:left="0" w:right="0" w:firstLine="440"/>
        <w:jc w:val="both"/>
        <w:rPr>
          <w:sz w:val="20"/>
          <w:szCs w:val="20"/>
        </w:rPr>
      </w:pPr>
      <w:bookmarkStart w:id="890" w:name="bookmark890"/>
      <w:r>
        <w:rPr>
          <w:rFonts w:ascii="Times New Roman" w:eastAsia="Times New Roman" w:hAnsi="Times New Roman" w:cs="Times New Roman"/>
          <w:color w:val="000000"/>
          <w:spacing w:val="0"/>
          <w:w w:val="100"/>
          <w:position w:val="0"/>
          <w:sz w:val="20"/>
          <w:szCs w:val="20"/>
        </w:rPr>
        <w:t>4</w:t>
      </w:r>
      <w:bookmarkEnd w:id="890"/>
      <w:r>
        <w:rPr>
          <w:color w:val="000000"/>
          <w:spacing w:val="0"/>
          <w:w w:val="100"/>
          <w:position w:val="0"/>
          <w:sz w:val="20"/>
          <w:szCs w:val="20"/>
        </w:rPr>
        <w:t>）</w:t>
        <w:tab/>
        <w:t>债务人预期表现和还款行为是否发生显著变化；</w:t>
      </w:r>
    </w:p>
    <w:p>
      <w:pPr>
        <w:pStyle w:val="Style14"/>
        <w:keepNext w:val="0"/>
        <w:keepLines w:val="0"/>
        <w:widowControl w:val="0"/>
        <w:shd w:val="clear" w:color="auto" w:fill="auto"/>
        <w:tabs>
          <w:tab w:pos="832" w:val="left"/>
        </w:tabs>
        <w:bidi w:val="0"/>
        <w:spacing w:before="0" w:after="0" w:line="324" w:lineRule="auto"/>
        <w:ind w:left="0" w:right="0" w:firstLine="440"/>
        <w:jc w:val="both"/>
        <w:rPr>
          <w:sz w:val="20"/>
          <w:szCs w:val="20"/>
        </w:rPr>
      </w:pPr>
      <w:bookmarkStart w:id="891" w:name="bookmark891"/>
      <w:r>
        <w:rPr>
          <w:rFonts w:ascii="Times New Roman" w:eastAsia="Times New Roman" w:hAnsi="Times New Roman" w:cs="Times New Roman"/>
          <w:color w:val="000000"/>
          <w:spacing w:val="0"/>
          <w:w w:val="100"/>
          <w:position w:val="0"/>
          <w:sz w:val="20"/>
          <w:szCs w:val="20"/>
        </w:rPr>
        <w:t>5</w:t>
      </w:r>
      <w:bookmarkEnd w:id="891"/>
      <w:r>
        <w:rPr>
          <w:color w:val="000000"/>
          <w:spacing w:val="0"/>
          <w:w w:val="100"/>
          <w:position w:val="0"/>
          <w:sz w:val="20"/>
          <w:szCs w:val="20"/>
        </w:rPr>
        <w:t>）</w:t>
        <w:tab/>
        <w:t>本公司对金融工具信用管理方法是否发生变化等。</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14"/>
        <w:keepNext w:val="0"/>
        <w:keepLines w:val="0"/>
        <w:widowControl w:val="0"/>
        <w:numPr>
          <w:ilvl w:val="0"/>
          <w:numId w:val="47"/>
        </w:numPr>
        <w:shd w:val="clear" w:color="auto" w:fill="auto"/>
        <w:tabs>
          <w:tab w:pos="837" w:val="left"/>
        </w:tabs>
        <w:bidi w:val="0"/>
        <w:spacing w:before="0" w:after="0" w:line="311" w:lineRule="exact"/>
        <w:ind w:left="0" w:right="0" w:firstLine="440"/>
        <w:jc w:val="both"/>
        <w:rPr>
          <w:sz w:val="20"/>
          <w:szCs w:val="20"/>
        </w:rPr>
      </w:pPr>
      <w:bookmarkStart w:id="892" w:name="bookmark892"/>
      <w:bookmarkEnd w:id="892"/>
      <w:r>
        <w:rPr>
          <w:color w:val="000000"/>
          <w:spacing w:val="0"/>
          <w:w w:val="100"/>
          <w:position w:val="0"/>
          <w:sz w:val="20"/>
          <w:szCs w:val="20"/>
        </w:rPr>
        <w:t>已发生信用减值的金融资产</w:t>
      </w:r>
    </w:p>
    <w:p>
      <w:pPr>
        <w:pStyle w:val="Style14"/>
        <w:keepNext w:val="0"/>
        <w:keepLines w:val="0"/>
        <w:widowControl w:val="0"/>
        <w:shd w:val="clear" w:color="auto" w:fill="auto"/>
        <w:bidi w:val="0"/>
        <w:spacing w:before="0" w:after="80" w:line="311" w:lineRule="exact"/>
        <w:ind w:left="0" w:right="0" w:firstLine="440"/>
        <w:jc w:val="both"/>
        <w:rPr>
          <w:sz w:val="20"/>
          <w:szCs w:val="20"/>
        </w:rPr>
      </w:pPr>
      <w:r>
        <w:rPr>
          <w:color w:val="000000"/>
          <w:spacing w:val="0"/>
          <w:w w:val="100"/>
          <w:position w:val="0"/>
          <w:sz w:val="20"/>
          <w:szCs w:val="20"/>
        </w:rPr>
        <w:t>当对金融资产预期未来现金流量具有不利影响的一项或多项事件发生时，该金融资产成为已发生信用 减值的金融资产。金融资产已发生信用减值的证据包括下列可观察信息：</w:t>
      </w:r>
    </w:p>
    <w:p>
      <w:pPr>
        <w:pStyle w:val="Style14"/>
        <w:keepNext w:val="0"/>
        <w:keepLines w:val="0"/>
        <w:widowControl w:val="0"/>
        <w:shd w:val="clear" w:color="auto" w:fill="auto"/>
        <w:tabs>
          <w:tab w:pos="813" w:val="left"/>
        </w:tabs>
        <w:bidi w:val="0"/>
        <w:spacing w:before="0" w:after="0" w:line="324" w:lineRule="auto"/>
        <w:ind w:left="0" w:right="0" w:firstLine="440"/>
        <w:jc w:val="both"/>
        <w:rPr>
          <w:sz w:val="20"/>
          <w:szCs w:val="20"/>
        </w:rPr>
      </w:pPr>
      <w:bookmarkStart w:id="893" w:name="bookmark893"/>
      <w:r>
        <w:rPr>
          <w:rFonts w:ascii="Times New Roman" w:eastAsia="Times New Roman" w:hAnsi="Times New Roman" w:cs="Times New Roman"/>
          <w:color w:val="000000"/>
          <w:spacing w:val="0"/>
          <w:w w:val="100"/>
          <w:position w:val="0"/>
          <w:sz w:val="20"/>
          <w:szCs w:val="20"/>
        </w:rPr>
        <w:t>1</w:t>
      </w:r>
      <w:bookmarkEnd w:id="893"/>
      <w:r>
        <w:rPr>
          <w:color w:val="000000"/>
          <w:spacing w:val="0"/>
          <w:w w:val="100"/>
          <w:position w:val="0"/>
          <w:sz w:val="20"/>
          <w:szCs w:val="20"/>
        </w:rPr>
        <w:t>）</w:t>
        <w:tab/>
        <w:t>发行方或债务人发生重大财务困难；</w:t>
      </w:r>
    </w:p>
    <w:p>
      <w:pPr>
        <w:pStyle w:val="Style14"/>
        <w:keepNext w:val="0"/>
        <w:keepLines w:val="0"/>
        <w:widowControl w:val="0"/>
        <w:shd w:val="clear" w:color="auto" w:fill="auto"/>
        <w:bidi w:val="0"/>
        <w:spacing w:before="0" w:after="0" w:line="324" w:lineRule="auto"/>
        <w:ind w:left="0" w:right="0" w:firstLine="440"/>
        <w:jc w:val="both"/>
        <w:rPr>
          <w:sz w:val="20"/>
          <w:szCs w:val="20"/>
        </w:rPr>
      </w:pPr>
      <w:bookmarkStart w:id="894" w:name="bookmark894"/>
      <w:r>
        <w:rPr>
          <w:rFonts w:ascii="Times New Roman" w:eastAsia="Times New Roman" w:hAnsi="Times New Roman" w:cs="Times New Roman"/>
          <w:color w:val="000000"/>
          <w:spacing w:val="0"/>
          <w:w w:val="100"/>
          <w:position w:val="0"/>
          <w:sz w:val="20"/>
          <w:szCs w:val="20"/>
        </w:rPr>
        <w:t>2</w:t>
      </w:r>
      <w:bookmarkEnd w:id="894"/>
      <w:r>
        <w:rPr>
          <w:color w:val="000000"/>
          <w:spacing w:val="0"/>
          <w:w w:val="100"/>
          <w:position w:val="0"/>
          <w:sz w:val="20"/>
          <w:szCs w:val="20"/>
        </w:rPr>
        <w:t>） 债务人违反合同，如偿付利息或本金违约或逾期等；</w:t>
      </w:r>
    </w:p>
    <w:p>
      <w:pPr>
        <w:pStyle w:val="Style14"/>
        <w:keepNext w:val="0"/>
        <w:keepLines w:val="0"/>
        <w:widowControl w:val="0"/>
        <w:shd w:val="clear" w:color="auto" w:fill="auto"/>
        <w:bidi w:val="0"/>
        <w:spacing w:before="0" w:after="80" w:line="311" w:lineRule="exact"/>
        <w:ind w:left="0" w:right="0" w:firstLine="440"/>
        <w:jc w:val="both"/>
        <w:rPr>
          <w:sz w:val="20"/>
          <w:szCs w:val="20"/>
        </w:rPr>
      </w:pPr>
      <w:bookmarkStart w:id="895" w:name="bookmark895"/>
      <w:r>
        <w:rPr>
          <w:rFonts w:ascii="Times New Roman" w:eastAsia="Times New Roman" w:hAnsi="Times New Roman" w:cs="Times New Roman"/>
          <w:color w:val="000000"/>
          <w:spacing w:val="0"/>
          <w:w w:val="100"/>
          <w:position w:val="0"/>
          <w:sz w:val="20"/>
          <w:szCs w:val="20"/>
        </w:rPr>
        <w:t>3</w:t>
      </w:r>
      <w:bookmarkEnd w:id="895"/>
      <w:r>
        <w:rPr>
          <w:color w:val="000000"/>
          <w:spacing w:val="0"/>
          <w:w w:val="100"/>
          <w:position w:val="0"/>
          <w:sz w:val="20"/>
          <w:szCs w:val="20"/>
        </w:rPr>
        <w:t>） 债权人出于与债务人财务困难有关的经济或合同考虑，给予债务人在任何其他情况下都不会做出 的让步；</w:t>
      </w:r>
    </w:p>
    <w:p>
      <w:pPr>
        <w:pStyle w:val="Style14"/>
        <w:keepNext w:val="0"/>
        <w:keepLines w:val="0"/>
        <w:widowControl w:val="0"/>
        <w:shd w:val="clear" w:color="auto" w:fill="auto"/>
        <w:tabs>
          <w:tab w:pos="832" w:val="left"/>
        </w:tabs>
        <w:bidi w:val="0"/>
        <w:spacing w:before="0" w:after="0" w:line="324" w:lineRule="auto"/>
        <w:ind w:left="0" w:right="0" w:firstLine="440"/>
        <w:jc w:val="both"/>
        <w:rPr>
          <w:sz w:val="20"/>
          <w:szCs w:val="20"/>
        </w:rPr>
      </w:pPr>
      <w:bookmarkStart w:id="896" w:name="bookmark896"/>
      <w:r>
        <w:rPr>
          <w:rFonts w:ascii="Times New Roman" w:eastAsia="Times New Roman" w:hAnsi="Times New Roman" w:cs="Times New Roman"/>
          <w:color w:val="000000"/>
          <w:spacing w:val="0"/>
          <w:w w:val="100"/>
          <w:position w:val="0"/>
          <w:sz w:val="20"/>
          <w:szCs w:val="20"/>
        </w:rPr>
        <w:t>4</w:t>
      </w:r>
      <w:bookmarkEnd w:id="896"/>
      <w:r>
        <w:rPr>
          <w:color w:val="000000"/>
          <w:spacing w:val="0"/>
          <w:w w:val="100"/>
          <w:position w:val="0"/>
          <w:sz w:val="20"/>
          <w:szCs w:val="20"/>
        </w:rPr>
        <w:t>）</w:t>
        <w:tab/>
        <w:t>债务人很可能破产或进行其他财务重组；</w:t>
      </w:r>
    </w:p>
    <w:p>
      <w:pPr>
        <w:pStyle w:val="Style14"/>
        <w:keepNext w:val="0"/>
        <w:keepLines w:val="0"/>
        <w:widowControl w:val="0"/>
        <w:shd w:val="clear" w:color="auto" w:fill="auto"/>
        <w:tabs>
          <w:tab w:pos="832" w:val="left"/>
        </w:tabs>
        <w:bidi w:val="0"/>
        <w:spacing w:before="0" w:after="0" w:line="324" w:lineRule="auto"/>
        <w:ind w:left="0" w:right="0" w:firstLine="440"/>
        <w:jc w:val="both"/>
        <w:rPr>
          <w:sz w:val="20"/>
          <w:szCs w:val="20"/>
        </w:rPr>
      </w:pPr>
      <w:bookmarkStart w:id="897" w:name="bookmark897"/>
      <w:r>
        <w:rPr>
          <w:rFonts w:ascii="Times New Roman" w:eastAsia="Times New Roman" w:hAnsi="Times New Roman" w:cs="Times New Roman"/>
          <w:color w:val="000000"/>
          <w:spacing w:val="0"/>
          <w:w w:val="100"/>
          <w:position w:val="0"/>
          <w:sz w:val="20"/>
          <w:szCs w:val="20"/>
        </w:rPr>
        <w:t>5</w:t>
      </w:r>
      <w:bookmarkEnd w:id="897"/>
      <w:r>
        <w:rPr>
          <w:color w:val="000000"/>
          <w:spacing w:val="0"/>
          <w:w w:val="100"/>
          <w:position w:val="0"/>
          <w:sz w:val="20"/>
          <w:szCs w:val="20"/>
        </w:rPr>
        <w:t>）</w:t>
        <w:tab/>
        <w:t>发行方或债务人财务困难导致该金融资产的活跃市场消失；</w:t>
      </w:r>
    </w:p>
    <w:p>
      <w:pPr>
        <w:pStyle w:val="Style14"/>
        <w:keepNext w:val="0"/>
        <w:keepLines w:val="0"/>
        <w:widowControl w:val="0"/>
        <w:shd w:val="clear" w:color="auto" w:fill="auto"/>
        <w:tabs>
          <w:tab w:pos="832" w:val="left"/>
        </w:tabs>
        <w:bidi w:val="0"/>
        <w:spacing w:before="0" w:after="0" w:line="324" w:lineRule="auto"/>
        <w:ind w:left="0" w:right="0" w:firstLine="440"/>
        <w:jc w:val="both"/>
        <w:rPr>
          <w:sz w:val="20"/>
          <w:szCs w:val="20"/>
        </w:rPr>
      </w:pPr>
      <w:bookmarkStart w:id="898" w:name="bookmark898"/>
      <w:r>
        <w:rPr>
          <w:rFonts w:ascii="Times New Roman" w:eastAsia="Times New Roman" w:hAnsi="Times New Roman" w:cs="Times New Roman"/>
          <w:color w:val="000000"/>
          <w:spacing w:val="0"/>
          <w:w w:val="100"/>
          <w:position w:val="0"/>
          <w:sz w:val="20"/>
          <w:szCs w:val="20"/>
        </w:rPr>
        <w:t>6</w:t>
      </w:r>
      <w:bookmarkEnd w:id="898"/>
      <w:r>
        <w:rPr>
          <w:color w:val="000000"/>
          <w:spacing w:val="0"/>
          <w:w w:val="100"/>
          <w:position w:val="0"/>
          <w:sz w:val="20"/>
          <w:szCs w:val="20"/>
        </w:rPr>
        <w:t>）</w:t>
        <w:tab/>
        <w:t>以大幅折扣购买或源生一项金融资产，该折扣反映了发生信用损失的事实。</w:t>
      </w:r>
    </w:p>
    <w:p>
      <w:pPr>
        <w:pStyle w:val="Style14"/>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金融资产发生信用减值，有可能是多个事件的共同作用所致，未必是可单独识别的事件所致。</w:t>
      </w:r>
    </w:p>
    <w:p>
      <w:pPr>
        <w:pStyle w:val="Style14"/>
        <w:keepNext w:val="0"/>
        <w:keepLines w:val="0"/>
        <w:widowControl w:val="0"/>
        <w:numPr>
          <w:ilvl w:val="0"/>
          <w:numId w:val="47"/>
        </w:numPr>
        <w:shd w:val="clear" w:color="auto" w:fill="auto"/>
        <w:tabs>
          <w:tab w:pos="837" w:val="left"/>
        </w:tabs>
        <w:bidi w:val="0"/>
        <w:spacing w:before="0" w:after="0" w:line="311" w:lineRule="exact"/>
        <w:ind w:left="0" w:right="0" w:firstLine="440"/>
        <w:jc w:val="left"/>
        <w:rPr>
          <w:sz w:val="20"/>
          <w:szCs w:val="20"/>
        </w:rPr>
      </w:pPr>
      <w:bookmarkStart w:id="899" w:name="bookmark899"/>
      <w:bookmarkEnd w:id="899"/>
      <w:r>
        <w:rPr>
          <w:color w:val="000000"/>
          <w:spacing w:val="0"/>
          <w:w w:val="100"/>
          <w:position w:val="0"/>
          <w:sz w:val="20"/>
          <w:szCs w:val="20"/>
        </w:rPr>
        <w:t>预期信用损失的确定</w:t>
      </w:r>
    </w:p>
    <w:p>
      <w:pPr>
        <w:pStyle w:val="Style14"/>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本公司基于单项和组合评估金融工具的预期信用损失，在评估预期信用损失时，考虑有关过去事项、 当前状况以及未来经济状况预测的合理且有依据的信息。</w:t>
      </w:r>
    </w:p>
    <w:p>
      <w:pPr>
        <w:pStyle w:val="Style14"/>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本公司以共同信用风险特征为依据，将金融工具分为不同组合。本公司采用的共同信用风险特征包括: 金融工具类型、信用风险评级、账龄组合、逾期账龄组合、合同结算周期、债务人所处行业等。相关金融 工具的单项评估标准和组合信用风险特征详见相关金融工具的会计政策。</w:t>
      </w:r>
    </w:p>
    <w:p>
      <w:pPr>
        <w:pStyle w:val="Style14"/>
        <w:keepNext w:val="0"/>
        <w:keepLines w:val="0"/>
        <w:widowControl w:val="0"/>
        <w:shd w:val="clear" w:color="auto" w:fill="auto"/>
        <w:bidi w:val="0"/>
        <w:spacing w:before="0" w:after="80" w:line="317" w:lineRule="exact"/>
        <w:ind w:left="0" w:right="0" w:firstLine="440"/>
        <w:jc w:val="both"/>
        <w:rPr>
          <w:sz w:val="20"/>
          <w:szCs w:val="20"/>
        </w:rPr>
      </w:pPr>
      <w:r>
        <w:rPr>
          <w:color w:val="000000"/>
          <w:spacing w:val="0"/>
          <w:w w:val="100"/>
          <w:position w:val="0"/>
          <w:sz w:val="20"/>
          <w:szCs w:val="20"/>
        </w:rPr>
        <w:t>本公司按照下列方法确定相关金融工具的预期信用损失：</w:t>
      </w:r>
    </w:p>
    <w:p>
      <w:pPr>
        <w:pStyle w:val="Style14"/>
        <w:keepNext w:val="0"/>
        <w:keepLines w:val="0"/>
        <w:widowControl w:val="0"/>
        <w:shd w:val="clear" w:color="auto" w:fill="auto"/>
        <w:tabs>
          <w:tab w:pos="813" w:val="left"/>
        </w:tabs>
        <w:bidi w:val="0"/>
        <w:spacing w:before="0" w:after="0" w:line="331" w:lineRule="auto"/>
        <w:ind w:left="0" w:right="0" w:firstLine="440"/>
        <w:jc w:val="both"/>
        <w:rPr>
          <w:sz w:val="20"/>
          <w:szCs w:val="20"/>
        </w:rPr>
      </w:pPr>
      <w:bookmarkStart w:id="900" w:name="bookmark900"/>
      <w:r>
        <w:rPr>
          <w:rFonts w:ascii="Times New Roman" w:eastAsia="Times New Roman" w:hAnsi="Times New Roman" w:cs="Times New Roman"/>
          <w:color w:val="000000"/>
          <w:spacing w:val="0"/>
          <w:w w:val="100"/>
          <w:position w:val="0"/>
          <w:sz w:val="20"/>
          <w:szCs w:val="20"/>
        </w:rPr>
        <w:t>1</w:t>
      </w:r>
      <w:bookmarkEnd w:id="900"/>
      <w:r>
        <w:rPr>
          <w:color w:val="000000"/>
          <w:spacing w:val="0"/>
          <w:w w:val="100"/>
          <w:position w:val="0"/>
          <w:sz w:val="20"/>
          <w:szCs w:val="20"/>
        </w:rPr>
        <w:t>）</w:t>
        <w:tab/>
        <w:t>对于金融资产，信用损失为本公司应收取的合同现金流量与预期收取的现金流量之间差额的现值。</w:t>
      </w:r>
    </w:p>
    <w:p>
      <w:pPr>
        <w:pStyle w:val="Style14"/>
        <w:keepNext w:val="0"/>
        <w:keepLines w:val="0"/>
        <w:widowControl w:val="0"/>
        <w:shd w:val="clear" w:color="auto" w:fill="auto"/>
        <w:bidi w:val="0"/>
        <w:spacing w:before="0" w:after="0" w:line="317" w:lineRule="exact"/>
        <w:ind w:left="0" w:right="0" w:firstLine="440"/>
        <w:jc w:val="both"/>
        <w:rPr>
          <w:sz w:val="20"/>
          <w:szCs w:val="20"/>
        </w:rPr>
      </w:pPr>
      <w:bookmarkStart w:id="901" w:name="bookmark901"/>
      <w:r>
        <w:rPr>
          <w:rFonts w:ascii="Times New Roman" w:eastAsia="Times New Roman" w:hAnsi="Times New Roman" w:cs="Times New Roman"/>
          <w:color w:val="000000"/>
          <w:spacing w:val="0"/>
          <w:w w:val="100"/>
          <w:position w:val="0"/>
          <w:sz w:val="20"/>
          <w:szCs w:val="20"/>
        </w:rPr>
        <w:t>2</w:t>
      </w:r>
      <w:bookmarkEnd w:id="901"/>
      <w:r>
        <w:rPr>
          <w:color w:val="000000"/>
          <w:spacing w:val="0"/>
          <w:w w:val="100"/>
          <w:position w:val="0"/>
          <w:sz w:val="20"/>
          <w:szCs w:val="20"/>
        </w:rPr>
        <w:t>） 对于财务担保合同，信用损失为本公司就该合同持有人发生的信用损失向其做出赔付的预计付款 额，减去本公司预期向该合同持有人、债务人或任何其他方收取的金额之间差额的现值。</w:t>
      </w:r>
    </w:p>
    <w:p>
      <w:pPr>
        <w:pStyle w:val="Style14"/>
        <w:keepNext w:val="0"/>
        <w:keepLines w:val="0"/>
        <w:widowControl w:val="0"/>
        <w:shd w:val="clear" w:color="auto" w:fill="auto"/>
        <w:tabs>
          <w:tab w:pos="810" w:val="left"/>
        </w:tabs>
        <w:bidi w:val="0"/>
        <w:spacing w:before="0" w:after="0" w:line="317" w:lineRule="exact"/>
        <w:ind w:left="0" w:right="0" w:firstLine="440"/>
        <w:jc w:val="both"/>
        <w:rPr>
          <w:sz w:val="20"/>
          <w:szCs w:val="20"/>
        </w:rPr>
      </w:pPr>
      <w:bookmarkStart w:id="902" w:name="bookmark902"/>
      <w:r>
        <w:rPr>
          <w:rFonts w:ascii="Times New Roman" w:eastAsia="Times New Roman" w:hAnsi="Times New Roman" w:cs="Times New Roman"/>
          <w:color w:val="000000"/>
          <w:spacing w:val="0"/>
          <w:w w:val="100"/>
          <w:position w:val="0"/>
          <w:sz w:val="20"/>
          <w:szCs w:val="20"/>
        </w:rPr>
        <w:t>3</w:t>
      </w:r>
      <w:bookmarkEnd w:id="902"/>
      <w:r>
        <w:rPr>
          <w:color w:val="000000"/>
          <w:spacing w:val="0"/>
          <w:w w:val="100"/>
          <w:position w:val="0"/>
          <w:sz w:val="20"/>
          <w:szCs w:val="20"/>
        </w:rPr>
        <w:t>）</w:t>
        <w:tab/>
        <w:t>对于资产负债表日已发生信用减值但并非购买或源生已发生信用减值的金融资产，信用损失为该 金融资产账面余额与按原实际利率折现的估计未来现金流量的现值之间的差额。</w:t>
      </w:r>
    </w:p>
    <w:p>
      <w:pPr>
        <w:pStyle w:val="Style1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14"/>
        <w:keepNext w:val="0"/>
        <w:keepLines w:val="0"/>
        <w:widowControl w:val="0"/>
        <w:numPr>
          <w:ilvl w:val="0"/>
          <w:numId w:val="47"/>
        </w:numPr>
        <w:shd w:val="clear" w:color="auto" w:fill="auto"/>
        <w:tabs>
          <w:tab w:pos="837" w:val="left"/>
        </w:tabs>
        <w:bidi w:val="0"/>
        <w:spacing w:before="0" w:after="0" w:line="317" w:lineRule="exact"/>
        <w:ind w:left="0" w:right="0" w:firstLine="440"/>
        <w:jc w:val="both"/>
        <w:rPr>
          <w:sz w:val="20"/>
          <w:szCs w:val="20"/>
        </w:rPr>
      </w:pPr>
      <w:bookmarkStart w:id="903" w:name="bookmark903"/>
      <w:bookmarkEnd w:id="903"/>
      <w:r>
        <w:rPr>
          <w:color w:val="000000"/>
          <w:spacing w:val="0"/>
          <w:w w:val="100"/>
          <w:position w:val="0"/>
          <w:sz w:val="20"/>
          <w:szCs w:val="20"/>
        </w:rPr>
        <w:t>减记金融资产</w:t>
      </w:r>
    </w:p>
    <w:p>
      <w:pPr>
        <w:pStyle w:val="Style14"/>
        <w:keepNext w:val="0"/>
        <w:keepLines w:val="0"/>
        <w:widowControl w:val="0"/>
        <w:shd w:val="clear" w:color="auto" w:fill="auto"/>
        <w:bidi w:val="0"/>
        <w:spacing w:before="0" w:after="80" w:line="317" w:lineRule="exact"/>
        <w:ind w:left="0" w:right="0" w:firstLine="440"/>
        <w:jc w:val="both"/>
        <w:rPr>
          <w:sz w:val="20"/>
          <w:szCs w:val="20"/>
        </w:rPr>
      </w:pPr>
      <w:r>
        <w:rPr>
          <w:color w:val="000000"/>
          <w:spacing w:val="0"/>
          <w:w w:val="100"/>
          <w:position w:val="0"/>
          <w:sz w:val="20"/>
          <w:szCs w:val="20"/>
        </w:rPr>
        <w:t>当本公司不再合理预期金融资产合同现金流量能够全部或部分收回的，直接减记该金融资产的账面余 额。这种减记构成相关金融资产的终止确认。</w:t>
      </w:r>
    </w:p>
    <w:p>
      <w:pPr>
        <w:pStyle w:val="Style14"/>
        <w:keepNext w:val="0"/>
        <w:keepLines w:val="0"/>
        <w:widowControl w:val="0"/>
        <w:shd w:val="clear" w:color="auto" w:fill="auto"/>
        <w:bidi w:val="0"/>
        <w:spacing w:before="0" w:after="0" w:line="312" w:lineRule="exact"/>
        <w:ind w:left="0" w:right="0" w:firstLine="440"/>
        <w:jc w:val="left"/>
        <w:rPr>
          <w:sz w:val="20"/>
          <w:szCs w:val="20"/>
        </w:rPr>
      </w:pPr>
      <w:bookmarkStart w:id="904" w:name="bookmark904"/>
      <w:r>
        <w:rPr>
          <w:b/>
          <w:bCs/>
          <w:color w:val="000000"/>
          <w:spacing w:val="0"/>
          <w:w w:val="100"/>
          <w:position w:val="0"/>
          <w:sz w:val="20"/>
          <w:szCs w:val="20"/>
        </w:rPr>
        <w:t>（</w:t>
      </w:r>
      <w:bookmarkEnd w:id="904"/>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）金融资产及金融负债的抵销</w:t>
      </w:r>
    </w:p>
    <w:p>
      <w:pPr>
        <w:pStyle w:val="Style1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金融资产和金融负债在资产负债表内分别列示，没有相互抵销。但是，同时满足下列条件的，以相互 抵销后的净额在资产负债表内列示：</w:t>
      </w:r>
    </w:p>
    <w:p>
      <w:pPr>
        <w:pStyle w:val="Style14"/>
        <w:keepNext w:val="0"/>
        <w:keepLines w:val="0"/>
        <w:widowControl w:val="0"/>
        <w:numPr>
          <w:ilvl w:val="0"/>
          <w:numId w:val="49"/>
        </w:numPr>
        <w:shd w:val="clear" w:color="auto" w:fill="auto"/>
        <w:tabs>
          <w:tab w:pos="832" w:val="left"/>
        </w:tabs>
        <w:bidi w:val="0"/>
        <w:spacing w:before="0" w:after="0" w:line="240" w:lineRule="auto"/>
        <w:ind w:left="0" w:right="0" w:firstLine="440"/>
        <w:jc w:val="left"/>
        <w:rPr>
          <w:sz w:val="20"/>
          <w:szCs w:val="20"/>
        </w:rPr>
      </w:pPr>
      <w:bookmarkStart w:id="905" w:name="bookmark905"/>
      <w:bookmarkEnd w:id="905"/>
      <w:r>
        <w:rPr>
          <w:color w:val="000000"/>
          <w:spacing w:val="0"/>
          <w:w w:val="100"/>
          <w:position w:val="0"/>
          <w:sz w:val="20"/>
          <w:szCs w:val="20"/>
        </w:rPr>
        <w:t>本公司具有抵销已确认金额的法定权利，且该种法定权利是当前可执行的；</w:t>
      </w:r>
    </w:p>
    <w:p>
      <w:pPr>
        <w:pStyle w:val="Style14"/>
        <w:keepNext w:val="0"/>
        <w:keepLines w:val="0"/>
        <w:widowControl w:val="0"/>
        <w:numPr>
          <w:ilvl w:val="0"/>
          <w:numId w:val="49"/>
        </w:numPr>
        <w:shd w:val="clear" w:color="auto" w:fill="auto"/>
        <w:tabs>
          <w:tab w:pos="837" w:val="left"/>
        </w:tabs>
        <w:bidi w:val="0"/>
        <w:spacing w:before="0" w:after="1080" w:line="312" w:lineRule="exact"/>
        <w:ind w:left="0" w:right="0" w:firstLine="440"/>
        <w:jc w:val="left"/>
        <w:rPr>
          <w:sz w:val="20"/>
          <w:szCs w:val="20"/>
        </w:rPr>
      </w:pPr>
      <w:bookmarkStart w:id="906" w:name="bookmark906"/>
      <w:bookmarkEnd w:id="906"/>
      <w:r>
        <w:rPr>
          <w:color w:val="000000"/>
          <w:spacing w:val="0"/>
          <w:w w:val="100"/>
          <w:position w:val="0"/>
          <w:sz w:val="20"/>
          <w:szCs w:val="20"/>
        </w:rPr>
        <w:t>本公司计划以净额结算，或同时变现该金融资产和清偿该金融负债。</w:t>
      </w:r>
    </w:p>
    <w:p>
      <w:pPr>
        <w:pStyle w:val="Style33"/>
        <w:keepNext/>
        <w:keepLines/>
        <w:widowControl w:val="0"/>
        <w:shd w:val="clear" w:color="auto" w:fill="auto"/>
        <w:bidi w:val="0"/>
        <w:spacing w:before="0" w:after="3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1</w:t>
      </w:r>
      <w:bookmarkEnd w:id="909"/>
      <w:r>
        <w:rPr>
          <w:rFonts w:ascii="Times New Roman" w:eastAsia="Times New Roman" w:hAnsi="Times New Roman" w:cs="Times New Roman"/>
          <w:color w:val="000000"/>
          <w:spacing w:val="0"/>
          <w:w w:val="100"/>
          <w:position w:val="0"/>
        </w:rPr>
        <w:t>0</w:t>
      </w:r>
      <w:r>
        <w:rPr>
          <w:color w:val="000000"/>
          <w:spacing w:val="0"/>
          <w:w w:val="100"/>
          <w:position w:val="0"/>
        </w:rPr>
        <w:t>、应收票据</w:t>
      </w:r>
      <w:bookmarkEnd w:id="907"/>
      <w:bookmarkEnd w:id="908"/>
      <w:bookmarkEnd w:id="910"/>
    </w:p>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本公司对应收票据的预期信用损失的确定方法及会计处理方法详见附注五</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w:t>
      </w:r>
    </w:p>
    <w:p>
      <w:pPr>
        <w:pStyle w:val="Style27"/>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center"/>
        <w:tblLayout w:type="fixed"/>
      </w:tblPr>
      <w:tblGrid>
        <w:gridCol w:w="1531"/>
        <w:gridCol w:w="5064"/>
        <w:gridCol w:w="308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无风险银行承兑票 据组合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承兑人具有较高的信用评级，信用损失风险极低，在短期内履行 其支付合同现金流量义务的能力很强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 以及对未来经济状况的预期计量预期 信用损失</w:t>
            </w:r>
          </w:p>
        </w:tc>
      </w:tr>
      <w:tr>
        <w:trPr>
          <w:trHeight w:val="67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结合承兑人、背书人、出票人以及其他债务人的信 用风险确定组合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以商业承兑汇票的账龄作为信用风险 特征计提预期信用损失</w:t>
            </w:r>
          </w:p>
        </w:tc>
      </w:tr>
    </w:tbl>
    <w:p>
      <w:pPr>
        <w:widowControl w:val="0"/>
        <w:spacing w:after="879" w:line="1" w:lineRule="exact"/>
      </w:pPr>
    </w:p>
    <w:p>
      <w:pPr>
        <w:pStyle w:val="Style33"/>
        <w:keepNext/>
        <w:keepLines/>
        <w:widowControl w:val="0"/>
        <w:shd w:val="clear" w:color="auto" w:fill="auto"/>
        <w:bidi w:val="0"/>
        <w:spacing w:before="0" w:after="260" w:line="322" w:lineRule="exact"/>
        <w:ind w:left="0" w:right="0" w:firstLine="0"/>
        <w:jc w:val="left"/>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911"/>
      <w:bookmarkEnd w:id="912"/>
      <w:bookmarkEnd w:id="914"/>
    </w:p>
    <w:p>
      <w:pPr>
        <w:pStyle w:val="Style14"/>
        <w:keepNext w:val="0"/>
        <w:keepLines w:val="0"/>
        <w:widowControl w:val="0"/>
        <w:shd w:val="clear" w:color="auto" w:fill="auto"/>
        <w:bidi w:val="0"/>
        <w:spacing w:before="0" w:after="0" w:line="322" w:lineRule="exact"/>
        <w:ind w:left="440" w:right="0" w:firstLine="0"/>
        <w:jc w:val="left"/>
        <w:rPr>
          <w:sz w:val="20"/>
          <w:szCs w:val="20"/>
        </w:rPr>
      </w:pPr>
      <w:r>
        <w:rPr>
          <w:color w:val="000000"/>
          <w:spacing w:val="0"/>
          <w:w w:val="100"/>
          <w:position w:val="0"/>
          <w:sz w:val="20"/>
          <w:szCs w:val="20"/>
        </w:rPr>
        <w:t>本公司对应收账款的预期信用损失的确定方法及会计处理方法详见本附注五</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 本公司对单项金额重大且在初始确认后已经发生信用减值的应收账款单独确定其信用损失。</w:t>
      </w:r>
    </w:p>
    <w:p>
      <w:pPr>
        <w:pStyle w:val="Style27"/>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1531"/>
        <w:gridCol w:w="5064"/>
        <w:gridCol w:w="308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28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参考应收款项的账龄进行信用风险组合分类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 以及对未来经济状况的预测，编制应收 账款账龄与整个存续期预期信用损失 率对照表，计算预期信用损失</w:t>
            </w:r>
          </w:p>
        </w:tc>
      </w:tr>
      <w:tr>
        <w:trPr>
          <w:trHeight w:val="130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参考历史信用损失经验，结合当前状况 以及对未来经济状况的预测，通过违约 风险敞口和整个存续期预期信用损失 率，该组合预期信用损失率为</w:t>
            </w:r>
            <w:r>
              <w:rPr>
                <w:rFonts w:ascii="Times New Roman" w:eastAsia="Times New Roman" w:hAnsi="Times New Roman" w:cs="Times New Roman"/>
                <w:color w:val="000000"/>
                <w:spacing w:val="0"/>
                <w:w w:val="100"/>
                <w:position w:val="0"/>
                <w:sz w:val="18"/>
                <w:szCs w:val="18"/>
              </w:rPr>
              <w:t>0%</w:t>
            </w:r>
          </w:p>
        </w:tc>
      </w:tr>
    </w:tbl>
    <w:p>
      <w:pPr>
        <w:pStyle w:val="Style33"/>
        <w:keepNext/>
        <w:keepLines/>
        <w:widowControl w:val="0"/>
        <w:shd w:val="clear" w:color="auto" w:fill="auto"/>
        <w:bidi w:val="0"/>
        <w:spacing w:before="0" w:after="280" w:line="317" w:lineRule="exact"/>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2</w:t>
      </w:r>
      <w:r>
        <w:rPr>
          <w:color w:val="000000"/>
          <w:spacing w:val="0"/>
          <w:w w:val="100"/>
          <w:position w:val="0"/>
        </w:rPr>
        <w:t>、应收款项融资</w:t>
      </w:r>
      <w:bookmarkEnd w:id="915"/>
      <w:bookmarkEnd w:id="916"/>
      <w:bookmarkEnd w:id="918"/>
    </w:p>
    <w:p>
      <w:pPr>
        <w:pStyle w:val="Style14"/>
        <w:keepNext w:val="0"/>
        <w:keepLines w:val="0"/>
        <w:widowControl w:val="0"/>
        <w:shd w:val="clear" w:color="auto" w:fill="auto"/>
        <w:bidi w:val="0"/>
        <w:spacing w:before="0" w:after="920" w:line="317" w:lineRule="exact"/>
        <w:ind w:left="0" w:right="0" w:firstLine="440"/>
        <w:jc w:val="both"/>
        <w:rPr>
          <w:sz w:val="20"/>
          <w:szCs w:val="20"/>
        </w:rPr>
      </w:pPr>
      <w:r>
        <w:rPr>
          <w:color w:val="000000"/>
          <w:spacing w:val="0"/>
          <w:w w:val="100"/>
          <w:position w:val="0"/>
          <w:sz w:val="20"/>
          <w:szCs w:val="2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 值。</w:t>
      </w:r>
    </w:p>
    <w:p>
      <w:pPr>
        <w:pStyle w:val="Style33"/>
        <w:keepNext/>
        <w:keepLines/>
        <w:widowControl w:val="0"/>
        <w:shd w:val="clear" w:color="auto" w:fill="auto"/>
        <w:bidi w:val="0"/>
        <w:spacing w:before="0" w:after="400" w:line="317"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919"/>
      <w:bookmarkEnd w:id="920"/>
      <w:bookmarkEnd w:id="92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0" w:line="317" w:lineRule="exact"/>
        <w:ind w:left="0" w:right="0" w:firstLine="360"/>
        <w:jc w:val="left"/>
        <w:rPr>
          <w:sz w:val="20"/>
          <w:szCs w:val="20"/>
        </w:rPr>
      </w:pPr>
      <w:r>
        <w:rPr>
          <w:color w:val="000000"/>
          <w:spacing w:val="0"/>
          <w:w w:val="100"/>
          <w:position w:val="0"/>
          <w:sz w:val="20"/>
          <w:szCs w:val="2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w:t>
      </w:r>
    </w:p>
    <w:p>
      <w:pPr>
        <w:pStyle w:val="Style1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本公司对单项金额重大且在初始确认后已经发生信用减值以及在单项工具层面能以合理成本评估预 期信用损失的充分证据的其他应收款单独确定其信用损失。</w:t>
      </w:r>
    </w:p>
    <w:p>
      <w:pPr>
        <w:pStyle w:val="Style27"/>
        <w:keepNext w:val="0"/>
        <w:keepLines w:val="0"/>
        <w:widowControl w:val="0"/>
        <w:shd w:val="clear" w:color="auto" w:fill="auto"/>
        <w:bidi w:val="0"/>
        <w:spacing w:before="0" w:after="0" w:line="319" w:lineRule="exact"/>
        <w:ind w:left="0" w:right="0" w:firstLine="0"/>
        <w:jc w:val="distribute"/>
        <w:rPr>
          <w:sz w:val="20"/>
          <w:szCs w:val="20"/>
        </w:rPr>
      </w:pPr>
      <w:r>
        <w:rPr>
          <w:color w:val="000000"/>
          <w:spacing w:val="0"/>
          <w:w w:val="100"/>
          <w:position w:val="0"/>
          <w:sz w:val="20"/>
          <w:szCs w:val="2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1531"/>
        <w:gridCol w:w="5064"/>
        <w:gridCol w:w="308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28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本组合为日常经常活动中应收取的各类保证金、备用金、技术服 务费等应收款项，在此基础上，参考其他应收款的账龄进行信用 风险组合分类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 及未来经济状况的预测，按账龄与未来 十二个月或整个存续期预期信用损失 率对照表计提坏账准备</w:t>
            </w:r>
          </w:p>
        </w:tc>
      </w:tr>
      <w:tr>
        <w:trPr>
          <w:trHeight w:val="130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无风险组合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3" w:lineRule="exact"/>
              <w:ind w:left="0" w:right="0" w:firstLine="0"/>
              <w:jc w:val="both"/>
            </w:pPr>
            <w:r>
              <w:rPr>
                <w:color w:val="000000"/>
                <w:spacing w:val="0"/>
                <w:w w:val="100"/>
                <w:position w:val="0"/>
              </w:rPr>
              <w:t>合并范围内关联方往来、代扣个人社保和公积金、履约保证金等 应收款项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参考历史信用损失经验，结合当前状况 以及对未来经济状况的预测，通过违约 风险敞口和整个存续期预期信用损失 率，该组合预期信用损失率为</w:t>
            </w:r>
            <w:r>
              <w:rPr>
                <w:rFonts w:ascii="Times New Roman" w:eastAsia="Times New Roman" w:hAnsi="Times New Roman" w:cs="Times New Roman"/>
                <w:color w:val="000000"/>
                <w:spacing w:val="0"/>
                <w:w w:val="100"/>
                <w:position w:val="0"/>
                <w:sz w:val="18"/>
                <w:szCs w:val="18"/>
              </w:rPr>
              <w:t>0%</w:t>
            </w:r>
          </w:p>
        </w:tc>
      </w:tr>
    </w:tbl>
    <w:p>
      <w:pPr>
        <w:widowControl w:val="0"/>
        <w:spacing w:after="559" w:line="1" w:lineRule="exact"/>
      </w:pPr>
    </w:p>
    <w:p>
      <w:pPr>
        <w:pStyle w:val="Style33"/>
        <w:keepNext/>
        <w:keepLines/>
        <w:widowControl w:val="0"/>
        <w:shd w:val="clear" w:color="auto" w:fill="auto"/>
        <w:bidi w:val="0"/>
        <w:spacing w:before="0" w:after="280" w:line="312" w:lineRule="exact"/>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14</w:t>
      </w:r>
      <w:r>
        <w:rPr>
          <w:color w:val="000000"/>
          <w:spacing w:val="0"/>
          <w:w w:val="100"/>
          <w:position w:val="0"/>
        </w:rPr>
        <w:t>、存货</w:t>
      </w:r>
      <w:bookmarkEnd w:id="923"/>
      <w:bookmarkEnd w:id="924"/>
      <w:bookmarkEnd w:id="925"/>
    </w:p>
    <w:p>
      <w:pPr>
        <w:pStyle w:val="Style33"/>
        <w:keepNext/>
        <w:keepLines/>
        <w:widowControl w:val="0"/>
        <w:shd w:val="clear" w:color="auto" w:fill="auto"/>
        <w:tabs>
          <w:tab w:pos="933" w:val="left"/>
        </w:tabs>
        <w:bidi w:val="0"/>
        <w:spacing w:before="0" w:after="0" w:line="312" w:lineRule="exact"/>
        <w:ind w:left="0" w:right="0" w:firstLine="440"/>
        <w:jc w:val="both"/>
      </w:pPr>
      <w:bookmarkStart w:id="923" w:name="bookmark923"/>
      <w:bookmarkStart w:id="924" w:name="bookmark924"/>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923"/>
      <w:bookmarkEnd w:id="924"/>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存货是指本公司在日常活动中持有以备出售的产成品或商品、处在生产过程中的在产品、在生产过程 或提供劳务过程中耗用的材料和物料等。主要包括原材料、委托加工物资、在产品、自制半成品、库存商 品等。</w:t>
      </w:r>
    </w:p>
    <w:p>
      <w:pPr>
        <w:pStyle w:val="Style14"/>
        <w:keepNext w:val="0"/>
        <w:keepLines w:val="0"/>
        <w:widowControl w:val="0"/>
        <w:shd w:val="clear" w:color="auto" w:fill="auto"/>
        <w:tabs>
          <w:tab w:pos="933" w:val="left"/>
        </w:tabs>
        <w:bidi w:val="0"/>
        <w:spacing w:before="0" w:after="0" w:line="312" w:lineRule="exact"/>
        <w:ind w:left="0" w:right="0" w:firstLine="440"/>
        <w:jc w:val="both"/>
        <w:rPr>
          <w:sz w:val="20"/>
          <w:szCs w:val="20"/>
        </w:rPr>
      </w:pPr>
      <w:bookmarkStart w:id="927" w:name="bookmark927"/>
      <w:r>
        <w:rPr>
          <w:b/>
          <w:bCs/>
          <w:color w:val="000000"/>
          <w:spacing w:val="0"/>
          <w:w w:val="100"/>
          <w:position w:val="0"/>
          <w:sz w:val="20"/>
          <w:szCs w:val="20"/>
        </w:rPr>
        <w:t>（</w:t>
      </w:r>
      <w:bookmarkEnd w:id="92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存货的计价方法</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存货在取得时，按成本进行初始计量，包括采购成本、加工成本和其他成本。存货发出时按月末一次 加权平均法计价。</w:t>
      </w:r>
    </w:p>
    <w:p>
      <w:pPr>
        <w:pStyle w:val="Style14"/>
        <w:keepNext w:val="0"/>
        <w:keepLines w:val="0"/>
        <w:widowControl w:val="0"/>
        <w:shd w:val="clear" w:color="auto" w:fill="auto"/>
        <w:tabs>
          <w:tab w:pos="933" w:val="left"/>
        </w:tabs>
        <w:bidi w:val="0"/>
        <w:spacing w:before="0" w:after="0" w:line="312" w:lineRule="exact"/>
        <w:ind w:left="0" w:right="0" w:firstLine="440"/>
        <w:jc w:val="left"/>
        <w:rPr>
          <w:sz w:val="20"/>
          <w:szCs w:val="20"/>
        </w:rPr>
      </w:pPr>
      <w:bookmarkStart w:id="928" w:name="bookmark928"/>
      <w:r>
        <w:rPr>
          <w:b/>
          <w:bCs/>
          <w:color w:val="000000"/>
          <w:spacing w:val="0"/>
          <w:w w:val="100"/>
          <w:position w:val="0"/>
          <w:sz w:val="20"/>
          <w:szCs w:val="20"/>
        </w:rPr>
        <w:t>（</w:t>
      </w:r>
      <w:bookmarkEnd w:id="92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存货可变现净值的确定依据及存货跌价准备的计提方法</w:t>
      </w:r>
    </w:p>
    <w:p>
      <w:pPr>
        <w:pStyle w:val="Style14"/>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以前减记存货价值的影响因素已经消失的，减记的金额予以恢复，并在原己计提的存货跌价准备金额 内转回，转回的金额计入当期损益。</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929" w:name="bookmark929"/>
      <w:r>
        <w:rPr>
          <w:b/>
          <w:bCs/>
          <w:color w:val="000000"/>
          <w:spacing w:val="0"/>
          <w:w w:val="100"/>
          <w:position w:val="0"/>
          <w:sz w:val="20"/>
          <w:szCs w:val="20"/>
        </w:rPr>
        <w:t>（</w:t>
      </w:r>
      <w:bookmarkEnd w:id="92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存货的盘存制度</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采用永续盘存制。</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930" w:name="bookmark930"/>
      <w:r>
        <w:rPr>
          <w:b/>
          <w:bCs/>
          <w:color w:val="000000"/>
          <w:spacing w:val="0"/>
          <w:w w:val="100"/>
          <w:position w:val="0"/>
          <w:sz w:val="20"/>
          <w:szCs w:val="20"/>
        </w:rPr>
        <w:t>（</w:t>
      </w:r>
      <w:bookmarkEnd w:id="93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低值易耗品和包装物的摊销方法</w:t>
      </w:r>
    </w:p>
    <w:p>
      <w:pPr>
        <w:pStyle w:val="Style14"/>
        <w:keepNext w:val="0"/>
        <w:keepLines w:val="0"/>
        <w:widowControl w:val="0"/>
        <w:numPr>
          <w:ilvl w:val="0"/>
          <w:numId w:val="51"/>
        </w:numPr>
        <w:shd w:val="clear" w:color="auto" w:fill="auto"/>
        <w:tabs>
          <w:tab w:pos="832" w:val="left"/>
        </w:tabs>
        <w:bidi w:val="0"/>
        <w:spacing w:before="0" w:after="0" w:line="314" w:lineRule="exact"/>
        <w:ind w:left="0" w:right="0" w:firstLine="440"/>
        <w:jc w:val="both"/>
        <w:rPr>
          <w:sz w:val="20"/>
          <w:szCs w:val="20"/>
        </w:rPr>
      </w:pPr>
      <w:bookmarkStart w:id="931" w:name="bookmark931"/>
      <w:bookmarkEnd w:id="931"/>
      <w:r>
        <w:rPr>
          <w:color w:val="000000"/>
          <w:spacing w:val="0"/>
          <w:w w:val="100"/>
          <w:position w:val="0"/>
          <w:sz w:val="20"/>
          <w:szCs w:val="20"/>
        </w:rPr>
        <w:t>低值易耗品采用一次转销法。</w:t>
      </w:r>
    </w:p>
    <w:p>
      <w:pPr>
        <w:pStyle w:val="Style14"/>
        <w:keepNext w:val="0"/>
        <w:keepLines w:val="0"/>
        <w:widowControl w:val="0"/>
        <w:numPr>
          <w:ilvl w:val="0"/>
          <w:numId w:val="51"/>
        </w:numPr>
        <w:shd w:val="clear" w:color="auto" w:fill="auto"/>
        <w:tabs>
          <w:tab w:pos="837" w:val="left"/>
        </w:tabs>
        <w:bidi w:val="0"/>
        <w:spacing w:before="0" w:after="0" w:line="314" w:lineRule="exact"/>
        <w:ind w:left="0" w:right="0" w:firstLine="440"/>
        <w:jc w:val="both"/>
        <w:rPr>
          <w:sz w:val="20"/>
          <w:szCs w:val="20"/>
        </w:rPr>
      </w:pPr>
      <w:bookmarkStart w:id="932" w:name="bookmark932"/>
      <w:bookmarkEnd w:id="932"/>
      <w:r>
        <w:rPr>
          <w:color w:val="000000"/>
          <w:spacing w:val="0"/>
          <w:w w:val="100"/>
          <w:position w:val="0"/>
          <w:sz w:val="20"/>
          <w:szCs w:val="20"/>
        </w:rPr>
        <w:t>包装物采用一次转销法。</w:t>
      </w:r>
    </w:p>
    <w:p>
      <w:pPr>
        <w:pStyle w:val="Style14"/>
        <w:keepNext w:val="0"/>
        <w:keepLines w:val="0"/>
        <w:widowControl w:val="0"/>
        <w:numPr>
          <w:ilvl w:val="0"/>
          <w:numId w:val="51"/>
        </w:numPr>
        <w:shd w:val="clear" w:color="auto" w:fill="auto"/>
        <w:tabs>
          <w:tab w:pos="837" w:val="left"/>
        </w:tabs>
        <w:bidi w:val="0"/>
        <w:spacing w:before="0" w:after="0" w:line="314" w:lineRule="exact"/>
        <w:ind w:left="0" w:right="0" w:firstLine="440"/>
        <w:jc w:val="both"/>
        <w:rPr>
          <w:sz w:val="20"/>
          <w:szCs w:val="20"/>
        </w:rPr>
      </w:pPr>
      <w:bookmarkStart w:id="933" w:name="bookmark933"/>
      <w:bookmarkEnd w:id="933"/>
      <w:r>
        <w:rPr>
          <w:color w:val="000000"/>
          <w:spacing w:val="0"/>
          <w:w w:val="100"/>
          <w:position w:val="0"/>
          <w:sz w:val="20"/>
          <w:szCs w:val="20"/>
        </w:rPr>
        <w:t>其他周转材料采用一次转销法摊销。</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注：说明存货类别，发出存货的计价方法，确定不同类别存货可变现净值的依据，存货的盘存制度以及低值易耗品和包装物 的摊销方法。</w:t>
      </w:r>
    </w:p>
    <w:p>
      <w:pPr>
        <w:pStyle w:val="Style14"/>
        <w:keepNext w:val="0"/>
        <w:keepLines w:val="0"/>
        <w:widowControl w:val="0"/>
        <w:shd w:val="clear" w:color="auto" w:fill="auto"/>
        <w:tabs>
          <w:tab w:pos="933" w:val="left"/>
        </w:tabs>
        <w:bidi w:val="0"/>
        <w:spacing w:before="0" w:after="0" w:line="313" w:lineRule="exact"/>
        <w:ind w:left="0" w:right="0" w:firstLine="440"/>
        <w:jc w:val="left"/>
        <w:rPr>
          <w:sz w:val="20"/>
          <w:szCs w:val="20"/>
        </w:rPr>
      </w:pPr>
      <w:bookmarkStart w:id="934" w:name="bookmark934"/>
      <w:r>
        <w:rPr>
          <w:b/>
          <w:bCs/>
          <w:color w:val="000000"/>
          <w:spacing w:val="0"/>
          <w:w w:val="100"/>
          <w:position w:val="0"/>
          <w:sz w:val="20"/>
          <w:szCs w:val="20"/>
        </w:rPr>
        <w:t>（</w:t>
      </w:r>
      <w:bookmarkEnd w:id="93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存货的分类</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存货是指本公司在日常活动中持有以备出售的产成品或商品、处在生产过程中的在产品、在生产过程 或提供劳务过程中耗用的材料和物料等。主要包括原材料、委托加工物资、在产品、自制半成品、库存商 品等。</w:t>
      </w:r>
    </w:p>
    <w:p>
      <w:pPr>
        <w:pStyle w:val="Style14"/>
        <w:keepNext w:val="0"/>
        <w:keepLines w:val="0"/>
        <w:widowControl w:val="0"/>
        <w:shd w:val="clear" w:color="auto" w:fill="auto"/>
        <w:tabs>
          <w:tab w:pos="933" w:val="left"/>
        </w:tabs>
        <w:bidi w:val="0"/>
        <w:spacing w:before="0" w:after="0" w:line="313" w:lineRule="exact"/>
        <w:ind w:left="0" w:right="0" w:firstLine="440"/>
        <w:jc w:val="both"/>
        <w:rPr>
          <w:sz w:val="20"/>
          <w:szCs w:val="20"/>
        </w:rPr>
      </w:pPr>
      <w:bookmarkStart w:id="935" w:name="bookmark935"/>
      <w:r>
        <w:rPr>
          <w:b/>
          <w:bCs/>
          <w:color w:val="000000"/>
          <w:spacing w:val="0"/>
          <w:w w:val="100"/>
          <w:position w:val="0"/>
          <w:sz w:val="20"/>
          <w:szCs w:val="20"/>
        </w:rPr>
        <w:t>（</w:t>
      </w:r>
      <w:bookmarkEnd w:id="93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存货的计价方法</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存货在取得时，按成本进行初始计量，包括采购成本、加工成本和其他成本。存货发出时按月末一次 加权平均法计价。</w:t>
      </w:r>
    </w:p>
    <w:p>
      <w:pPr>
        <w:pStyle w:val="Style14"/>
        <w:keepNext w:val="0"/>
        <w:keepLines w:val="0"/>
        <w:widowControl w:val="0"/>
        <w:shd w:val="clear" w:color="auto" w:fill="auto"/>
        <w:tabs>
          <w:tab w:pos="933" w:val="left"/>
        </w:tabs>
        <w:bidi w:val="0"/>
        <w:spacing w:before="0" w:after="0" w:line="313" w:lineRule="exact"/>
        <w:ind w:left="0" w:right="0" w:firstLine="440"/>
        <w:jc w:val="both"/>
        <w:rPr>
          <w:sz w:val="20"/>
          <w:szCs w:val="20"/>
        </w:rPr>
      </w:pPr>
      <w:bookmarkStart w:id="936" w:name="bookmark936"/>
      <w:r>
        <w:rPr>
          <w:b/>
          <w:bCs/>
          <w:color w:val="000000"/>
          <w:spacing w:val="0"/>
          <w:w w:val="100"/>
          <w:position w:val="0"/>
          <w:sz w:val="20"/>
          <w:szCs w:val="20"/>
        </w:rPr>
        <w:t>（</w:t>
      </w:r>
      <w:bookmarkEnd w:id="93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存货可变现净值的确定依据及存货跌价准备的计提方法</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14"/>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14"/>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以前减记存货价值的影响因素已经消失的，减记的金额予以恢复，并在原己计提的存货跌价准备金额 内转回，转回的金额计入当期损益。</w:t>
      </w:r>
    </w:p>
    <w:p>
      <w:pPr>
        <w:pStyle w:val="Style14"/>
        <w:keepNext w:val="0"/>
        <w:keepLines w:val="0"/>
        <w:widowControl w:val="0"/>
        <w:shd w:val="clear" w:color="auto" w:fill="auto"/>
        <w:tabs>
          <w:tab w:pos="933" w:val="left"/>
        </w:tabs>
        <w:bidi w:val="0"/>
        <w:spacing w:before="0" w:after="0" w:line="318" w:lineRule="exact"/>
        <w:ind w:left="0" w:right="0" w:firstLine="440"/>
        <w:jc w:val="both"/>
        <w:rPr>
          <w:sz w:val="20"/>
          <w:szCs w:val="20"/>
        </w:rPr>
      </w:pPr>
      <w:bookmarkStart w:id="937" w:name="bookmark937"/>
      <w:r>
        <w:rPr>
          <w:b/>
          <w:bCs/>
          <w:color w:val="000000"/>
          <w:spacing w:val="0"/>
          <w:w w:val="100"/>
          <w:position w:val="0"/>
          <w:sz w:val="20"/>
          <w:szCs w:val="20"/>
        </w:rPr>
        <w:t>（</w:t>
      </w:r>
      <w:bookmarkEnd w:id="93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存货的盘存制度</w:t>
      </w:r>
    </w:p>
    <w:p>
      <w:pPr>
        <w:pStyle w:val="Style14"/>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采用永续盘存制。</w:t>
      </w:r>
    </w:p>
    <w:p>
      <w:pPr>
        <w:pStyle w:val="Style14"/>
        <w:keepNext w:val="0"/>
        <w:keepLines w:val="0"/>
        <w:widowControl w:val="0"/>
        <w:shd w:val="clear" w:color="auto" w:fill="auto"/>
        <w:tabs>
          <w:tab w:pos="933" w:val="left"/>
        </w:tabs>
        <w:bidi w:val="0"/>
        <w:spacing w:before="0" w:after="0" w:line="318" w:lineRule="exact"/>
        <w:ind w:left="0" w:right="0" w:firstLine="440"/>
        <w:jc w:val="both"/>
        <w:rPr>
          <w:sz w:val="20"/>
          <w:szCs w:val="20"/>
        </w:rPr>
      </w:pPr>
      <w:bookmarkStart w:id="938" w:name="bookmark938"/>
      <w:r>
        <w:rPr>
          <w:b/>
          <w:bCs/>
          <w:color w:val="000000"/>
          <w:spacing w:val="0"/>
          <w:w w:val="100"/>
          <w:position w:val="0"/>
          <w:sz w:val="20"/>
          <w:szCs w:val="20"/>
        </w:rPr>
        <w:t>（</w:t>
      </w:r>
      <w:bookmarkEnd w:id="93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低值易耗品和包装物的摊销方法</w:t>
      </w:r>
    </w:p>
    <w:p>
      <w:pPr>
        <w:pStyle w:val="Style14"/>
        <w:keepNext w:val="0"/>
        <w:keepLines w:val="0"/>
        <w:widowControl w:val="0"/>
        <w:numPr>
          <w:ilvl w:val="0"/>
          <w:numId w:val="53"/>
        </w:numPr>
        <w:shd w:val="clear" w:color="auto" w:fill="auto"/>
        <w:tabs>
          <w:tab w:pos="832" w:val="left"/>
        </w:tabs>
        <w:bidi w:val="0"/>
        <w:spacing w:before="0" w:after="0" w:line="318" w:lineRule="exact"/>
        <w:ind w:left="0" w:right="0" w:firstLine="440"/>
        <w:jc w:val="both"/>
        <w:rPr>
          <w:sz w:val="20"/>
          <w:szCs w:val="20"/>
        </w:rPr>
      </w:pPr>
      <w:bookmarkStart w:id="939" w:name="bookmark939"/>
      <w:bookmarkEnd w:id="939"/>
      <w:r>
        <w:rPr>
          <w:color w:val="000000"/>
          <w:spacing w:val="0"/>
          <w:w w:val="100"/>
          <w:position w:val="0"/>
          <w:sz w:val="20"/>
          <w:szCs w:val="20"/>
        </w:rPr>
        <w:t>低值易耗品采用一次转销法。</w:t>
      </w:r>
    </w:p>
    <w:p>
      <w:pPr>
        <w:pStyle w:val="Style14"/>
        <w:keepNext w:val="0"/>
        <w:keepLines w:val="0"/>
        <w:widowControl w:val="0"/>
        <w:numPr>
          <w:ilvl w:val="0"/>
          <w:numId w:val="53"/>
        </w:numPr>
        <w:shd w:val="clear" w:color="auto" w:fill="auto"/>
        <w:tabs>
          <w:tab w:pos="837" w:val="left"/>
        </w:tabs>
        <w:bidi w:val="0"/>
        <w:spacing w:before="0" w:after="0" w:line="318" w:lineRule="exact"/>
        <w:ind w:left="0" w:right="0" w:firstLine="440"/>
        <w:jc w:val="both"/>
        <w:rPr>
          <w:sz w:val="20"/>
          <w:szCs w:val="20"/>
        </w:rPr>
      </w:pPr>
      <w:bookmarkStart w:id="940" w:name="bookmark940"/>
      <w:bookmarkEnd w:id="940"/>
      <w:r>
        <w:rPr>
          <w:color w:val="000000"/>
          <w:spacing w:val="0"/>
          <w:w w:val="100"/>
          <w:position w:val="0"/>
          <w:sz w:val="20"/>
          <w:szCs w:val="20"/>
        </w:rPr>
        <w:t>包装物采用一次转销法。</w:t>
      </w:r>
    </w:p>
    <w:p>
      <w:pPr>
        <w:pStyle w:val="Style14"/>
        <w:keepNext w:val="0"/>
        <w:keepLines w:val="0"/>
        <w:widowControl w:val="0"/>
        <w:numPr>
          <w:ilvl w:val="0"/>
          <w:numId w:val="53"/>
        </w:numPr>
        <w:shd w:val="clear" w:color="auto" w:fill="auto"/>
        <w:tabs>
          <w:tab w:pos="837" w:val="left"/>
        </w:tabs>
        <w:bidi w:val="0"/>
        <w:spacing w:before="0" w:after="660" w:line="318" w:lineRule="exact"/>
        <w:ind w:left="0" w:right="0" w:firstLine="440"/>
        <w:jc w:val="both"/>
        <w:rPr>
          <w:sz w:val="20"/>
          <w:szCs w:val="20"/>
        </w:rPr>
      </w:pPr>
      <w:bookmarkStart w:id="941" w:name="bookmark941"/>
      <w:bookmarkEnd w:id="941"/>
      <w:r>
        <w:rPr>
          <w:color w:val="000000"/>
          <w:spacing w:val="0"/>
          <w:w w:val="100"/>
          <w:position w:val="0"/>
          <w:sz w:val="20"/>
          <w:szCs w:val="20"/>
        </w:rPr>
        <w:t>其他周转材料采用一次转销法摊销。</w:t>
      </w:r>
    </w:p>
    <w:p>
      <w:pPr>
        <w:pStyle w:val="Style33"/>
        <w:keepNext/>
        <w:keepLines/>
        <w:widowControl w:val="0"/>
        <w:shd w:val="clear" w:color="auto" w:fill="auto"/>
        <w:bidi w:val="0"/>
        <w:spacing w:before="0" w:after="36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5</w:t>
      </w:r>
      <w:r>
        <w:rPr>
          <w:color w:val="000000"/>
          <w:spacing w:val="0"/>
          <w:w w:val="100"/>
          <w:position w:val="0"/>
        </w:rPr>
        <w:t>、合同资产</w:t>
      </w:r>
      <w:bookmarkEnd w:id="942"/>
      <w:bookmarkEnd w:id="943"/>
      <w:bookmarkEnd w:id="945"/>
    </w:p>
    <w:p>
      <w:pPr>
        <w:pStyle w:val="Style14"/>
        <w:keepNext w:val="0"/>
        <w:keepLines w:val="0"/>
        <w:widowControl w:val="0"/>
        <w:shd w:val="clear" w:color="auto" w:fill="auto"/>
        <w:bidi w:val="0"/>
        <w:spacing w:before="0" w:after="680" w:line="240" w:lineRule="auto"/>
        <w:ind w:left="0" w:right="0" w:firstLine="440"/>
        <w:jc w:val="both"/>
        <w:rPr>
          <w:sz w:val="20"/>
          <w:szCs w:val="20"/>
        </w:rPr>
      </w:pPr>
      <w:r>
        <w:rPr>
          <w:color w:val="000000"/>
          <w:spacing w:val="0"/>
          <w:w w:val="100"/>
          <w:position w:val="0"/>
          <w:sz w:val="20"/>
          <w:szCs w:val="20"/>
        </w:rPr>
        <w:t xml:space="preserve">本公司已向客户转让商品而有权收取对价的权利，且该权利取决于时间流逝之外的其他因素的，确认 </w:t>
      </w:r>
      <w:r>
        <w:rPr>
          <w:color w:val="000000"/>
          <w:spacing w:val="0"/>
          <w:w w:val="100"/>
          <w:position w:val="0"/>
          <w:sz w:val="20"/>
          <w:szCs w:val="20"/>
        </w:rPr>
        <w:t>为合同资产。本公司拥有的无条件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即，仅取决于时间流逝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向客户收取对价的权利作为应收款项单独列示。</w:t>
      </w:r>
    </w:p>
    <w:p>
      <w:pPr>
        <w:pStyle w:val="Style14"/>
        <w:keepNext w:val="0"/>
        <w:keepLines w:val="0"/>
        <w:widowControl w:val="0"/>
        <w:shd w:val="clear" w:color="auto" w:fill="auto"/>
        <w:bidi w:val="0"/>
        <w:spacing w:before="0" w:after="920" w:line="240" w:lineRule="auto"/>
        <w:ind w:left="0" w:right="0" w:firstLine="440"/>
        <w:jc w:val="both"/>
        <w:rPr>
          <w:sz w:val="20"/>
          <w:szCs w:val="20"/>
        </w:rPr>
      </w:pPr>
      <w:r>
        <w:rPr>
          <w:color w:val="000000"/>
          <w:spacing w:val="0"/>
          <w:w w:val="100"/>
          <w:position w:val="0"/>
          <w:sz w:val="20"/>
          <w:szCs w:val="20"/>
        </w:rPr>
        <w:t>本公司对合同资产的预期信用损失的确定方法及会计处理方法详见本附注五</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（九）</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金融工具减值。</w:t>
      </w:r>
    </w:p>
    <w:p>
      <w:pPr>
        <w:pStyle w:val="Style33"/>
        <w:keepNext/>
        <w:keepLines/>
        <w:widowControl w:val="0"/>
        <w:shd w:val="clear" w:color="auto" w:fill="auto"/>
        <w:bidi w:val="0"/>
        <w:spacing w:before="0" w:after="300" w:line="314" w:lineRule="exact"/>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6</w:t>
      </w:r>
      <w:r>
        <w:rPr>
          <w:color w:val="000000"/>
          <w:spacing w:val="0"/>
          <w:w w:val="100"/>
          <w:position w:val="0"/>
        </w:rPr>
        <w:t>、合同成本</w:t>
      </w:r>
      <w:bookmarkEnd w:id="946"/>
      <w:bookmarkEnd w:id="947"/>
      <w:bookmarkEnd w:id="949"/>
    </w:p>
    <w:p>
      <w:pPr>
        <w:pStyle w:val="Style33"/>
        <w:keepNext/>
        <w:keepLines/>
        <w:widowControl w:val="0"/>
        <w:shd w:val="clear" w:color="auto" w:fill="auto"/>
        <w:tabs>
          <w:tab w:pos="928" w:val="left"/>
        </w:tabs>
        <w:bidi w:val="0"/>
        <w:spacing w:before="0" w:after="0" w:line="314" w:lineRule="exact"/>
        <w:ind w:left="0" w:right="0" w:firstLine="440"/>
        <w:jc w:val="left"/>
      </w:pPr>
      <w:bookmarkStart w:id="946" w:name="bookmark946"/>
      <w:bookmarkStart w:id="947" w:name="bookmark947"/>
      <w:bookmarkStart w:id="950" w:name="bookmark950"/>
      <w:r>
        <w:rPr>
          <w:b w:val="0"/>
          <w:bCs w:val="0"/>
          <w:color w:val="000000"/>
          <w:spacing w:val="0"/>
          <w:w w:val="100"/>
          <w:position w:val="0"/>
        </w:rPr>
        <w:t>（</w:t>
      </w:r>
      <w:bookmarkEnd w:id="950"/>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r>
      <w:r>
        <w:rPr>
          <w:color w:val="000000"/>
          <w:spacing w:val="0"/>
          <w:w w:val="100"/>
          <w:position w:val="0"/>
        </w:rPr>
        <w:t>合同履约成本</w:t>
      </w:r>
      <w:bookmarkEnd w:id="946"/>
      <w:bookmarkEnd w:id="947"/>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本公司对于为履行合同发生的成本，不属于除收入准则外的其他企业会计准则范围且同时满足下列条 件的作为合同履约成本确认为一项资产：</w:t>
      </w:r>
    </w:p>
    <w:p>
      <w:pPr>
        <w:pStyle w:val="Style14"/>
        <w:keepNext w:val="0"/>
        <w:keepLines w:val="0"/>
        <w:widowControl w:val="0"/>
        <w:numPr>
          <w:ilvl w:val="0"/>
          <w:numId w:val="55"/>
        </w:numPr>
        <w:shd w:val="clear" w:color="auto" w:fill="auto"/>
        <w:tabs>
          <w:tab w:pos="795" w:val="left"/>
        </w:tabs>
        <w:bidi w:val="0"/>
        <w:spacing w:before="0" w:after="0" w:line="314" w:lineRule="exact"/>
        <w:ind w:left="0" w:right="0" w:firstLine="440"/>
        <w:jc w:val="both"/>
        <w:rPr>
          <w:sz w:val="20"/>
          <w:szCs w:val="20"/>
        </w:rPr>
      </w:pPr>
      <w:bookmarkStart w:id="951" w:name="bookmark951"/>
      <w:bookmarkEnd w:id="951"/>
      <w:r>
        <w:rPr>
          <w:color w:val="000000"/>
          <w:spacing w:val="0"/>
          <w:w w:val="100"/>
          <w:position w:val="0"/>
          <w:sz w:val="20"/>
          <w:szCs w:val="20"/>
        </w:rPr>
        <w:t>该成本与一份当前或预期取得的合同直接相关，包括直接人工、直接材料、制造费用（或类似费用）、 明确由客户承担的成本以及仅因该合同而发生的其他成本；</w:t>
      </w:r>
    </w:p>
    <w:p>
      <w:pPr>
        <w:pStyle w:val="Style14"/>
        <w:keepNext w:val="0"/>
        <w:keepLines w:val="0"/>
        <w:widowControl w:val="0"/>
        <w:numPr>
          <w:ilvl w:val="0"/>
          <w:numId w:val="55"/>
        </w:numPr>
        <w:shd w:val="clear" w:color="auto" w:fill="auto"/>
        <w:tabs>
          <w:tab w:pos="837" w:val="left"/>
        </w:tabs>
        <w:bidi w:val="0"/>
        <w:spacing w:before="0" w:after="0" w:line="314" w:lineRule="exact"/>
        <w:ind w:left="0" w:right="0" w:firstLine="440"/>
        <w:jc w:val="both"/>
        <w:rPr>
          <w:sz w:val="20"/>
          <w:szCs w:val="20"/>
        </w:rPr>
      </w:pPr>
      <w:bookmarkStart w:id="952" w:name="bookmark952"/>
      <w:bookmarkEnd w:id="952"/>
      <w:r>
        <w:rPr>
          <w:color w:val="000000"/>
          <w:spacing w:val="0"/>
          <w:w w:val="100"/>
          <w:position w:val="0"/>
          <w:sz w:val="20"/>
          <w:szCs w:val="20"/>
        </w:rPr>
        <w:t>该成本增加了企业未来用于履行履约义务的资源。</w:t>
      </w:r>
    </w:p>
    <w:p>
      <w:pPr>
        <w:pStyle w:val="Style14"/>
        <w:keepNext w:val="0"/>
        <w:keepLines w:val="0"/>
        <w:widowControl w:val="0"/>
        <w:numPr>
          <w:ilvl w:val="0"/>
          <w:numId w:val="55"/>
        </w:numPr>
        <w:shd w:val="clear" w:color="auto" w:fill="auto"/>
        <w:tabs>
          <w:tab w:pos="837" w:val="left"/>
        </w:tabs>
        <w:bidi w:val="0"/>
        <w:spacing w:before="0" w:after="0" w:line="314" w:lineRule="exact"/>
        <w:ind w:left="0" w:right="0" w:firstLine="440"/>
        <w:jc w:val="both"/>
        <w:rPr>
          <w:sz w:val="20"/>
          <w:szCs w:val="20"/>
        </w:rPr>
      </w:pPr>
      <w:bookmarkStart w:id="953" w:name="bookmark953"/>
      <w:bookmarkEnd w:id="953"/>
      <w:r>
        <w:rPr>
          <w:color w:val="000000"/>
          <w:spacing w:val="0"/>
          <w:w w:val="100"/>
          <w:position w:val="0"/>
          <w:sz w:val="20"/>
          <w:szCs w:val="20"/>
        </w:rPr>
        <w:t>该成本预期能够收回。</w:t>
      </w:r>
    </w:p>
    <w:p>
      <w:pPr>
        <w:pStyle w:val="Style14"/>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该资产根据其初始确认时摊销期限是否超过一个正常营业周期在存货或其他非流动资产中列报。</w:t>
      </w:r>
    </w:p>
    <w:p>
      <w:pPr>
        <w:pStyle w:val="Style14"/>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954" w:name="bookmark954"/>
      <w:r>
        <w:rPr>
          <w:color w:val="000000"/>
          <w:spacing w:val="0"/>
          <w:w w:val="100"/>
          <w:position w:val="0"/>
          <w:sz w:val="20"/>
          <w:szCs w:val="20"/>
        </w:rPr>
        <w:t>（</w:t>
      </w:r>
      <w:bookmarkEnd w:id="95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b/>
          <w:bCs/>
          <w:color w:val="000000"/>
          <w:spacing w:val="0"/>
          <w:w w:val="100"/>
          <w:position w:val="0"/>
          <w:sz w:val="20"/>
          <w:szCs w:val="20"/>
        </w:rPr>
        <w:t>合同取得成本</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14"/>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955" w:name="bookmark955"/>
      <w:r>
        <w:rPr>
          <w:color w:val="000000"/>
          <w:spacing w:val="0"/>
          <w:w w:val="100"/>
          <w:position w:val="0"/>
          <w:sz w:val="20"/>
          <w:szCs w:val="20"/>
        </w:rPr>
        <w:t>（</w:t>
      </w:r>
      <w:bookmarkEnd w:id="95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r>
      <w:r>
        <w:rPr>
          <w:b/>
          <w:bCs/>
          <w:color w:val="000000"/>
          <w:spacing w:val="0"/>
          <w:w w:val="100"/>
          <w:position w:val="0"/>
          <w:sz w:val="20"/>
          <w:szCs w:val="20"/>
        </w:rPr>
        <w:t>合同成本摊销</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上述与合同成本有关的资产，采用与该资产相关的商品或服务收入确认相同的基础，在履约义务履行 的时点或按照履约义务的履约进度进行摊销，计入当期损益。</w:t>
      </w:r>
    </w:p>
    <w:p>
      <w:pPr>
        <w:pStyle w:val="Style14"/>
        <w:keepNext w:val="0"/>
        <w:keepLines w:val="0"/>
        <w:widowControl w:val="0"/>
        <w:shd w:val="clear" w:color="auto" w:fill="auto"/>
        <w:tabs>
          <w:tab w:pos="928" w:val="left"/>
        </w:tabs>
        <w:bidi w:val="0"/>
        <w:spacing w:before="0" w:after="0" w:line="314" w:lineRule="exact"/>
        <w:ind w:left="0" w:right="0" w:firstLine="440"/>
        <w:jc w:val="both"/>
        <w:rPr>
          <w:sz w:val="20"/>
          <w:szCs w:val="20"/>
        </w:rPr>
      </w:pPr>
      <w:bookmarkStart w:id="956" w:name="bookmark956"/>
      <w:r>
        <w:rPr>
          <w:color w:val="000000"/>
          <w:spacing w:val="0"/>
          <w:w w:val="100"/>
          <w:position w:val="0"/>
          <w:sz w:val="20"/>
          <w:szCs w:val="20"/>
        </w:rPr>
        <w:t>（</w:t>
      </w:r>
      <w:bookmarkEnd w:id="95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r>
      <w:r>
        <w:rPr>
          <w:b/>
          <w:bCs/>
          <w:color w:val="000000"/>
          <w:spacing w:val="0"/>
          <w:w w:val="100"/>
          <w:position w:val="0"/>
          <w:sz w:val="20"/>
          <w:szCs w:val="20"/>
        </w:rPr>
        <w:t>合同成本减值</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14"/>
        <w:keepNext w:val="0"/>
        <w:keepLines w:val="0"/>
        <w:widowControl w:val="0"/>
        <w:shd w:val="clear" w:color="auto" w:fill="auto"/>
        <w:bidi w:val="0"/>
        <w:spacing w:before="0" w:after="920" w:line="314" w:lineRule="exact"/>
        <w:ind w:left="0" w:right="0" w:firstLine="440"/>
        <w:jc w:val="both"/>
        <w:rPr>
          <w:sz w:val="20"/>
          <w:szCs w:val="20"/>
        </w:rPr>
      </w:pPr>
      <w:r>
        <w:rPr>
          <w:color w:val="000000"/>
          <w:spacing w:val="0"/>
          <w:w w:val="100"/>
          <w:position w:val="0"/>
          <w:sz w:val="20"/>
          <w:szCs w:val="2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33"/>
        <w:keepNext/>
        <w:keepLines/>
        <w:widowControl w:val="0"/>
        <w:shd w:val="clear" w:color="auto" w:fill="auto"/>
        <w:bidi w:val="0"/>
        <w:spacing w:before="0" w:after="300" w:line="307" w:lineRule="exact"/>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7</w:t>
      </w:r>
      <w:r>
        <w:rPr>
          <w:color w:val="000000"/>
          <w:spacing w:val="0"/>
          <w:w w:val="100"/>
          <w:position w:val="0"/>
        </w:rPr>
        <w:t>、持有待售资产</w:t>
      </w:r>
      <w:bookmarkEnd w:id="957"/>
      <w:bookmarkEnd w:id="958"/>
      <w:bookmarkEnd w:id="960"/>
    </w:p>
    <w:p>
      <w:pPr>
        <w:pStyle w:val="Style33"/>
        <w:keepNext/>
        <w:keepLines/>
        <w:widowControl w:val="0"/>
        <w:shd w:val="clear" w:color="auto" w:fill="auto"/>
        <w:tabs>
          <w:tab w:pos="933" w:val="left"/>
        </w:tabs>
        <w:bidi w:val="0"/>
        <w:spacing w:before="0" w:after="0" w:line="307" w:lineRule="exact"/>
        <w:ind w:left="0" w:right="0" w:firstLine="440"/>
        <w:jc w:val="left"/>
      </w:pPr>
      <w:bookmarkStart w:id="957" w:name="bookmark957"/>
      <w:bookmarkStart w:id="958" w:name="bookmark958"/>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划分为持有待售确认标准</w:t>
      </w:r>
      <w:bookmarkEnd w:id="957"/>
      <w:bookmarkEnd w:id="958"/>
    </w:p>
    <w:p>
      <w:pPr>
        <w:pStyle w:val="Style14"/>
        <w:keepNext w:val="0"/>
        <w:keepLines w:val="0"/>
        <w:widowControl w:val="0"/>
        <w:shd w:val="clear" w:color="auto" w:fill="auto"/>
        <w:bidi w:val="0"/>
        <w:spacing w:before="0" w:after="0" w:line="307" w:lineRule="exact"/>
        <w:ind w:left="0" w:right="0" w:firstLine="440"/>
        <w:jc w:val="left"/>
        <w:rPr>
          <w:sz w:val="20"/>
          <w:szCs w:val="20"/>
        </w:rPr>
      </w:pPr>
      <w:r>
        <w:rPr>
          <w:color w:val="000000"/>
          <w:spacing w:val="0"/>
          <w:w w:val="100"/>
          <w:position w:val="0"/>
          <w:sz w:val="20"/>
          <w:szCs w:val="20"/>
        </w:rPr>
        <w:t>本公司将同时满足下列条件的非流动资产或处置组确认为持有待售组成部分：</w:t>
      </w:r>
    </w:p>
    <w:p>
      <w:pPr>
        <w:pStyle w:val="Style14"/>
        <w:keepNext w:val="0"/>
        <w:keepLines w:val="0"/>
        <w:widowControl w:val="0"/>
        <w:numPr>
          <w:ilvl w:val="0"/>
          <w:numId w:val="57"/>
        </w:numPr>
        <w:shd w:val="clear" w:color="auto" w:fill="auto"/>
        <w:tabs>
          <w:tab w:pos="832" w:val="left"/>
        </w:tabs>
        <w:bidi w:val="0"/>
        <w:spacing w:before="0" w:after="0" w:line="307" w:lineRule="exact"/>
        <w:ind w:left="0" w:right="0" w:firstLine="440"/>
        <w:jc w:val="left"/>
        <w:rPr>
          <w:sz w:val="20"/>
          <w:szCs w:val="20"/>
        </w:rPr>
      </w:pPr>
      <w:bookmarkStart w:id="962" w:name="bookmark962"/>
      <w:bookmarkEnd w:id="962"/>
      <w:r>
        <w:rPr>
          <w:color w:val="000000"/>
          <w:spacing w:val="0"/>
          <w:w w:val="100"/>
          <w:position w:val="0"/>
          <w:sz w:val="20"/>
          <w:szCs w:val="20"/>
        </w:rPr>
        <w:t>根据类似交易中出售此类资产或处置组的惯例，在当前状况下即可立即出售；</w:t>
      </w:r>
    </w:p>
    <w:p>
      <w:pPr>
        <w:pStyle w:val="Style14"/>
        <w:keepNext w:val="0"/>
        <w:keepLines w:val="0"/>
        <w:widowControl w:val="0"/>
        <w:numPr>
          <w:ilvl w:val="0"/>
          <w:numId w:val="57"/>
        </w:numPr>
        <w:shd w:val="clear" w:color="auto" w:fill="auto"/>
        <w:tabs>
          <w:tab w:pos="810" w:val="left"/>
        </w:tabs>
        <w:bidi w:val="0"/>
        <w:spacing w:before="0" w:after="0" w:line="307" w:lineRule="exact"/>
        <w:ind w:left="0" w:right="0" w:firstLine="440"/>
        <w:jc w:val="both"/>
        <w:rPr>
          <w:sz w:val="20"/>
          <w:szCs w:val="20"/>
        </w:rPr>
      </w:pPr>
      <w:bookmarkStart w:id="963" w:name="bookmark963"/>
      <w:bookmarkEnd w:id="963"/>
      <w:r>
        <w:rPr>
          <w:color w:val="000000"/>
          <w:spacing w:val="0"/>
          <w:w w:val="100"/>
          <w:position w:val="0"/>
          <w:sz w:val="20"/>
          <w:szCs w:val="20"/>
        </w:rPr>
        <w:t>出售极可能发生，即本公司已经就一项出售计划作出决议，并已获得监管部门批准（如适用），且 获得确定的购买承诺，预计出售将在一年内完成。</w:t>
      </w:r>
    </w:p>
    <w:p>
      <w:pPr>
        <w:pStyle w:val="Style14"/>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确定的购买承诺，是指本公司与其他方签订的具有法律约束力的购买协议，该协议包含交易价格、时 间和足够严厉的违约惩罚等重要条款，使协议出现重大调整或者撤销的可能性极小。</w:t>
      </w:r>
    </w:p>
    <w:p>
      <w:pPr>
        <w:pStyle w:val="Style14"/>
        <w:keepNext w:val="0"/>
        <w:keepLines w:val="0"/>
        <w:widowControl w:val="0"/>
        <w:shd w:val="clear" w:color="auto" w:fill="auto"/>
        <w:tabs>
          <w:tab w:pos="933" w:val="left"/>
        </w:tabs>
        <w:bidi w:val="0"/>
        <w:spacing w:before="0" w:after="0" w:line="307" w:lineRule="exact"/>
        <w:ind w:left="0" w:right="0" w:firstLine="440"/>
        <w:jc w:val="both"/>
        <w:rPr>
          <w:sz w:val="20"/>
          <w:szCs w:val="20"/>
        </w:rPr>
      </w:pPr>
      <w:bookmarkStart w:id="964" w:name="bookmark964"/>
      <w:r>
        <w:rPr>
          <w:b/>
          <w:bCs/>
          <w:color w:val="000000"/>
          <w:spacing w:val="0"/>
          <w:w w:val="100"/>
          <w:position w:val="0"/>
          <w:sz w:val="20"/>
          <w:szCs w:val="20"/>
        </w:rPr>
        <w:t>（</w:t>
      </w:r>
      <w:bookmarkEnd w:id="9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持有待售核算方法</w:t>
      </w:r>
    </w:p>
    <w:p>
      <w:pPr>
        <w:pStyle w:val="Style14"/>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 xml:space="preserve">本公司对于持有待售的非流动资产或处置组不计提折旧或摊销，其账面价值高于公允价值减去出售费 </w:t>
      </w:r>
      <w:r>
        <w:rPr>
          <w:color w:val="000000"/>
          <w:spacing w:val="0"/>
          <w:w w:val="100"/>
          <w:position w:val="0"/>
          <w:sz w:val="20"/>
          <w:szCs w:val="20"/>
        </w:rPr>
        <w:t>用后的净额的，应当将账面价值减记至公允价值减去出售费用后的净额，减记的金额确认为资产减值损失， 计入当期损益，同时计提持有待售资产减值准备。</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对于取得日划分为持有待售类别的非流动资产或处置组，在初始计量时比较假定其不划分为持有待售 类别情况下的初始计量金额和公允价值减去出售费用后的净额，以两者孰低计量。</w:t>
      </w:r>
    </w:p>
    <w:p>
      <w:pPr>
        <w:pStyle w:val="Style14"/>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33"/>
        <w:keepNext/>
        <w:keepLines/>
        <w:widowControl w:val="0"/>
        <w:shd w:val="clear" w:color="auto" w:fill="auto"/>
        <w:bidi w:val="0"/>
        <w:spacing w:before="0" w:after="300" w:line="313" w:lineRule="exact"/>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965"/>
      <w:bookmarkEnd w:id="966"/>
      <w:bookmarkEnd w:id="968"/>
    </w:p>
    <w:p>
      <w:pPr>
        <w:pStyle w:val="Style33"/>
        <w:keepNext/>
        <w:keepLines/>
        <w:widowControl w:val="0"/>
        <w:shd w:val="clear" w:color="auto" w:fill="auto"/>
        <w:bidi w:val="0"/>
        <w:spacing w:before="0" w:after="0" w:line="313" w:lineRule="exact"/>
        <w:ind w:left="0" w:right="0" w:firstLine="540"/>
        <w:jc w:val="left"/>
      </w:pPr>
      <w:bookmarkStart w:id="965" w:name="bookmark965"/>
      <w:bookmarkStart w:id="966" w:name="bookmark966"/>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）初始投资成本的确定</w:t>
      </w:r>
      <w:bookmarkEnd w:id="965"/>
      <w:bookmarkEnd w:id="966"/>
    </w:p>
    <w:p>
      <w:pPr>
        <w:pStyle w:val="Style14"/>
        <w:keepNext w:val="0"/>
        <w:keepLines w:val="0"/>
        <w:widowControl w:val="0"/>
        <w:numPr>
          <w:ilvl w:val="0"/>
          <w:numId w:val="59"/>
        </w:numPr>
        <w:shd w:val="clear" w:color="auto" w:fill="auto"/>
        <w:tabs>
          <w:tab w:pos="832" w:val="left"/>
          <w:tab w:pos="6448" w:val="left"/>
        </w:tabs>
        <w:bidi w:val="0"/>
        <w:spacing w:before="0" w:after="0" w:line="313" w:lineRule="exact"/>
        <w:ind w:left="0" w:right="0" w:firstLine="440"/>
        <w:jc w:val="both"/>
        <w:rPr>
          <w:sz w:val="20"/>
          <w:szCs w:val="20"/>
        </w:rPr>
      </w:pPr>
      <w:bookmarkStart w:id="970" w:name="bookmark970"/>
      <w:bookmarkEnd w:id="970"/>
      <w:r>
        <w:rPr>
          <w:color w:val="000000"/>
          <w:spacing w:val="0"/>
          <w:w w:val="100"/>
          <w:position w:val="0"/>
          <w:sz w:val="20"/>
          <w:szCs w:val="20"/>
        </w:rPr>
        <w:t>企业合并形成的长期股权投资，具体会计政策详见本附注五/</w:t>
        <w:tab/>
        <w:t>（五）同一控制下和非同一控制下企</w:t>
      </w:r>
    </w:p>
    <w:p>
      <w:pPr>
        <w:pStyle w:val="Style14"/>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业合并的会计处理方法。</w:t>
      </w:r>
    </w:p>
    <w:p>
      <w:pPr>
        <w:pStyle w:val="Style14"/>
        <w:keepNext w:val="0"/>
        <w:keepLines w:val="0"/>
        <w:widowControl w:val="0"/>
        <w:numPr>
          <w:ilvl w:val="0"/>
          <w:numId w:val="59"/>
        </w:numPr>
        <w:shd w:val="clear" w:color="auto" w:fill="auto"/>
        <w:tabs>
          <w:tab w:pos="837" w:val="left"/>
        </w:tabs>
        <w:bidi w:val="0"/>
        <w:spacing w:before="0" w:after="0" w:line="313" w:lineRule="exact"/>
        <w:ind w:left="0" w:right="0" w:firstLine="440"/>
        <w:jc w:val="both"/>
        <w:rPr>
          <w:sz w:val="20"/>
          <w:szCs w:val="20"/>
        </w:rPr>
      </w:pPr>
      <w:bookmarkStart w:id="971" w:name="bookmark971"/>
      <w:bookmarkEnd w:id="971"/>
      <w:r>
        <w:rPr>
          <w:color w:val="000000"/>
          <w:spacing w:val="0"/>
          <w:w w:val="100"/>
          <w:position w:val="0"/>
          <w:sz w:val="20"/>
          <w:szCs w:val="20"/>
        </w:rPr>
        <w:t>其他方式取得的长期股权投资</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以支付现金方式取得的长期股权投资，按照实际支付的购买价款作为初始投资成本。初始投资成本包 括与取得长期股权投资直接相关的费用、税金及其他必要支出。</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以发行权益性证券取得的长期股权投资，按照发行权益性证券的公允价值作为初始投资成本；发行或 取得自身权益工具时发生的交易费用，可直接归属于权益性交易的从权益中扣减。</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通过债务重组取得的长期股权投资，其初始投资成本按照公允价值为基础确定。</w:t>
      </w:r>
    </w:p>
    <w:p>
      <w:pPr>
        <w:pStyle w:val="Style14"/>
        <w:keepNext w:val="0"/>
        <w:keepLines w:val="0"/>
        <w:widowControl w:val="0"/>
        <w:shd w:val="clear" w:color="auto" w:fill="auto"/>
        <w:bidi w:val="0"/>
        <w:spacing w:before="0" w:after="0" w:line="313" w:lineRule="exact"/>
        <w:ind w:left="0" w:right="0" w:firstLine="440"/>
        <w:jc w:val="both"/>
        <w:rPr>
          <w:sz w:val="20"/>
          <w:szCs w:val="20"/>
        </w:rPr>
      </w:pPr>
      <w:bookmarkStart w:id="972" w:name="bookmark972"/>
      <w:r>
        <w:rPr>
          <w:b/>
          <w:bCs/>
          <w:color w:val="000000"/>
          <w:spacing w:val="0"/>
          <w:w w:val="100"/>
          <w:position w:val="0"/>
          <w:sz w:val="20"/>
          <w:szCs w:val="20"/>
        </w:rPr>
        <w:t>（</w:t>
      </w:r>
      <w:bookmarkEnd w:id="97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）后续计量及损益确认</w:t>
      </w:r>
    </w:p>
    <w:p>
      <w:pPr>
        <w:pStyle w:val="Style14"/>
        <w:keepNext w:val="0"/>
        <w:keepLines w:val="0"/>
        <w:widowControl w:val="0"/>
        <w:numPr>
          <w:ilvl w:val="0"/>
          <w:numId w:val="61"/>
        </w:numPr>
        <w:shd w:val="clear" w:color="auto" w:fill="auto"/>
        <w:tabs>
          <w:tab w:pos="832" w:val="left"/>
        </w:tabs>
        <w:bidi w:val="0"/>
        <w:spacing w:before="0" w:after="0" w:line="313" w:lineRule="exact"/>
        <w:ind w:left="0" w:right="0" w:firstLine="440"/>
        <w:jc w:val="both"/>
        <w:rPr>
          <w:sz w:val="20"/>
          <w:szCs w:val="20"/>
        </w:rPr>
      </w:pPr>
      <w:bookmarkStart w:id="973" w:name="bookmark973"/>
      <w:bookmarkEnd w:id="973"/>
      <w:r>
        <w:rPr>
          <w:color w:val="000000"/>
          <w:spacing w:val="0"/>
          <w:w w:val="100"/>
          <w:position w:val="0"/>
          <w:sz w:val="20"/>
          <w:szCs w:val="20"/>
        </w:rPr>
        <w:t>成本法</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本公司能够对被投资单位实施控制的长期股权投资采用成本法核算，并按照初始投资成本计价，追加 或收回投资调整长期股权投资的成本。</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除取得投资时实际支付的价款或对价中包含的已宣告但尚未发放的现金股利或利润外，本公司按照享 有被投资单位宣告分派的现金股利或利润确认为当期投资收益。</w:t>
      </w:r>
    </w:p>
    <w:p>
      <w:pPr>
        <w:pStyle w:val="Style14"/>
        <w:keepNext w:val="0"/>
        <w:keepLines w:val="0"/>
        <w:widowControl w:val="0"/>
        <w:numPr>
          <w:ilvl w:val="0"/>
          <w:numId w:val="61"/>
        </w:numPr>
        <w:shd w:val="clear" w:color="auto" w:fill="auto"/>
        <w:tabs>
          <w:tab w:pos="837" w:val="left"/>
        </w:tabs>
        <w:bidi w:val="0"/>
        <w:spacing w:before="0" w:after="0" w:line="313" w:lineRule="exact"/>
        <w:ind w:left="0" w:right="0" w:firstLine="440"/>
        <w:jc w:val="both"/>
        <w:rPr>
          <w:sz w:val="20"/>
          <w:szCs w:val="20"/>
        </w:rPr>
      </w:pPr>
      <w:bookmarkStart w:id="974" w:name="bookmark974"/>
      <w:bookmarkEnd w:id="974"/>
      <w:r>
        <w:rPr>
          <w:color w:val="000000"/>
          <w:spacing w:val="0"/>
          <w:w w:val="100"/>
          <w:position w:val="0"/>
          <w:sz w:val="20"/>
          <w:szCs w:val="20"/>
        </w:rPr>
        <w:t>权益法</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14"/>
        <w:keepNext w:val="0"/>
        <w:keepLines w:val="0"/>
        <w:widowControl w:val="0"/>
        <w:shd w:val="clear" w:color="auto" w:fill="auto"/>
        <w:tabs>
          <w:tab w:pos="909" w:val="left"/>
        </w:tabs>
        <w:bidi w:val="0"/>
        <w:spacing w:before="0" w:after="0" w:line="314" w:lineRule="exact"/>
        <w:ind w:left="0" w:right="0" w:firstLine="440"/>
        <w:jc w:val="both"/>
        <w:rPr>
          <w:sz w:val="20"/>
          <w:szCs w:val="20"/>
        </w:rPr>
      </w:pPr>
      <w:bookmarkStart w:id="975" w:name="bookmark975"/>
      <w:r>
        <w:rPr>
          <w:b/>
          <w:bCs/>
          <w:color w:val="000000"/>
          <w:spacing w:val="0"/>
          <w:w w:val="100"/>
          <w:position w:val="0"/>
          <w:sz w:val="20"/>
          <w:szCs w:val="20"/>
        </w:rPr>
        <w:t>（</w:t>
      </w:r>
      <w:bookmarkEnd w:id="97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长期股权投资核算方法的转换</w:t>
      </w:r>
    </w:p>
    <w:p>
      <w:pPr>
        <w:pStyle w:val="Style14"/>
        <w:keepNext w:val="0"/>
        <w:keepLines w:val="0"/>
        <w:widowControl w:val="0"/>
        <w:numPr>
          <w:ilvl w:val="0"/>
          <w:numId w:val="63"/>
        </w:numPr>
        <w:shd w:val="clear" w:color="auto" w:fill="auto"/>
        <w:tabs>
          <w:tab w:pos="808" w:val="left"/>
        </w:tabs>
        <w:bidi w:val="0"/>
        <w:spacing w:before="0" w:after="0" w:line="314" w:lineRule="exact"/>
        <w:ind w:left="0" w:right="0" w:firstLine="440"/>
        <w:jc w:val="both"/>
        <w:rPr>
          <w:sz w:val="20"/>
          <w:szCs w:val="20"/>
        </w:rPr>
      </w:pPr>
      <w:bookmarkStart w:id="976" w:name="bookmark976"/>
      <w:bookmarkEnd w:id="976"/>
      <w:r>
        <w:rPr>
          <w:color w:val="000000"/>
          <w:spacing w:val="0"/>
          <w:w w:val="100"/>
          <w:position w:val="0"/>
          <w:sz w:val="20"/>
          <w:szCs w:val="20"/>
        </w:rPr>
        <w:t>公允价值计量转权益法核算</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号——金融工具确认和计量》确定的原持有的股权投资的公允价值加上新增 投资成本之和，作为改按权益法核算的初始投资成本。</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14"/>
        <w:keepNext w:val="0"/>
        <w:keepLines w:val="0"/>
        <w:widowControl w:val="0"/>
        <w:numPr>
          <w:ilvl w:val="0"/>
          <w:numId w:val="63"/>
        </w:numPr>
        <w:shd w:val="clear" w:color="auto" w:fill="auto"/>
        <w:tabs>
          <w:tab w:pos="813" w:val="left"/>
        </w:tabs>
        <w:bidi w:val="0"/>
        <w:spacing w:before="0" w:after="0" w:line="314" w:lineRule="exact"/>
        <w:ind w:left="0" w:right="0" w:firstLine="440"/>
        <w:jc w:val="both"/>
        <w:rPr>
          <w:sz w:val="20"/>
          <w:szCs w:val="20"/>
        </w:rPr>
      </w:pPr>
      <w:bookmarkStart w:id="977" w:name="bookmark977"/>
      <w:bookmarkEnd w:id="977"/>
      <w:r>
        <w:rPr>
          <w:color w:val="000000"/>
          <w:spacing w:val="0"/>
          <w:w w:val="100"/>
          <w:position w:val="0"/>
          <w:sz w:val="20"/>
          <w:szCs w:val="20"/>
        </w:rPr>
        <w:t>公允价值计量或权益法核算转成本法核算</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14"/>
        <w:keepNext w:val="0"/>
        <w:keepLines w:val="0"/>
        <w:widowControl w:val="0"/>
        <w:shd w:val="clear" w:color="auto" w:fill="auto"/>
        <w:bidi w:val="0"/>
        <w:spacing w:before="0" w:after="0" w:line="278" w:lineRule="exact"/>
        <w:ind w:left="0" w:right="0" w:firstLine="440"/>
        <w:jc w:val="both"/>
        <w:rPr>
          <w:sz w:val="20"/>
          <w:szCs w:val="20"/>
        </w:rPr>
      </w:pPr>
      <w:r>
        <w:rPr>
          <w:color w:val="000000"/>
          <w:spacing w:val="0"/>
          <w:w w:val="100"/>
          <w:position w:val="0"/>
          <w:sz w:val="20"/>
          <w:szCs w:val="20"/>
        </w:rPr>
        <w:t>购买日之前持有的股权投资因采用权益法核算而确认的其他综合收益，在处置该项投资时采用与被投 资单位直接处置相关资产或负债相同的基础进行会计处理。</w:t>
      </w:r>
    </w:p>
    <w:p>
      <w:pPr>
        <w:pStyle w:val="Style1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购买日之前持有的股权投资按照《企业会计准则第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号——金融工具确认和计量》的有关规定进行会 计处理的，原计入其他综合收益的累计公允价值变动在改按成本法核算时转入当期损益。</w:t>
      </w:r>
    </w:p>
    <w:p>
      <w:pPr>
        <w:pStyle w:val="Style14"/>
        <w:keepNext w:val="0"/>
        <w:keepLines w:val="0"/>
        <w:widowControl w:val="0"/>
        <w:numPr>
          <w:ilvl w:val="0"/>
          <w:numId w:val="63"/>
        </w:numPr>
        <w:shd w:val="clear" w:color="auto" w:fill="auto"/>
        <w:tabs>
          <w:tab w:pos="813" w:val="left"/>
        </w:tabs>
        <w:bidi w:val="0"/>
        <w:spacing w:before="0" w:after="0" w:line="315" w:lineRule="exact"/>
        <w:ind w:left="0" w:right="0" w:firstLine="440"/>
        <w:jc w:val="both"/>
        <w:rPr>
          <w:sz w:val="20"/>
          <w:szCs w:val="20"/>
        </w:rPr>
      </w:pPr>
      <w:bookmarkStart w:id="978" w:name="bookmark978"/>
      <w:bookmarkEnd w:id="978"/>
      <w:r>
        <w:rPr>
          <w:color w:val="000000"/>
          <w:spacing w:val="0"/>
          <w:w w:val="100"/>
          <w:position w:val="0"/>
          <w:sz w:val="20"/>
          <w:szCs w:val="20"/>
        </w:rPr>
        <w:t>权益法核算转公允价值计量</w:t>
      </w:r>
    </w:p>
    <w:p>
      <w:pPr>
        <w:pStyle w:val="Style1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号——金融工具确认和计量》核算，其在丧失共同控制或重大影响之日的公允价 值与账面价值之间的差额计入当期损益。</w:t>
      </w:r>
    </w:p>
    <w:p>
      <w:pPr>
        <w:pStyle w:val="Style1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原股权投资因采用权益法核算而确认的其他综合收益，在终止采用权益法核算时采用与被投资单位直 接处置相关资产或负债相同的基础进行会计处理。</w:t>
      </w:r>
    </w:p>
    <w:p>
      <w:pPr>
        <w:pStyle w:val="Style14"/>
        <w:keepNext w:val="0"/>
        <w:keepLines w:val="0"/>
        <w:widowControl w:val="0"/>
        <w:numPr>
          <w:ilvl w:val="0"/>
          <w:numId w:val="63"/>
        </w:numPr>
        <w:shd w:val="clear" w:color="auto" w:fill="auto"/>
        <w:tabs>
          <w:tab w:pos="813" w:val="left"/>
        </w:tabs>
        <w:bidi w:val="0"/>
        <w:spacing w:before="0" w:after="0" w:line="315" w:lineRule="exact"/>
        <w:ind w:left="0" w:right="0" w:firstLine="440"/>
        <w:jc w:val="both"/>
        <w:rPr>
          <w:sz w:val="20"/>
          <w:szCs w:val="20"/>
        </w:rPr>
      </w:pPr>
      <w:bookmarkStart w:id="979" w:name="bookmark979"/>
      <w:bookmarkEnd w:id="979"/>
      <w:r>
        <w:rPr>
          <w:color w:val="000000"/>
          <w:spacing w:val="0"/>
          <w:w w:val="100"/>
          <w:position w:val="0"/>
          <w:sz w:val="20"/>
          <w:szCs w:val="20"/>
        </w:rPr>
        <w:t>成本法转权益法</w:t>
      </w:r>
    </w:p>
    <w:p>
      <w:pPr>
        <w:pStyle w:val="Style1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14"/>
        <w:keepNext w:val="0"/>
        <w:keepLines w:val="0"/>
        <w:widowControl w:val="0"/>
        <w:numPr>
          <w:ilvl w:val="0"/>
          <w:numId w:val="63"/>
        </w:numPr>
        <w:shd w:val="clear" w:color="auto" w:fill="auto"/>
        <w:tabs>
          <w:tab w:pos="813" w:val="left"/>
        </w:tabs>
        <w:bidi w:val="0"/>
        <w:spacing w:before="0" w:after="0" w:line="315" w:lineRule="exact"/>
        <w:ind w:left="0" w:right="0" w:firstLine="440"/>
        <w:jc w:val="both"/>
        <w:rPr>
          <w:sz w:val="20"/>
          <w:szCs w:val="20"/>
        </w:rPr>
      </w:pPr>
      <w:bookmarkStart w:id="980" w:name="bookmark980"/>
      <w:bookmarkEnd w:id="980"/>
      <w:r>
        <w:rPr>
          <w:color w:val="000000"/>
          <w:spacing w:val="0"/>
          <w:w w:val="100"/>
          <w:position w:val="0"/>
          <w:sz w:val="20"/>
          <w:szCs w:val="20"/>
        </w:rPr>
        <w:t>成本法转公允价值计量</w:t>
      </w:r>
    </w:p>
    <w:p>
      <w:pPr>
        <w:pStyle w:val="Style1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 确认和计量》的有关规定进行会计处理，其在丧失控制之日的公允价值与账面价值间的差额计入当期损益。</w:t>
      </w:r>
    </w:p>
    <w:p>
      <w:pPr>
        <w:pStyle w:val="Style14"/>
        <w:keepNext w:val="0"/>
        <w:keepLines w:val="0"/>
        <w:widowControl w:val="0"/>
        <w:shd w:val="clear" w:color="auto" w:fill="auto"/>
        <w:tabs>
          <w:tab w:pos="909" w:val="left"/>
        </w:tabs>
        <w:bidi w:val="0"/>
        <w:spacing w:before="0" w:after="0" w:line="315" w:lineRule="exact"/>
        <w:ind w:left="0" w:right="0" w:firstLine="440"/>
        <w:jc w:val="both"/>
        <w:rPr>
          <w:sz w:val="20"/>
          <w:szCs w:val="20"/>
        </w:rPr>
      </w:pPr>
      <w:bookmarkStart w:id="981" w:name="bookmark981"/>
      <w:r>
        <w:rPr>
          <w:b/>
          <w:bCs/>
          <w:color w:val="000000"/>
          <w:spacing w:val="0"/>
          <w:w w:val="100"/>
          <w:position w:val="0"/>
          <w:sz w:val="20"/>
          <w:szCs w:val="20"/>
        </w:rPr>
        <w:t>（</w:t>
      </w:r>
      <w:bookmarkEnd w:id="981"/>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长期股权投资的处置</w:t>
      </w:r>
    </w:p>
    <w:p>
      <w:pPr>
        <w:pStyle w:val="Style1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14"/>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 xml:space="preserve">处置对子公司股权投资的各项交易的条款、条件以及经济影响符合以下一种或多种情况，将多次交易 </w:t>
      </w:r>
      <w:r>
        <w:rPr>
          <w:color w:val="000000"/>
          <w:spacing w:val="0"/>
          <w:w w:val="100"/>
          <w:position w:val="0"/>
          <w:sz w:val="20"/>
          <w:szCs w:val="20"/>
        </w:rPr>
        <w:t>事项作为一揽子交易进行会计处理：</w:t>
      </w:r>
    </w:p>
    <w:p>
      <w:pPr>
        <w:pStyle w:val="Style14"/>
        <w:keepNext w:val="0"/>
        <w:keepLines w:val="0"/>
        <w:widowControl w:val="0"/>
        <w:numPr>
          <w:ilvl w:val="0"/>
          <w:numId w:val="65"/>
        </w:numPr>
        <w:shd w:val="clear" w:color="auto" w:fill="auto"/>
        <w:tabs>
          <w:tab w:pos="746" w:val="left"/>
        </w:tabs>
        <w:bidi w:val="0"/>
        <w:spacing w:before="0" w:after="0" w:line="312" w:lineRule="exact"/>
        <w:ind w:left="0" w:right="0" w:firstLine="380"/>
        <w:jc w:val="both"/>
        <w:rPr>
          <w:sz w:val="20"/>
          <w:szCs w:val="20"/>
        </w:rPr>
      </w:pPr>
      <w:bookmarkStart w:id="982" w:name="bookmark982"/>
      <w:bookmarkEnd w:id="982"/>
      <w:r>
        <w:rPr>
          <w:color w:val="000000"/>
          <w:spacing w:val="0"/>
          <w:w w:val="100"/>
          <w:position w:val="0"/>
          <w:sz w:val="20"/>
          <w:szCs w:val="20"/>
        </w:rPr>
        <w:t>这些交易是同时或者在考虑了彼此影响的情况下订立的；</w:t>
      </w:r>
    </w:p>
    <w:p>
      <w:pPr>
        <w:pStyle w:val="Style14"/>
        <w:keepNext w:val="0"/>
        <w:keepLines w:val="0"/>
        <w:widowControl w:val="0"/>
        <w:numPr>
          <w:ilvl w:val="0"/>
          <w:numId w:val="65"/>
        </w:numPr>
        <w:shd w:val="clear" w:color="auto" w:fill="auto"/>
        <w:tabs>
          <w:tab w:pos="751" w:val="left"/>
        </w:tabs>
        <w:bidi w:val="0"/>
        <w:spacing w:before="0" w:after="0" w:line="312" w:lineRule="exact"/>
        <w:ind w:left="0" w:right="0" w:firstLine="380"/>
        <w:jc w:val="both"/>
        <w:rPr>
          <w:sz w:val="20"/>
          <w:szCs w:val="20"/>
        </w:rPr>
      </w:pPr>
      <w:bookmarkStart w:id="983" w:name="bookmark983"/>
      <w:bookmarkEnd w:id="983"/>
      <w:r>
        <w:rPr>
          <w:color w:val="000000"/>
          <w:spacing w:val="0"/>
          <w:w w:val="100"/>
          <w:position w:val="0"/>
          <w:sz w:val="20"/>
          <w:szCs w:val="20"/>
        </w:rPr>
        <w:t>这些交易整体才能达成一项完整的商业结果；</w:t>
      </w:r>
    </w:p>
    <w:p>
      <w:pPr>
        <w:pStyle w:val="Style14"/>
        <w:keepNext w:val="0"/>
        <w:keepLines w:val="0"/>
        <w:widowControl w:val="0"/>
        <w:numPr>
          <w:ilvl w:val="0"/>
          <w:numId w:val="65"/>
        </w:numPr>
        <w:shd w:val="clear" w:color="auto" w:fill="auto"/>
        <w:tabs>
          <w:tab w:pos="751" w:val="left"/>
        </w:tabs>
        <w:bidi w:val="0"/>
        <w:spacing w:before="0" w:after="0" w:line="312" w:lineRule="exact"/>
        <w:ind w:left="0" w:right="0" w:firstLine="380"/>
        <w:jc w:val="both"/>
        <w:rPr>
          <w:sz w:val="20"/>
          <w:szCs w:val="20"/>
        </w:rPr>
      </w:pPr>
      <w:bookmarkStart w:id="984" w:name="bookmark984"/>
      <w:bookmarkEnd w:id="984"/>
      <w:r>
        <w:rPr>
          <w:color w:val="000000"/>
          <w:spacing w:val="0"/>
          <w:w w:val="100"/>
          <w:position w:val="0"/>
          <w:sz w:val="20"/>
          <w:szCs w:val="20"/>
        </w:rPr>
        <w:t>一项交易的发生取决于其他至少一项交易的发生；</w:t>
      </w:r>
    </w:p>
    <w:p>
      <w:pPr>
        <w:pStyle w:val="Style14"/>
        <w:keepNext w:val="0"/>
        <w:keepLines w:val="0"/>
        <w:widowControl w:val="0"/>
        <w:numPr>
          <w:ilvl w:val="0"/>
          <w:numId w:val="65"/>
        </w:numPr>
        <w:shd w:val="clear" w:color="auto" w:fill="auto"/>
        <w:tabs>
          <w:tab w:pos="751" w:val="left"/>
        </w:tabs>
        <w:bidi w:val="0"/>
        <w:spacing w:before="0" w:after="0" w:line="312" w:lineRule="exact"/>
        <w:ind w:left="0" w:right="0" w:firstLine="380"/>
        <w:jc w:val="both"/>
        <w:rPr>
          <w:sz w:val="20"/>
          <w:szCs w:val="20"/>
        </w:rPr>
      </w:pPr>
      <w:bookmarkStart w:id="985" w:name="bookmark985"/>
      <w:bookmarkEnd w:id="985"/>
      <w:r>
        <w:rPr>
          <w:color w:val="000000"/>
          <w:spacing w:val="0"/>
          <w:w w:val="100"/>
          <w:position w:val="0"/>
          <w:sz w:val="20"/>
          <w:szCs w:val="20"/>
        </w:rPr>
        <w:t>一项交易单独看是不经济的，但是和其他交易一并考虑时是经济的。</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因处置部分股权投资或其他原因丧失了对原有子公司控制权的，不属于一揽子交易的，区分个别财务 报表和合并财务报表进行相关会计处理：</w:t>
      </w:r>
    </w:p>
    <w:p>
      <w:pPr>
        <w:pStyle w:val="Style14"/>
        <w:keepNext w:val="0"/>
        <w:keepLines w:val="0"/>
        <w:widowControl w:val="0"/>
        <w:numPr>
          <w:ilvl w:val="0"/>
          <w:numId w:val="67"/>
        </w:numPr>
        <w:shd w:val="clear" w:color="auto" w:fill="auto"/>
        <w:tabs>
          <w:tab w:pos="789" w:val="left"/>
        </w:tabs>
        <w:bidi w:val="0"/>
        <w:spacing w:before="0" w:after="0" w:line="312" w:lineRule="exact"/>
        <w:ind w:left="0" w:right="0" w:firstLine="440"/>
        <w:jc w:val="both"/>
        <w:rPr>
          <w:sz w:val="20"/>
          <w:szCs w:val="20"/>
        </w:rPr>
      </w:pPr>
      <w:bookmarkStart w:id="986" w:name="bookmark986"/>
      <w:bookmarkEnd w:id="986"/>
      <w:r>
        <w:rPr>
          <w:color w:val="000000"/>
          <w:spacing w:val="0"/>
          <w:w w:val="100"/>
          <w:position w:val="0"/>
          <w:sz w:val="20"/>
          <w:szCs w:val="20"/>
        </w:rPr>
        <w:t>在个别财务报表中，对于处置的股权，其账面价值与实际取得价款之间的差额计入当期损益。处置 后的剩余股权能够对被投资单位实施共同控制或施加重大影响的，改按权益法核算，并对该剩余股权视同 自取得时即采用权益法核算进行调整；处置后的剩余股权不能对被投资单位实施共同控制或施加重大影响 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号——金融工具确认和计量》的有关规定进行会计处理，其在丧失控制之日 的公允价值与账面价值间的差额计入当期损益。</w:t>
      </w:r>
    </w:p>
    <w:p>
      <w:pPr>
        <w:pStyle w:val="Style14"/>
        <w:keepNext w:val="0"/>
        <w:keepLines w:val="0"/>
        <w:widowControl w:val="0"/>
        <w:numPr>
          <w:ilvl w:val="0"/>
          <w:numId w:val="67"/>
        </w:numPr>
        <w:shd w:val="clear" w:color="auto" w:fill="auto"/>
        <w:tabs>
          <w:tab w:pos="789" w:val="left"/>
        </w:tabs>
        <w:bidi w:val="0"/>
        <w:spacing w:before="0" w:after="0" w:line="312" w:lineRule="exact"/>
        <w:ind w:left="0" w:right="0" w:firstLine="440"/>
        <w:jc w:val="both"/>
        <w:rPr>
          <w:sz w:val="20"/>
          <w:szCs w:val="20"/>
        </w:rPr>
      </w:pPr>
      <w:bookmarkStart w:id="987" w:name="bookmark987"/>
      <w:bookmarkEnd w:id="987"/>
      <w:r>
        <w:rPr>
          <w:color w:val="000000"/>
          <w:spacing w:val="0"/>
          <w:w w:val="100"/>
          <w:position w:val="0"/>
          <w:sz w:val="20"/>
          <w:szCs w:val="20"/>
        </w:rPr>
        <w:t>在合并财务报表中，对于在丧失对子公司控制权以前的各项交易，处置价款与处置长期股权投资相 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14"/>
        <w:keepNext w:val="0"/>
        <w:keepLines w:val="0"/>
        <w:widowControl w:val="0"/>
        <w:numPr>
          <w:ilvl w:val="0"/>
          <w:numId w:val="69"/>
        </w:numPr>
        <w:shd w:val="clear" w:color="auto" w:fill="auto"/>
        <w:tabs>
          <w:tab w:pos="789" w:val="left"/>
        </w:tabs>
        <w:bidi w:val="0"/>
        <w:spacing w:before="0" w:after="0" w:line="312" w:lineRule="exact"/>
        <w:ind w:left="0" w:right="0" w:firstLine="440"/>
        <w:jc w:val="both"/>
        <w:rPr>
          <w:sz w:val="20"/>
          <w:szCs w:val="20"/>
        </w:rPr>
      </w:pPr>
      <w:bookmarkStart w:id="988" w:name="bookmark988"/>
      <w:bookmarkEnd w:id="988"/>
      <w:r>
        <w:rPr>
          <w:color w:val="000000"/>
          <w:spacing w:val="0"/>
          <w:w w:val="100"/>
          <w:position w:val="0"/>
          <w:sz w:val="20"/>
          <w:szCs w:val="20"/>
        </w:rPr>
        <w:t>在个别财务报表中，在丧失控制权之前每一次处置价款与处置的股权对应的长期股权投资账面价值 之间的差额，确认为其他综合收益，在丧失控制权时一并转入丧失控制权当期的损益。</w:t>
      </w:r>
    </w:p>
    <w:p>
      <w:pPr>
        <w:pStyle w:val="Style14"/>
        <w:keepNext w:val="0"/>
        <w:keepLines w:val="0"/>
        <w:widowControl w:val="0"/>
        <w:numPr>
          <w:ilvl w:val="0"/>
          <w:numId w:val="69"/>
        </w:numPr>
        <w:shd w:val="clear" w:color="auto" w:fill="auto"/>
        <w:tabs>
          <w:tab w:pos="774" w:val="left"/>
        </w:tabs>
        <w:bidi w:val="0"/>
        <w:spacing w:before="0" w:after="0" w:line="312" w:lineRule="exact"/>
        <w:ind w:left="0" w:right="0" w:firstLine="440"/>
        <w:jc w:val="both"/>
        <w:rPr>
          <w:sz w:val="20"/>
          <w:szCs w:val="20"/>
        </w:rPr>
      </w:pPr>
      <w:bookmarkStart w:id="989" w:name="bookmark989"/>
      <w:bookmarkEnd w:id="989"/>
      <w:r>
        <w:rPr>
          <w:color w:val="000000"/>
          <w:spacing w:val="0"/>
          <w:w w:val="100"/>
          <w:position w:val="0"/>
          <w:sz w:val="20"/>
          <w:szCs w:val="20"/>
        </w:rPr>
        <w:t>在合并财务报表中，在丧失控制权之前每一次处置价款与处置投资对应的享有该子公司净资产份额 的差额，确认为其他综合收益，在丧失控制权时一并转入丧失控制权当期的损益。</w:t>
      </w:r>
    </w:p>
    <w:p>
      <w:pPr>
        <w:pStyle w:val="Style14"/>
        <w:keepNext w:val="0"/>
        <w:keepLines w:val="0"/>
        <w:widowControl w:val="0"/>
        <w:shd w:val="clear" w:color="auto" w:fill="auto"/>
        <w:bidi w:val="0"/>
        <w:spacing w:before="0" w:after="0" w:line="312" w:lineRule="exact"/>
        <w:ind w:left="0" w:right="0" w:firstLine="380"/>
        <w:jc w:val="both"/>
        <w:rPr>
          <w:sz w:val="20"/>
          <w:szCs w:val="20"/>
        </w:rPr>
      </w:pPr>
      <w:bookmarkStart w:id="990" w:name="bookmark990"/>
      <w:r>
        <w:rPr>
          <w:b/>
          <w:bCs/>
          <w:color w:val="000000"/>
          <w:spacing w:val="0"/>
          <w:w w:val="100"/>
          <w:position w:val="0"/>
          <w:sz w:val="20"/>
          <w:szCs w:val="20"/>
        </w:rPr>
        <w:t>（</w:t>
      </w:r>
      <w:bookmarkEnd w:id="99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）共同控制、重大影响的判断标准</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14"/>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断对被投资单位具有重大影响：①在被投资单位的董事会或类似权力机构中派有代表；②参与被投资单位 财务和经营政策制定过程；③与被投资单位之间发生重要交易；④向被投资单位派出管理人员；⑤向被投 资单位提供关键技术资料。</w:t>
      </w:r>
    </w:p>
    <w:p>
      <w:pPr>
        <w:pStyle w:val="Style33"/>
        <w:keepNext/>
        <w:keepLines/>
        <w:widowControl w:val="0"/>
        <w:shd w:val="clear" w:color="auto" w:fill="auto"/>
        <w:bidi w:val="0"/>
        <w:spacing w:before="0" w:line="240"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991"/>
      <w:bookmarkEnd w:id="992"/>
      <w:bookmarkEnd w:id="994"/>
    </w:p>
    <w:p>
      <w:pPr>
        <w:pStyle w:val="Style47"/>
        <w:keepNext/>
        <w:keepLines/>
        <w:widowControl w:val="0"/>
        <w:shd w:val="clear" w:color="auto" w:fill="auto"/>
        <w:bidi w:val="0"/>
        <w:spacing w:before="0" w:line="240" w:lineRule="auto"/>
        <w:ind w:left="0" w:right="0" w:firstLine="0"/>
        <w:jc w:val="both"/>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95"/>
      <w:bookmarkEnd w:id="996"/>
      <w:bookmarkEnd w:id="998"/>
    </w:p>
    <w:p>
      <w:pPr>
        <w:pStyle w:val="Style29"/>
        <w:keepNext w:val="0"/>
        <w:keepLines w:val="0"/>
        <w:widowControl w:val="0"/>
        <w:shd w:val="clear" w:color="auto" w:fill="auto"/>
        <w:bidi w:val="0"/>
        <w:spacing w:before="0" w:after="200" w:line="240" w:lineRule="auto"/>
        <w:ind w:left="0" w:right="0" w:firstLine="380"/>
        <w:jc w:val="both"/>
      </w:pPr>
      <w:r>
        <w:rPr>
          <w:color w:val="000000"/>
          <w:spacing w:val="0"/>
          <w:w w:val="100"/>
          <w:position w:val="0"/>
        </w:rPr>
        <w:t>固定资产指为生产商品、提供劳务、出租或经营管理而持有，并且使用寿命超过一个会计年度的有形资产。固定资产在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同时满足下列条件时予以确认：</w:t>
      </w:r>
    </w:p>
    <w:p>
      <w:pPr>
        <w:pStyle w:val="Style29"/>
        <w:keepNext w:val="0"/>
        <w:keepLines w:val="0"/>
        <w:widowControl w:val="0"/>
        <w:numPr>
          <w:ilvl w:val="0"/>
          <w:numId w:val="71"/>
        </w:numPr>
        <w:shd w:val="clear" w:color="auto" w:fill="auto"/>
        <w:tabs>
          <w:tab w:pos="753" w:val="left"/>
        </w:tabs>
        <w:bidi w:val="0"/>
        <w:spacing w:before="0" w:after="140" w:line="240" w:lineRule="auto"/>
        <w:ind w:left="0" w:right="0" w:firstLine="380"/>
        <w:jc w:val="both"/>
      </w:pPr>
      <w:bookmarkStart w:id="999" w:name="bookmark999"/>
      <w:bookmarkEnd w:id="999"/>
      <w:r>
        <w:rPr>
          <w:color w:val="000000"/>
          <w:spacing w:val="0"/>
          <w:w w:val="100"/>
          <w:position w:val="0"/>
        </w:rPr>
        <w:t>与该固定资产有关的经济利益很可能流入企业;</w:t>
      </w:r>
    </w:p>
    <w:p>
      <w:pPr>
        <w:pStyle w:val="Style29"/>
        <w:keepNext w:val="0"/>
        <w:keepLines w:val="0"/>
        <w:widowControl w:val="0"/>
        <w:numPr>
          <w:ilvl w:val="0"/>
          <w:numId w:val="71"/>
        </w:numPr>
        <w:shd w:val="clear" w:color="auto" w:fill="auto"/>
        <w:tabs>
          <w:tab w:pos="753" w:val="left"/>
        </w:tabs>
        <w:bidi w:val="0"/>
        <w:spacing w:before="0" w:after="360" w:line="240" w:lineRule="auto"/>
        <w:ind w:left="0" w:right="0" w:firstLine="380"/>
        <w:jc w:val="both"/>
      </w:pPr>
      <w:bookmarkStart w:id="1000" w:name="bookmark1000"/>
      <w:bookmarkEnd w:id="1000"/>
      <w:r>
        <w:rPr>
          <w:color w:val="000000"/>
          <w:spacing w:val="0"/>
          <w:w w:val="100"/>
          <w:position w:val="0"/>
        </w:rPr>
        <w:t>该固定资产的成本能够可靠地计量。</w:t>
      </w:r>
    </w:p>
    <w:p>
      <w:pPr>
        <w:pStyle w:val="Style47"/>
        <w:keepNext/>
        <w:keepLines/>
        <w:widowControl w:val="0"/>
        <w:shd w:val="clear" w:color="auto" w:fill="auto"/>
        <w:bidi w:val="0"/>
        <w:spacing w:before="0" w:after="32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1"/>
      <w:bookmarkEnd w:id="1002"/>
      <w:bookmarkEnd w:id="100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24.25—16.17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19.40—16.17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32.33—19.40</w:t>
            </w:r>
          </w:p>
        </w:tc>
      </w:tr>
    </w:tbl>
    <w:p>
      <w:pPr>
        <w:widowControl w:val="0"/>
        <w:spacing w:after="579" w:line="1" w:lineRule="exact"/>
      </w:pPr>
    </w:p>
    <w:p>
      <w:pPr>
        <w:pStyle w:val="Style47"/>
        <w:keepNext/>
        <w:keepLines/>
        <w:widowControl w:val="0"/>
        <w:shd w:val="clear" w:color="auto" w:fill="auto"/>
        <w:bidi w:val="0"/>
        <w:spacing w:before="0" w:after="240" w:line="314" w:lineRule="exact"/>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05"/>
      <w:bookmarkEnd w:id="1006"/>
      <w:bookmarkEnd w:id="1008"/>
    </w:p>
    <w:p>
      <w:pPr>
        <w:pStyle w:val="Style29"/>
        <w:keepNext w:val="0"/>
        <w:keepLines w:val="0"/>
        <w:widowControl w:val="0"/>
        <w:shd w:val="clear" w:color="auto" w:fill="auto"/>
        <w:bidi w:val="0"/>
        <w:spacing w:before="0" w:after="0" w:line="346" w:lineRule="exact"/>
        <w:ind w:left="0" w:right="0" w:firstLine="380"/>
        <w:jc w:val="both"/>
      </w:pPr>
      <w:r>
        <w:rPr>
          <w:color w:val="000000"/>
          <w:spacing w:val="0"/>
          <w:w w:val="100"/>
          <w:position w:val="0"/>
        </w:rPr>
        <w:t>当本公司租入的固定资产符合下列一项或数项标准时，确认为融资租入固定资产：</w:t>
      </w:r>
    </w:p>
    <w:p>
      <w:pPr>
        <w:pStyle w:val="Style29"/>
        <w:keepNext w:val="0"/>
        <w:keepLines w:val="0"/>
        <w:widowControl w:val="0"/>
        <w:numPr>
          <w:ilvl w:val="0"/>
          <w:numId w:val="73"/>
        </w:numPr>
        <w:shd w:val="clear" w:color="auto" w:fill="auto"/>
        <w:tabs>
          <w:tab w:pos="753" w:val="left"/>
        </w:tabs>
        <w:bidi w:val="0"/>
        <w:spacing w:before="0" w:after="0" w:line="346" w:lineRule="exact"/>
        <w:ind w:left="0" w:right="0" w:firstLine="380"/>
        <w:jc w:val="both"/>
      </w:pPr>
      <w:bookmarkStart w:id="1009" w:name="bookmark1009"/>
      <w:bookmarkEnd w:id="1009"/>
      <w:r>
        <w:rPr>
          <w:color w:val="000000"/>
          <w:spacing w:val="0"/>
          <w:w w:val="100"/>
          <w:position w:val="0"/>
        </w:rPr>
        <w:t>在租赁期届满时，租赁资产的所有权转移给本公司。</w:t>
      </w:r>
    </w:p>
    <w:p>
      <w:pPr>
        <w:pStyle w:val="Style29"/>
        <w:keepNext w:val="0"/>
        <w:keepLines w:val="0"/>
        <w:widowControl w:val="0"/>
        <w:numPr>
          <w:ilvl w:val="0"/>
          <w:numId w:val="73"/>
        </w:numPr>
        <w:shd w:val="clear" w:color="auto" w:fill="auto"/>
        <w:tabs>
          <w:tab w:pos="728" w:val="left"/>
        </w:tabs>
        <w:bidi w:val="0"/>
        <w:spacing w:before="0" w:after="0" w:line="346" w:lineRule="exact"/>
        <w:ind w:left="0" w:right="0" w:firstLine="380"/>
        <w:jc w:val="both"/>
      </w:pPr>
      <w:bookmarkStart w:id="1010" w:name="bookmark1010"/>
      <w:bookmarkEnd w:id="1010"/>
      <w:r>
        <w:rPr>
          <w:color w:val="000000"/>
          <w:spacing w:val="0"/>
          <w:w w:val="100"/>
          <w:position w:val="0"/>
        </w:rPr>
        <w:t>本公司有购买租赁资产的选择权，所订立的购买价款预计将远低于行使选择权时租赁资产的公允价值，因而在租赁开 始日就可以合理确定本公司将会行使这种选择权。</w:t>
      </w:r>
    </w:p>
    <w:p>
      <w:pPr>
        <w:pStyle w:val="Style29"/>
        <w:keepNext w:val="0"/>
        <w:keepLines w:val="0"/>
        <w:widowControl w:val="0"/>
        <w:numPr>
          <w:ilvl w:val="0"/>
          <w:numId w:val="73"/>
        </w:numPr>
        <w:shd w:val="clear" w:color="auto" w:fill="auto"/>
        <w:tabs>
          <w:tab w:pos="753" w:val="left"/>
        </w:tabs>
        <w:bidi w:val="0"/>
        <w:spacing w:before="0" w:after="0" w:line="346" w:lineRule="exact"/>
        <w:ind w:left="0" w:right="0" w:firstLine="380"/>
        <w:jc w:val="both"/>
      </w:pPr>
      <w:bookmarkStart w:id="1011" w:name="bookmark1011"/>
      <w:bookmarkEnd w:id="1011"/>
      <w:r>
        <w:rPr>
          <w:color w:val="000000"/>
          <w:spacing w:val="0"/>
          <w:w w:val="100"/>
          <w:position w:val="0"/>
        </w:rPr>
        <w:t>即使资产的所有权不转移，但租赁期占租赁资产使用寿命的大部分。</w:t>
      </w:r>
    </w:p>
    <w:p>
      <w:pPr>
        <w:pStyle w:val="Style29"/>
        <w:keepNext w:val="0"/>
        <w:keepLines w:val="0"/>
        <w:widowControl w:val="0"/>
        <w:numPr>
          <w:ilvl w:val="0"/>
          <w:numId w:val="73"/>
        </w:numPr>
        <w:shd w:val="clear" w:color="auto" w:fill="auto"/>
        <w:tabs>
          <w:tab w:pos="753" w:val="left"/>
        </w:tabs>
        <w:bidi w:val="0"/>
        <w:spacing w:before="0" w:after="40" w:line="317" w:lineRule="exact"/>
        <w:ind w:left="0" w:right="0" w:firstLine="380"/>
        <w:jc w:val="both"/>
      </w:pPr>
      <w:bookmarkStart w:id="1012" w:name="bookmark1012"/>
      <w:bookmarkEnd w:id="1012"/>
      <w:r>
        <w:rPr>
          <w:color w:val="000000"/>
          <w:spacing w:val="0"/>
          <w:w w:val="100"/>
          <w:position w:val="0"/>
        </w:rPr>
        <w:t>本公司在租赁开始日的最低租赁付款额现值，几乎相当于租赁开始日租赁资产公允价值。</w:t>
      </w:r>
    </w:p>
    <w:p>
      <w:pPr>
        <w:pStyle w:val="Style29"/>
        <w:keepNext w:val="0"/>
        <w:keepLines w:val="0"/>
        <w:widowControl w:val="0"/>
        <w:numPr>
          <w:ilvl w:val="0"/>
          <w:numId w:val="73"/>
        </w:numPr>
        <w:shd w:val="clear" w:color="auto" w:fill="auto"/>
        <w:tabs>
          <w:tab w:pos="753" w:val="left"/>
        </w:tabs>
        <w:bidi w:val="0"/>
        <w:spacing w:before="0" w:after="0" w:line="317" w:lineRule="exact"/>
        <w:ind w:left="0" w:right="0" w:firstLine="380"/>
        <w:jc w:val="both"/>
      </w:pPr>
      <w:bookmarkStart w:id="1013" w:name="bookmark1013"/>
      <w:bookmarkEnd w:id="1013"/>
      <w:r>
        <w:rPr>
          <w:color w:val="000000"/>
          <w:spacing w:val="0"/>
          <w:w w:val="100"/>
          <w:position w:val="0"/>
        </w:rPr>
        <w:t>租赁资产性质特殊，如果不作较大改造，只有本公司才能使用。</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融资租赁租入的固定资产，按租赁开始日租赁资产公允价值与最低租赁付款额的现值两者中较低者，作为入账价值。最 低租赁付款额作为长期应付款的入账价值，其差额作为未确认融资费用。在租赁谈判和签订租赁合同过程中发生的，可归属 于租赁项目的手续费、律师费、差旅费、印花税等初始直接费用，计入租入资产价值。未确认融资费用在租赁期内各个期间 采用实际利率法进行分摊。</w:t>
      </w:r>
    </w:p>
    <w:p>
      <w:pPr>
        <w:pStyle w:val="Style29"/>
        <w:keepNext w:val="0"/>
        <w:keepLines w:val="0"/>
        <w:widowControl w:val="0"/>
        <w:shd w:val="clear" w:color="auto" w:fill="auto"/>
        <w:bidi w:val="0"/>
        <w:spacing w:before="0" w:after="320" w:line="317" w:lineRule="exact"/>
        <w:ind w:left="0" w:right="0" w:firstLine="38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33"/>
        <w:keepNext/>
        <w:keepLines/>
        <w:widowControl w:val="0"/>
        <w:shd w:val="clear" w:color="auto" w:fill="auto"/>
        <w:bidi w:val="0"/>
        <w:spacing w:before="0" w:after="320" w:line="314" w:lineRule="exact"/>
        <w:ind w:left="0" w:right="0" w:firstLine="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14"/>
      <w:bookmarkEnd w:id="1015"/>
      <w:bookmarkEnd w:id="1017"/>
    </w:p>
    <w:p>
      <w:pPr>
        <w:pStyle w:val="Style33"/>
        <w:keepNext/>
        <w:keepLines/>
        <w:widowControl w:val="0"/>
        <w:shd w:val="clear" w:color="auto" w:fill="auto"/>
        <w:tabs>
          <w:tab w:pos="933" w:val="left"/>
        </w:tabs>
        <w:bidi w:val="0"/>
        <w:spacing w:before="0" w:after="0" w:line="314" w:lineRule="exact"/>
        <w:ind w:left="0" w:right="0" w:firstLine="440"/>
        <w:jc w:val="both"/>
      </w:pPr>
      <w:bookmarkStart w:id="1014" w:name="bookmark1014"/>
      <w:bookmarkStart w:id="1015" w:name="bookmark1015"/>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w:t>
        <w:tab/>
        <w:t>在建工程初始计量</w:t>
      </w:r>
      <w:bookmarkEnd w:id="1014"/>
      <w:bookmarkEnd w:id="1015"/>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1019" w:name="bookmark1019"/>
      <w:r>
        <w:rPr>
          <w:b/>
          <w:bCs/>
          <w:color w:val="000000"/>
          <w:spacing w:val="0"/>
          <w:w w:val="100"/>
          <w:position w:val="0"/>
          <w:sz w:val="20"/>
          <w:szCs w:val="20"/>
        </w:rPr>
        <w:t>（</w:t>
      </w:r>
      <w:bookmarkEnd w:id="101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在建工程结转为固定资产的标准和时点</w:t>
      </w:r>
    </w:p>
    <w:p>
      <w:pPr>
        <w:pStyle w:val="Style14"/>
        <w:keepNext w:val="0"/>
        <w:keepLines w:val="0"/>
        <w:widowControl w:val="0"/>
        <w:shd w:val="clear" w:color="auto" w:fill="auto"/>
        <w:bidi w:val="0"/>
        <w:spacing w:before="0" w:after="180" w:line="314" w:lineRule="exact"/>
        <w:ind w:left="0" w:right="0" w:firstLine="440"/>
        <w:jc w:val="both"/>
        <w:rPr>
          <w:sz w:val="20"/>
          <w:szCs w:val="20"/>
        </w:rPr>
      </w:pPr>
      <w:r>
        <w:rPr>
          <w:color w:val="000000"/>
          <w:spacing w:val="0"/>
          <w:w w:val="100"/>
          <w:position w:val="0"/>
          <w:sz w:val="20"/>
          <w:szCs w:val="2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3"/>
        <w:keepNext/>
        <w:keepLines/>
        <w:widowControl w:val="0"/>
        <w:shd w:val="clear" w:color="auto" w:fill="auto"/>
        <w:bidi w:val="0"/>
        <w:spacing w:before="0" w:after="280" w:line="314" w:lineRule="exact"/>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、借款费用</w:t>
      </w:r>
      <w:bookmarkEnd w:id="1020"/>
      <w:bookmarkEnd w:id="1021"/>
      <w:bookmarkEnd w:id="1023"/>
    </w:p>
    <w:p>
      <w:pPr>
        <w:pStyle w:val="Style33"/>
        <w:keepNext/>
        <w:keepLines/>
        <w:widowControl w:val="0"/>
        <w:shd w:val="clear" w:color="auto" w:fill="auto"/>
        <w:tabs>
          <w:tab w:pos="933" w:val="left"/>
        </w:tabs>
        <w:bidi w:val="0"/>
        <w:spacing w:before="0" w:after="0" w:line="314" w:lineRule="exact"/>
        <w:ind w:left="0" w:right="0" w:firstLine="440"/>
        <w:jc w:val="left"/>
      </w:pPr>
      <w:bookmarkStart w:id="1020" w:name="bookmark1020"/>
      <w:bookmarkStart w:id="1021" w:name="bookmark1021"/>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020"/>
      <w:bookmarkEnd w:id="1021"/>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借款费用同时满足下列条件时开始资本化：</w:t>
      </w:r>
    </w:p>
    <w:p>
      <w:pPr>
        <w:pStyle w:val="Style14"/>
        <w:keepNext w:val="0"/>
        <w:keepLines w:val="0"/>
        <w:widowControl w:val="0"/>
        <w:numPr>
          <w:ilvl w:val="0"/>
          <w:numId w:val="75"/>
        </w:numPr>
        <w:shd w:val="clear" w:color="auto" w:fill="auto"/>
        <w:tabs>
          <w:tab w:pos="814" w:val="left"/>
        </w:tabs>
        <w:bidi w:val="0"/>
        <w:spacing w:before="0" w:after="0" w:line="314" w:lineRule="exact"/>
        <w:ind w:left="0" w:right="0" w:firstLine="440"/>
        <w:jc w:val="both"/>
        <w:rPr>
          <w:sz w:val="20"/>
          <w:szCs w:val="20"/>
        </w:rPr>
      </w:pPr>
      <w:bookmarkStart w:id="1025" w:name="bookmark1025"/>
      <w:bookmarkEnd w:id="1025"/>
      <w:r>
        <w:rPr>
          <w:color w:val="000000"/>
          <w:spacing w:val="0"/>
          <w:w w:val="100"/>
          <w:position w:val="0"/>
          <w:sz w:val="20"/>
          <w:szCs w:val="20"/>
        </w:rPr>
        <w:t>资产支出已经发生，资产支出包括为购建或者生产符合资本化条件的资产而以支付现金、转移非现 金资产或者承担带息债务形式发生的支出；</w:t>
      </w:r>
    </w:p>
    <w:p>
      <w:pPr>
        <w:pStyle w:val="Style14"/>
        <w:keepNext w:val="0"/>
        <w:keepLines w:val="0"/>
        <w:widowControl w:val="0"/>
        <w:numPr>
          <w:ilvl w:val="0"/>
          <w:numId w:val="75"/>
        </w:numPr>
        <w:shd w:val="clear" w:color="auto" w:fill="auto"/>
        <w:tabs>
          <w:tab w:pos="837" w:val="left"/>
        </w:tabs>
        <w:bidi w:val="0"/>
        <w:spacing w:before="0" w:after="0" w:line="314" w:lineRule="exact"/>
        <w:ind w:left="0" w:right="0" w:firstLine="440"/>
        <w:jc w:val="both"/>
        <w:rPr>
          <w:sz w:val="20"/>
          <w:szCs w:val="20"/>
        </w:rPr>
      </w:pPr>
      <w:bookmarkStart w:id="1026" w:name="bookmark1026"/>
      <w:bookmarkEnd w:id="1026"/>
      <w:r>
        <w:rPr>
          <w:color w:val="000000"/>
          <w:spacing w:val="0"/>
          <w:w w:val="100"/>
          <w:position w:val="0"/>
          <w:sz w:val="20"/>
          <w:szCs w:val="20"/>
        </w:rPr>
        <w:t>借款费用已经发生；</w:t>
      </w:r>
    </w:p>
    <w:p>
      <w:pPr>
        <w:pStyle w:val="Style14"/>
        <w:keepNext w:val="0"/>
        <w:keepLines w:val="0"/>
        <w:widowControl w:val="0"/>
        <w:numPr>
          <w:ilvl w:val="0"/>
          <w:numId w:val="75"/>
        </w:numPr>
        <w:shd w:val="clear" w:color="auto" w:fill="auto"/>
        <w:tabs>
          <w:tab w:pos="837" w:val="left"/>
        </w:tabs>
        <w:bidi w:val="0"/>
        <w:spacing w:before="0" w:after="0" w:line="314" w:lineRule="exact"/>
        <w:ind w:left="0" w:right="0" w:firstLine="440"/>
        <w:jc w:val="left"/>
        <w:rPr>
          <w:sz w:val="20"/>
          <w:szCs w:val="20"/>
        </w:rPr>
      </w:pPr>
      <w:bookmarkStart w:id="1027" w:name="bookmark1027"/>
      <w:bookmarkEnd w:id="1027"/>
      <w:r>
        <w:rPr>
          <w:color w:val="000000"/>
          <w:spacing w:val="0"/>
          <w:w w:val="100"/>
          <w:position w:val="0"/>
          <w:sz w:val="20"/>
          <w:szCs w:val="20"/>
        </w:rPr>
        <w:t>为使资产达到预定可使用或者可销售状态所必要的购建或者生产活动已经开始。</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1028" w:name="bookmark1028"/>
      <w:r>
        <w:rPr>
          <w:b/>
          <w:bCs/>
          <w:color w:val="000000"/>
          <w:spacing w:val="0"/>
          <w:w w:val="100"/>
          <w:position w:val="0"/>
          <w:sz w:val="20"/>
          <w:szCs w:val="20"/>
        </w:rPr>
        <w:t>（</w:t>
      </w:r>
      <w:bookmarkEnd w:id="102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借款费用资本化期间</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资本化期间，指从借款费用开始资本化时点到停止资本化时点的期间，借款费用暂停资本化的期间不 包括在内。</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当购建或者生产符合资本化条件的资产达到预定可使用或者可销售状态时，借款费用停止资本化。</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当购建或者生产符合资本化条件的资产中部分项目分别完工且可单独使用时，该部分资产借款费用停 止资本化。</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购建或者生产的资产的各部分分别完工，但必须等到整体完工后才可使用或可对外销售的，在该资产 整体完工时停止借款费用资本化。</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1029" w:name="bookmark1029"/>
      <w:r>
        <w:rPr>
          <w:b/>
          <w:bCs/>
          <w:color w:val="000000"/>
          <w:spacing w:val="0"/>
          <w:w w:val="100"/>
          <w:position w:val="0"/>
          <w:sz w:val="20"/>
          <w:szCs w:val="20"/>
        </w:rPr>
        <w:t>（</w:t>
      </w:r>
      <w:bookmarkEnd w:id="102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暂停资本化期间</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4"/>
        <w:keepNext w:val="0"/>
        <w:keepLines w:val="0"/>
        <w:widowControl w:val="0"/>
        <w:shd w:val="clear" w:color="auto" w:fill="auto"/>
        <w:tabs>
          <w:tab w:pos="933" w:val="left"/>
        </w:tabs>
        <w:bidi w:val="0"/>
        <w:spacing w:before="0" w:after="0" w:line="314" w:lineRule="exact"/>
        <w:ind w:left="0" w:right="0" w:firstLine="440"/>
        <w:jc w:val="both"/>
        <w:rPr>
          <w:sz w:val="20"/>
          <w:szCs w:val="20"/>
        </w:rPr>
      </w:pPr>
      <w:bookmarkStart w:id="1030" w:name="bookmark1030"/>
      <w:r>
        <w:rPr>
          <w:b/>
          <w:bCs/>
          <w:color w:val="000000"/>
          <w:spacing w:val="0"/>
          <w:w w:val="100"/>
          <w:position w:val="0"/>
          <w:sz w:val="20"/>
          <w:szCs w:val="20"/>
        </w:rPr>
        <w:t>（</w:t>
      </w:r>
      <w:bookmarkEnd w:id="1030"/>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借款费用资本化金额的计算方法</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根据累计资产支出超过专门借款部分的资产支出加权平均数乘以所占用一般借款的资本化率，计算确 定一般借款应予资本化的利息金额。资本化率根据一般借款加权平均利率计算确定。</w:t>
      </w:r>
    </w:p>
    <w:p>
      <w:pPr>
        <w:pStyle w:val="Style14"/>
        <w:keepNext w:val="0"/>
        <w:keepLines w:val="0"/>
        <w:widowControl w:val="0"/>
        <w:shd w:val="clear" w:color="auto" w:fill="auto"/>
        <w:bidi w:val="0"/>
        <w:spacing w:before="0" w:after="900" w:line="314" w:lineRule="exact"/>
        <w:ind w:left="0" w:right="0" w:firstLine="440"/>
        <w:jc w:val="both"/>
        <w:rPr>
          <w:sz w:val="20"/>
          <w:szCs w:val="20"/>
        </w:rPr>
      </w:pPr>
      <w:r>
        <w:rPr>
          <w:color w:val="000000"/>
          <w:spacing w:val="0"/>
          <w:w w:val="100"/>
          <w:position w:val="0"/>
          <w:sz w:val="20"/>
          <w:szCs w:val="20"/>
        </w:rPr>
        <w:t>借款存在折价或者溢价的，按照实际利率法确定每一会计期间应摊销的折价或者溢价金额，调整每期 利息金额。</w:t>
      </w:r>
    </w:p>
    <w:p>
      <w:pPr>
        <w:pStyle w:val="Style33"/>
        <w:keepNext/>
        <w:keepLines/>
        <w:widowControl w:val="0"/>
        <w:shd w:val="clear" w:color="auto" w:fill="auto"/>
        <w:bidi w:val="0"/>
        <w:spacing w:before="0" w:after="280" w:line="326" w:lineRule="exact"/>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、使用权资产</w:t>
      </w:r>
      <w:bookmarkEnd w:id="1031"/>
      <w:bookmarkEnd w:id="1032"/>
      <w:bookmarkEnd w:id="1034"/>
    </w:p>
    <w:p>
      <w:pPr>
        <w:pStyle w:val="Style14"/>
        <w:keepNext w:val="0"/>
        <w:keepLines w:val="0"/>
        <w:widowControl w:val="0"/>
        <w:shd w:val="clear" w:color="auto" w:fill="auto"/>
        <w:bidi w:val="0"/>
        <w:spacing w:before="0" w:after="80" w:line="326" w:lineRule="exact"/>
        <w:ind w:left="0" w:right="0" w:firstLine="440"/>
        <w:jc w:val="left"/>
        <w:rPr>
          <w:sz w:val="20"/>
          <w:szCs w:val="20"/>
        </w:rPr>
      </w:pPr>
      <w:r>
        <w:rPr>
          <w:color w:val="000000"/>
          <w:spacing w:val="0"/>
          <w:w w:val="100"/>
          <w:position w:val="0"/>
          <w:sz w:val="20"/>
          <w:szCs w:val="20"/>
        </w:rPr>
        <w:t>本公司对使用权资产按照成本进行初始计量，该成本包括：</w:t>
      </w:r>
    </w:p>
    <w:p>
      <w:pPr>
        <w:pStyle w:val="Style14"/>
        <w:keepNext w:val="0"/>
        <w:keepLines w:val="0"/>
        <w:widowControl w:val="0"/>
        <w:shd w:val="clear" w:color="auto" w:fill="auto"/>
        <w:tabs>
          <w:tab w:pos="748" w:val="left"/>
        </w:tabs>
        <w:bidi w:val="0"/>
        <w:spacing w:before="0" w:after="0" w:line="240" w:lineRule="auto"/>
        <w:ind w:left="0" w:right="0" w:firstLine="260"/>
        <w:jc w:val="both"/>
        <w:rPr>
          <w:sz w:val="20"/>
          <w:szCs w:val="20"/>
        </w:rPr>
      </w:pPr>
      <w:bookmarkStart w:id="1035" w:name="bookmark1035"/>
      <w:r>
        <w:rPr>
          <w:color w:val="000000"/>
          <w:spacing w:val="0"/>
          <w:w w:val="100"/>
          <w:position w:val="0"/>
          <w:sz w:val="20"/>
          <w:szCs w:val="20"/>
        </w:rPr>
        <w:t>（</w:t>
      </w:r>
      <w:bookmarkEnd w:id="103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租赁负债的初始计量金额；</w:t>
      </w:r>
    </w:p>
    <w:p>
      <w:pPr>
        <w:pStyle w:val="Style14"/>
        <w:keepNext w:val="0"/>
        <w:keepLines w:val="0"/>
        <w:widowControl w:val="0"/>
        <w:shd w:val="clear" w:color="auto" w:fill="auto"/>
        <w:tabs>
          <w:tab w:pos="748" w:val="left"/>
        </w:tabs>
        <w:bidi w:val="0"/>
        <w:spacing w:before="0" w:after="0" w:line="326" w:lineRule="exact"/>
        <w:ind w:left="0" w:right="0" w:firstLine="260"/>
        <w:jc w:val="both"/>
        <w:rPr>
          <w:sz w:val="20"/>
          <w:szCs w:val="20"/>
        </w:rPr>
      </w:pPr>
      <w:bookmarkStart w:id="1036" w:name="bookmark1036"/>
      <w:r>
        <w:rPr>
          <w:color w:val="000000"/>
          <w:spacing w:val="0"/>
          <w:w w:val="100"/>
          <w:position w:val="0"/>
          <w:sz w:val="20"/>
          <w:szCs w:val="20"/>
        </w:rPr>
        <w:t>（</w:t>
      </w:r>
      <w:bookmarkEnd w:id="103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在租赁期开始日或之前支付的租赁付款额，存在租赁激励的，扣除已享受的租赁激励相关金额；</w:t>
      </w:r>
    </w:p>
    <w:p>
      <w:pPr>
        <w:pStyle w:val="Style14"/>
        <w:keepNext w:val="0"/>
        <w:keepLines w:val="0"/>
        <w:widowControl w:val="0"/>
        <w:shd w:val="clear" w:color="auto" w:fill="auto"/>
        <w:tabs>
          <w:tab w:pos="748" w:val="left"/>
        </w:tabs>
        <w:bidi w:val="0"/>
        <w:spacing w:before="0" w:after="0" w:line="326" w:lineRule="exact"/>
        <w:ind w:left="0" w:right="0" w:firstLine="260"/>
        <w:jc w:val="both"/>
        <w:rPr>
          <w:sz w:val="20"/>
          <w:szCs w:val="20"/>
        </w:rPr>
      </w:pPr>
      <w:bookmarkStart w:id="1037" w:name="bookmark1037"/>
      <w:r>
        <w:rPr>
          <w:color w:val="000000"/>
          <w:spacing w:val="0"/>
          <w:w w:val="100"/>
          <w:position w:val="0"/>
          <w:sz w:val="20"/>
          <w:szCs w:val="20"/>
        </w:rPr>
        <w:t>（</w:t>
      </w:r>
      <w:bookmarkEnd w:id="103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本公司发生的初始直接费用；</w:t>
      </w:r>
    </w:p>
    <w:p>
      <w:pPr>
        <w:pStyle w:val="Style14"/>
        <w:keepNext w:val="0"/>
        <w:keepLines w:val="0"/>
        <w:widowControl w:val="0"/>
        <w:shd w:val="clear" w:color="auto" w:fill="auto"/>
        <w:tabs>
          <w:tab w:pos="853" w:val="left"/>
        </w:tabs>
        <w:bidi w:val="0"/>
        <w:spacing w:before="0" w:after="180" w:line="326" w:lineRule="exact"/>
        <w:ind w:left="0" w:right="0" w:firstLine="260"/>
        <w:jc w:val="both"/>
        <w:rPr>
          <w:sz w:val="20"/>
          <w:szCs w:val="20"/>
        </w:rPr>
      </w:pPr>
      <w:bookmarkStart w:id="1038" w:name="bookmark1038"/>
      <w:r>
        <w:rPr>
          <w:color w:val="000000"/>
          <w:spacing w:val="0"/>
          <w:w w:val="100"/>
          <w:position w:val="0"/>
          <w:sz w:val="20"/>
          <w:szCs w:val="20"/>
        </w:rPr>
        <w:t>（</w:t>
      </w:r>
      <w:bookmarkEnd w:id="103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本公司为拆卸及移除租赁资产、复原租赁资产所在场地或将租赁资产恢复至租赁条款约定状态预 计将发生的成本（不包括为生产存货而发生的成本）。</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在租赁期开始日后，本公司采用成本模式对使用权资产进行后续计量。</w:t>
      </w:r>
    </w:p>
    <w:p>
      <w:pPr>
        <w:pStyle w:val="Style14"/>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33"/>
        <w:keepNext/>
        <w:keepLines/>
        <w:widowControl w:val="0"/>
        <w:shd w:val="clear" w:color="auto" w:fill="auto"/>
        <w:bidi w:val="0"/>
        <w:spacing w:before="0" w:after="280" w:line="312" w:lineRule="exact"/>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39"/>
      <w:bookmarkEnd w:id="1040"/>
      <w:bookmarkEnd w:id="1042"/>
    </w:p>
    <w:p>
      <w:pPr>
        <w:pStyle w:val="Style47"/>
        <w:keepNext/>
        <w:keepLines/>
        <w:widowControl w:val="0"/>
        <w:shd w:val="clear" w:color="auto" w:fill="auto"/>
        <w:bidi w:val="0"/>
        <w:spacing w:before="0" w:after="280" w:line="312" w:lineRule="exact"/>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43"/>
      <w:bookmarkEnd w:id="1044"/>
      <w:bookmarkEnd w:id="1046"/>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无形资产是指本公司拥有或者控制的没有实物形态的可辨认非货币性资产，包括土地使用权、软件、 发明专利及非专利技术等。</w:t>
      </w:r>
    </w:p>
    <w:p>
      <w:pPr>
        <w:pStyle w:val="Style14"/>
        <w:keepNext w:val="0"/>
        <w:keepLines w:val="0"/>
        <w:widowControl w:val="0"/>
        <w:numPr>
          <w:ilvl w:val="0"/>
          <w:numId w:val="77"/>
        </w:numPr>
        <w:shd w:val="clear" w:color="auto" w:fill="auto"/>
        <w:tabs>
          <w:tab w:pos="842" w:val="left"/>
        </w:tabs>
        <w:bidi w:val="0"/>
        <w:spacing w:before="0" w:after="0" w:line="312" w:lineRule="exact"/>
        <w:ind w:left="0" w:right="0" w:firstLine="440"/>
        <w:jc w:val="both"/>
        <w:rPr>
          <w:sz w:val="20"/>
          <w:szCs w:val="20"/>
        </w:rPr>
      </w:pPr>
      <w:bookmarkStart w:id="1047" w:name="bookmark1047"/>
      <w:bookmarkEnd w:id="1047"/>
      <w:r>
        <w:rPr>
          <w:b/>
          <w:bCs/>
          <w:color w:val="000000"/>
          <w:spacing w:val="0"/>
          <w:w w:val="100"/>
          <w:position w:val="0"/>
          <w:sz w:val="20"/>
          <w:szCs w:val="20"/>
        </w:rPr>
        <w:t>无形资产的初始计量</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债务重组取得债务人用以抵债的无形资产，以该无形资产的公允价值为基础确定其入账价值，并将重 组债务的账面价值与该用以抵债的无形资产公允价值之间的差额，计入当期损益。</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以同一控制下的企业吸收合并方式取得的无形资产按被合并方的账面价值确定其入账价值；以非同一 控制下的企业吸收合并方式取得的无形资产按公允价值确定其入账价值。</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14"/>
        <w:keepNext w:val="0"/>
        <w:keepLines w:val="0"/>
        <w:widowControl w:val="0"/>
        <w:numPr>
          <w:ilvl w:val="0"/>
          <w:numId w:val="77"/>
        </w:numPr>
        <w:shd w:val="clear" w:color="auto" w:fill="auto"/>
        <w:tabs>
          <w:tab w:pos="842" w:val="left"/>
        </w:tabs>
        <w:bidi w:val="0"/>
        <w:spacing w:before="0" w:after="0" w:line="312" w:lineRule="exact"/>
        <w:ind w:left="0" w:right="0" w:firstLine="440"/>
        <w:jc w:val="both"/>
        <w:rPr>
          <w:sz w:val="20"/>
          <w:szCs w:val="20"/>
        </w:rPr>
      </w:pPr>
      <w:bookmarkStart w:id="1048" w:name="bookmark1048"/>
      <w:bookmarkEnd w:id="1048"/>
      <w:r>
        <w:rPr>
          <w:b/>
          <w:bCs/>
          <w:color w:val="000000"/>
          <w:spacing w:val="0"/>
          <w:w w:val="100"/>
          <w:position w:val="0"/>
          <w:sz w:val="20"/>
          <w:szCs w:val="20"/>
        </w:rPr>
        <w:t>无形资产的后续计量</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本公司在取得无形资产时分析判断其使用寿命，划分为使用寿命有限和使用寿命不确定的无形资产。</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）使用寿命有限的无形资产</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left"/>
        <w:tblLayout w:type="fixed"/>
      </w:tblPr>
      <w:tblGrid>
        <w:gridCol w:w="1930"/>
        <w:gridCol w:w="3139"/>
        <w:gridCol w:w="3389"/>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实际使用年限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证件所载年限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实际使用年限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证件所载年限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bl>
    <w:p>
      <w:pPr>
        <w:widowControl w:val="0"/>
        <w:spacing w:after="279" w:line="1" w:lineRule="exact"/>
      </w:pPr>
    </w:p>
    <w:p>
      <w:pPr>
        <w:pStyle w:val="Style14"/>
        <w:keepNext w:val="0"/>
        <w:keepLines w:val="0"/>
        <w:widowControl w:val="0"/>
        <w:shd w:val="clear" w:color="auto" w:fill="auto"/>
        <w:bidi w:val="0"/>
        <w:spacing w:before="0" w:after="0" w:line="302" w:lineRule="exact"/>
        <w:ind w:left="0" w:right="0" w:firstLine="440"/>
        <w:jc w:val="both"/>
        <w:rPr>
          <w:sz w:val="20"/>
          <w:szCs w:val="20"/>
        </w:rPr>
      </w:pPr>
      <w:r>
        <w:rPr>
          <w:color w:val="000000"/>
          <w:spacing w:val="0"/>
          <w:w w:val="100"/>
          <w:position w:val="0"/>
          <w:sz w:val="20"/>
          <w:szCs w:val="20"/>
        </w:rPr>
        <w:t>每期末，对使用寿命有限的无形资产的使用寿命及摊销方法进行复核，如与原先估计数存在差异的， 进行相应的调整。</w:t>
      </w:r>
    </w:p>
    <w:p>
      <w:pPr>
        <w:pStyle w:val="Style14"/>
        <w:keepNext w:val="0"/>
        <w:keepLines w:val="0"/>
        <w:widowControl w:val="0"/>
        <w:shd w:val="clear" w:color="auto" w:fill="auto"/>
        <w:bidi w:val="0"/>
        <w:spacing w:before="0" w:after="80" w:line="302" w:lineRule="exact"/>
        <w:ind w:left="0" w:right="0" w:firstLine="440"/>
        <w:jc w:val="both"/>
        <w:rPr>
          <w:sz w:val="20"/>
          <w:szCs w:val="20"/>
        </w:rPr>
      </w:pPr>
      <w:r>
        <w:rPr>
          <w:color w:val="000000"/>
          <w:spacing w:val="0"/>
          <w:w w:val="100"/>
          <w:position w:val="0"/>
          <w:sz w:val="20"/>
          <w:szCs w:val="20"/>
        </w:rPr>
        <w:t>经复核，本期期末无形资产的使用寿命及摊销方法与以前估计未有不同。</w:t>
      </w:r>
    </w:p>
    <w:p>
      <w:pPr>
        <w:pStyle w:val="Style14"/>
        <w:keepNext w:val="0"/>
        <w:keepLines w:val="0"/>
        <w:widowControl w:val="0"/>
        <w:shd w:val="clear" w:color="auto" w:fill="auto"/>
        <w:bidi w:val="0"/>
        <w:spacing w:before="0" w:after="0" w:line="317"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）使用寿命不确定的无形资产</w:t>
      </w:r>
    </w:p>
    <w:p>
      <w:pPr>
        <w:pStyle w:val="Style14"/>
        <w:keepNext w:val="0"/>
        <w:keepLines w:val="0"/>
        <w:widowControl w:val="0"/>
        <w:shd w:val="clear" w:color="auto" w:fill="auto"/>
        <w:bidi w:val="0"/>
        <w:spacing w:before="0" w:after="40" w:line="302" w:lineRule="exact"/>
        <w:ind w:left="0" w:right="0" w:firstLine="440"/>
        <w:jc w:val="both"/>
        <w:rPr>
          <w:sz w:val="20"/>
          <w:szCs w:val="20"/>
        </w:rPr>
      </w:pPr>
      <w:r>
        <w:rPr>
          <w:color w:val="000000"/>
          <w:spacing w:val="0"/>
          <w:w w:val="100"/>
          <w:position w:val="0"/>
          <w:sz w:val="20"/>
          <w:szCs w:val="20"/>
        </w:rPr>
        <w:t>无法预见无形资产为企业带来经济利益期限的，视为使用寿命不确定的无形资产。</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对于使用寿命不确定的无形资产，在持有期间内不摊销，每期末对无形资产的寿命进行复核。如果期 末重新复核后仍为不确定的，在每个会计期间继续进行减值测试。</w:t>
      </w:r>
    </w:p>
    <w:p>
      <w:pPr>
        <w:pStyle w:val="Style14"/>
        <w:keepNext w:val="0"/>
        <w:keepLines w:val="0"/>
        <w:widowControl w:val="0"/>
        <w:numPr>
          <w:ilvl w:val="0"/>
          <w:numId w:val="79"/>
        </w:numPr>
        <w:shd w:val="clear" w:color="auto" w:fill="auto"/>
        <w:tabs>
          <w:tab w:pos="842" w:val="left"/>
        </w:tabs>
        <w:bidi w:val="0"/>
        <w:spacing w:before="0" w:after="0" w:line="314" w:lineRule="exact"/>
        <w:ind w:left="0" w:right="0" w:firstLine="440"/>
        <w:jc w:val="both"/>
        <w:rPr>
          <w:sz w:val="20"/>
          <w:szCs w:val="20"/>
        </w:rPr>
      </w:pPr>
      <w:bookmarkStart w:id="1049" w:name="bookmark1049"/>
      <w:bookmarkEnd w:id="1049"/>
      <w:r>
        <w:rPr>
          <w:b/>
          <w:bCs/>
          <w:color w:val="000000"/>
          <w:spacing w:val="0"/>
          <w:w w:val="100"/>
          <w:position w:val="0"/>
          <w:sz w:val="20"/>
          <w:szCs w:val="20"/>
        </w:rPr>
        <w:t>划分公司内部研究开发项目的研究阶段和开发阶段具体标准</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开发阶段：在进行商业性生产或使用前，将研究成果或其他知识应用于某项计划或设计，以生产出新 的或具有实质性改进的材料、装置、产品等活动的阶段。</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内部研究开发项目研究阶段的支出，在发生时计入当期损益。</w:t>
      </w:r>
    </w:p>
    <w:p>
      <w:pPr>
        <w:pStyle w:val="Style14"/>
        <w:keepNext w:val="0"/>
        <w:keepLines w:val="0"/>
        <w:widowControl w:val="0"/>
        <w:numPr>
          <w:ilvl w:val="0"/>
          <w:numId w:val="79"/>
        </w:numPr>
        <w:shd w:val="clear" w:color="auto" w:fill="auto"/>
        <w:tabs>
          <w:tab w:pos="842" w:val="left"/>
        </w:tabs>
        <w:bidi w:val="0"/>
        <w:spacing w:before="0" w:after="0" w:line="314" w:lineRule="exact"/>
        <w:ind w:left="0" w:right="0" w:firstLine="440"/>
        <w:jc w:val="left"/>
        <w:rPr>
          <w:sz w:val="20"/>
          <w:szCs w:val="20"/>
        </w:rPr>
      </w:pPr>
      <w:bookmarkStart w:id="1050" w:name="bookmark1050"/>
      <w:bookmarkEnd w:id="1050"/>
      <w:r>
        <w:rPr>
          <w:b/>
          <w:bCs/>
          <w:color w:val="000000"/>
          <w:spacing w:val="0"/>
          <w:w w:val="100"/>
          <w:position w:val="0"/>
          <w:sz w:val="20"/>
          <w:szCs w:val="20"/>
        </w:rPr>
        <w:t>开发阶段支出符合资本化的具体标准</w:t>
      </w:r>
    </w:p>
    <w:p>
      <w:pPr>
        <w:pStyle w:val="Style14"/>
        <w:keepNext w:val="0"/>
        <w:keepLines w:val="0"/>
        <w:widowControl w:val="0"/>
        <w:shd w:val="clear" w:color="auto" w:fill="auto"/>
        <w:bidi w:val="0"/>
        <w:spacing w:before="0" w:after="80" w:line="314" w:lineRule="exact"/>
        <w:ind w:left="0" w:right="0" w:firstLine="440"/>
        <w:jc w:val="left"/>
        <w:rPr>
          <w:sz w:val="20"/>
          <w:szCs w:val="20"/>
        </w:rPr>
      </w:pPr>
      <w:r>
        <w:rPr>
          <w:color w:val="000000"/>
          <w:spacing w:val="0"/>
          <w:w w:val="100"/>
          <w:position w:val="0"/>
          <w:sz w:val="20"/>
          <w:szCs w:val="20"/>
        </w:rPr>
        <w:t>内部研究开发项目开发阶段的支出，同时满足下列条件时确认为无形资产：</w:t>
      </w:r>
    </w:p>
    <w:p>
      <w:pPr>
        <w:pStyle w:val="Style14"/>
        <w:keepNext w:val="0"/>
        <w:keepLines w:val="0"/>
        <w:widowControl w:val="0"/>
        <w:shd w:val="clear" w:color="auto" w:fill="auto"/>
        <w:tabs>
          <w:tab w:pos="813" w:val="left"/>
        </w:tabs>
        <w:bidi w:val="0"/>
        <w:spacing w:before="0" w:after="0" w:line="329" w:lineRule="auto"/>
        <w:ind w:left="0" w:right="0" w:firstLine="440"/>
        <w:jc w:val="left"/>
        <w:rPr>
          <w:sz w:val="20"/>
          <w:szCs w:val="20"/>
        </w:rPr>
      </w:pPr>
      <w:bookmarkStart w:id="1051" w:name="bookmark1051"/>
      <w:r>
        <w:rPr>
          <w:rFonts w:ascii="Times New Roman" w:eastAsia="Times New Roman" w:hAnsi="Times New Roman" w:cs="Times New Roman"/>
          <w:color w:val="000000"/>
          <w:spacing w:val="0"/>
          <w:w w:val="100"/>
          <w:position w:val="0"/>
          <w:sz w:val="20"/>
          <w:szCs w:val="20"/>
        </w:rPr>
        <w:t>1</w:t>
      </w:r>
      <w:bookmarkEnd w:id="1051"/>
      <w:r>
        <w:rPr>
          <w:color w:val="000000"/>
          <w:spacing w:val="0"/>
          <w:w w:val="100"/>
          <w:position w:val="0"/>
          <w:sz w:val="20"/>
          <w:szCs w:val="20"/>
        </w:rPr>
        <w:t>）</w:t>
        <w:tab/>
        <w:t>完成该无形资产以使其能够使用或出售在技术上具有可行性；</w:t>
      </w:r>
    </w:p>
    <w:p>
      <w:pPr>
        <w:pStyle w:val="Style14"/>
        <w:keepNext w:val="0"/>
        <w:keepLines w:val="0"/>
        <w:widowControl w:val="0"/>
        <w:shd w:val="clear" w:color="auto" w:fill="auto"/>
        <w:tabs>
          <w:tab w:pos="832" w:val="left"/>
        </w:tabs>
        <w:bidi w:val="0"/>
        <w:spacing w:before="0" w:after="0" w:line="329" w:lineRule="auto"/>
        <w:ind w:left="0" w:right="0" w:firstLine="440"/>
        <w:jc w:val="left"/>
        <w:rPr>
          <w:sz w:val="20"/>
          <w:szCs w:val="20"/>
        </w:rPr>
      </w:pPr>
      <w:bookmarkStart w:id="1052" w:name="bookmark1052"/>
      <w:r>
        <w:rPr>
          <w:rFonts w:ascii="Times New Roman" w:eastAsia="Times New Roman" w:hAnsi="Times New Roman" w:cs="Times New Roman"/>
          <w:color w:val="000000"/>
          <w:spacing w:val="0"/>
          <w:w w:val="100"/>
          <w:position w:val="0"/>
          <w:sz w:val="20"/>
          <w:szCs w:val="20"/>
        </w:rPr>
        <w:t>2</w:t>
      </w:r>
      <w:bookmarkEnd w:id="1052"/>
      <w:r>
        <w:rPr>
          <w:color w:val="000000"/>
          <w:spacing w:val="0"/>
          <w:w w:val="100"/>
          <w:position w:val="0"/>
          <w:sz w:val="20"/>
          <w:szCs w:val="20"/>
        </w:rPr>
        <w:t>）</w:t>
        <w:tab/>
        <w:t>具有完成该无形资产并使用或出售的意图；</w:t>
      </w:r>
    </w:p>
    <w:p>
      <w:pPr>
        <w:pStyle w:val="Style14"/>
        <w:keepNext w:val="0"/>
        <w:keepLines w:val="0"/>
        <w:widowControl w:val="0"/>
        <w:shd w:val="clear" w:color="auto" w:fill="auto"/>
        <w:bidi w:val="0"/>
        <w:spacing w:before="0" w:after="0" w:line="314" w:lineRule="exact"/>
        <w:ind w:left="0" w:right="0" w:firstLine="440"/>
        <w:jc w:val="both"/>
        <w:rPr>
          <w:sz w:val="20"/>
          <w:szCs w:val="20"/>
        </w:rPr>
      </w:pPr>
      <w:bookmarkStart w:id="1053" w:name="bookmark1053"/>
      <w:r>
        <w:rPr>
          <w:rFonts w:ascii="Times New Roman" w:eastAsia="Times New Roman" w:hAnsi="Times New Roman" w:cs="Times New Roman"/>
          <w:color w:val="000000"/>
          <w:spacing w:val="0"/>
          <w:w w:val="100"/>
          <w:position w:val="0"/>
          <w:sz w:val="20"/>
          <w:szCs w:val="20"/>
        </w:rPr>
        <w:t>3</w:t>
      </w:r>
      <w:bookmarkEnd w:id="1053"/>
      <w:r>
        <w:rPr>
          <w:color w:val="000000"/>
          <w:spacing w:val="0"/>
          <w:w w:val="100"/>
          <w:position w:val="0"/>
          <w:sz w:val="20"/>
          <w:szCs w:val="20"/>
        </w:rPr>
        <w:t>） 无形资产产生经济利益的方式，包括能够证明运用该无形资产生产的产品存在市场或无形资产自 身存在市场，无形资产将在内部使用的，能够证明其有用性；</w:t>
      </w:r>
    </w:p>
    <w:p>
      <w:pPr>
        <w:pStyle w:val="Style14"/>
        <w:keepNext w:val="0"/>
        <w:keepLines w:val="0"/>
        <w:widowControl w:val="0"/>
        <w:shd w:val="clear" w:color="auto" w:fill="auto"/>
        <w:tabs>
          <w:tab w:pos="805" w:val="left"/>
        </w:tabs>
        <w:bidi w:val="0"/>
        <w:spacing w:before="0" w:after="80" w:line="314" w:lineRule="exact"/>
        <w:ind w:left="0" w:right="0" w:firstLine="440"/>
        <w:jc w:val="both"/>
        <w:rPr>
          <w:sz w:val="20"/>
          <w:szCs w:val="20"/>
        </w:rPr>
      </w:pPr>
      <w:bookmarkStart w:id="1054" w:name="bookmark1054"/>
      <w:r>
        <w:rPr>
          <w:rFonts w:ascii="Times New Roman" w:eastAsia="Times New Roman" w:hAnsi="Times New Roman" w:cs="Times New Roman"/>
          <w:color w:val="000000"/>
          <w:spacing w:val="0"/>
          <w:w w:val="100"/>
          <w:position w:val="0"/>
          <w:sz w:val="20"/>
          <w:szCs w:val="20"/>
        </w:rPr>
        <w:t>4</w:t>
      </w:r>
      <w:bookmarkEnd w:id="1054"/>
      <w:r>
        <w:rPr>
          <w:color w:val="000000"/>
          <w:spacing w:val="0"/>
          <w:w w:val="100"/>
          <w:position w:val="0"/>
          <w:sz w:val="20"/>
          <w:szCs w:val="20"/>
        </w:rPr>
        <w:t>）</w:t>
        <w:tab/>
        <w:t>有足够的技术、财务资源和其他资源支持，以完成该无形资产的开发，并有能力使用或出售该无 形资产；</w:t>
      </w:r>
    </w:p>
    <w:p>
      <w:pPr>
        <w:pStyle w:val="Style14"/>
        <w:keepNext w:val="0"/>
        <w:keepLines w:val="0"/>
        <w:widowControl w:val="0"/>
        <w:shd w:val="clear" w:color="auto" w:fill="auto"/>
        <w:tabs>
          <w:tab w:pos="832" w:val="left"/>
        </w:tabs>
        <w:bidi w:val="0"/>
        <w:spacing w:before="0" w:after="0" w:line="329" w:lineRule="auto"/>
        <w:ind w:left="0" w:right="0" w:firstLine="440"/>
        <w:jc w:val="both"/>
        <w:rPr>
          <w:sz w:val="20"/>
          <w:szCs w:val="20"/>
        </w:rPr>
      </w:pPr>
      <w:bookmarkStart w:id="1055" w:name="bookmark1055"/>
      <w:r>
        <w:rPr>
          <w:rFonts w:ascii="Times New Roman" w:eastAsia="Times New Roman" w:hAnsi="Times New Roman" w:cs="Times New Roman"/>
          <w:color w:val="000000"/>
          <w:spacing w:val="0"/>
          <w:w w:val="100"/>
          <w:position w:val="0"/>
          <w:sz w:val="20"/>
          <w:szCs w:val="20"/>
        </w:rPr>
        <w:t>5</w:t>
      </w:r>
      <w:bookmarkEnd w:id="1055"/>
      <w:r>
        <w:rPr>
          <w:color w:val="000000"/>
          <w:spacing w:val="0"/>
          <w:w w:val="100"/>
          <w:position w:val="0"/>
          <w:sz w:val="20"/>
          <w:szCs w:val="20"/>
        </w:rPr>
        <w:t>）</w:t>
        <w:tab/>
        <w:t>归属于该无形资产开发阶段的支出能够可靠地计量。</w:t>
      </w:r>
    </w:p>
    <w:p>
      <w:pPr>
        <w:pStyle w:val="Style14"/>
        <w:keepNext w:val="0"/>
        <w:keepLines w:val="0"/>
        <w:widowControl w:val="0"/>
        <w:shd w:val="clear" w:color="auto" w:fill="auto"/>
        <w:bidi w:val="0"/>
        <w:spacing w:before="0" w:after="920" w:line="314" w:lineRule="exact"/>
        <w:ind w:left="0" w:right="0" w:firstLine="440"/>
        <w:jc w:val="both"/>
        <w:rPr>
          <w:sz w:val="20"/>
          <w:szCs w:val="20"/>
        </w:rPr>
      </w:pPr>
      <w:r>
        <w:rPr>
          <w:color w:val="000000"/>
          <w:spacing w:val="0"/>
          <w:w w:val="100"/>
          <w:position w:val="0"/>
          <w:sz w:val="20"/>
          <w:szCs w:val="2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47"/>
        <w:keepNext/>
        <w:keepLines/>
        <w:widowControl w:val="0"/>
        <w:shd w:val="clear" w:color="auto" w:fill="auto"/>
        <w:bidi w:val="0"/>
        <w:spacing w:before="0" w:after="280" w:line="311" w:lineRule="exact"/>
        <w:ind w:left="0" w:right="0" w:firstLine="0"/>
        <w:jc w:val="both"/>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56"/>
      <w:bookmarkEnd w:id="1057"/>
      <w:bookmarkEnd w:id="1059"/>
    </w:p>
    <w:p>
      <w:pPr>
        <w:pStyle w:val="Style47"/>
        <w:keepNext/>
        <w:keepLines/>
        <w:widowControl w:val="0"/>
        <w:numPr>
          <w:ilvl w:val="0"/>
          <w:numId w:val="81"/>
        </w:numPr>
        <w:shd w:val="clear" w:color="auto" w:fill="auto"/>
        <w:tabs>
          <w:tab w:pos="842" w:val="left"/>
        </w:tabs>
        <w:bidi w:val="0"/>
        <w:spacing w:before="0" w:after="0" w:line="311" w:lineRule="exact"/>
        <w:ind w:left="0" w:right="0" w:firstLine="440"/>
        <w:jc w:val="both"/>
      </w:pPr>
      <w:bookmarkStart w:id="1056" w:name="bookmark1056"/>
      <w:bookmarkStart w:id="1057" w:name="bookmark1057"/>
      <w:bookmarkStart w:id="1060" w:name="bookmark1060"/>
      <w:bookmarkEnd w:id="1060"/>
      <w:r>
        <w:rPr>
          <w:color w:val="000000"/>
          <w:spacing w:val="0"/>
          <w:w w:val="100"/>
          <w:position w:val="0"/>
        </w:rPr>
        <w:t>划分公司内部研究开发项目的研究阶段和开发阶段具体标准</w:t>
      </w:r>
      <w:bookmarkEnd w:id="1056"/>
      <w:bookmarkEnd w:id="1057"/>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开发阶段：在进行商业性生产或使用前，将研究成果或其他知识应用于某项计划或设计，以生产出新 的或具有实质性改进的材料、装置、产品等活动的阶段。</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内部研究开发项目研究阶段的支出，在发生时计入当期损益。</w:t>
      </w:r>
    </w:p>
    <w:p>
      <w:pPr>
        <w:pStyle w:val="Style14"/>
        <w:keepNext w:val="0"/>
        <w:keepLines w:val="0"/>
        <w:widowControl w:val="0"/>
        <w:numPr>
          <w:ilvl w:val="0"/>
          <w:numId w:val="81"/>
        </w:numPr>
        <w:shd w:val="clear" w:color="auto" w:fill="auto"/>
        <w:tabs>
          <w:tab w:pos="842" w:val="left"/>
        </w:tabs>
        <w:bidi w:val="0"/>
        <w:spacing w:before="0" w:after="0" w:line="311" w:lineRule="exact"/>
        <w:ind w:left="0" w:right="0" w:firstLine="440"/>
        <w:jc w:val="left"/>
        <w:rPr>
          <w:sz w:val="20"/>
          <w:szCs w:val="20"/>
        </w:rPr>
      </w:pPr>
      <w:bookmarkStart w:id="1061" w:name="bookmark1061"/>
      <w:bookmarkEnd w:id="1061"/>
      <w:r>
        <w:rPr>
          <w:b/>
          <w:bCs/>
          <w:color w:val="000000"/>
          <w:spacing w:val="0"/>
          <w:w w:val="100"/>
          <w:position w:val="0"/>
          <w:sz w:val="20"/>
          <w:szCs w:val="20"/>
        </w:rPr>
        <w:t>开发阶段支出符合资本化的具体标准</w:t>
      </w:r>
    </w:p>
    <w:p>
      <w:pPr>
        <w:pStyle w:val="Style14"/>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内部研究开发项目开发阶段的支出，同时满足下列条件时确认为无形资产：</w:t>
      </w:r>
    </w:p>
    <w:p>
      <w:pPr>
        <w:pStyle w:val="Style14"/>
        <w:keepNext w:val="0"/>
        <w:keepLines w:val="0"/>
        <w:widowControl w:val="0"/>
        <w:shd w:val="clear" w:color="auto" w:fill="auto"/>
        <w:tabs>
          <w:tab w:pos="813" w:val="left"/>
        </w:tabs>
        <w:bidi w:val="0"/>
        <w:spacing w:before="0" w:after="0" w:line="311" w:lineRule="exact"/>
        <w:ind w:left="0" w:right="0" w:firstLine="440"/>
        <w:jc w:val="left"/>
        <w:rPr>
          <w:sz w:val="20"/>
          <w:szCs w:val="20"/>
        </w:rPr>
      </w:pPr>
      <w:bookmarkStart w:id="1062" w:name="bookmark1062"/>
      <w:r>
        <w:rPr>
          <w:rFonts w:ascii="Times New Roman" w:eastAsia="Times New Roman" w:hAnsi="Times New Roman" w:cs="Times New Roman"/>
          <w:color w:val="000000"/>
          <w:spacing w:val="0"/>
          <w:w w:val="100"/>
          <w:position w:val="0"/>
          <w:sz w:val="20"/>
          <w:szCs w:val="20"/>
        </w:rPr>
        <w:t>1</w:t>
      </w:r>
      <w:bookmarkEnd w:id="1062"/>
      <w:r>
        <w:rPr>
          <w:color w:val="000000"/>
          <w:spacing w:val="0"/>
          <w:w w:val="100"/>
          <w:position w:val="0"/>
          <w:sz w:val="20"/>
          <w:szCs w:val="20"/>
        </w:rPr>
        <w:t>）</w:t>
        <w:tab/>
        <w:t>完成该无形资产以使其能够使用或出售在技术上具有可行性；</w:t>
      </w:r>
    </w:p>
    <w:p>
      <w:pPr>
        <w:pStyle w:val="Style14"/>
        <w:keepNext w:val="0"/>
        <w:keepLines w:val="0"/>
        <w:widowControl w:val="0"/>
        <w:shd w:val="clear" w:color="auto" w:fill="auto"/>
        <w:tabs>
          <w:tab w:pos="832" w:val="left"/>
        </w:tabs>
        <w:bidi w:val="0"/>
        <w:spacing w:before="0" w:after="0" w:line="311" w:lineRule="exact"/>
        <w:ind w:left="0" w:right="0" w:firstLine="440"/>
        <w:jc w:val="left"/>
        <w:rPr>
          <w:sz w:val="20"/>
          <w:szCs w:val="20"/>
        </w:rPr>
      </w:pPr>
      <w:bookmarkStart w:id="1063" w:name="bookmark1063"/>
      <w:r>
        <w:rPr>
          <w:rFonts w:ascii="Times New Roman" w:eastAsia="Times New Roman" w:hAnsi="Times New Roman" w:cs="Times New Roman"/>
          <w:color w:val="000000"/>
          <w:spacing w:val="0"/>
          <w:w w:val="100"/>
          <w:position w:val="0"/>
          <w:sz w:val="20"/>
          <w:szCs w:val="20"/>
        </w:rPr>
        <w:t>2</w:t>
      </w:r>
      <w:bookmarkEnd w:id="1063"/>
      <w:r>
        <w:rPr>
          <w:color w:val="000000"/>
          <w:spacing w:val="0"/>
          <w:w w:val="100"/>
          <w:position w:val="0"/>
          <w:sz w:val="20"/>
          <w:szCs w:val="20"/>
        </w:rPr>
        <w:t>）</w:t>
        <w:tab/>
        <w:t>具有完成该无形资产并使用或出售的意图；</w:t>
      </w:r>
    </w:p>
    <w:p>
      <w:pPr>
        <w:pStyle w:val="Style14"/>
        <w:keepNext w:val="0"/>
        <w:keepLines w:val="0"/>
        <w:widowControl w:val="0"/>
        <w:shd w:val="clear" w:color="auto" w:fill="auto"/>
        <w:bidi w:val="0"/>
        <w:spacing w:before="0" w:after="0" w:line="311" w:lineRule="exact"/>
        <w:ind w:left="0" w:right="0" w:firstLine="440"/>
        <w:jc w:val="both"/>
        <w:rPr>
          <w:sz w:val="20"/>
          <w:szCs w:val="20"/>
        </w:rPr>
      </w:pPr>
      <w:bookmarkStart w:id="1064" w:name="bookmark1064"/>
      <w:r>
        <w:rPr>
          <w:rFonts w:ascii="Times New Roman" w:eastAsia="Times New Roman" w:hAnsi="Times New Roman" w:cs="Times New Roman"/>
          <w:color w:val="000000"/>
          <w:spacing w:val="0"/>
          <w:w w:val="100"/>
          <w:position w:val="0"/>
          <w:sz w:val="20"/>
          <w:szCs w:val="20"/>
        </w:rPr>
        <w:t>3</w:t>
      </w:r>
      <w:bookmarkEnd w:id="1064"/>
      <w:r>
        <w:rPr>
          <w:color w:val="000000"/>
          <w:spacing w:val="0"/>
          <w:w w:val="100"/>
          <w:position w:val="0"/>
          <w:sz w:val="20"/>
          <w:szCs w:val="20"/>
        </w:rPr>
        <w:t>） 无形资产产生经济利益的方式，包括能够证明运用该无形资产生产的产品存在市场或无形资产自 身存在市场，无形资产将在内部使用的，能够证明其有用性；</w:t>
      </w:r>
    </w:p>
    <w:p>
      <w:pPr>
        <w:pStyle w:val="Style14"/>
        <w:keepNext w:val="0"/>
        <w:keepLines w:val="0"/>
        <w:widowControl w:val="0"/>
        <w:shd w:val="clear" w:color="auto" w:fill="auto"/>
        <w:tabs>
          <w:tab w:pos="805" w:val="left"/>
        </w:tabs>
        <w:bidi w:val="0"/>
        <w:spacing w:before="0" w:after="0" w:line="311" w:lineRule="exact"/>
        <w:ind w:left="0" w:right="0" w:firstLine="440"/>
        <w:jc w:val="both"/>
        <w:rPr>
          <w:sz w:val="20"/>
          <w:szCs w:val="20"/>
        </w:rPr>
      </w:pPr>
      <w:bookmarkStart w:id="1065" w:name="bookmark1065"/>
      <w:r>
        <w:rPr>
          <w:rFonts w:ascii="Times New Roman" w:eastAsia="Times New Roman" w:hAnsi="Times New Roman" w:cs="Times New Roman"/>
          <w:color w:val="000000"/>
          <w:spacing w:val="0"/>
          <w:w w:val="100"/>
          <w:position w:val="0"/>
          <w:sz w:val="20"/>
          <w:szCs w:val="20"/>
        </w:rPr>
        <w:t>4</w:t>
      </w:r>
      <w:bookmarkEnd w:id="1065"/>
      <w:r>
        <w:rPr>
          <w:color w:val="000000"/>
          <w:spacing w:val="0"/>
          <w:w w:val="100"/>
          <w:position w:val="0"/>
          <w:sz w:val="20"/>
          <w:szCs w:val="20"/>
        </w:rPr>
        <w:t>）</w:t>
        <w:tab/>
        <w:t>有足够的技术、财务资源和其他资源支持，以完成该无形资产的开发，并有能力使用或出售该无 形资产；</w:t>
      </w:r>
    </w:p>
    <w:p>
      <w:pPr>
        <w:pStyle w:val="Style14"/>
        <w:keepNext w:val="0"/>
        <w:keepLines w:val="0"/>
        <w:widowControl w:val="0"/>
        <w:shd w:val="clear" w:color="auto" w:fill="auto"/>
        <w:tabs>
          <w:tab w:pos="832" w:val="left"/>
        </w:tabs>
        <w:bidi w:val="0"/>
        <w:spacing w:before="0" w:after="0" w:line="311" w:lineRule="exact"/>
        <w:ind w:left="0" w:right="0" w:firstLine="440"/>
        <w:jc w:val="both"/>
        <w:rPr>
          <w:sz w:val="20"/>
          <w:szCs w:val="20"/>
        </w:rPr>
      </w:pPr>
      <w:bookmarkStart w:id="1066" w:name="bookmark1066"/>
      <w:r>
        <w:rPr>
          <w:rFonts w:ascii="Times New Roman" w:eastAsia="Times New Roman" w:hAnsi="Times New Roman" w:cs="Times New Roman"/>
          <w:color w:val="000000"/>
          <w:spacing w:val="0"/>
          <w:w w:val="100"/>
          <w:position w:val="0"/>
          <w:sz w:val="20"/>
          <w:szCs w:val="20"/>
        </w:rPr>
        <w:t>5</w:t>
      </w:r>
      <w:bookmarkEnd w:id="1066"/>
      <w:r>
        <w:rPr>
          <w:color w:val="000000"/>
          <w:spacing w:val="0"/>
          <w:w w:val="100"/>
          <w:position w:val="0"/>
          <w:sz w:val="20"/>
          <w:szCs w:val="20"/>
        </w:rPr>
        <w:t>）</w:t>
        <w:tab/>
        <w:t>归属于该无形资产开发阶段的支出能够可靠地计量。</w:t>
      </w:r>
    </w:p>
    <w:p>
      <w:pPr>
        <w:pStyle w:val="Style14"/>
        <w:keepNext w:val="0"/>
        <w:keepLines w:val="0"/>
        <w:widowControl w:val="0"/>
        <w:shd w:val="clear" w:color="auto" w:fill="auto"/>
        <w:bidi w:val="0"/>
        <w:spacing w:before="0" w:after="40" w:line="311" w:lineRule="exact"/>
        <w:ind w:left="0" w:right="0" w:firstLine="440"/>
        <w:jc w:val="both"/>
        <w:rPr>
          <w:sz w:val="20"/>
          <w:szCs w:val="20"/>
        </w:rPr>
      </w:pPr>
      <w:r>
        <w:rPr>
          <w:color w:val="000000"/>
          <w:spacing w:val="0"/>
          <w:w w:val="100"/>
          <w:position w:val="0"/>
          <w:sz w:val="20"/>
          <w:szCs w:val="2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3"/>
        <w:keepNext/>
        <w:keepLines/>
        <w:widowControl w:val="0"/>
        <w:shd w:val="clear" w:color="auto" w:fill="auto"/>
        <w:bidi w:val="0"/>
        <w:spacing w:before="0" w:after="280" w:line="313" w:lineRule="exact"/>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、长期资产减值</w:t>
      </w:r>
      <w:bookmarkEnd w:id="1067"/>
      <w:bookmarkEnd w:id="1068"/>
      <w:bookmarkEnd w:id="1070"/>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资产可收回金额的估计，根据其公允价值减去处置费用后的净额与资产预计未来现金流量的现值两者 之间较高者确定。</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资产减值损失确认后，减值资产的折旧或者摊销费用在未来期间作相应调整，以使该资产在剩余使用 寿命内，系统地分摊调整后的资产账面价值（扣除预计净残值）。</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因企业合并所形成的商誉和使用寿命不确定的无形资产，无论是否存在减值迹象，每年都进行减值测 试。</w:t>
      </w:r>
    </w:p>
    <w:p>
      <w:pPr>
        <w:pStyle w:val="Style14"/>
        <w:keepNext w:val="0"/>
        <w:keepLines w:val="0"/>
        <w:widowControl w:val="0"/>
        <w:shd w:val="clear" w:color="auto" w:fill="auto"/>
        <w:bidi w:val="0"/>
        <w:spacing w:before="0" w:after="660" w:line="313" w:lineRule="exact"/>
        <w:ind w:left="0" w:right="0" w:firstLine="360"/>
        <w:jc w:val="both"/>
        <w:rPr>
          <w:sz w:val="20"/>
          <w:szCs w:val="20"/>
        </w:rPr>
      </w:pPr>
      <w:r>
        <w:rPr>
          <w:color w:val="000000"/>
          <w:spacing w:val="0"/>
          <w:w w:val="100"/>
          <w:position w:val="0"/>
          <w:sz w:val="20"/>
          <w:szCs w:val="2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3"/>
        <w:keepNext/>
        <w:keepLines/>
        <w:widowControl w:val="0"/>
        <w:shd w:val="clear" w:color="auto" w:fill="auto"/>
        <w:bidi w:val="0"/>
        <w:spacing w:before="0" w:after="360" w:line="240" w:lineRule="auto"/>
        <w:ind w:left="0" w:right="0" w:firstLine="0"/>
        <w:jc w:val="both"/>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71"/>
      <w:bookmarkEnd w:id="1072"/>
      <w:bookmarkEnd w:id="1074"/>
    </w:p>
    <w:p>
      <w:pPr>
        <w:pStyle w:val="Style33"/>
        <w:keepNext/>
        <w:keepLines/>
        <w:widowControl w:val="0"/>
        <w:shd w:val="clear" w:color="auto" w:fill="auto"/>
        <w:bidi w:val="0"/>
        <w:spacing w:before="0" w:after="60" w:line="240" w:lineRule="auto"/>
        <w:ind w:left="0" w:right="0" w:firstLine="440"/>
        <w:jc w:val="both"/>
      </w:pPr>
      <w:bookmarkStart w:id="1071" w:name="bookmark1071"/>
      <w:bookmarkStart w:id="1072" w:name="bookmark1072"/>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）摊销方法</w:t>
      </w:r>
      <w:bookmarkEnd w:id="1071"/>
      <w:bookmarkEnd w:id="1072"/>
    </w:p>
    <w:p>
      <w:pPr>
        <w:pStyle w:val="Style14"/>
        <w:keepNext w:val="0"/>
        <w:keepLines w:val="0"/>
        <w:widowControl w:val="0"/>
        <w:shd w:val="clear" w:color="auto" w:fill="auto"/>
        <w:bidi w:val="0"/>
        <w:spacing w:before="0" w:after="60" w:line="240" w:lineRule="auto"/>
        <w:ind w:left="0" w:right="0" w:firstLine="440"/>
        <w:jc w:val="both"/>
        <w:rPr>
          <w:sz w:val="20"/>
          <w:szCs w:val="20"/>
        </w:rPr>
      </w:pPr>
      <w:r>
        <w:rPr>
          <w:color w:val="000000"/>
          <w:spacing w:val="0"/>
          <w:w w:val="100"/>
          <w:position w:val="0"/>
          <w:sz w:val="20"/>
          <w:szCs w:val="2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年以上的各项费用。</w:t>
      </w:r>
    </w:p>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长期待摊费用在受益期内按直线法分期摊销。</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）摊销年限</w:t>
      </w:r>
    </w:p>
    <w:tbl>
      <w:tblPr>
        <w:tblOverlap w:val="never"/>
        <w:jc w:val="center"/>
        <w:tblLayout w:type="fixed"/>
      </w:tblPr>
      <w:tblGrid>
        <w:gridCol w:w="3226"/>
        <w:gridCol w:w="3221"/>
        <w:gridCol w:w="3226"/>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广告经营权费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上海申通地铁资产经营管理有限公司</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号线与上海申通德高地铁广告有限公司 上海地铁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号线广告经营权费用</w:t>
            </w:r>
          </w:p>
        </w:tc>
      </w:tr>
      <w:tr>
        <w:trPr>
          <w:trHeight w:val="437" w:hRule="exact"/>
        </w:trPr>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659" w:line="1" w:lineRule="exact"/>
      </w:pPr>
    </w:p>
    <w:p>
      <w:pPr>
        <w:pStyle w:val="Style33"/>
        <w:keepNext/>
        <w:keepLines/>
        <w:widowControl w:val="0"/>
        <w:shd w:val="clear" w:color="auto" w:fill="auto"/>
        <w:bidi w:val="0"/>
        <w:spacing w:before="0" w:after="360" w:line="240"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076"/>
      <w:bookmarkEnd w:id="1077"/>
      <w:bookmarkEnd w:id="1079"/>
    </w:p>
    <w:p>
      <w:pPr>
        <w:pStyle w:val="Style14"/>
        <w:keepNext w:val="0"/>
        <w:keepLines w:val="0"/>
        <w:widowControl w:val="0"/>
        <w:shd w:val="clear" w:color="auto" w:fill="auto"/>
        <w:bidi w:val="0"/>
        <w:spacing w:before="0" w:after="320" w:line="240" w:lineRule="auto"/>
        <w:ind w:left="0" w:right="0" w:firstLine="440"/>
        <w:jc w:val="both"/>
        <w:rPr>
          <w:sz w:val="20"/>
          <w:szCs w:val="20"/>
        </w:rPr>
      </w:pPr>
      <w:r>
        <w:rPr>
          <w:color w:val="000000"/>
          <w:spacing w:val="0"/>
          <w:w w:val="100"/>
          <w:position w:val="0"/>
          <w:sz w:val="20"/>
          <w:szCs w:val="20"/>
        </w:rPr>
        <w:t>本公司将已收或应收客户对价而应向客户转让商品的义务部分确认为合同负债。</w:t>
      </w:r>
    </w:p>
    <w:p>
      <w:pPr>
        <w:pStyle w:val="Style33"/>
        <w:keepNext/>
        <w:keepLines/>
        <w:widowControl w:val="0"/>
        <w:shd w:val="clear" w:color="auto" w:fill="auto"/>
        <w:bidi w:val="0"/>
        <w:spacing w:before="0" w:after="300" w:line="312" w:lineRule="exact"/>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7</w:t>
      </w:r>
      <w:r>
        <w:rPr>
          <w:color w:val="000000"/>
          <w:spacing w:val="0"/>
          <w:w w:val="100"/>
          <w:position w:val="0"/>
        </w:rPr>
        <w:t>、职工薪酬</w:t>
      </w:r>
      <w:bookmarkEnd w:id="1080"/>
      <w:bookmarkEnd w:id="1081"/>
      <w:bookmarkEnd w:id="1083"/>
    </w:p>
    <w:p>
      <w:pPr>
        <w:pStyle w:val="Style47"/>
        <w:keepNext/>
        <w:keepLines/>
        <w:widowControl w:val="0"/>
        <w:shd w:val="clear" w:color="auto" w:fill="auto"/>
        <w:tabs>
          <w:tab w:pos="493" w:val="left"/>
        </w:tabs>
        <w:bidi w:val="0"/>
        <w:spacing w:before="0" w:after="300" w:line="312" w:lineRule="exact"/>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84"/>
      <w:bookmarkEnd w:id="1085"/>
      <w:bookmarkEnd w:id="1087"/>
    </w:p>
    <w:p>
      <w:pPr>
        <w:pStyle w:val="Style14"/>
        <w:keepNext w:val="0"/>
        <w:keepLines w:val="0"/>
        <w:widowControl w:val="0"/>
        <w:shd w:val="clear" w:color="auto" w:fill="auto"/>
        <w:bidi w:val="0"/>
        <w:spacing w:before="0" w:after="300" w:line="310" w:lineRule="exact"/>
        <w:ind w:left="0" w:right="0" w:firstLine="360"/>
        <w:jc w:val="left"/>
        <w:rPr>
          <w:sz w:val="20"/>
          <w:szCs w:val="20"/>
        </w:rPr>
      </w:pPr>
      <w:r>
        <w:rPr>
          <w:color w:val="000000"/>
          <w:spacing w:val="0"/>
          <w:w w:val="100"/>
          <w:position w:val="0"/>
          <w:sz w:val="20"/>
          <w:szCs w:val="20"/>
        </w:rPr>
        <w:t>短期薪酬是指本公司在职工提供相关服务的年度报告期间结束后十二个月内需要全部予以支付的职工 薪酬，离职后福利和辞退福利除外。本公司在职工提供服务的会计期间，将应付的短期薪酬确认为负债， 并根据职工提供服务的受益对象计入相关资产成本和费用。</w:t>
      </w:r>
    </w:p>
    <w:p>
      <w:pPr>
        <w:pStyle w:val="Style47"/>
        <w:keepNext/>
        <w:keepLines/>
        <w:widowControl w:val="0"/>
        <w:shd w:val="clear" w:color="auto" w:fill="auto"/>
        <w:tabs>
          <w:tab w:pos="493" w:val="left"/>
        </w:tabs>
        <w:bidi w:val="0"/>
        <w:spacing w:before="0" w:after="300" w:line="312" w:lineRule="exact"/>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88"/>
      <w:bookmarkEnd w:id="1089"/>
      <w:bookmarkEnd w:id="1091"/>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离职后福利是指本公司为获得职工提供的服务而在职工退休或与企业解除劳动关系后，提供的各种形 式的报酬和福利，短期薪酬和辞退福利除外。</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本公司的离职后福利计划分类为设定提存计划和设定受益计划。</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14"/>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本公司按照国家规定的标准和年金计划定期缴付上述款项后，不再有其他的支付义务。</w:t>
      </w:r>
    </w:p>
    <w:p>
      <w:pPr>
        <w:pStyle w:val="Style47"/>
        <w:keepNext/>
        <w:keepLines/>
        <w:widowControl w:val="0"/>
        <w:shd w:val="clear" w:color="auto" w:fill="auto"/>
        <w:bidi w:val="0"/>
        <w:spacing w:before="0" w:after="300" w:line="312" w:lineRule="exact"/>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92"/>
      <w:bookmarkEnd w:id="1093"/>
      <w:bookmarkEnd w:id="1095"/>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14"/>
        <w:keepNext w:val="0"/>
        <w:keepLines w:val="0"/>
        <w:widowControl w:val="0"/>
        <w:shd w:val="clear" w:color="auto" w:fill="auto"/>
        <w:bidi w:val="0"/>
        <w:spacing w:before="0" w:after="680" w:line="312" w:lineRule="exact"/>
        <w:ind w:left="0" w:right="0" w:firstLine="360"/>
        <w:jc w:val="both"/>
        <w:rPr>
          <w:sz w:val="20"/>
          <w:szCs w:val="20"/>
        </w:rPr>
      </w:pPr>
      <w:r>
        <w:rPr>
          <w:color w:val="000000"/>
          <w:spacing w:val="0"/>
          <w:w w:val="100"/>
          <w:position w:val="0"/>
          <w:sz w:val="20"/>
          <w:szCs w:val="2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47"/>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96"/>
      <w:bookmarkEnd w:id="1097"/>
      <w:bookmarkEnd w:id="1099"/>
    </w:p>
    <w:p>
      <w:pPr>
        <w:pStyle w:val="Style14"/>
        <w:keepNext w:val="0"/>
        <w:keepLines w:val="0"/>
        <w:widowControl w:val="0"/>
        <w:shd w:val="clear" w:color="auto" w:fill="auto"/>
        <w:bidi w:val="0"/>
        <w:spacing w:before="0" w:after="680" w:line="240" w:lineRule="auto"/>
        <w:ind w:left="0" w:right="0" w:firstLine="440"/>
        <w:jc w:val="both"/>
        <w:rPr>
          <w:sz w:val="20"/>
          <w:szCs w:val="20"/>
        </w:rPr>
      </w:pPr>
      <w:r>
        <w:rPr>
          <w:color w:val="000000"/>
          <w:spacing w:val="0"/>
          <w:w w:val="100"/>
          <w:position w:val="0"/>
          <w:sz w:val="20"/>
          <w:szCs w:val="20"/>
        </w:rPr>
        <w:t>其他长期职工福利是指除短期薪酬、离职后福利、辞退福利之外的其他所有职工福利。</w:t>
      </w:r>
    </w:p>
    <w:p>
      <w:pPr>
        <w:pStyle w:val="Style33"/>
        <w:keepNext/>
        <w:keepLines/>
        <w:widowControl w:val="0"/>
        <w:shd w:val="clear" w:color="auto" w:fill="auto"/>
        <w:bidi w:val="0"/>
        <w:spacing w:before="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100"/>
      <w:bookmarkEnd w:id="1101"/>
      <w:bookmarkEnd w:id="1103"/>
    </w:p>
    <w:p>
      <w:pPr>
        <w:pStyle w:val="Style33"/>
        <w:keepNext/>
        <w:keepLines/>
        <w:widowControl w:val="0"/>
        <w:shd w:val="clear" w:color="auto" w:fill="auto"/>
        <w:bidi w:val="0"/>
        <w:spacing w:before="0" w:after="80" w:line="240" w:lineRule="auto"/>
        <w:ind w:left="0" w:right="0" w:firstLine="440"/>
        <w:jc w:val="both"/>
      </w:pPr>
      <w:bookmarkStart w:id="1100" w:name="bookmark1100"/>
      <w:bookmarkStart w:id="1101" w:name="bookmark1101"/>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1100"/>
      <w:bookmarkEnd w:id="1101"/>
    </w:p>
    <w:p>
      <w:pPr>
        <w:pStyle w:val="Style14"/>
        <w:keepNext w:val="0"/>
        <w:keepLines w:val="0"/>
        <w:widowControl w:val="0"/>
        <w:shd w:val="clear" w:color="auto" w:fill="auto"/>
        <w:bidi w:val="0"/>
        <w:spacing w:before="0" w:after="80" w:line="240" w:lineRule="auto"/>
        <w:ind w:left="0" w:right="0" w:firstLine="440"/>
        <w:jc w:val="both"/>
        <w:rPr>
          <w:sz w:val="20"/>
          <w:szCs w:val="20"/>
        </w:rPr>
      </w:pPr>
      <w:r>
        <w:rPr>
          <w:color w:val="000000"/>
          <w:spacing w:val="0"/>
          <w:w w:val="100"/>
          <w:position w:val="0"/>
          <w:sz w:val="20"/>
          <w:szCs w:val="20"/>
        </w:rPr>
        <w:t>与或有事项相关的义务同时满足下列条件时，本公司确认为预计负债:</w:t>
      </w:r>
    </w:p>
    <w:p>
      <w:pPr>
        <w:pStyle w:val="Style14"/>
        <w:keepNext w:val="0"/>
        <w:keepLines w:val="0"/>
        <w:widowControl w:val="0"/>
        <w:shd w:val="clear" w:color="auto" w:fill="auto"/>
        <w:bidi w:val="0"/>
        <w:spacing w:before="0" w:after="80" w:line="240" w:lineRule="auto"/>
        <w:ind w:left="0" w:right="0" w:firstLine="440"/>
        <w:jc w:val="both"/>
        <w:rPr>
          <w:sz w:val="20"/>
          <w:szCs w:val="20"/>
        </w:rPr>
      </w:pPr>
      <w:r>
        <w:rPr>
          <w:color w:val="000000"/>
          <w:spacing w:val="0"/>
          <w:w w:val="100"/>
          <w:position w:val="0"/>
          <w:sz w:val="20"/>
          <w:szCs w:val="20"/>
        </w:rPr>
        <w:t>该义务是本公司承担的现时义务；</w:t>
      </w:r>
    </w:p>
    <w:p>
      <w:pPr>
        <w:pStyle w:val="Style14"/>
        <w:keepNext w:val="0"/>
        <w:keepLines w:val="0"/>
        <w:widowControl w:val="0"/>
        <w:shd w:val="clear" w:color="auto" w:fill="auto"/>
        <w:bidi w:val="0"/>
        <w:spacing w:before="0" w:after="80" w:line="240" w:lineRule="auto"/>
        <w:ind w:left="0" w:right="0" w:firstLine="440"/>
        <w:jc w:val="both"/>
        <w:rPr>
          <w:sz w:val="20"/>
          <w:szCs w:val="20"/>
        </w:rPr>
      </w:pPr>
      <w:r>
        <w:rPr>
          <w:color w:val="000000"/>
          <w:spacing w:val="0"/>
          <w:w w:val="100"/>
          <w:position w:val="0"/>
          <w:sz w:val="20"/>
          <w:szCs w:val="20"/>
        </w:rPr>
        <w:t>履行该义务很可能导致经济利益流出本公司；</w:t>
      </w:r>
    </w:p>
    <w:p>
      <w:pPr>
        <w:pStyle w:val="Style14"/>
        <w:keepNext w:val="0"/>
        <w:keepLines w:val="0"/>
        <w:widowControl w:val="0"/>
        <w:shd w:val="clear" w:color="auto" w:fill="auto"/>
        <w:bidi w:val="0"/>
        <w:spacing w:before="0" w:after="300" w:line="240" w:lineRule="auto"/>
        <w:ind w:left="0" w:right="0" w:firstLine="440"/>
        <w:jc w:val="both"/>
        <w:rPr>
          <w:sz w:val="20"/>
          <w:szCs w:val="20"/>
        </w:rPr>
      </w:pPr>
      <w:r>
        <w:rPr>
          <w:color w:val="000000"/>
          <w:spacing w:val="0"/>
          <w:w w:val="100"/>
          <w:position w:val="0"/>
          <w:sz w:val="20"/>
          <w:szCs w:val="20"/>
        </w:rPr>
        <w:t>该义务的金额能够可靠地计量。</w:t>
      </w:r>
    </w:p>
    <w:p>
      <w:pPr>
        <w:pStyle w:val="Style14"/>
        <w:keepNext w:val="0"/>
        <w:keepLines w:val="0"/>
        <w:widowControl w:val="0"/>
        <w:shd w:val="clear" w:color="auto" w:fill="auto"/>
        <w:bidi w:val="0"/>
        <w:spacing w:before="0" w:after="0" w:line="312" w:lineRule="exact"/>
        <w:ind w:left="0" w:right="0" w:firstLine="440"/>
        <w:jc w:val="left"/>
        <w:rPr>
          <w:sz w:val="20"/>
          <w:szCs w:val="20"/>
        </w:rPr>
      </w:pPr>
      <w:bookmarkStart w:id="1105" w:name="bookmark1105"/>
      <w:r>
        <w:rPr>
          <w:b/>
          <w:bCs/>
          <w:color w:val="000000"/>
          <w:spacing w:val="0"/>
          <w:w w:val="100"/>
          <w:position w:val="0"/>
          <w:sz w:val="20"/>
          <w:szCs w:val="20"/>
        </w:rPr>
        <w:t>（</w:t>
      </w:r>
      <w:bookmarkEnd w:id="110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）预计负债的计量方法</w:t>
      </w:r>
    </w:p>
    <w:p>
      <w:pPr>
        <w:pStyle w:val="Style1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本公司预计负债按履行相关现时义务所需的支出的最佳估计数进行初始计量。</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本公司在确定最佳估计数时，综合考虑与或有事项有关的风险、不确定性和货币时间价值等因素。对 于货币时间价值影响重大的，通过对相关未来现金流出进行折现后确定最佳估计数。</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最佳估计数分别以下情况处理：</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所需支出存在一个连续范围（或区间），且该范围内各种结果发生的可能性相同的，则最佳估计数按 照该范围的中间值即上下限金额的平均数确定。</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14"/>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本公司清偿预计负债所需支出全部或部分预期由第三方补偿的，补偿金额在基本确定能够收到时，作 为资产单独确认，确认的补偿金额不超过预计负债的账面价值。</w:t>
      </w:r>
    </w:p>
    <w:p>
      <w:pPr>
        <w:pStyle w:val="Style33"/>
        <w:keepNext/>
        <w:keepLines/>
        <w:widowControl w:val="0"/>
        <w:shd w:val="clear" w:color="auto" w:fill="auto"/>
        <w:bidi w:val="0"/>
        <w:spacing w:before="0" w:after="300" w:line="312" w:lineRule="exact"/>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9</w:t>
      </w:r>
      <w:r>
        <w:rPr>
          <w:color w:val="000000"/>
          <w:spacing w:val="0"/>
          <w:w w:val="100"/>
          <w:position w:val="0"/>
        </w:rPr>
        <w:t>、股份支付</w:t>
      </w:r>
      <w:bookmarkEnd w:id="1106"/>
      <w:bookmarkEnd w:id="1107"/>
      <w:bookmarkEnd w:id="1109"/>
    </w:p>
    <w:p>
      <w:pPr>
        <w:pStyle w:val="Style33"/>
        <w:keepNext/>
        <w:keepLines/>
        <w:widowControl w:val="0"/>
        <w:shd w:val="clear" w:color="auto" w:fill="auto"/>
        <w:tabs>
          <w:tab w:pos="772" w:val="left"/>
        </w:tabs>
        <w:bidi w:val="0"/>
        <w:spacing w:before="0" w:after="0" w:line="312" w:lineRule="exact"/>
        <w:ind w:left="0" w:right="0" w:firstLine="300"/>
        <w:jc w:val="both"/>
      </w:pPr>
      <w:bookmarkStart w:id="1106" w:name="bookmark1106"/>
      <w:bookmarkStart w:id="1107" w:name="bookmark1107"/>
      <w:bookmarkStart w:id="1110" w:name="bookmark1110"/>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106"/>
      <w:bookmarkEnd w:id="1107"/>
    </w:p>
    <w:p>
      <w:pPr>
        <w:pStyle w:val="Style1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本公司的股份支付分为以权益结算的股份支付和以现金结算的股份支付。</w:t>
      </w:r>
    </w:p>
    <w:p>
      <w:pPr>
        <w:pStyle w:val="Style14"/>
        <w:keepNext w:val="0"/>
        <w:keepLines w:val="0"/>
        <w:widowControl w:val="0"/>
        <w:shd w:val="clear" w:color="auto" w:fill="auto"/>
        <w:tabs>
          <w:tab w:pos="772" w:val="left"/>
        </w:tabs>
        <w:bidi w:val="0"/>
        <w:spacing w:before="0" w:after="0" w:line="312" w:lineRule="exact"/>
        <w:ind w:left="0" w:right="0" w:firstLine="300"/>
        <w:jc w:val="both"/>
        <w:rPr>
          <w:sz w:val="20"/>
          <w:szCs w:val="20"/>
        </w:rPr>
      </w:pPr>
      <w:bookmarkStart w:id="1111" w:name="bookmark1111"/>
      <w:r>
        <w:rPr>
          <w:b/>
          <w:bCs/>
          <w:color w:val="000000"/>
          <w:spacing w:val="0"/>
          <w:w w:val="100"/>
          <w:position w:val="0"/>
          <w:sz w:val="20"/>
          <w:szCs w:val="20"/>
        </w:rPr>
        <w:t>（</w:t>
      </w:r>
      <w:bookmarkEnd w:id="111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权益工具公允价值的确定方法</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对于授予的存在活跃市场的期权等权益工具，按照活跃市场中的报价确定其公允价值。对于授予的不 存在活跃市场的期权等权益工具，采用期权定价模型等确定其公允价值，选用的期权定价模型考虑以下因 素：①期权的行权价格；②期权的有效期；③标的股份的现行价格；④股价预计波动率；⑤股份的预计股 利；⑥期权有效期内的无风险利率。</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14"/>
        <w:keepNext w:val="0"/>
        <w:keepLines w:val="0"/>
        <w:widowControl w:val="0"/>
        <w:shd w:val="clear" w:color="auto" w:fill="auto"/>
        <w:tabs>
          <w:tab w:pos="772" w:val="left"/>
        </w:tabs>
        <w:bidi w:val="0"/>
        <w:spacing w:before="0" w:after="0" w:line="312" w:lineRule="exact"/>
        <w:ind w:left="0" w:right="0" w:firstLine="300"/>
        <w:jc w:val="left"/>
        <w:rPr>
          <w:sz w:val="20"/>
          <w:szCs w:val="20"/>
        </w:rPr>
      </w:pPr>
      <w:bookmarkStart w:id="1112" w:name="bookmark1112"/>
      <w:r>
        <w:rPr>
          <w:b/>
          <w:bCs/>
          <w:color w:val="000000"/>
          <w:spacing w:val="0"/>
          <w:w w:val="100"/>
          <w:position w:val="0"/>
          <w:sz w:val="20"/>
          <w:szCs w:val="20"/>
        </w:rPr>
        <w:t>（</w:t>
      </w:r>
      <w:bookmarkEnd w:id="111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确定可行权权益工具最佳估计的依据</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14"/>
        <w:keepNext w:val="0"/>
        <w:keepLines w:val="0"/>
        <w:widowControl w:val="0"/>
        <w:shd w:val="clear" w:color="auto" w:fill="auto"/>
        <w:tabs>
          <w:tab w:pos="772" w:val="left"/>
        </w:tabs>
        <w:bidi w:val="0"/>
        <w:spacing w:before="0" w:after="0" w:line="312" w:lineRule="exact"/>
        <w:ind w:left="0" w:right="0" w:firstLine="300"/>
        <w:jc w:val="both"/>
        <w:rPr>
          <w:sz w:val="20"/>
          <w:szCs w:val="20"/>
        </w:rPr>
      </w:pPr>
      <w:bookmarkStart w:id="1113" w:name="bookmark1113"/>
      <w:r>
        <w:rPr>
          <w:b/>
          <w:bCs/>
          <w:color w:val="000000"/>
          <w:spacing w:val="0"/>
          <w:w w:val="100"/>
          <w:position w:val="0"/>
          <w:sz w:val="20"/>
          <w:szCs w:val="20"/>
        </w:rPr>
        <w:t>（</w:t>
      </w:r>
      <w:bookmarkEnd w:id="1113"/>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会计处理方法</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3"/>
        <w:keepNext/>
        <w:keepLines/>
        <w:widowControl w:val="0"/>
        <w:shd w:val="clear" w:color="auto" w:fill="auto"/>
        <w:bidi w:val="0"/>
        <w:spacing w:before="0" w:after="400" w:line="313" w:lineRule="exact"/>
        <w:ind w:left="0" w:right="0" w:firstLine="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1114"/>
      <w:bookmarkEnd w:id="1115"/>
      <w:bookmarkEnd w:id="1116"/>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本公司的收入主要来源于铁路通信信号和铁路运输调度指挥管理领域的软件和系统集成产品的销售。</w:t>
      </w:r>
    </w:p>
    <w:p>
      <w:pPr>
        <w:pStyle w:val="Style14"/>
        <w:keepNext w:val="0"/>
        <w:keepLines w:val="0"/>
        <w:widowControl w:val="0"/>
        <w:shd w:val="clear" w:color="auto" w:fill="auto"/>
        <w:tabs>
          <w:tab w:pos="906" w:val="left"/>
        </w:tabs>
        <w:bidi w:val="0"/>
        <w:spacing w:before="0" w:after="0" w:line="313" w:lineRule="exact"/>
        <w:ind w:left="0" w:right="0" w:firstLine="440"/>
        <w:jc w:val="left"/>
        <w:rPr>
          <w:sz w:val="20"/>
          <w:szCs w:val="20"/>
        </w:rPr>
      </w:pPr>
      <w:bookmarkStart w:id="1117" w:name="bookmark1117"/>
      <w:r>
        <w:rPr>
          <w:b/>
          <w:bCs/>
          <w:color w:val="000000"/>
          <w:spacing w:val="0"/>
          <w:w w:val="100"/>
          <w:position w:val="0"/>
          <w:sz w:val="20"/>
          <w:szCs w:val="20"/>
        </w:rPr>
        <w:t>（</w:t>
      </w:r>
      <w:bookmarkEnd w:id="111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收入确认的一般原则</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本公司在履行了合同中的履约义务，即在客户取得相关商品或服务控制权时，按照分摊至该项履约义 务的交易价格确认收入。</w:t>
      </w:r>
    </w:p>
    <w:p>
      <w:pPr>
        <w:pStyle w:val="Style14"/>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履约义务，是指合同中本公司向客户转让可明确区分商品或服务的承诺。</w:t>
      </w:r>
    </w:p>
    <w:p>
      <w:pPr>
        <w:pStyle w:val="Style14"/>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取得相关商品控制权，是指能够主导该商品的使用并从中获得几乎全部的经济利益。</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本公司按照履约进度，在一段时间内确认收入：①客户在本公司履约的同时即取得并消耗本公司履约所带 来的经济利益；②客户能够控制本公司履约过程中在建的商品；③本公司履约过程中所产出的商品具有不 可替代用途，且本公司在整个合同期间内有权就累计至今已完成的履约部分收取款项。否则，本公司在客 户取得相关商品或服务控制权的时点确认收入。</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对于在某一时段内履行的履约义务，本公司根据商品和劳务的性质，采用投入法确定恰当的履约进度。 投入法是根据公司为履行履约义务的投入确定履约进度。当履约进度不能合理确定时，公司已经发生的成 本预计能够得到补偿的，按照已经发生的成本金额确认收入，直到履约进度能够合理确定为止。</w:t>
      </w:r>
    </w:p>
    <w:p>
      <w:pPr>
        <w:pStyle w:val="Style14"/>
        <w:keepNext w:val="0"/>
        <w:keepLines w:val="0"/>
        <w:widowControl w:val="0"/>
        <w:shd w:val="clear" w:color="auto" w:fill="auto"/>
        <w:tabs>
          <w:tab w:pos="906" w:val="left"/>
        </w:tabs>
        <w:bidi w:val="0"/>
        <w:spacing w:before="0" w:after="0" w:line="313" w:lineRule="exact"/>
        <w:ind w:left="0" w:right="0" w:firstLine="440"/>
        <w:jc w:val="both"/>
        <w:rPr>
          <w:sz w:val="20"/>
          <w:szCs w:val="20"/>
        </w:rPr>
      </w:pPr>
      <w:bookmarkStart w:id="1118" w:name="bookmark1118"/>
      <w:r>
        <w:rPr>
          <w:b/>
          <w:bCs/>
          <w:color w:val="000000"/>
          <w:spacing w:val="0"/>
          <w:w w:val="100"/>
          <w:position w:val="0"/>
          <w:sz w:val="20"/>
          <w:szCs w:val="20"/>
        </w:rPr>
        <w:t>（</w:t>
      </w:r>
      <w:bookmarkEnd w:id="111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收入确认的具体方法</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公司的主要产品为铁路通信信号和铁路运输调度指挥管理领域的软件和系统集成产品，具体为：设备 监测类产品：包括信号集中监测及子系统、融雪系统、信号维护支持系统、道岔缺口监测、道岔综合监测、 电务设备动态监测分析系统等；安防类产品：包括铁路防灾安全监控系统、铁路综合视频监控系统、城轨 综合监控系统、动力环境监控等；生产指挥及运输调度信息化类产品：包括电务生产指挥、铁路安全生产 指挥综合系统等；信号控制类产品：包括无线调车机车信号和监控系统等；电源类设备产品：包括电源屏 设备及子系统；信号设备及器材产品：包括信号设备及器材、转辙机、水冲洗设备产品等。公司采取以销 定产的经营模式，销售业务主要通过参与客户招标取得。公司中标后，与客户洽谈合同的具体条款并最终 签定合同。公司产品定价主要依据铁路总公司的指导价，最终销售价格则由招标确定。</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其主要业务模式、结算方式和收入确认方法具体如下：</w:t>
      </w:r>
    </w:p>
    <w:p>
      <w:pPr>
        <w:pStyle w:val="Style14"/>
        <w:keepNext w:val="0"/>
        <w:keepLines w:val="0"/>
        <w:widowControl w:val="0"/>
        <w:numPr>
          <w:ilvl w:val="0"/>
          <w:numId w:val="83"/>
        </w:numPr>
        <w:shd w:val="clear" w:color="auto" w:fill="auto"/>
        <w:tabs>
          <w:tab w:pos="788" w:val="left"/>
        </w:tabs>
        <w:bidi w:val="0"/>
        <w:spacing w:before="0" w:after="0" w:line="313" w:lineRule="exact"/>
        <w:ind w:left="0" w:right="0" w:firstLine="440"/>
        <w:jc w:val="both"/>
        <w:rPr>
          <w:sz w:val="20"/>
          <w:szCs w:val="20"/>
        </w:rPr>
      </w:pPr>
      <w:bookmarkStart w:id="1119" w:name="bookmark1119"/>
      <w:bookmarkEnd w:id="1119"/>
      <w:r>
        <w:rPr>
          <w:color w:val="000000"/>
          <w:spacing w:val="0"/>
          <w:w w:val="100"/>
          <w:position w:val="0"/>
          <w:sz w:val="20"/>
          <w:szCs w:val="20"/>
        </w:rPr>
        <w:t>对于不需要安装调试的铁路方面产品、电源维护测试产品和其它产品按普通商品销售原则核算，于 客户收到发出产品且公司取得收款的权利时确认收入。</w:t>
      </w:r>
    </w:p>
    <w:p>
      <w:pPr>
        <w:pStyle w:val="Style14"/>
        <w:keepNext w:val="0"/>
        <w:keepLines w:val="0"/>
        <w:widowControl w:val="0"/>
        <w:numPr>
          <w:ilvl w:val="0"/>
          <w:numId w:val="83"/>
        </w:numPr>
        <w:shd w:val="clear" w:color="auto" w:fill="auto"/>
        <w:tabs>
          <w:tab w:pos="788" w:val="left"/>
        </w:tabs>
        <w:bidi w:val="0"/>
        <w:spacing w:before="0" w:after="0" w:line="313" w:lineRule="exact"/>
        <w:ind w:left="0" w:right="0" w:firstLine="440"/>
        <w:jc w:val="both"/>
        <w:rPr>
          <w:sz w:val="20"/>
          <w:szCs w:val="20"/>
        </w:rPr>
      </w:pPr>
      <w:bookmarkStart w:id="1120" w:name="bookmark1120"/>
      <w:bookmarkEnd w:id="1120"/>
      <w:r>
        <w:rPr>
          <w:color w:val="000000"/>
          <w:spacing w:val="0"/>
          <w:w w:val="100"/>
          <w:position w:val="0"/>
          <w:sz w:val="20"/>
          <w:szCs w:val="20"/>
        </w:rPr>
        <w:t>对于铁路通信信号和铁路运输调度指挥管理领域的集成产品，公司销售环节和业务流程主要为：签 订销售合同一组织设计生产一产品发送到现场一进行配线安装一进行站机调试。该类产品在同时具备以下 条件时确认收入：</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已与委托方签订销售合同；</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站机已调试完成；</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销售发票已开具给委托方；</w:t>
      </w: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收到 全部合同价款或已收到部分价款但已约定剩余款项的付款计划。</w:t>
      </w:r>
    </w:p>
    <w:p>
      <w:pPr>
        <w:pStyle w:val="Style14"/>
        <w:keepNext w:val="0"/>
        <w:keepLines w:val="0"/>
        <w:widowControl w:val="0"/>
        <w:numPr>
          <w:ilvl w:val="0"/>
          <w:numId w:val="83"/>
        </w:numPr>
        <w:shd w:val="clear" w:color="auto" w:fill="auto"/>
        <w:tabs>
          <w:tab w:pos="788" w:val="left"/>
        </w:tabs>
        <w:bidi w:val="0"/>
        <w:spacing w:before="0" w:after="0" w:line="313" w:lineRule="exact"/>
        <w:ind w:left="0" w:right="0" w:firstLine="440"/>
        <w:jc w:val="both"/>
        <w:rPr>
          <w:sz w:val="20"/>
          <w:szCs w:val="20"/>
        </w:rPr>
      </w:pPr>
      <w:bookmarkStart w:id="1121" w:name="bookmark1121"/>
      <w:bookmarkEnd w:id="1121"/>
      <w:r>
        <w:rPr>
          <w:color w:val="000000"/>
          <w:spacing w:val="0"/>
          <w:w w:val="100"/>
          <w:position w:val="0"/>
          <w:sz w:val="20"/>
          <w:szCs w:val="20"/>
        </w:rPr>
        <w:t>对于软件产品，如果属于集成产品的组成部分，软件产品随同集成产品确认收入；如果属于客户单 独购买的软件，于软件发出给客户经验收合格并取得收取货款的权利时确认收入。</w:t>
      </w:r>
    </w:p>
    <w:p>
      <w:pPr>
        <w:pStyle w:val="Style14"/>
        <w:keepNext w:val="0"/>
        <w:keepLines w:val="0"/>
        <w:widowControl w:val="0"/>
        <w:shd w:val="clear" w:color="auto" w:fill="auto"/>
        <w:tabs>
          <w:tab w:pos="906" w:val="left"/>
        </w:tabs>
        <w:bidi w:val="0"/>
        <w:spacing w:before="0" w:after="0" w:line="313" w:lineRule="exact"/>
        <w:ind w:left="0" w:right="0" w:firstLine="440"/>
        <w:jc w:val="left"/>
        <w:rPr>
          <w:sz w:val="20"/>
          <w:szCs w:val="20"/>
        </w:rPr>
      </w:pPr>
      <w:bookmarkStart w:id="1122" w:name="bookmark1122"/>
      <w:r>
        <w:rPr>
          <w:b/>
          <w:bCs/>
          <w:color w:val="000000"/>
          <w:spacing w:val="0"/>
          <w:w w:val="100"/>
          <w:position w:val="0"/>
          <w:sz w:val="20"/>
          <w:szCs w:val="20"/>
        </w:rPr>
        <w:t>（</w:t>
      </w:r>
      <w:bookmarkEnd w:id="112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特定交易的收入处理原则</w:t>
      </w:r>
    </w:p>
    <w:p>
      <w:pPr>
        <w:pStyle w:val="Style14"/>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附有质量保证条款的合同</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评估该质量保证是否在向客户保证所销售商品符合既定标准之外提供了一项单独的服务。公司提供额 外服务的，则作为单项履约义务，按照收入准则规定进行会计处理；否则，质量保证责任按照或有事项的 会计准则规定进行会计处理。</w:t>
      </w:r>
    </w:p>
    <w:p>
      <w:pPr>
        <w:pStyle w:val="Style33"/>
        <w:keepNext/>
        <w:keepLines/>
        <w:widowControl w:val="0"/>
        <w:shd w:val="clear" w:color="auto" w:fill="auto"/>
        <w:bidi w:val="0"/>
        <w:spacing w:before="0" w:after="280" w:line="314" w:lineRule="exact"/>
        <w:ind w:left="0" w:right="0" w:firstLine="0"/>
        <w:jc w:val="both"/>
      </w:pPr>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31</w:t>
      </w:r>
      <w:r>
        <w:rPr>
          <w:color w:val="000000"/>
          <w:spacing w:val="0"/>
          <w:w w:val="100"/>
          <w:position w:val="0"/>
        </w:rPr>
        <w:t>、政府补助</w:t>
      </w:r>
      <w:bookmarkEnd w:id="1123"/>
      <w:bookmarkEnd w:id="1124"/>
      <w:bookmarkEnd w:id="1125"/>
    </w:p>
    <w:p>
      <w:pPr>
        <w:pStyle w:val="Style33"/>
        <w:keepNext/>
        <w:keepLines/>
        <w:widowControl w:val="0"/>
        <w:shd w:val="clear" w:color="auto" w:fill="auto"/>
        <w:tabs>
          <w:tab w:pos="922" w:val="left"/>
        </w:tabs>
        <w:bidi w:val="0"/>
        <w:spacing w:before="0" w:after="0" w:line="314" w:lineRule="exact"/>
        <w:ind w:left="0" w:right="0" w:firstLine="440"/>
        <w:jc w:val="both"/>
      </w:pPr>
      <w:bookmarkStart w:id="1123" w:name="bookmark1123"/>
      <w:bookmarkStart w:id="1124" w:name="bookmark1124"/>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1123"/>
      <w:bookmarkEnd w:id="1124"/>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政府补助，是本公司从政府无偿取得的货币性资产与非货币性资产。根据相关政府文件规定的补助对 象，将政府补助划分为与资产相关的政府补助和与收益相关的政府补助。</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与资产相关的政府补助，是指本公司取得的、用于购建或以其他方式形成长期资产的政府补助。与收 益相关的政府补助，是指除与资产相关的政府补助之外的政府补助。</w:t>
      </w:r>
    </w:p>
    <w:p>
      <w:pPr>
        <w:pStyle w:val="Style14"/>
        <w:keepNext w:val="0"/>
        <w:keepLines w:val="0"/>
        <w:widowControl w:val="0"/>
        <w:shd w:val="clear" w:color="auto" w:fill="auto"/>
        <w:tabs>
          <w:tab w:pos="922" w:val="left"/>
        </w:tabs>
        <w:bidi w:val="0"/>
        <w:spacing w:before="0" w:after="0" w:line="314" w:lineRule="exact"/>
        <w:ind w:left="0" w:right="0" w:firstLine="440"/>
        <w:jc w:val="both"/>
        <w:rPr>
          <w:sz w:val="20"/>
          <w:szCs w:val="20"/>
        </w:rPr>
      </w:pPr>
      <w:bookmarkStart w:id="1127" w:name="bookmark1127"/>
      <w:r>
        <w:rPr>
          <w:b/>
          <w:bCs/>
          <w:color w:val="000000"/>
          <w:spacing w:val="0"/>
          <w:w w:val="100"/>
          <w:position w:val="0"/>
          <w:sz w:val="20"/>
          <w:szCs w:val="20"/>
        </w:rPr>
        <w:t>（</w:t>
      </w:r>
      <w:bookmarkEnd w:id="112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政府补助的确认</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对期末有证据表明公司能够符合财政扶持政策规定的相关条件且预计能够收到财政扶持资金的，按应 收金额确认政府补助。除此之外，政府补助均在实际收到时确认。</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元）计量。按照名义金额计量的政府补助， 直接计入当期损益。</w:t>
      </w:r>
    </w:p>
    <w:p>
      <w:pPr>
        <w:pStyle w:val="Style14"/>
        <w:keepNext w:val="0"/>
        <w:keepLines w:val="0"/>
        <w:widowControl w:val="0"/>
        <w:shd w:val="clear" w:color="auto" w:fill="auto"/>
        <w:tabs>
          <w:tab w:pos="922" w:val="left"/>
        </w:tabs>
        <w:bidi w:val="0"/>
        <w:spacing w:before="0" w:after="0" w:line="314" w:lineRule="exact"/>
        <w:ind w:left="0" w:right="0" w:firstLine="440"/>
        <w:jc w:val="both"/>
        <w:rPr>
          <w:sz w:val="20"/>
          <w:szCs w:val="20"/>
        </w:rPr>
      </w:pPr>
      <w:bookmarkStart w:id="1128" w:name="bookmark1128"/>
      <w:r>
        <w:rPr>
          <w:b/>
          <w:bCs/>
          <w:color w:val="000000"/>
          <w:spacing w:val="0"/>
          <w:w w:val="100"/>
          <w:position w:val="0"/>
          <w:sz w:val="20"/>
          <w:szCs w:val="20"/>
        </w:rPr>
        <w:t>（</w:t>
      </w:r>
      <w:bookmarkEnd w:id="112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会计处理方法</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与资产相关的政府补助确认为递延收益的，在所建造或购买资产使用寿命内按照合理、系统的方法分 期计入损益。</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与企业日常活动相关的政府补助计入其他收益或冲减相关成本费用；与企业日常活动无关的政府补助 计入营业外收支。</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14"/>
        <w:keepNext w:val="0"/>
        <w:keepLines w:val="0"/>
        <w:widowControl w:val="0"/>
        <w:shd w:val="clear" w:color="auto" w:fill="auto"/>
        <w:bidi w:val="0"/>
        <w:spacing w:before="0" w:after="920" w:line="314" w:lineRule="exact"/>
        <w:ind w:left="0" w:right="0" w:firstLine="440"/>
        <w:jc w:val="both"/>
        <w:rPr>
          <w:sz w:val="20"/>
          <w:szCs w:val="20"/>
        </w:rPr>
      </w:pPr>
      <w:r>
        <w:rPr>
          <w:color w:val="000000"/>
          <w:spacing w:val="0"/>
          <w:w w:val="100"/>
          <w:position w:val="0"/>
          <w:sz w:val="20"/>
          <w:szCs w:val="2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3"/>
        <w:keepNext/>
        <w:keepLines/>
        <w:widowControl w:val="0"/>
        <w:shd w:val="clear" w:color="auto" w:fill="auto"/>
        <w:bidi w:val="0"/>
        <w:spacing w:before="0" w:after="280" w:line="312" w:lineRule="exact"/>
        <w:ind w:left="0" w:right="0" w:firstLine="0"/>
        <w:jc w:val="both"/>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9"/>
      <w:bookmarkEnd w:id="1130"/>
      <w:bookmarkEnd w:id="1131"/>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暂时性差异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 确认。于资产负债表日，递延所得税资产和递延所得税负债，按照预期收回该资产或清偿该负债期间的适 用税率计量。</w:t>
      </w:r>
    </w:p>
    <w:p>
      <w:pPr>
        <w:pStyle w:val="Style14"/>
        <w:keepNext w:val="0"/>
        <w:keepLines w:val="0"/>
        <w:widowControl w:val="0"/>
        <w:shd w:val="clear" w:color="auto" w:fill="auto"/>
        <w:bidi w:val="0"/>
        <w:spacing w:before="0" w:after="0" w:line="312" w:lineRule="exact"/>
        <w:ind w:left="0" w:right="0" w:firstLine="440"/>
        <w:jc w:val="both"/>
        <w:rPr>
          <w:sz w:val="20"/>
          <w:szCs w:val="20"/>
        </w:rPr>
      </w:pPr>
      <w:bookmarkStart w:id="1132" w:name="bookmark1132"/>
      <w:r>
        <w:rPr>
          <w:b/>
          <w:bCs/>
          <w:color w:val="000000"/>
          <w:spacing w:val="0"/>
          <w:w w:val="100"/>
          <w:position w:val="0"/>
          <w:sz w:val="20"/>
          <w:szCs w:val="20"/>
        </w:rPr>
        <w:t>（</w:t>
      </w:r>
      <w:bookmarkEnd w:id="113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）确认递延所得税资产的依据</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产或负债的初始确认所产生的递延所得税资产不予确认：①该交易不是企业合并；②交易发生时既不影响 会计利润也不影响应纳税所得额或可抵扣亏损。</w:t>
      </w:r>
    </w:p>
    <w:p>
      <w:pPr>
        <w:pStyle w:val="Style14"/>
        <w:keepNext w:val="0"/>
        <w:keepLines w:val="0"/>
        <w:widowControl w:val="0"/>
        <w:shd w:val="clear" w:color="auto" w:fill="auto"/>
        <w:bidi w:val="0"/>
        <w:spacing w:before="0" w:after="140" w:line="312" w:lineRule="exact"/>
        <w:ind w:left="0" w:right="0" w:firstLine="440"/>
        <w:jc w:val="both"/>
        <w:rPr>
          <w:sz w:val="20"/>
          <w:szCs w:val="20"/>
        </w:rPr>
      </w:pPr>
      <w:r>
        <w:rPr>
          <w:color w:val="000000"/>
          <w:spacing w:val="0"/>
          <w:w w:val="100"/>
          <w:position w:val="0"/>
          <w:sz w:val="20"/>
          <w:szCs w:val="2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14"/>
        <w:keepNext w:val="0"/>
        <w:keepLines w:val="0"/>
        <w:widowControl w:val="0"/>
        <w:shd w:val="clear" w:color="auto" w:fill="auto"/>
        <w:bidi w:val="0"/>
        <w:spacing w:before="0" w:after="0" w:line="317" w:lineRule="exact"/>
        <w:ind w:left="0" w:right="0" w:firstLine="440"/>
        <w:jc w:val="left"/>
        <w:rPr>
          <w:sz w:val="20"/>
          <w:szCs w:val="20"/>
        </w:rPr>
      </w:pPr>
      <w:bookmarkStart w:id="1133" w:name="bookmark1133"/>
      <w:r>
        <w:rPr>
          <w:b/>
          <w:bCs/>
          <w:color w:val="000000"/>
          <w:spacing w:val="0"/>
          <w:w w:val="100"/>
          <w:position w:val="0"/>
          <w:sz w:val="20"/>
          <w:szCs w:val="20"/>
        </w:rPr>
        <w:t>（</w:t>
      </w:r>
      <w:bookmarkEnd w:id="113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）确认递延所得税负债的依据</w:t>
      </w:r>
    </w:p>
    <w:p>
      <w:pPr>
        <w:pStyle w:val="Style14"/>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公司将当期与以前期间应交未交的应纳税暂时性差异确认为递延所得税负债。但不包括：</w:t>
      </w:r>
    </w:p>
    <w:p>
      <w:pPr>
        <w:pStyle w:val="Style14"/>
        <w:keepNext w:val="0"/>
        <w:keepLines w:val="0"/>
        <w:widowControl w:val="0"/>
        <w:numPr>
          <w:ilvl w:val="0"/>
          <w:numId w:val="85"/>
        </w:numPr>
        <w:shd w:val="clear" w:color="auto" w:fill="auto"/>
        <w:tabs>
          <w:tab w:pos="832" w:val="left"/>
        </w:tabs>
        <w:bidi w:val="0"/>
        <w:spacing w:before="0" w:after="0" w:line="317" w:lineRule="exact"/>
        <w:ind w:left="0" w:right="0" w:firstLine="440"/>
        <w:jc w:val="left"/>
        <w:rPr>
          <w:sz w:val="20"/>
          <w:szCs w:val="20"/>
        </w:rPr>
      </w:pPr>
      <w:bookmarkStart w:id="1134" w:name="bookmark1134"/>
      <w:bookmarkEnd w:id="1134"/>
      <w:r>
        <w:rPr>
          <w:color w:val="000000"/>
          <w:spacing w:val="0"/>
          <w:w w:val="100"/>
          <w:position w:val="0"/>
          <w:sz w:val="20"/>
          <w:szCs w:val="20"/>
        </w:rPr>
        <w:t>商誉的初始确认所形成的暂时性差异；</w:t>
      </w:r>
    </w:p>
    <w:p>
      <w:pPr>
        <w:pStyle w:val="Style14"/>
        <w:keepNext w:val="0"/>
        <w:keepLines w:val="0"/>
        <w:widowControl w:val="0"/>
        <w:numPr>
          <w:ilvl w:val="0"/>
          <w:numId w:val="85"/>
        </w:numPr>
        <w:shd w:val="clear" w:color="auto" w:fill="auto"/>
        <w:tabs>
          <w:tab w:pos="704" w:val="left"/>
        </w:tabs>
        <w:bidi w:val="0"/>
        <w:spacing w:before="0" w:after="0" w:line="317" w:lineRule="exact"/>
        <w:ind w:left="0" w:right="0" w:firstLine="440"/>
        <w:jc w:val="both"/>
        <w:rPr>
          <w:sz w:val="20"/>
          <w:szCs w:val="20"/>
        </w:rPr>
      </w:pPr>
      <w:bookmarkStart w:id="1135" w:name="bookmark1135"/>
      <w:bookmarkEnd w:id="1135"/>
      <w:r>
        <w:rPr>
          <w:color w:val="000000"/>
          <w:spacing w:val="0"/>
          <w:w w:val="100"/>
          <w:position w:val="0"/>
          <w:sz w:val="20"/>
          <w:szCs w:val="20"/>
        </w:rPr>
        <w:t>非企业合并形成的交易或事项，且该交易或事项发生时既不影响会计利润，也不影响应纳税所得额 （或可抵扣亏损）所形成的暂时性差异；</w:t>
      </w:r>
    </w:p>
    <w:p>
      <w:pPr>
        <w:pStyle w:val="Style14"/>
        <w:keepNext w:val="0"/>
        <w:keepLines w:val="0"/>
        <w:widowControl w:val="0"/>
        <w:numPr>
          <w:ilvl w:val="0"/>
          <w:numId w:val="85"/>
        </w:numPr>
        <w:shd w:val="clear" w:color="auto" w:fill="auto"/>
        <w:tabs>
          <w:tab w:pos="805" w:val="left"/>
        </w:tabs>
        <w:bidi w:val="0"/>
        <w:spacing w:before="0" w:after="920" w:line="317" w:lineRule="exact"/>
        <w:ind w:left="0" w:right="0" w:firstLine="440"/>
        <w:jc w:val="both"/>
        <w:rPr>
          <w:sz w:val="20"/>
          <w:szCs w:val="20"/>
        </w:rPr>
      </w:pPr>
      <w:bookmarkStart w:id="1136" w:name="bookmark1136"/>
      <w:bookmarkEnd w:id="1136"/>
      <w:r>
        <w:rPr>
          <w:color w:val="000000"/>
          <w:spacing w:val="0"/>
          <w:w w:val="100"/>
          <w:position w:val="0"/>
          <w:sz w:val="20"/>
          <w:szCs w:val="20"/>
        </w:rPr>
        <w:t>对于与子公司、联营企业投资相关的应纳税暂时性差异，该暂时性差异转回的时间能够控制并且该 暂时性差异在可预见的未来很可能不会转回。</w:t>
      </w:r>
    </w:p>
    <w:p>
      <w:pPr>
        <w:pStyle w:val="Style33"/>
        <w:keepNext/>
        <w:keepLines/>
        <w:widowControl w:val="0"/>
        <w:shd w:val="clear" w:color="auto" w:fill="auto"/>
        <w:bidi w:val="0"/>
        <w:spacing w:before="0" w:after="280" w:line="314" w:lineRule="exact"/>
        <w:ind w:left="0" w:right="0" w:firstLine="0"/>
        <w:jc w:val="left"/>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33</w:t>
      </w:r>
      <w:r>
        <w:rPr>
          <w:color w:val="000000"/>
          <w:spacing w:val="0"/>
          <w:w w:val="100"/>
          <w:position w:val="0"/>
        </w:rPr>
        <w:t>、租赁</w:t>
      </w:r>
      <w:bookmarkEnd w:id="1137"/>
      <w:bookmarkEnd w:id="1138"/>
      <w:bookmarkEnd w:id="1139"/>
    </w:p>
    <w:p>
      <w:pPr>
        <w:pStyle w:val="Style47"/>
        <w:keepNext/>
        <w:keepLines/>
        <w:widowControl w:val="0"/>
        <w:shd w:val="clear" w:color="auto" w:fill="auto"/>
        <w:bidi w:val="0"/>
        <w:spacing w:before="0" w:after="280" w:line="314" w:lineRule="exact"/>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40"/>
      <w:bookmarkEnd w:id="1141"/>
      <w:bookmarkEnd w:id="1143"/>
    </w:p>
    <w:p>
      <w:pPr>
        <w:pStyle w:val="Style14"/>
        <w:keepNext w:val="0"/>
        <w:keepLines w:val="0"/>
        <w:widowControl w:val="0"/>
        <w:shd w:val="clear" w:color="auto" w:fill="auto"/>
        <w:bidi w:val="0"/>
        <w:spacing w:before="0" w:after="920" w:line="314" w:lineRule="exact"/>
        <w:ind w:left="0" w:right="0" w:firstLine="440"/>
        <w:jc w:val="both"/>
        <w:rPr>
          <w:sz w:val="20"/>
          <w:szCs w:val="20"/>
        </w:rPr>
      </w:pPr>
      <w:r>
        <w:rPr>
          <w:color w:val="000000"/>
          <w:spacing w:val="0"/>
          <w:w w:val="100"/>
          <w:position w:val="0"/>
          <w:sz w:val="20"/>
          <w:szCs w:val="2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47"/>
        <w:keepNext/>
        <w:keepLines/>
        <w:widowControl w:val="0"/>
        <w:shd w:val="clear" w:color="auto" w:fill="auto"/>
        <w:bidi w:val="0"/>
        <w:spacing w:before="0" w:after="280" w:line="312" w:lineRule="exact"/>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44"/>
      <w:bookmarkEnd w:id="1145"/>
      <w:bookmarkEnd w:id="1147"/>
    </w:p>
    <w:p>
      <w:pPr>
        <w:pStyle w:val="Style14"/>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在租赁期开始日，本公司对融资租赁确认应收融资租赁款，并终止确认融资租赁资产。</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应收融资租赁款初始计量时，以未担保余值和租赁期开始日尚未收到的租赁收款额按照租赁内含利率 折现的现值之和作为应收融资租赁款的入账价值。租赁收款额包括：</w:t>
      </w:r>
    </w:p>
    <w:p>
      <w:pPr>
        <w:pStyle w:val="Style14"/>
        <w:keepNext w:val="0"/>
        <w:keepLines w:val="0"/>
        <w:widowControl w:val="0"/>
        <w:numPr>
          <w:ilvl w:val="0"/>
          <w:numId w:val="87"/>
        </w:numPr>
        <w:shd w:val="clear" w:color="auto" w:fill="auto"/>
        <w:tabs>
          <w:tab w:pos="832" w:val="left"/>
        </w:tabs>
        <w:bidi w:val="0"/>
        <w:spacing w:before="0" w:after="0" w:line="312" w:lineRule="exact"/>
        <w:ind w:left="0" w:right="0" w:firstLine="440"/>
        <w:jc w:val="left"/>
        <w:rPr>
          <w:sz w:val="20"/>
          <w:szCs w:val="20"/>
        </w:rPr>
      </w:pPr>
      <w:bookmarkStart w:id="1148" w:name="bookmark1148"/>
      <w:bookmarkEnd w:id="1148"/>
      <w:r>
        <w:rPr>
          <w:color w:val="000000"/>
          <w:spacing w:val="0"/>
          <w:w w:val="100"/>
          <w:position w:val="0"/>
          <w:sz w:val="20"/>
          <w:szCs w:val="20"/>
        </w:rPr>
        <w:t>扣除租赁激励相关金额后的固定付款额及实质固定付款额；</w:t>
      </w:r>
    </w:p>
    <w:p>
      <w:pPr>
        <w:pStyle w:val="Style14"/>
        <w:keepNext w:val="0"/>
        <w:keepLines w:val="0"/>
        <w:widowControl w:val="0"/>
        <w:numPr>
          <w:ilvl w:val="0"/>
          <w:numId w:val="87"/>
        </w:numPr>
        <w:shd w:val="clear" w:color="auto" w:fill="auto"/>
        <w:tabs>
          <w:tab w:pos="837" w:val="left"/>
        </w:tabs>
        <w:bidi w:val="0"/>
        <w:spacing w:before="0" w:after="0" w:line="312" w:lineRule="exact"/>
        <w:ind w:left="0" w:right="0" w:firstLine="440"/>
        <w:jc w:val="left"/>
        <w:rPr>
          <w:sz w:val="20"/>
          <w:szCs w:val="20"/>
        </w:rPr>
      </w:pPr>
      <w:bookmarkStart w:id="1149" w:name="bookmark1149"/>
      <w:bookmarkEnd w:id="1149"/>
      <w:r>
        <w:rPr>
          <w:color w:val="000000"/>
          <w:spacing w:val="0"/>
          <w:w w:val="100"/>
          <w:position w:val="0"/>
          <w:sz w:val="20"/>
          <w:szCs w:val="20"/>
        </w:rPr>
        <w:t>取决于指数或比率的可变租赁付款额；</w:t>
      </w:r>
    </w:p>
    <w:p>
      <w:pPr>
        <w:pStyle w:val="Style14"/>
        <w:keepNext w:val="0"/>
        <w:keepLines w:val="0"/>
        <w:widowControl w:val="0"/>
        <w:numPr>
          <w:ilvl w:val="0"/>
          <w:numId w:val="87"/>
        </w:numPr>
        <w:shd w:val="clear" w:color="auto" w:fill="auto"/>
        <w:tabs>
          <w:tab w:pos="837" w:val="left"/>
        </w:tabs>
        <w:bidi w:val="0"/>
        <w:spacing w:before="0" w:after="0" w:line="312" w:lineRule="exact"/>
        <w:ind w:left="0" w:right="0" w:firstLine="440"/>
        <w:jc w:val="left"/>
        <w:rPr>
          <w:sz w:val="20"/>
          <w:szCs w:val="20"/>
        </w:rPr>
      </w:pPr>
      <w:bookmarkStart w:id="1150" w:name="bookmark1150"/>
      <w:bookmarkEnd w:id="1150"/>
      <w:r>
        <w:rPr>
          <w:color w:val="000000"/>
          <w:spacing w:val="0"/>
          <w:w w:val="100"/>
          <w:position w:val="0"/>
          <w:sz w:val="20"/>
          <w:szCs w:val="20"/>
        </w:rPr>
        <w:t>合理确定承租人将行使购买选择权的情况下，租赁收款额包括购买选择权的行权价格；</w:t>
      </w:r>
    </w:p>
    <w:p>
      <w:pPr>
        <w:pStyle w:val="Style14"/>
        <w:keepNext w:val="0"/>
        <w:keepLines w:val="0"/>
        <w:widowControl w:val="0"/>
        <w:numPr>
          <w:ilvl w:val="0"/>
          <w:numId w:val="87"/>
        </w:numPr>
        <w:shd w:val="clear" w:color="auto" w:fill="auto"/>
        <w:tabs>
          <w:tab w:pos="805" w:val="left"/>
        </w:tabs>
        <w:bidi w:val="0"/>
        <w:spacing w:before="0" w:after="0" w:line="312" w:lineRule="exact"/>
        <w:ind w:left="0" w:right="0" w:firstLine="440"/>
        <w:jc w:val="both"/>
        <w:rPr>
          <w:sz w:val="20"/>
          <w:szCs w:val="20"/>
        </w:rPr>
      </w:pPr>
      <w:bookmarkStart w:id="1151" w:name="bookmark1151"/>
      <w:bookmarkEnd w:id="1151"/>
      <w:r>
        <w:rPr>
          <w:color w:val="000000"/>
          <w:spacing w:val="0"/>
          <w:w w:val="100"/>
          <w:position w:val="0"/>
          <w:sz w:val="20"/>
          <w:szCs w:val="20"/>
        </w:rPr>
        <w:t>租赁期反映出承租人将行使终止租赁选择权的情况下，租赁收款额包括承租人行使终止租赁选择权 需支付的款项；</w:t>
      </w:r>
    </w:p>
    <w:p>
      <w:pPr>
        <w:pStyle w:val="Style14"/>
        <w:keepNext w:val="0"/>
        <w:keepLines w:val="0"/>
        <w:widowControl w:val="0"/>
        <w:numPr>
          <w:ilvl w:val="0"/>
          <w:numId w:val="87"/>
        </w:numPr>
        <w:shd w:val="clear" w:color="auto" w:fill="auto"/>
        <w:tabs>
          <w:tab w:pos="814" w:val="left"/>
        </w:tabs>
        <w:bidi w:val="0"/>
        <w:spacing w:before="0" w:after="0" w:line="312" w:lineRule="exact"/>
        <w:ind w:left="0" w:right="0" w:firstLine="440"/>
        <w:jc w:val="both"/>
        <w:rPr>
          <w:sz w:val="20"/>
          <w:szCs w:val="20"/>
        </w:rPr>
      </w:pPr>
      <w:bookmarkStart w:id="1152" w:name="bookmark1152"/>
      <w:bookmarkEnd w:id="1152"/>
      <w:r>
        <w:rPr>
          <w:color w:val="000000"/>
          <w:spacing w:val="0"/>
          <w:w w:val="100"/>
          <w:position w:val="0"/>
          <w:sz w:val="20"/>
          <w:szCs w:val="20"/>
        </w:rPr>
        <w:t>由承租人、与承租人有关的一方以及有经济能力履行担保义务的独立第三方向出租人提供的担保余 值。</w:t>
      </w:r>
    </w:p>
    <w:p>
      <w:pPr>
        <w:pStyle w:val="Style14"/>
        <w:keepNext w:val="0"/>
        <w:keepLines w:val="0"/>
        <w:widowControl w:val="0"/>
        <w:shd w:val="clear" w:color="auto" w:fill="auto"/>
        <w:bidi w:val="0"/>
        <w:spacing w:before="0" w:after="680" w:line="312" w:lineRule="exact"/>
        <w:ind w:left="0" w:right="0" w:firstLine="440"/>
        <w:jc w:val="both"/>
        <w:rPr>
          <w:sz w:val="20"/>
          <w:szCs w:val="20"/>
        </w:rPr>
      </w:pPr>
      <w:r>
        <w:rPr>
          <w:color w:val="000000"/>
          <w:spacing w:val="0"/>
          <w:w w:val="100"/>
          <w:position w:val="0"/>
          <w:sz w:val="20"/>
          <w:szCs w:val="20"/>
        </w:rPr>
        <w:t>本公司按照固定的租赁内含利率计算并确认租赁期内各个期间的利息收入，所取得的未纳入租赁投资 净额计量的可变租赁付款额在实际发生时计入当期损益。</w:t>
      </w:r>
    </w:p>
    <w:p>
      <w:pPr>
        <w:pStyle w:val="Style33"/>
        <w:keepNext/>
        <w:keepLines/>
        <w:widowControl w:val="0"/>
        <w:shd w:val="clear" w:color="auto" w:fill="auto"/>
        <w:bidi w:val="0"/>
        <w:spacing w:before="0" w:after="360" w:line="240" w:lineRule="auto"/>
        <w:ind w:left="0" w:right="0" w:firstLine="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34</w:t>
      </w:r>
      <w:r>
        <w:rPr>
          <w:color w:val="000000"/>
          <w:spacing w:val="0"/>
          <w:w w:val="100"/>
          <w:position w:val="0"/>
        </w:rPr>
        <w:t>、重要会计政策和会计估计变更</w:t>
      </w:r>
      <w:bookmarkEnd w:id="1153"/>
      <w:bookmarkEnd w:id="1154"/>
      <w:bookmarkEnd w:id="1155"/>
    </w:p>
    <w:p>
      <w:pPr>
        <w:pStyle w:val="Style47"/>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6"/>
      <w:bookmarkEnd w:id="1157"/>
      <w:bookmarkEnd w:id="115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执行新租赁准则对本报告期内财务报表无重大影响。</w:t>
      </w:r>
    </w:p>
    <w:p>
      <w:pPr>
        <w:widowControl w:val="0"/>
        <w:spacing w:after="279" w:line="1" w:lineRule="exact"/>
      </w:pPr>
    </w:p>
    <w:p>
      <w:pPr>
        <w:pStyle w:val="Style47"/>
        <w:keepNext/>
        <w:keepLines/>
        <w:widowControl w:val="0"/>
        <w:shd w:val="clear" w:color="auto" w:fill="auto"/>
        <w:tabs>
          <w:tab w:pos="493" w:val="left"/>
        </w:tabs>
        <w:bidi w:val="0"/>
        <w:spacing w:before="0" w:after="400" w:line="317" w:lineRule="exact"/>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60"/>
      <w:bookmarkEnd w:id="1161"/>
      <w:bookmarkEnd w:id="1163"/>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400" w:line="317" w:lineRule="exact"/>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64"/>
      <w:bookmarkEnd w:id="1165"/>
      <w:bookmarkEnd w:id="116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不需要调整年初资产负债表科目的原因说明</w:t>
      </w:r>
    </w:p>
    <w:p>
      <w:pPr>
        <w:pStyle w:val="Style14"/>
        <w:keepNext w:val="0"/>
        <w:keepLines w:val="0"/>
        <w:widowControl w:val="0"/>
        <w:shd w:val="clear" w:color="auto" w:fill="auto"/>
        <w:bidi w:val="0"/>
        <w:spacing w:before="0" w:after="280" w:line="307" w:lineRule="exact"/>
        <w:ind w:left="0" w:right="0" w:firstLine="440"/>
        <w:jc w:val="left"/>
        <w:rPr>
          <w:sz w:val="20"/>
          <w:szCs w:val="20"/>
        </w:rPr>
      </w:pPr>
      <w:r>
        <w:rPr>
          <w:color w:val="000000"/>
          <w:spacing w:val="0"/>
          <w:w w:val="100"/>
          <w:position w:val="0"/>
          <w:sz w:val="20"/>
          <w:szCs w:val="20"/>
        </w:rPr>
        <w:t>在首次执行日，本公司选择不重新评估此前已存在的合同是否为租赁或是否包含租赁，并将此方法一 致应用于所有合同，因此仅对上述在原租赁准则下识别为租赁的合同采用本准则衔接规定。</w:t>
      </w:r>
    </w:p>
    <w:p>
      <w:pPr>
        <w:pStyle w:val="Style47"/>
        <w:keepNext/>
        <w:keepLines/>
        <w:widowControl w:val="0"/>
        <w:shd w:val="clear" w:color="auto" w:fill="auto"/>
        <w:tabs>
          <w:tab w:pos="493" w:val="left"/>
        </w:tabs>
        <w:bidi w:val="0"/>
        <w:spacing w:before="0" w:after="400" w:line="317" w:lineRule="exact"/>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68"/>
      <w:bookmarkEnd w:id="1169"/>
      <w:bookmarkEnd w:id="117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本公司对上述租赁合同选择按照《企业会计准则第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号——会计政策、会计估计变更和差错更正》的 规定采用追溯调整法处理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选择采用简化的追溯调整法进行衔接会计处理，即调整首次执行本准则当年年初 留存收益及财务报表其他相关项目金额，不调整可比期间信息，并对其中的经营租赁根据每项租赁选择使 用权资产计量方法和采用相关简化处理。</w:t>
      </w:r>
    </w:p>
    <w:p>
      <w:pPr>
        <w:pStyle w:val="Style14"/>
        <w:keepNext w:val="0"/>
        <w:keepLines w:val="0"/>
        <w:widowControl w:val="0"/>
        <w:shd w:val="clear" w:color="auto" w:fill="auto"/>
        <w:bidi w:val="0"/>
        <w:spacing w:before="0" w:after="660" w:line="317" w:lineRule="exact"/>
        <w:ind w:left="0" w:right="0" w:firstLine="440"/>
        <w:jc w:val="both"/>
        <w:rPr>
          <w:sz w:val="20"/>
          <w:szCs w:val="20"/>
        </w:rPr>
      </w:pPr>
      <w:r>
        <w:rPr>
          <w:color w:val="000000"/>
          <w:spacing w:val="0"/>
          <w:w w:val="100"/>
          <w:position w:val="0"/>
          <w:sz w:val="20"/>
          <w:szCs w:val="2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33"/>
        <w:keepNext/>
        <w:keepLines/>
        <w:widowControl w:val="0"/>
        <w:shd w:val="clear" w:color="auto" w:fill="auto"/>
        <w:bidi w:val="0"/>
        <w:spacing w:before="0" w:after="28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35</w:t>
      </w:r>
      <w:r>
        <w:rPr>
          <w:color w:val="000000"/>
          <w:spacing w:val="0"/>
          <w:w w:val="100"/>
          <w:position w:val="0"/>
        </w:rPr>
        <w:t>、其他</w:t>
      </w:r>
      <w:bookmarkEnd w:id="1172"/>
      <w:bookmarkEnd w:id="1173"/>
      <w:bookmarkEnd w:id="1174"/>
    </w:p>
    <w:p>
      <w:pPr>
        <w:pStyle w:val="Style33"/>
        <w:keepNext/>
        <w:keepLines/>
        <w:widowControl w:val="0"/>
        <w:shd w:val="clear" w:color="auto" w:fill="auto"/>
        <w:bidi w:val="0"/>
        <w:spacing w:before="0" w:after="0" w:line="314" w:lineRule="exact"/>
        <w:ind w:left="0" w:right="0" w:firstLine="440"/>
        <w:jc w:val="left"/>
      </w:pPr>
      <w:bookmarkStart w:id="1172" w:name="bookmark1172"/>
      <w:bookmarkStart w:id="1173" w:name="bookmark1173"/>
      <w:r>
        <w:rPr>
          <w:color w:val="000000"/>
          <w:spacing w:val="0"/>
          <w:w w:val="100"/>
          <w:position w:val="0"/>
        </w:rPr>
        <w:t>执行新的企业会计准则解释对公司的影响</w:t>
      </w:r>
      <w:bookmarkEnd w:id="1172"/>
      <w:bookmarkEnd w:id="1173"/>
    </w:p>
    <w:p>
      <w:pPr>
        <w:pStyle w:val="Style33"/>
        <w:keepNext/>
        <w:keepLines/>
        <w:widowControl w:val="0"/>
        <w:shd w:val="clear" w:color="auto" w:fill="auto"/>
        <w:tabs>
          <w:tab w:pos="933" w:val="left"/>
        </w:tabs>
        <w:bidi w:val="0"/>
        <w:spacing w:before="0" w:after="0" w:line="314" w:lineRule="exact"/>
        <w:ind w:left="0" w:right="0" w:firstLine="440"/>
        <w:jc w:val="left"/>
      </w:pPr>
      <w:bookmarkStart w:id="1172" w:name="bookmark1172"/>
      <w:bookmarkStart w:id="1173" w:name="bookmark1173"/>
      <w:bookmarkStart w:id="1175" w:name="bookmark1175"/>
      <w:r>
        <w:rPr>
          <w:color w:val="000000"/>
          <w:spacing w:val="0"/>
          <w:w w:val="100"/>
          <w:position w:val="0"/>
        </w:rPr>
        <w:t>（</w:t>
      </w:r>
      <w:bookmarkEnd w:id="1175"/>
      <w:r>
        <w:rPr>
          <w:rFonts w:ascii="Times New Roman" w:eastAsia="Times New Roman" w:hAnsi="Times New Roman" w:cs="Times New Roman"/>
          <w:color w:val="000000"/>
          <w:spacing w:val="0"/>
          <w:w w:val="100"/>
          <w:position w:val="0"/>
        </w:rPr>
        <w:t>1</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号对本公司的影响</w:t>
      </w:r>
      <w:bookmarkEnd w:id="1172"/>
      <w:bookmarkEnd w:id="1173"/>
    </w:p>
    <w:p>
      <w:pPr>
        <w:pStyle w:val="Style14"/>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日，财政部发布了《企业会计准则解释第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号》（财会〔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解释</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日起施行（以下简称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施行日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4"/>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本公司自施行日起执行解释</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号，执行解释</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号对本报告期内财务报表无重大影响。</w:t>
      </w:r>
    </w:p>
    <w:p>
      <w:pPr>
        <w:pStyle w:val="Style14"/>
        <w:keepNext w:val="0"/>
        <w:keepLines w:val="0"/>
        <w:widowControl w:val="0"/>
        <w:shd w:val="clear" w:color="auto" w:fill="auto"/>
        <w:tabs>
          <w:tab w:pos="933" w:val="left"/>
        </w:tabs>
        <w:bidi w:val="0"/>
        <w:spacing w:before="0" w:after="0" w:line="314" w:lineRule="exact"/>
        <w:ind w:left="0" w:right="0" w:firstLine="440"/>
        <w:jc w:val="left"/>
        <w:rPr>
          <w:sz w:val="20"/>
          <w:szCs w:val="20"/>
        </w:rPr>
      </w:pPr>
      <w:bookmarkStart w:id="1176" w:name="bookmark1176"/>
      <w:r>
        <w:rPr>
          <w:b/>
          <w:bCs/>
          <w:color w:val="000000"/>
          <w:spacing w:val="0"/>
          <w:w w:val="100"/>
          <w:position w:val="0"/>
          <w:sz w:val="20"/>
          <w:szCs w:val="20"/>
        </w:rPr>
        <w:t>（</w:t>
      </w:r>
      <w:bookmarkEnd w:id="117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执行企业会计准则解释第</w:t>
      </w:r>
      <w:r>
        <w:rPr>
          <w:rFonts w:ascii="Times New Roman" w:eastAsia="Times New Roman" w:hAnsi="Times New Roman" w:cs="Times New Roman"/>
          <w:b/>
          <w:bCs/>
          <w:color w:val="000000"/>
          <w:spacing w:val="0"/>
          <w:w w:val="100"/>
          <w:position w:val="0"/>
          <w:sz w:val="20"/>
          <w:szCs w:val="20"/>
        </w:rPr>
        <w:t>15</w:t>
      </w:r>
      <w:r>
        <w:rPr>
          <w:b/>
          <w:bCs/>
          <w:color w:val="000000"/>
          <w:spacing w:val="0"/>
          <w:w w:val="100"/>
          <w:position w:val="0"/>
          <w:sz w:val="20"/>
          <w:szCs w:val="20"/>
        </w:rPr>
        <w:t>号对本公司的影响</w:t>
      </w:r>
    </w:p>
    <w:p>
      <w:pPr>
        <w:pStyle w:val="Style14"/>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日，财政部发布了《企业会计准则解释第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号》（财会〔</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号，以下简称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解释 </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），于发布之日起实施。解释</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号对通过内部结算中心、财务公司等对母公司及成员单位资金实行 集中统一管理的列报进行了规范。</w:t>
      </w:r>
    </w:p>
    <w:p>
      <w:pPr>
        <w:pStyle w:val="Style14"/>
        <w:keepNext w:val="0"/>
        <w:keepLines w:val="0"/>
        <w:widowControl w:val="0"/>
        <w:shd w:val="clear" w:color="auto" w:fill="auto"/>
        <w:bidi w:val="0"/>
        <w:spacing w:before="0" w:after="220" w:line="314" w:lineRule="exact"/>
        <w:ind w:left="0" w:right="0" w:firstLine="44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日起执行解释</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号，执行解释</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号对可比期间财务报表无重大影响。</w:t>
      </w:r>
      <w:r>
        <w:br w:type="page"/>
      </w:r>
    </w:p>
    <w:p>
      <w:pPr>
        <w:pStyle w:val="Style24"/>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六</w:t>
      </w:r>
      <w:bookmarkEnd w:id="1179"/>
      <w:r>
        <w:rPr>
          <w:color w:val="000000"/>
          <w:spacing w:val="0"/>
          <w:w w:val="100"/>
          <w:position w:val="0"/>
        </w:rPr>
        <w:t>、税项</w:t>
      </w:r>
      <w:bookmarkEnd w:id="1177"/>
      <w:bookmarkEnd w:id="1178"/>
      <w:bookmarkEnd w:id="1180"/>
    </w:p>
    <w:p>
      <w:pPr>
        <w:pStyle w:val="Style33"/>
        <w:keepNext/>
        <w:keepLines/>
        <w:widowControl w:val="0"/>
        <w:shd w:val="clear" w:color="auto" w:fill="auto"/>
        <w:bidi w:val="0"/>
        <w:spacing w:before="0" w:after="32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color w:val="000000"/>
          <w:spacing w:val="0"/>
          <w:w w:val="100"/>
          <w:position w:val="0"/>
        </w:rPr>
        <w:t>、主要税种及税率</w:t>
      </w:r>
      <w:bookmarkEnd w:id="1181"/>
      <w:bookmarkEnd w:id="1182"/>
      <w:bookmarkEnd w:id="118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销售货物、应税销售服务收入、无形资 产或者不动产、建筑服务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参见下表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为纳税基准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河南辉煌科技股份有限公司（简称：本公司）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河南辉煌软件有限公司（简称：辉煌软件）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河南辉煌信通软件有限公司（简称：辉煌信通软件）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北京全路信通技术有限公司（简称：全路信通技术）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河南辉煌城轨科技有限公司（简称：辉煌城轨）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北京国铁路阳技术有限公司（简称：国铁路阳）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北京国铁路阳软件有限公司（简称：路阳软件）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天津辉煌路阳科技有限公司（简称：辉煌路阳）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成都新一驱动技术有限责任公司（简称：新一技术）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成都新一驱动科技有限责任公司（简称：新一科技）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洛阳辉煌城轨科技有限公司（简称：洛阳城轨）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259" w:line="1" w:lineRule="exact"/>
      </w:pPr>
    </w:p>
    <w:p>
      <w:pPr>
        <w:pStyle w:val="Style33"/>
        <w:keepNext/>
        <w:keepLines/>
        <w:widowControl w:val="0"/>
        <w:shd w:val="clear" w:color="auto" w:fill="auto"/>
        <w:bidi w:val="0"/>
        <w:spacing w:before="0" w:after="260" w:line="312" w:lineRule="exact"/>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color w:val="000000"/>
          <w:spacing w:val="0"/>
          <w:w w:val="100"/>
          <w:position w:val="0"/>
        </w:rPr>
        <w:t>、税收优惠</w:t>
      </w:r>
      <w:bookmarkEnd w:id="1185"/>
      <w:bookmarkEnd w:id="1186"/>
      <w:bookmarkEnd w:id="1188"/>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增值税：按应税销售收入适用</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的销项税率，扣除可以抵扣的进项税后缴纳。①本公司经河南省软 件服务业协会评定为软件企业，取得编号为豫</w:t>
      </w:r>
      <w:r>
        <w:rPr>
          <w:rFonts w:ascii="Times New Roman" w:eastAsia="Times New Roman" w:hAnsi="Times New Roman" w:cs="Times New Roman"/>
          <w:color w:val="000000"/>
          <w:spacing w:val="0"/>
          <w:w w:val="100"/>
          <w:position w:val="0"/>
          <w:sz w:val="20"/>
          <w:szCs w:val="20"/>
        </w:rPr>
        <w:t>RQ-2021-0147</w:t>
      </w:r>
      <w:r>
        <w:rPr>
          <w:color w:val="000000"/>
          <w:spacing w:val="0"/>
          <w:w w:val="100"/>
          <w:position w:val="0"/>
          <w:sz w:val="20"/>
          <w:szCs w:val="20"/>
        </w:rPr>
        <w:t>的软件企业认定证书；②辉煌软件由河南省软 件服务业协会评定为软件企业，并取得编号为豫</w:t>
      </w:r>
      <w:r>
        <w:rPr>
          <w:rFonts w:ascii="Times New Roman" w:eastAsia="Times New Roman" w:hAnsi="Times New Roman" w:cs="Times New Roman"/>
          <w:color w:val="000000"/>
          <w:spacing w:val="0"/>
          <w:w w:val="100"/>
          <w:position w:val="0"/>
          <w:sz w:val="20"/>
          <w:szCs w:val="20"/>
        </w:rPr>
        <w:t>RQ-2021-0326</w:t>
      </w:r>
      <w:r>
        <w:rPr>
          <w:color w:val="000000"/>
          <w:spacing w:val="0"/>
          <w:w w:val="100"/>
          <w:position w:val="0"/>
          <w:sz w:val="20"/>
          <w:szCs w:val="20"/>
        </w:rPr>
        <w:t>的软件企业认定证书；③辉煌信通软件由河 南省软件服务业协会评定为软件企业，并取得编号为豫</w:t>
      </w:r>
      <w:r>
        <w:rPr>
          <w:rFonts w:ascii="Times New Roman" w:eastAsia="Times New Roman" w:hAnsi="Times New Roman" w:cs="Times New Roman"/>
          <w:color w:val="000000"/>
          <w:spacing w:val="0"/>
          <w:w w:val="100"/>
          <w:position w:val="0"/>
          <w:sz w:val="20"/>
          <w:szCs w:val="20"/>
        </w:rPr>
        <w:t>RQ-2021-0327</w:t>
      </w:r>
      <w:r>
        <w:rPr>
          <w:color w:val="000000"/>
          <w:spacing w:val="0"/>
          <w:w w:val="100"/>
          <w:position w:val="0"/>
          <w:sz w:val="20"/>
          <w:szCs w:val="20"/>
        </w:rPr>
        <w:t>的软件企业认定证书；④辉煌城轨由 河南省软件服务业协会评定为软件企业，并取得编号为豫</w:t>
      </w:r>
      <w:r>
        <w:rPr>
          <w:rFonts w:ascii="Times New Roman" w:eastAsia="Times New Roman" w:hAnsi="Times New Roman" w:cs="Times New Roman"/>
          <w:color w:val="000000"/>
          <w:spacing w:val="0"/>
          <w:w w:val="100"/>
          <w:position w:val="0"/>
          <w:sz w:val="20"/>
          <w:szCs w:val="20"/>
        </w:rPr>
        <w:t>RQ-2021-0148</w:t>
      </w:r>
      <w:r>
        <w:rPr>
          <w:color w:val="000000"/>
          <w:spacing w:val="0"/>
          <w:w w:val="100"/>
          <w:position w:val="0"/>
          <w:sz w:val="20"/>
          <w:szCs w:val="20"/>
        </w:rPr>
        <w:t>的软件企业认定证书；⑤全路信通 技术、辉煌路阳、路阳技术、路阳软件销售的部分软件产品取得软件产品证书已向当地税局备案；以上公 司根据国务院国发</w:t>
      </w:r>
      <w:r>
        <w:rPr>
          <w:rFonts w:ascii="Times New Roman" w:eastAsia="Times New Roman" w:hAnsi="Times New Roman" w:cs="Times New Roman"/>
          <w:color w:val="000000"/>
          <w:spacing w:val="0"/>
          <w:w w:val="100"/>
          <w:position w:val="0"/>
          <w:sz w:val="20"/>
          <w:szCs w:val="20"/>
        </w:rPr>
        <w:t>[2011]4</w:t>
      </w:r>
      <w:r>
        <w:rPr>
          <w:color w:val="000000"/>
          <w:spacing w:val="0"/>
          <w:w w:val="100"/>
          <w:position w:val="0"/>
          <w:sz w:val="20"/>
          <w:szCs w:val="20"/>
        </w:rPr>
        <w:t>号《国务院关于印发进一步鼓励软件产业和集成电路产业发展若干政策的通知》 及财政部、国家税务总局下发的财税</w:t>
      </w:r>
      <w:r>
        <w:rPr>
          <w:rFonts w:ascii="Times New Roman" w:eastAsia="Times New Roman" w:hAnsi="Times New Roman" w:cs="Times New Roman"/>
          <w:color w:val="000000"/>
          <w:spacing w:val="0"/>
          <w:w w:val="100"/>
          <w:position w:val="0"/>
          <w:sz w:val="20"/>
          <w:szCs w:val="20"/>
        </w:rPr>
        <w:t>[2011]100</w:t>
      </w:r>
      <w:r>
        <w:rPr>
          <w:color w:val="000000"/>
          <w:spacing w:val="0"/>
          <w:w w:val="100"/>
          <w:position w:val="0"/>
          <w:sz w:val="20"/>
          <w:szCs w:val="20"/>
        </w:rPr>
        <w:t>号《关于软件产品增值税政策的通知》的规定，对增值税一 般纳税人销售其自行开发生产的软件产品，实际税负超过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的部分即征即退。</w:t>
      </w:r>
    </w:p>
    <w:p>
      <w:pPr>
        <w:pStyle w:val="Style14"/>
        <w:keepNext w:val="0"/>
        <w:keepLines w:val="0"/>
        <w:widowControl w:val="0"/>
        <w:shd w:val="clear" w:color="auto" w:fill="auto"/>
        <w:bidi w:val="0"/>
        <w:spacing w:before="0" w:after="260" w:line="312" w:lineRule="exact"/>
        <w:ind w:left="0" w:right="0" w:firstLine="440"/>
        <w:jc w:val="both"/>
        <w:rPr>
          <w:sz w:val="20"/>
          <w:szCs w:val="20"/>
        </w:rPr>
      </w:pPr>
      <w:r>
        <w:rPr>
          <w:color w:val="000000"/>
          <w:spacing w:val="0"/>
          <w:w w:val="100"/>
          <w:position w:val="0"/>
          <w:sz w:val="20"/>
          <w:szCs w:val="20"/>
        </w:rPr>
        <w:t>所得税：本公司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年取得编号为：</w:t>
      </w:r>
      <w:r>
        <w:rPr>
          <w:rFonts w:ascii="Times New Roman" w:eastAsia="Times New Roman" w:hAnsi="Times New Roman" w:cs="Times New Roman"/>
          <w:color w:val="000000"/>
          <w:spacing w:val="0"/>
          <w:w w:val="100"/>
          <w:position w:val="0"/>
          <w:sz w:val="20"/>
          <w:szCs w:val="20"/>
        </w:rPr>
        <w:t>GR202041001659</w:t>
      </w:r>
      <w:r>
        <w:rPr>
          <w:color w:val="000000"/>
          <w:spacing w:val="0"/>
          <w:w w:val="100"/>
          <w:position w:val="0"/>
          <w:sz w:val="20"/>
          <w:szCs w:val="20"/>
        </w:rPr>
        <w:t>的高新技术企业证书，发证日期</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 证书有效期限为三年，适用所得税税率为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辉煌软件</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年取得编号为：</w:t>
      </w:r>
      <w:r>
        <w:rPr>
          <w:rFonts w:ascii="Times New Roman" w:eastAsia="Times New Roman" w:hAnsi="Times New Roman" w:cs="Times New Roman"/>
          <w:color w:val="333333"/>
          <w:spacing w:val="0"/>
          <w:w w:val="100"/>
          <w:position w:val="0"/>
          <w:sz w:val="20"/>
          <w:szCs w:val="20"/>
        </w:rPr>
        <w:t>GR202141000039</w:t>
      </w:r>
      <w:r>
        <w:rPr>
          <w:color w:val="000000"/>
          <w:spacing w:val="0"/>
          <w:w w:val="100"/>
          <w:position w:val="0"/>
          <w:sz w:val="20"/>
          <w:szCs w:val="20"/>
        </w:rPr>
        <w:t>的高新技术企业证书，发证日期为</w:t>
      </w:r>
      <w:r>
        <w:rPr>
          <w:rFonts w:ascii="Times New Roman" w:eastAsia="Times New Roman" w:hAnsi="Times New Roman" w:cs="Times New Roman"/>
          <w:color w:val="333333"/>
          <w:spacing w:val="0"/>
          <w:w w:val="100"/>
          <w:position w:val="0"/>
          <w:sz w:val="20"/>
          <w:szCs w:val="20"/>
        </w:rPr>
        <w:t>2021</w:t>
      </w:r>
      <w:r>
        <w:rPr>
          <w:color w:val="333333"/>
          <w:spacing w:val="0"/>
          <w:w w:val="100"/>
          <w:position w:val="0"/>
          <w:sz w:val="20"/>
          <w:szCs w:val="20"/>
        </w:rPr>
        <w:t>年</w:t>
      </w:r>
      <w:r>
        <w:rPr>
          <w:rFonts w:ascii="Times New Roman" w:eastAsia="Times New Roman" w:hAnsi="Times New Roman" w:cs="Times New Roman"/>
          <w:color w:val="333333"/>
          <w:spacing w:val="0"/>
          <w:w w:val="100"/>
          <w:position w:val="0"/>
          <w:sz w:val="20"/>
          <w:szCs w:val="20"/>
        </w:rPr>
        <w:t>10</w:t>
      </w:r>
      <w:r>
        <w:rPr>
          <w:color w:val="333333"/>
          <w:spacing w:val="0"/>
          <w:w w:val="100"/>
          <w:position w:val="0"/>
          <w:sz w:val="20"/>
          <w:szCs w:val="20"/>
        </w:rPr>
        <w:t>月</w:t>
      </w:r>
      <w:r>
        <w:rPr>
          <w:rFonts w:ascii="Times New Roman" w:eastAsia="Times New Roman" w:hAnsi="Times New Roman" w:cs="Times New Roman"/>
          <w:color w:val="333333"/>
          <w:spacing w:val="0"/>
          <w:w w:val="100"/>
          <w:position w:val="0"/>
          <w:sz w:val="20"/>
          <w:szCs w:val="20"/>
        </w:rPr>
        <w:t>28</w:t>
      </w:r>
      <w:r>
        <w:rPr>
          <w:color w:val="333333"/>
          <w:spacing w:val="0"/>
          <w:w w:val="100"/>
          <w:position w:val="0"/>
          <w:sz w:val="20"/>
          <w:szCs w:val="20"/>
        </w:rPr>
        <w:t>日</w:t>
      </w:r>
      <w:r>
        <w:rPr>
          <w:color w:val="000000"/>
          <w:spacing w:val="0"/>
          <w:w w:val="100"/>
          <w:position w:val="0"/>
          <w:sz w:val="20"/>
          <w:szCs w:val="20"/>
        </w:rPr>
        <w:t>，证 书有效期限为三年，适用所得税税率为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辉煌信通软件</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年取得编号为：</w:t>
      </w:r>
      <w:r>
        <w:rPr>
          <w:rFonts w:ascii="Times New Roman" w:eastAsia="Times New Roman" w:hAnsi="Times New Roman" w:cs="Times New Roman"/>
          <w:color w:val="000000"/>
          <w:spacing w:val="0"/>
          <w:w w:val="100"/>
          <w:position w:val="0"/>
          <w:sz w:val="20"/>
          <w:szCs w:val="20"/>
        </w:rPr>
        <w:t>GR201941001144</w:t>
      </w:r>
      <w:r>
        <w:rPr>
          <w:color w:val="000000"/>
          <w:spacing w:val="0"/>
          <w:w w:val="100"/>
          <w:position w:val="0"/>
          <w:sz w:val="20"/>
          <w:szCs w:val="20"/>
        </w:rPr>
        <w:t>的高新技术企业证书，发证日期为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 证书有效期限为三年，适用所得税税率为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辉煌信通软件为符合条件的软件企业，自开始获利年度起，第一年和第二年免缴企业所得税，第三年 至第五年减半缴纳企业所得税。辉煌信通软件</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年减半缴纳企业所得税（减半缴纳企业所得税的第三 年）。</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辉煌城轨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年取得编号为：</w:t>
      </w:r>
      <w:r>
        <w:rPr>
          <w:rFonts w:ascii="Times New Roman" w:eastAsia="Times New Roman" w:hAnsi="Times New Roman" w:cs="Times New Roman"/>
          <w:color w:val="333333"/>
          <w:spacing w:val="0"/>
          <w:w w:val="100"/>
          <w:position w:val="0"/>
          <w:sz w:val="20"/>
          <w:szCs w:val="20"/>
        </w:rPr>
        <w:t>GR20214100309</w:t>
      </w:r>
      <w:r>
        <w:rPr>
          <w:rFonts w:ascii="Times New Roman" w:eastAsia="Times New Roman" w:hAnsi="Times New Roman" w:cs="Times New Roman"/>
          <w:color w:val="333333"/>
          <w:spacing w:val="0"/>
          <w:w w:val="100"/>
          <w:position w:val="0"/>
          <w:sz w:val="20"/>
          <w:szCs w:val="20"/>
        </w:rPr>
        <w:t>7</w:t>
      </w:r>
      <w:r>
        <w:rPr>
          <w:color w:val="000000"/>
          <w:spacing w:val="0"/>
          <w:w w:val="100"/>
          <w:position w:val="0"/>
          <w:sz w:val="20"/>
          <w:szCs w:val="20"/>
        </w:rPr>
        <w:t>的高新技术企业证书，发证日期为</w:t>
      </w:r>
      <w:r>
        <w:rPr>
          <w:rFonts w:ascii="Times New Roman" w:eastAsia="Times New Roman" w:hAnsi="Times New Roman" w:cs="Times New Roman"/>
          <w:color w:val="333333"/>
          <w:spacing w:val="0"/>
          <w:w w:val="100"/>
          <w:position w:val="0"/>
          <w:sz w:val="20"/>
          <w:szCs w:val="20"/>
        </w:rPr>
        <w:t>2021</w:t>
      </w:r>
      <w:r>
        <w:rPr>
          <w:color w:val="333333"/>
          <w:spacing w:val="0"/>
          <w:w w:val="100"/>
          <w:position w:val="0"/>
          <w:sz w:val="20"/>
          <w:szCs w:val="20"/>
        </w:rPr>
        <w:t>年</w:t>
      </w:r>
      <w:r>
        <w:rPr>
          <w:rFonts w:ascii="Times New Roman" w:eastAsia="Times New Roman" w:hAnsi="Times New Roman" w:cs="Times New Roman"/>
          <w:color w:val="333333"/>
          <w:spacing w:val="0"/>
          <w:w w:val="100"/>
          <w:position w:val="0"/>
          <w:sz w:val="20"/>
          <w:szCs w:val="20"/>
        </w:rPr>
        <w:t>12</w:t>
      </w:r>
      <w:r>
        <w:rPr>
          <w:color w:val="333333"/>
          <w:spacing w:val="0"/>
          <w:w w:val="100"/>
          <w:position w:val="0"/>
          <w:sz w:val="20"/>
          <w:szCs w:val="20"/>
        </w:rPr>
        <w:t>月</w:t>
      </w:r>
      <w:r>
        <w:rPr>
          <w:rFonts w:ascii="Times New Roman" w:eastAsia="Times New Roman" w:hAnsi="Times New Roman" w:cs="Times New Roman"/>
          <w:color w:val="333333"/>
          <w:spacing w:val="0"/>
          <w:w w:val="100"/>
          <w:position w:val="0"/>
          <w:sz w:val="20"/>
          <w:szCs w:val="20"/>
        </w:rPr>
        <w:t>15</w:t>
      </w:r>
      <w:r>
        <w:rPr>
          <w:color w:val="333333"/>
          <w:spacing w:val="0"/>
          <w:w w:val="100"/>
          <w:position w:val="0"/>
          <w:sz w:val="20"/>
          <w:szCs w:val="20"/>
        </w:rPr>
        <w:t>日</w:t>
      </w:r>
      <w:r>
        <w:rPr>
          <w:color w:val="000000"/>
          <w:spacing w:val="0"/>
          <w:w w:val="100"/>
          <w:position w:val="0"/>
          <w:sz w:val="20"/>
          <w:szCs w:val="20"/>
        </w:rPr>
        <w:t>，证 书有效期限为三年，适用所得税税率为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辉煌城轨为符合条件的软件企业，自开始获利年度起，第一年和第二年免缴企业所得税，第三年至第 五年减半缴纳企业所得税。辉煌城轨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年减半缴纳企业所得税（减半缴纳企业所得税的第二年）。</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国铁路阳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年取得编号为：</w:t>
      </w:r>
      <w:r>
        <w:rPr>
          <w:rFonts w:ascii="Times New Roman" w:eastAsia="Times New Roman" w:hAnsi="Times New Roman" w:cs="Times New Roman"/>
          <w:color w:val="000000"/>
          <w:spacing w:val="0"/>
          <w:w w:val="100"/>
          <w:position w:val="0"/>
          <w:sz w:val="20"/>
          <w:szCs w:val="20"/>
        </w:rPr>
        <w:t>GR20201100872</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的高新技术企业证书，发证日期为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日，证 书有效期限为三年，适用所得税税率为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辉煌路阳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年取得编号为：</w:t>
      </w:r>
      <w:r>
        <w:rPr>
          <w:rFonts w:ascii="Times New Roman" w:eastAsia="Times New Roman" w:hAnsi="Times New Roman" w:cs="Times New Roman"/>
          <w:color w:val="333333"/>
          <w:spacing w:val="0"/>
          <w:w w:val="100"/>
          <w:position w:val="0"/>
          <w:sz w:val="20"/>
          <w:szCs w:val="20"/>
        </w:rPr>
        <w:t>GR20211200064</w:t>
      </w:r>
      <w:r>
        <w:rPr>
          <w:rFonts w:ascii="Times New Roman" w:eastAsia="Times New Roman" w:hAnsi="Times New Roman" w:cs="Times New Roman"/>
          <w:color w:val="333333"/>
          <w:spacing w:val="0"/>
          <w:w w:val="100"/>
          <w:position w:val="0"/>
          <w:sz w:val="20"/>
          <w:szCs w:val="20"/>
        </w:rPr>
        <w:t>1</w:t>
      </w:r>
      <w:r>
        <w:rPr>
          <w:color w:val="000000"/>
          <w:spacing w:val="0"/>
          <w:w w:val="100"/>
          <w:position w:val="0"/>
          <w:sz w:val="20"/>
          <w:szCs w:val="20"/>
        </w:rPr>
        <w:t>的高新技术企业证书，发证日期为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r>
        <w:rPr>
          <w:color w:val="000000"/>
          <w:spacing w:val="0"/>
          <w:w w:val="100"/>
          <w:position w:val="0"/>
          <w:sz w:val="20"/>
          <w:szCs w:val="20"/>
        </w:rPr>
        <w:t>，</w:t>
      </w:r>
      <w:r>
        <w:rPr>
          <w:color w:val="000000"/>
          <w:spacing w:val="0"/>
          <w:w w:val="100"/>
          <w:position w:val="0"/>
          <w:sz w:val="20"/>
          <w:szCs w:val="20"/>
        </w:rPr>
        <w:t>证书 有效期限为三年，适用所得税税率为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新一技术</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年取得证书编号：</w:t>
      </w:r>
      <w:r>
        <w:rPr>
          <w:rFonts w:ascii="Times New Roman" w:eastAsia="Times New Roman" w:hAnsi="Times New Roman" w:cs="Times New Roman"/>
          <w:color w:val="000000"/>
          <w:spacing w:val="0"/>
          <w:w w:val="100"/>
          <w:position w:val="0"/>
          <w:sz w:val="20"/>
          <w:szCs w:val="20"/>
        </w:rPr>
        <w:t>GR20195100223</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的高新技术企业证书，发证日期为</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 证书有效期限为三年，适用所得税税率为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14"/>
        <w:keepNext w:val="0"/>
        <w:keepLines w:val="0"/>
        <w:widowControl w:val="0"/>
        <w:shd w:val="clear" w:color="auto" w:fill="auto"/>
        <w:tabs>
          <w:tab w:pos="8461" w:val="left"/>
        </w:tabs>
        <w:bidi w:val="0"/>
        <w:spacing w:before="0" w:after="0" w:line="314" w:lineRule="exact"/>
        <w:ind w:left="0" w:right="0" w:firstLine="440"/>
        <w:jc w:val="both"/>
        <w:rPr>
          <w:sz w:val="20"/>
          <w:szCs w:val="20"/>
        </w:rPr>
      </w:pPr>
      <w:r>
        <w:rPr>
          <w:color w:val="000000"/>
          <w:spacing w:val="0"/>
          <w:w w:val="100"/>
          <w:position w:val="0"/>
          <w:sz w:val="20"/>
          <w:szCs w:val="20"/>
        </w:rPr>
        <w:t>根据财政部、税务总局《关于实施小微企业普惠性税收减免政策的通知》财税〔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号规定：自</w:t>
      </w:r>
    </w:p>
    <w:p>
      <w:pPr>
        <w:pStyle w:val="Style14"/>
        <w:keepNext w:val="0"/>
        <w:keepLines w:val="0"/>
        <w:widowControl w:val="0"/>
        <w:shd w:val="clear" w:color="auto" w:fill="auto"/>
        <w:bidi w:val="0"/>
        <w:spacing w:before="0" w:after="300" w:line="31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日，对小型微利企业年应纳税所得额不超过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计入应 纳税所得额，按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财政部税务总局公告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号对小型微利企业年应纳税所 得额不超过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万元的部分，在</w:t>
      </w:r>
      <w:r>
        <w:fldChar w:fldCharType="begin"/>
      </w:r>
      <w:r>
        <w:rPr/>
        <w:instrText> HYPERLINK "https://www.shui5.cn/article/dc/125403.html" </w:instrText>
      </w:r>
      <w:r>
        <w:fldChar w:fldCharType="separate"/>
      </w:r>
      <w:r>
        <w:rPr>
          <w:color w:val="000000"/>
          <w:spacing w:val="0"/>
          <w:w w:val="100"/>
          <w:position w:val="0"/>
          <w:sz w:val="20"/>
          <w:szCs w:val="20"/>
        </w:rPr>
        <w:t>《财政部税务总局关于实施小微企业普惠性税收减免政策的通知》（财税</w:t>
      </w:r>
      <w:r>
        <w:fldChar w:fldCharType="end"/>
      </w:r>
      <w:r>
        <w:rPr>
          <w:color w:val="000000"/>
          <w:spacing w:val="0"/>
          <w:w w:val="100"/>
          <w:position w:val="0"/>
          <w:sz w:val="20"/>
          <w:szCs w:val="20"/>
        </w:rPr>
        <w:t xml:space="preserve"> </w:t>
      </w:r>
      <w:r>
        <w:fldChar w:fldCharType="begin"/>
      </w:r>
      <w:r>
        <w:rPr/>
        <w:instrText> HYPERLINK "https://www.shui5.cn/article/dc/125403.html" </w:instrText>
      </w:r>
      <w:r>
        <w:fldChar w:fldCharType="separate"/>
      </w:r>
      <w:r>
        <w:rPr>
          <w:color w:val="000000"/>
          <w:spacing w:val="0"/>
          <w:w w:val="100"/>
          <w:position w:val="0"/>
          <w:sz w:val="20"/>
          <w:szCs w:val="20"/>
        </w:rPr>
        <w:t>〔</w:t>
      </w:r>
      <w:r>
        <w:rPr>
          <w:rFonts w:ascii="Tahoma" w:eastAsia="Tahoma" w:hAnsi="Tahoma" w:cs="Tahoma"/>
          <w:color w:val="000000"/>
          <w:spacing w:val="0"/>
          <w:w w:val="100"/>
          <w:position w:val="0"/>
          <w:sz w:val="20"/>
          <w:szCs w:val="20"/>
        </w:rPr>
        <w:t>2019） 13</w:t>
      </w:r>
      <w:r>
        <w:rPr>
          <w:color w:val="000000"/>
          <w:spacing w:val="0"/>
          <w:w w:val="100"/>
          <w:position w:val="0"/>
          <w:sz w:val="20"/>
          <w:szCs w:val="20"/>
        </w:rPr>
        <w:t>号）</w:t>
      </w:r>
      <w:r>
        <w:fldChar w:fldCharType="end"/>
      </w:r>
      <w:r>
        <w:rPr>
          <w:color w:val="000000"/>
          <w:spacing w:val="0"/>
          <w:w w:val="100"/>
          <w:position w:val="0"/>
          <w:sz w:val="20"/>
          <w:szCs w:val="20"/>
        </w:rPr>
        <w:t>第二条规定的优惠政策基础上，再减半征收企业所得税</w:t>
      </w:r>
      <w:r>
        <w:rPr>
          <w:rFonts w:ascii="Times New Roman" w:eastAsia="Times New Roman" w:hAnsi="Times New Roman" w:cs="Times New Roman"/>
          <w:color w:val="333333"/>
          <w:spacing w:val="0"/>
          <w:w w:val="100"/>
          <w:position w:val="0"/>
          <w:sz w:val="20"/>
          <w:szCs w:val="20"/>
        </w:rPr>
        <w:t>;</w:t>
      </w:r>
      <w:r>
        <w:rPr>
          <w:color w:val="000000"/>
          <w:spacing w:val="0"/>
          <w:w w:val="100"/>
          <w:position w:val="0"/>
          <w:sz w:val="20"/>
          <w:szCs w:val="20"/>
        </w:rPr>
        <w:t>对年应纳税所得额超过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万元但不 超过</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计入应纳税所得额，按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的税率缴纳企业所得税。路阳软件、新一科技、 洛阳城轨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年度符合小型微利企业的条件，适用该优惠政策。</w:t>
      </w:r>
    </w:p>
    <w:p>
      <w:pPr>
        <w:pStyle w:val="Style29"/>
        <w:keepNext w:val="0"/>
        <w:keepLines w:val="0"/>
        <w:widowControl w:val="0"/>
        <w:shd w:val="clear" w:color="auto" w:fill="auto"/>
        <w:bidi w:val="0"/>
        <w:spacing w:before="0" w:after="300" w:line="355" w:lineRule="exact"/>
        <w:ind w:left="0" w:right="0" w:firstLine="0"/>
        <w:jc w:val="left"/>
        <w:rPr>
          <w:sz w:val="20"/>
          <w:szCs w:val="20"/>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号——行业信息披露》中软件与信息技术服务业的披露要求 </w:t>
      </w:r>
      <w:r>
        <w:rPr>
          <w:color w:val="000000"/>
          <w:spacing w:val="0"/>
          <w:w w:val="100"/>
          <w:position w:val="0"/>
          <w:sz w:val="20"/>
          <w:szCs w:val="20"/>
        </w:rPr>
        <w:t>报告期内，公司收到软件增值税退税收入</w:t>
      </w:r>
      <w:r>
        <w:rPr>
          <w:rFonts w:ascii="Times New Roman" w:eastAsia="Times New Roman" w:hAnsi="Times New Roman" w:cs="Times New Roman"/>
          <w:color w:val="000000"/>
          <w:spacing w:val="0"/>
          <w:w w:val="100"/>
          <w:position w:val="0"/>
          <w:sz w:val="20"/>
          <w:szCs w:val="20"/>
        </w:rPr>
        <w:t>15,026,801.63</w:t>
      </w:r>
      <w:r>
        <w:rPr>
          <w:color w:val="000000"/>
          <w:spacing w:val="0"/>
          <w:w w:val="100"/>
          <w:position w:val="0"/>
          <w:sz w:val="20"/>
          <w:szCs w:val="20"/>
        </w:rPr>
        <w:t>元，计入其他收益科目。</w:t>
      </w:r>
    </w:p>
    <w:p>
      <w:pPr>
        <w:pStyle w:val="Style33"/>
        <w:keepNext/>
        <w:keepLines/>
        <w:widowControl w:val="0"/>
        <w:shd w:val="clear" w:color="auto" w:fill="auto"/>
        <w:bidi w:val="0"/>
        <w:spacing w:before="0" w:after="240" w:line="314" w:lineRule="exact"/>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w:t>
      </w:r>
      <w:bookmarkEnd w:id="1191"/>
      <w:r>
        <w:rPr>
          <w:color w:val="000000"/>
          <w:spacing w:val="0"/>
          <w:w w:val="100"/>
          <w:position w:val="0"/>
        </w:rPr>
        <w:t>、其他</w:t>
      </w:r>
      <w:bookmarkEnd w:id="1189"/>
      <w:bookmarkEnd w:id="1190"/>
      <w:bookmarkEnd w:id="1192"/>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00" w:line="240" w:lineRule="auto"/>
        <w:ind w:left="0" w:right="0" w:firstLine="0"/>
        <w:jc w:val="left"/>
      </w:pPr>
      <w:bookmarkStart w:id="1193" w:name="bookmark1193"/>
      <w:bookmarkStart w:id="1194" w:name="bookmark1194"/>
      <w:bookmarkStart w:id="1195" w:name="bookmark1195"/>
      <w:bookmarkStart w:id="1196" w:name="bookmark1196"/>
      <w:r>
        <w:rPr>
          <w:color w:val="000000"/>
          <w:spacing w:val="0"/>
          <w:w w:val="100"/>
          <w:position w:val="0"/>
        </w:rPr>
        <w:t>七</w:t>
      </w:r>
      <w:bookmarkEnd w:id="1195"/>
      <w:r>
        <w:rPr>
          <w:color w:val="000000"/>
          <w:spacing w:val="0"/>
          <w:w w:val="100"/>
          <w:position w:val="0"/>
        </w:rPr>
        <w:t>、合并财务报表项目注释</w:t>
      </w:r>
      <w:bookmarkEnd w:id="1193"/>
      <w:bookmarkEnd w:id="1194"/>
      <w:bookmarkEnd w:id="1196"/>
    </w:p>
    <w:p>
      <w:pPr>
        <w:pStyle w:val="Style33"/>
        <w:keepNext/>
        <w:keepLines/>
        <w:widowControl w:val="0"/>
        <w:shd w:val="clear" w:color="auto" w:fill="auto"/>
        <w:bidi w:val="0"/>
        <w:spacing w:before="0" w:after="360" w:line="314" w:lineRule="exact"/>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color w:val="000000"/>
          <w:spacing w:val="0"/>
          <w:w w:val="100"/>
          <w:position w:val="0"/>
        </w:rPr>
        <w:t>、货币资金</w:t>
      </w:r>
      <w:bookmarkEnd w:id="1197"/>
      <w:bookmarkEnd w:id="1198"/>
      <w:bookmarkEnd w:id="12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165,301,348.94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365,824,414.16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31,772,370.84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25,774,319.58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197,076,299.90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391,608,066.80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4"/>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日，本公司不存在质押、冻结，或有潜在收回风险的款项。</w:t>
      </w:r>
    </w:p>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其中受限制的货币资金明细如下：</w:t>
      </w:r>
    </w:p>
    <w:tbl>
      <w:tblPr>
        <w:tblOverlap w:val="never"/>
        <w:jc w:val="center"/>
        <w:tblLayout w:type="fixed"/>
      </w:tblPr>
      <w:tblGrid>
        <w:gridCol w:w="4147"/>
        <w:gridCol w:w="2760"/>
        <w:gridCol w:w="2770"/>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31,772,370.84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25,774,319.58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31,772,370.84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25,774,319.58</w:t>
            </w:r>
          </w:p>
        </w:tc>
      </w:tr>
    </w:tbl>
    <w:p>
      <w:pPr>
        <w:widowControl w:val="0"/>
        <w:spacing w:after="639" w:line="1" w:lineRule="exact"/>
      </w:pPr>
    </w:p>
    <w:p>
      <w:pPr>
        <w:pStyle w:val="Style33"/>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bookmarkEnd w:id="1203"/>
      <w:r>
        <w:rPr>
          <w:color w:val="000000"/>
          <w:spacing w:val="0"/>
          <w:w w:val="100"/>
          <w:position w:val="0"/>
        </w:rPr>
        <w:t>、交易性金融资产</w:t>
      </w:r>
      <w:bookmarkEnd w:id="1201"/>
      <w:bookmarkEnd w:id="1202"/>
      <w:bookmarkEnd w:id="120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180,750,651.48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180,750,651.48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180,750,651.48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color w:val="000000"/>
          <w:spacing w:val="0"/>
          <w:w w:val="100"/>
          <w:position w:val="0"/>
        </w:rPr>
        <w:t>、应收票据</w:t>
      </w:r>
      <w:bookmarkEnd w:id="1205"/>
      <w:bookmarkEnd w:id="1206"/>
      <w:bookmarkEnd w:id="1208"/>
    </w:p>
    <w:p>
      <w:pPr>
        <w:pStyle w:val="Style47"/>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09"/>
      <w:bookmarkEnd w:id="1210"/>
      <w:bookmarkEnd w:id="121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37,466,750.31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24,349,279.75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32,273,684.09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54,304,057.97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69,740,434.40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78,653,337.72</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71,439,0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1,698,61</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69,740,43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81,511,44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2,858,108.3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78,653,33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278"/>
        <w:gridCol w:w="485"/>
        <w:gridCol w:w="758"/>
        <w:gridCol w:w="672"/>
        <w:gridCol w:w="91"/>
        <w:gridCol w:w="763"/>
        <w:gridCol w:w="787"/>
        <w:gridCol w:w="283"/>
        <w:gridCol w:w="494"/>
        <w:gridCol w:w="797"/>
        <w:gridCol w:w="610"/>
        <w:gridCol w:w="322"/>
        <w:gridCol w:w="797"/>
        <w:gridCol w:w="864"/>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37,466,7</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52.45%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37,466,75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33,972,2</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1,698,61</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32,273,68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57,162,16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2,858,108.3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54,304,05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71,439,0</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1,698,61</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69,740,43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81,511,44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2,858,108.3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78,653,33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r>
      <w:tr>
        <w:trPr>
          <w:trHeight w:val="379"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gridSpan w:val="3"/>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29"/>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29"/>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16" w:val="left"/>
          <w:tab w:leader="hyphen" w:pos="3810" w:val="left"/>
          <w:tab w:leader="hyphen" w:pos="5718" w:val="left"/>
          <w:tab w:leader="hyphen" w:pos="7644" w:val="left"/>
          <w:tab w:leader="hyphen" w:pos="9550" w:val="left"/>
        </w:tabs>
        <w:bidi w:val="0"/>
        <w:spacing w:before="0" w:after="0" w:line="240" w:lineRule="auto"/>
        <w:ind w:left="0" w:right="0" w:firstLine="780"/>
        <w:jc w:val="left"/>
      </w:pPr>
      <w:r>
        <w:rPr>
          <w:color w:val="000000"/>
          <w:spacing w:val="0"/>
          <w:w w:val="100"/>
          <w:position w:val="0"/>
        </w:rPr>
        <w:t>名称</w:t>
        <w:tab/>
        <w:tab/>
        <w:tab/>
        <w:tab/>
        <w:tab/>
      </w:r>
    </w:p>
    <w:p>
      <w:pPr>
        <w:pStyle w:val="Style29"/>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16" w:val="left"/>
          <w:tab w:pos="3810" w:val="left"/>
          <w:tab w:pos="5718" w:val="left"/>
        </w:tabs>
        <w:bidi w:val="0"/>
        <w:spacing w:before="0" w:after="70" w:line="240" w:lineRule="auto"/>
        <w:ind w:left="0" w:right="0" w:firstLine="0"/>
        <w:jc w:val="center"/>
      </w:pPr>
      <w:r>
        <mc:AlternateContent>
          <mc:Choice Requires="wps">
            <w:drawing>
              <wp:anchor distT="0" distB="0" distL="0" distR="0" simplePos="0" relativeHeight="125829384" behindDoc="0" locked="0" layoutInCell="1" allowOverlap="1">
                <wp:simplePos x="0" y="0"/>
                <wp:positionH relativeFrom="page">
                  <wp:posOffset>702310</wp:posOffset>
                </wp:positionH>
                <wp:positionV relativeFrom="paragraph">
                  <wp:posOffset>495300</wp:posOffset>
                </wp:positionV>
                <wp:extent cx="6150610" cy="125095"/>
                <wp:wrapTopAndBottom/>
                <wp:docPr id="10" name="Shape 10"/>
                <a:graphic xmlns:a="http://schemas.openxmlformats.org/drawingml/2006/main">
                  <a:graphicData uri="http://schemas.microsoft.com/office/word/2010/wordprocessingShape">
                    <wps:wsp>
                      <wps:cNvSpPr txBox="1"/>
                      <wps:spPr>
                        <a:xfrm>
                          <a:ext cx="6150610" cy="12509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6" type="#_x0000_t202" style="position:absolute;margin-left:55.300000000000004pt;margin-top:39.pt;width:484.30000000000001pt;height:9.8499999999999996pt;z-index:-12582936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r>
        <w:rPr>
          <w:color w:val="000000"/>
          <w:spacing w:val="0"/>
          <w:w w:val="100"/>
          <w:position w:val="0"/>
        </w:rPr>
        <w:t>账面余额</w:t>
        <w:tab/>
        <w:t>坏账准备</w:t>
        <w:tab/>
        <w:t>计提比例</w:t>
        <w:tab/>
        <w:t>计提理由</w:t>
      </w:r>
    </w:p>
    <w:tbl>
      <w:tblPr>
        <w:tblOverlap w:val="never"/>
        <w:jc w:val="left"/>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framePr w:w="9581" w:h="2026" w:hSpace="14" w:vSpace="629" w:wrap="notBeside" w:vAnchor="text" w:hAnchor="text" w:x="70" w:y="630"/>
            </w:pPr>
          </w:p>
        </w:tc>
        <w:tc>
          <w:tcPr>
            <w:tcBorders>
              <w:top w:val="single" w:sz="4"/>
              <w:left w:val="single" w:sz="4"/>
            </w:tcBorders>
            <w:shd w:val="clear" w:color="auto" w:fill="D3D3D3"/>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37,466,750.31</w:t>
            </w:r>
          </w:p>
        </w:tc>
        <w:tc>
          <w:tcPr>
            <w:tcBorders>
              <w:top w:val="single" w:sz="4"/>
              <w:left w:val="single" w:sz="4"/>
            </w:tcBorders>
            <w:shd w:val="clear" w:color="auto" w:fill="FFFFFF"/>
            <w:vAlign w:val="top"/>
          </w:tcPr>
          <w:p>
            <w:pPr>
              <w:framePr w:w="9581" w:h="2026" w:hSpace="14" w:vSpace="629" w:wrap="notBeside" w:vAnchor="text" w:hAnchor="text" w:x="70" w:y="630"/>
              <w:widowControl w:val="0"/>
              <w:rPr>
                <w:sz w:val="10"/>
                <w:szCs w:val="10"/>
              </w:rPr>
            </w:pPr>
          </w:p>
        </w:tc>
        <w:tc>
          <w:tcPr>
            <w:tcBorders>
              <w:top w:val="single" w:sz="4"/>
              <w:left w:val="single" w:sz="4"/>
              <w:right w:val="single" w:sz="4"/>
            </w:tcBorders>
            <w:shd w:val="clear" w:color="auto" w:fill="FFFFFF"/>
            <w:vAlign w:val="top"/>
          </w:tcPr>
          <w:p>
            <w:pPr>
              <w:framePr w:w="9581" w:h="2026" w:hSpace="14" w:vSpace="629" w:wrap="notBeside" w:vAnchor="text" w:hAnchor="text" w:x="70" w:y="630"/>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33,972,299.05</w:t>
            </w:r>
          </w:p>
        </w:tc>
        <w:tc>
          <w:tcPr>
            <w:tcBorders>
              <w:top w:val="single" w:sz="4"/>
              <w:left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1,698,614.96</w:t>
            </w:r>
          </w:p>
        </w:tc>
        <w:tc>
          <w:tcPr>
            <w:tcBorders>
              <w:top w:val="single" w:sz="4"/>
              <w:left w:val="single" w:sz="4"/>
              <w:right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71,439,049.36</w:t>
            </w:r>
          </w:p>
        </w:tc>
        <w:tc>
          <w:tcPr>
            <w:tcBorders>
              <w:top w:val="single" w:sz="4"/>
              <w:left w:val="single" w:sz="4"/>
              <w:bottom w:val="single" w:sz="4"/>
            </w:tcBorders>
            <w:shd w:val="clear" w:color="auto" w:fill="FFFFFF"/>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1,698,614.96</w:t>
            </w:r>
          </w:p>
        </w:tc>
        <w:tc>
          <w:tcPr>
            <w:tcBorders>
              <w:top w:val="single" w:sz="4"/>
              <w:left w:val="single" w:sz="4"/>
              <w:bottom w:val="single" w:sz="4"/>
              <w:right w:val="single" w:sz="4"/>
            </w:tcBorders>
            <w:shd w:val="clear" w:color="auto" w:fill="D3D3D3"/>
            <w:vAlign w:val="center"/>
          </w:tcPr>
          <w:p>
            <w:pPr>
              <w:pStyle w:val="Style21"/>
              <w:keepNext w:val="0"/>
              <w:keepLines w:val="0"/>
              <w:framePr w:w="9581" w:h="2026" w:hSpace="14" w:vSpace="629" w:wrap="notBeside" w:vAnchor="text" w:hAnchor="text" w:x="70" w:y="63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framePr w:w="9686" w:h="178" w:hSpace="55" w:wrap="notBeside" w:vAnchor="text" w:hAnchor="text" w:x="56"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1,698,614.96</w:t>
      </w: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bl>
      <w:tblPr>
        <w:tblOverlap w:val="never"/>
        <w:jc w:val="center"/>
        <w:tblLayout w:type="fixed"/>
      </w:tblPr>
      <w:tblGrid>
        <w:gridCol w:w="1531"/>
        <w:gridCol w:w="5069"/>
        <w:gridCol w:w="307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无风险银行承兑票 据组合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承兑人具有较高的信用评级，信用损失风险极低，在短期内履行 其支付合同现金流量义务的能力很强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参考历史信用损失经验，结合当前状况 以及对未来经济状况的预期计量预期 信用损失</w:t>
            </w:r>
          </w:p>
        </w:tc>
      </w:tr>
      <w:tr>
        <w:trPr>
          <w:trHeight w:val="66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结合承兑人、背书人、出票人以及其他债务人的信 用风险确定组合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以商业承兑汇票的账龄作为信用风险 特征计提预期信用损失</w:t>
            </w:r>
          </w:p>
        </w:tc>
      </w:tr>
    </w:tbl>
    <w:p>
      <w:pPr>
        <w:widowControl w:val="0"/>
        <w:spacing w:after="3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7"/>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3"/>
      <w:bookmarkEnd w:id="1214"/>
      <w:bookmarkEnd w:id="121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单项计提预期信 用损失的应收票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按组合计提预期 信用损失的应收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其中：银行承兑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商业承兑汇票组 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2,858,108.32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-1,159,493.36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1,698,614.96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2,858,108.32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-1,159,493.36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1,698,614.96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17"/>
      <w:bookmarkEnd w:id="1218"/>
      <w:bookmarkEnd w:id="12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21"/>
      <w:bookmarkEnd w:id="1222"/>
      <w:bookmarkEnd w:id="122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12,100,005.31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9,089,919.60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21,189,924.91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25"/>
      <w:bookmarkEnd w:id="1226"/>
      <w:bookmarkEnd w:id="122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47"/>
        <w:keepNext/>
        <w:keepLines/>
        <w:widowControl w:val="0"/>
        <w:numPr>
          <w:ilvl w:val="0"/>
          <w:numId w:val="89"/>
        </w:numPr>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本期实际核销的应收票据情况</w:t>
      </w:r>
      <w:bookmarkEnd w:id="1229"/>
      <w:bookmarkEnd w:id="1230"/>
      <w:bookmarkEnd w:id="12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822" w:val="left"/>
                <w:tab w:pos="3618" w:val="left"/>
              </w:tabs>
              <w:bidi w:val="0"/>
              <w:spacing w:before="0" w:after="0" w:line="240" w:lineRule="auto"/>
              <w:ind w:left="0" w:right="0" w:firstLine="440"/>
              <w:jc w:val="left"/>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1"/>
              <w:keepNext w:val="0"/>
              <w:keepLines w:val="0"/>
              <w:widowControl w:val="0"/>
              <w:shd w:val="clear" w:color="auto" w:fill="auto"/>
              <w:tabs>
                <w:tab w:pos="1765" w:val="left"/>
                <w:tab w:pos="3757" w:val="left"/>
              </w:tabs>
              <w:bidi w:val="0"/>
              <w:spacing w:before="0" w:after="0" w:line="240" w:lineRule="auto"/>
              <w:ind w:left="0" w:right="0" w:firstLine="440"/>
              <w:jc w:val="left"/>
            </w:pPr>
            <w:r>
              <w:rPr>
                <w:color w:val="000000"/>
                <w:spacing w:val="0"/>
                <w:w w:val="100"/>
                <w:position w:val="0"/>
              </w:rPr>
              <w:t>核销原因</w:t>
              <w:tab/>
              <w:t>履行的核销程序</w:t>
              <w:tab/>
            </w:r>
            <w:r>
              <w:rPr>
                <w:color w:val="000000"/>
                <w:spacing w:val="0"/>
                <w:w w:val="100"/>
                <w:position w:val="0"/>
              </w:rPr>
              <w:t>L —</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应收票据核销说明: 无</w:t>
      </w:r>
    </w:p>
    <w:p>
      <w:pPr>
        <w:pStyle w:val="Style33"/>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4</w:t>
      </w:r>
      <w:bookmarkEnd w:id="1235"/>
      <w:r>
        <w:rPr>
          <w:color w:val="000000"/>
          <w:spacing w:val="0"/>
          <w:w w:val="100"/>
          <w:position w:val="0"/>
        </w:rPr>
        <w:t>、应收账款</w:t>
      </w:r>
      <w:bookmarkEnd w:id="1233"/>
      <w:bookmarkEnd w:id="1234"/>
      <w:bookmarkEnd w:id="1236"/>
    </w:p>
    <w:p>
      <w:pPr>
        <w:pStyle w:val="Style47"/>
        <w:keepNext/>
        <w:keepLines/>
        <w:widowControl w:val="0"/>
        <w:numPr>
          <w:ilvl w:val="0"/>
          <w:numId w:val="91"/>
        </w:numPr>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应收账款分类披露</w:t>
      </w:r>
      <w:bookmarkEnd w:id="1237"/>
      <w:bookmarkEnd w:id="1238"/>
      <w:bookmarkEnd w:id="124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560,661,</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97,394,2</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463,267,1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87,879,86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456,156,17 </w:t>
            </w:r>
            <w:r>
              <w:rPr>
                <w:rFonts w:ascii="Times New Roman" w:eastAsia="Times New Roman" w:hAnsi="Times New Roman" w:cs="Times New Roman"/>
                <w:color w:val="000000"/>
                <w:spacing w:val="0"/>
                <w:w w:val="100"/>
                <w:position w:val="0"/>
                <w:sz w:val="18"/>
                <w:szCs w:val="18"/>
              </w:rPr>
              <w:t>1.71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560,661,</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97,394,2</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463,267,1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87,879,86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456,156,17 </w:t>
            </w:r>
            <w:r>
              <w:rPr>
                <w:rFonts w:ascii="Times New Roman" w:eastAsia="Times New Roman" w:hAnsi="Times New Roman" w:cs="Times New Roman"/>
                <w:color w:val="000000"/>
                <w:spacing w:val="0"/>
                <w:w w:val="100"/>
                <w:position w:val="0"/>
                <w:sz w:val="18"/>
                <w:szCs w:val="18"/>
              </w:rPr>
              <w:t>1.71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560,661,</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97,394,2</w:t>
            </w:r>
          </w:p>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463,267,1</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544,036,0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87,879,86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456,156,17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0.00</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97,394,250.46</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372,305,258.47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18,615,262.92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79,711,611.35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7,971,161.14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34,929,708.31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10,478,912.49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23,689,675.81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14,213,805.49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19,550,103.76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15,640,083.01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30,475,025.41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30,475,025.41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560,661,383.11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97,394,250.46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bl>
      <w:tblPr>
        <w:tblOverlap w:val="never"/>
        <w:jc w:val="center"/>
        <w:tblLayout w:type="fixed"/>
      </w:tblPr>
      <w:tblGrid>
        <w:gridCol w:w="1531"/>
        <w:gridCol w:w="5069"/>
        <w:gridCol w:w="3077"/>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2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参考应收款项的账龄进行信用风险组合分类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 以及对未来经济状况的预测，编制应收 账款账龄与整个存续期预期信用损失 率对照表，计算预期信用损失</w:t>
            </w:r>
          </w:p>
        </w:tc>
      </w:tr>
      <w:tr>
        <w:trPr>
          <w:trHeight w:val="129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合并范围内关联方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参考历史信用损失经验，结合当前状况 以及对未来经济状况的预测，通过违约 风险敞口和整个存续期预期信用损失 率，该组合预期信用损失率为</w:t>
            </w:r>
            <w:r>
              <w:rPr>
                <w:rFonts w:ascii="Times New Roman" w:eastAsia="Times New Roman" w:hAnsi="Times New Roman" w:cs="Times New Roman"/>
                <w:color w:val="000000"/>
                <w:spacing w:val="0"/>
                <w:w w:val="100"/>
                <w:position w:val="0"/>
                <w:sz w:val="18"/>
                <w:szCs w:val="18"/>
              </w:rPr>
              <w:t>0%</w:t>
            </w:r>
          </w:p>
        </w:tc>
      </w:tr>
    </w:tbl>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372,305,258.47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79,711,611.35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34,929,708.31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73,714,804.98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23,689,675.81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19,550,103.76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30,475,025.41</w:t>
            </w:r>
          </w:p>
        </w:tc>
      </w:tr>
    </w:tbl>
    <w:p>
      <w:pPr>
        <w:widowControl w:val="0"/>
        <w:spacing w:line="1" w:lineRule="exact"/>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560,661,383.11</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无</w:t>
      </w:r>
    </w:p>
    <w:p>
      <w:pPr>
        <w:pStyle w:val="Style47"/>
        <w:keepNext/>
        <w:keepLines/>
        <w:widowControl w:val="0"/>
        <w:shd w:val="clear" w:color="auto" w:fill="auto"/>
        <w:bidi w:val="0"/>
        <w:spacing w:before="0" w:after="24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1"/>
      <w:bookmarkEnd w:id="1242"/>
      <w:bookmarkEnd w:id="1244"/>
    </w:p>
    <w:p>
      <w:pPr>
        <w:pStyle w:val="Style29"/>
        <w:keepNext w:val="0"/>
        <w:keepLines w:val="0"/>
        <w:widowControl w:val="0"/>
        <w:shd w:val="clear" w:color="auto" w:fill="auto"/>
        <w:bidi w:val="0"/>
        <w:spacing w:before="0" w:after="140" w:line="360" w:lineRule="exact"/>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87,879,861.74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11,083,380.72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-1,568,992.00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97,394,250.46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87,879,861.74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11,083,380.72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-1,568,992.00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97,394,250.46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5"/>
      <w:bookmarkEnd w:id="1246"/>
      <w:bookmarkEnd w:id="12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846" w:val="left"/>
                <w:tab w:pos="3622" w:val="left"/>
              </w:tabs>
              <w:bidi w:val="0"/>
              <w:spacing w:before="0" w:after="0" w:line="240" w:lineRule="auto"/>
              <w:ind w:left="0" w:right="0" w:firstLine="440"/>
              <w:jc w:val="left"/>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1"/>
              <w:keepNext w:val="0"/>
              <w:keepLines w:val="0"/>
              <w:widowControl w:val="0"/>
              <w:shd w:val="clear" w:color="auto" w:fill="auto"/>
              <w:tabs>
                <w:tab w:pos="1765"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9"/>
      <w:bookmarkEnd w:id="1250"/>
      <w:bookmarkEnd w:id="125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987"/>
        <w:gridCol w:w="2530"/>
        <w:gridCol w:w="2525"/>
        <w:gridCol w:w="2539"/>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39,816,891.62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2,214,100.81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23,112,065.22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1,248,122.75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13,176,106.73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880,090.84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11,761,416.07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588,070.80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10,929,990.93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546,499.55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98,796,470.57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53"/>
      <w:bookmarkEnd w:id="1254"/>
      <w:bookmarkEnd w:id="12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257"/>
      <w:bookmarkEnd w:id="1258"/>
      <w:bookmarkEnd w:id="126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5</w:t>
      </w:r>
      <w:bookmarkEnd w:id="1263"/>
      <w:r>
        <w:rPr>
          <w:color w:val="000000"/>
          <w:spacing w:val="0"/>
          <w:w w:val="100"/>
          <w:position w:val="0"/>
        </w:rPr>
        <w:t>、预付款项</w:t>
      </w:r>
      <w:bookmarkEnd w:id="1261"/>
      <w:bookmarkEnd w:id="1262"/>
      <w:bookmarkEnd w:id="1264"/>
    </w:p>
    <w:p>
      <w:pPr>
        <w:pStyle w:val="Style47"/>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5"/>
      <w:bookmarkEnd w:id="1266"/>
      <w:bookmarkEnd w:id="1268"/>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22,045,409.43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17,008,312.70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5,110,413.10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782,954.49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375,184.25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651,571.54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789,012.54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28,320,019.32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18,626,672.73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47"/>
        <w:keepNext/>
        <w:keepLines/>
        <w:widowControl w:val="0"/>
        <w:shd w:val="clear" w:color="auto" w:fill="auto"/>
        <w:bidi w:val="0"/>
        <w:spacing w:before="0" w:after="32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9"/>
      <w:bookmarkEnd w:id="1270"/>
      <w:bookmarkEnd w:id="1272"/>
    </w:p>
    <w:tbl>
      <w:tblPr>
        <w:tblOverlap w:val="never"/>
        <w:jc w:val="center"/>
        <w:tblLayout w:type="fixed"/>
      </w:tblPr>
      <w:tblGrid>
        <w:gridCol w:w="2794"/>
        <w:gridCol w:w="1997"/>
        <w:gridCol w:w="1123"/>
        <w:gridCol w:w="1445"/>
        <w:gridCol w:w="2318"/>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占预付款项总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5,163,936.70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4,367,958.45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2,151,922.00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未到货</w:t>
            </w:r>
          </w:p>
        </w:tc>
      </w:tr>
    </w:tbl>
    <w:p>
      <w:pPr>
        <w:widowControl w:val="0"/>
        <w:spacing w:line="1" w:lineRule="exact"/>
      </w:pPr>
    </w:p>
    <w:tbl>
      <w:tblPr>
        <w:tblOverlap w:val="never"/>
        <w:jc w:val="center"/>
        <w:tblLayout w:type="fixed"/>
      </w:tblPr>
      <w:tblGrid>
        <w:gridCol w:w="2794"/>
        <w:gridCol w:w="1997"/>
        <w:gridCol w:w="1123"/>
        <w:gridCol w:w="1445"/>
        <w:gridCol w:w="231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1,787,119.04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未到货</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1,079,609.39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14,550,545.58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6</w:t>
      </w:r>
      <w:bookmarkEnd w:id="1275"/>
      <w:r>
        <w:rPr>
          <w:color w:val="000000"/>
          <w:spacing w:val="0"/>
          <w:w w:val="100"/>
          <w:position w:val="0"/>
        </w:rPr>
        <w:t>、其他应收款</w:t>
      </w:r>
      <w:bookmarkEnd w:id="1273"/>
      <w:bookmarkEnd w:id="1274"/>
      <w:bookmarkEnd w:id="127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12,882,628.62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15,578,301.17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12,882,628.62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15,578,301.17</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77"/>
      <w:bookmarkEnd w:id="1278"/>
      <w:bookmarkEnd w:id="1280"/>
    </w:p>
    <w:p>
      <w:pPr>
        <w:pStyle w:val="Style69"/>
        <w:keepNext/>
        <w:keepLines/>
        <w:widowControl w:val="0"/>
        <w:shd w:val="clear" w:color="auto" w:fill="auto"/>
        <w:bidi w:val="0"/>
        <w:spacing w:before="0" w:line="240" w:lineRule="auto"/>
        <w:ind w:left="0" w:right="0" w:firstLine="0"/>
        <w:jc w:val="both"/>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81"/>
      <w:bookmarkEnd w:id="1282"/>
      <w:bookmarkEnd w:id="128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69"/>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84"/>
      <w:bookmarkEnd w:id="1285"/>
      <w:bookmarkEnd w:id="12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9"/>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color w:val="000000"/>
          <w:spacing w:val="0"/>
          <w:w w:val="100"/>
          <w:position w:val="0"/>
        </w:rPr>
        <w:t>）坏账准备计提情况</w:t>
      </w:r>
      <w:bookmarkEnd w:id="1287"/>
      <w:bookmarkEnd w:id="1288"/>
      <w:bookmarkEnd w:id="129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both"/>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91"/>
      <w:bookmarkEnd w:id="1292"/>
      <w:bookmarkEnd w:id="1294"/>
    </w:p>
    <w:p>
      <w:pPr>
        <w:pStyle w:val="Style69"/>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95"/>
      <w:bookmarkEnd w:id="1296"/>
      <w:bookmarkEnd w:id="129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69"/>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98"/>
      <w:bookmarkEnd w:id="1299"/>
      <w:bookmarkEnd w:id="13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color w:val="000000"/>
          <w:spacing w:val="0"/>
          <w:w w:val="100"/>
          <w:position w:val="0"/>
        </w:rPr>
        <w:t>）坏账准备计提情况</w:t>
      </w:r>
      <w:bookmarkEnd w:id="1301"/>
      <w:bookmarkEnd w:id="1302"/>
      <w:bookmarkEnd w:id="130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05"/>
      <w:bookmarkEnd w:id="1306"/>
      <w:bookmarkEnd w:id="1308"/>
    </w:p>
    <w:p>
      <w:pPr>
        <w:pStyle w:val="Style69"/>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309"/>
      <w:bookmarkEnd w:id="1310"/>
      <w:bookmarkEnd w:id="131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1,582,432.18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1,730,482.47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7,910,342.20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11,402,373.58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代缴代扣款项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1,113,335.65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1,361,356.76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487,280.18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3,206,879.28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1,583,860.00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14,300,269.49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16,738,772.81</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312"/>
      <w:bookmarkEnd w:id="1313"/>
      <w:bookmarkEnd w:id="13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1,160,471.64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1,160,471.64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257,169.23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1,417,640.87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1,417,640.87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按账龄披露</w:t>
      </w:r>
      <w:r>
        <w:br w:type="page"/>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545,653.52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54,079.10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326,080.32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491,827.93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144,224.93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232,640.00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114,963.00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1,417,640.87</w:t>
            </w:r>
          </w:p>
        </w:tc>
      </w:tr>
    </w:tbl>
    <w:p>
      <w:pPr>
        <w:widowControl w:val="0"/>
        <w:spacing w:after="299" w:line="1" w:lineRule="exact"/>
      </w:pPr>
    </w:p>
    <w:p>
      <w:pPr>
        <w:pStyle w:val="Style69"/>
        <w:keepNext/>
        <w:keepLines/>
        <w:widowControl w:val="0"/>
        <w:shd w:val="clear" w:color="auto" w:fill="auto"/>
        <w:bidi w:val="0"/>
        <w:spacing w:before="0" w:after="40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color w:val="000000"/>
          <w:spacing w:val="0"/>
          <w:w w:val="100"/>
          <w:position w:val="0"/>
        </w:rPr>
        <w:t>）本期计提、收回或转回的坏账准备情况</w:t>
      </w:r>
      <w:bookmarkEnd w:id="1315"/>
      <w:bookmarkEnd w:id="1316"/>
      <w:bookmarkEnd w:id="131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1,160,471.64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257,169.23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1,417,640.87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1,160,471.64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257,169.23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1,417,640.87</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69"/>
        <w:keepNext/>
        <w:keepLines/>
        <w:widowControl w:val="0"/>
        <w:shd w:val="clear" w:color="auto" w:fill="auto"/>
        <w:bidi w:val="0"/>
        <w:spacing w:before="0" w:after="40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color w:val="000000"/>
          <w:spacing w:val="0"/>
          <w:w w:val="100"/>
          <w:position w:val="0"/>
        </w:rPr>
        <w:t>）本期实际核销的其他应收款情况</w:t>
      </w:r>
      <w:bookmarkEnd w:id="1319"/>
      <w:bookmarkEnd w:id="1320"/>
      <w:bookmarkEnd w:id="13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296" w:val="left"/>
                <w:tab w:pos="3154"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1"/>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69"/>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5</w:t>
      </w:r>
      <w:bookmarkEnd w:id="1325"/>
      <w:r>
        <w:rPr>
          <w:color w:val="000000"/>
          <w:spacing w:val="0"/>
          <w:w w:val="100"/>
          <w:position w:val="0"/>
        </w:rPr>
        <w:t>）按欠款方归集的期末余额前五名的其他应收款情况</w:t>
      </w:r>
      <w:bookmarkEnd w:id="1323"/>
      <w:bookmarkEnd w:id="1324"/>
      <w:bookmarkEnd w:id="132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1,400,739.54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70,036.98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618,250.00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30,912.50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437,455.37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360,821.40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119,421.49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6,057,266.31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404,243.74</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6</w:t>
      </w:r>
      <w:bookmarkEnd w:id="1329"/>
      <w:r>
        <w:rPr>
          <w:color w:val="000000"/>
          <w:spacing w:val="0"/>
          <w:w w:val="100"/>
          <w:position w:val="0"/>
        </w:rPr>
        <w:t>）涉及政府补助的应收款项</w:t>
      </w:r>
      <w:bookmarkEnd w:id="1327"/>
      <w:bookmarkEnd w:id="1328"/>
      <w:bookmarkEnd w:id="133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69"/>
        <w:keepNext/>
        <w:keepLines/>
        <w:widowControl w:val="0"/>
        <w:shd w:val="clear" w:color="auto" w:fill="auto"/>
        <w:tabs>
          <w:tab w:pos="392"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7</w:t>
      </w:r>
      <w:bookmarkEnd w:id="1333"/>
      <w:r>
        <w:rPr>
          <w:color w:val="000000"/>
          <w:spacing w:val="0"/>
          <w:w w:val="100"/>
          <w:position w:val="0"/>
        </w:rPr>
        <w:t>）</w:t>
        <w:tab/>
        <w:t>因金融资产转移而终止确认的其他应收款</w:t>
      </w:r>
      <w:bookmarkEnd w:id="1331"/>
      <w:bookmarkEnd w:id="1332"/>
      <w:bookmarkEnd w:id="133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9"/>
        <w:keepNext/>
        <w:keepLines/>
        <w:widowControl w:val="0"/>
        <w:shd w:val="clear" w:color="auto" w:fill="auto"/>
        <w:tabs>
          <w:tab w:pos="397" w:val="left"/>
        </w:tabs>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8</w:t>
      </w:r>
      <w:bookmarkEnd w:id="1337"/>
      <w:r>
        <w:rPr>
          <w:color w:val="000000"/>
          <w:spacing w:val="0"/>
          <w:w w:val="100"/>
          <w:position w:val="0"/>
        </w:rPr>
        <w:t>）</w:t>
        <w:tab/>
        <w:t>转移其他应收款且继续涉入形成的资产、负债金额</w:t>
      </w:r>
      <w:bookmarkEnd w:id="1335"/>
      <w:bookmarkEnd w:id="1336"/>
      <w:bookmarkEnd w:id="133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7</w:t>
      </w:r>
      <w:bookmarkEnd w:id="1341"/>
      <w:r>
        <w:rPr>
          <w:color w:val="000000"/>
          <w:spacing w:val="0"/>
          <w:w w:val="100"/>
          <w:position w:val="0"/>
        </w:rPr>
        <w:t>、存货</w:t>
      </w:r>
      <w:bookmarkEnd w:id="1339"/>
      <w:bookmarkEnd w:id="1340"/>
      <w:bookmarkEnd w:id="134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43"/>
      <w:bookmarkEnd w:id="1344"/>
      <w:bookmarkEnd w:id="13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46,609,771.90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46,609,771.90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35,611,450.49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35,611,450.49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64,336,755.15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64,336,755.15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67,204,205.15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67,204,205.15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265,843,175.22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265,843,175.22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215,286,001.26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215,286,001.26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8,551,413.37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8,551,413.37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13,909,309.61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13,909,309.61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2,748,241.69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2,748,241.69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1,099,468.32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388,089,357.33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388,089,357.33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333,110,434.83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333,110,434.83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47"/>
      <w:bookmarkEnd w:id="1348"/>
      <w:bookmarkEnd w:id="135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51"/>
      <w:bookmarkEnd w:id="1352"/>
      <w:bookmarkEnd w:id="135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55"/>
      <w:bookmarkEnd w:id="1356"/>
      <w:bookmarkEnd w:id="135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8</w:t>
      </w:r>
      <w:bookmarkEnd w:id="1361"/>
      <w:r>
        <w:rPr>
          <w:color w:val="000000"/>
          <w:spacing w:val="0"/>
          <w:w w:val="100"/>
          <w:position w:val="0"/>
        </w:rPr>
        <w:t>、一年内到期的非流动资产</w:t>
      </w:r>
      <w:bookmarkEnd w:id="1359"/>
      <w:bookmarkEnd w:id="1360"/>
      <w:bookmarkEnd w:id="136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票面利率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招商银行定单户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招商银行定单户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招商银行定单户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交通银行定单户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960"/>
        <w:gridCol w:w="955"/>
        <w:gridCol w:w="955"/>
        <w:gridCol w:w="960"/>
        <w:gridCol w:w="955"/>
        <w:gridCol w:w="955"/>
        <w:gridCol w:w="955"/>
        <w:gridCol w:w="9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9</w:t>
      </w:r>
      <w:bookmarkEnd w:id="1365"/>
      <w:r>
        <w:rPr>
          <w:color w:val="000000"/>
          <w:spacing w:val="0"/>
          <w:w w:val="100"/>
          <w:position w:val="0"/>
        </w:rPr>
        <w:t>、其他流动资产</w:t>
      </w:r>
      <w:bookmarkEnd w:id="1363"/>
      <w:bookmarkEnd w:id="1364"/>
      <w:bookmarkEnd w:id="1366"/>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13,068,034.65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7,260,452.67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286,303.55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660,998.80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82,547.17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13,436,885.37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7,921,451.47</w:t>
            </w:r>
          </w:p>
        </w:tc>
      </w:tr>
    </w:tbl>
    <w:p>
      <w:pPr>
        <w:widowControl w:val="0"/>
        <w:spacing w:after="99" w:line="1" w:lineRule="exact"/>
      </w:pP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line="240" w:lineRule="auto"/>
        <w:ind w:left="0" w:right="0" w:firstLine="440"/>
        <w:jc w:val="left"/>
        <w:rPr>
          <w:sz w:val="20"/>
          <w:szCs w:val="20"/>
        </w:rPr>
      </w:pPr>
      <w:r>
        <w:rPr>
          <w:color w:val="000000"/>
          <w:spacing w:val="0"/>
          <w:w w:val="100"/>
          <w:position w:val="0"/>
          <w:sz w:val="20"/>
          <w:szCs w:val="20"/>
        </w:rPr>
        <w:t>其他流动资产期末余额较期初余额增加</w:t>
      </w:r>
      <w:r>
        <w:rPr>
          <w:rFonts w:ascii="Times New Roman" w:eastAsia="Times New Roman" w:hAnsi="Times New Roman" w:cs="Times New Roman"/>
          <w:color w:val="000000"/>
          <w:spacing w:val="0"/>
          <w:w w:val="100"/>
          <w:position w:val="0"/>
          <w:sz w:val="20"/>
          <w:szCs w:val="20"/>
        </w:rPr>
        <w:t>5,515,433.90</w:t>
      </w:r>
      <w:r>
        <w:rPr>
          <w:color w:val="000000"/>
          <w:spacing w:val="0"/>
          <w:w w:val="100"/>
          <w:position w:val="0"/>
          <w:sz w:val="20"/>
          <w:szCs w:val="20"/>
        </w:rPr>
        <w:t>元，增加比例为</w:t>
      </w:r>
      <w:r>
        <w:rPr>
          <w:rFonts w:ascii="Times New Roman" w:eastAsia="Times New Roman" w:hAnsi="Times New Roman" w:cs="Times New Roman"/>
          <w:color w:val="000000"/>
          <w:spacing w:val="0"/>
          <w:w w:val="100"/>
          <w:position w:val="0"/>
          <w:sz w:val="20"/>
          <w:szCs w:val="20"/>
        </w:rPr>
        <w:t>69.63%</w:t>
      </w:r>
      <w:r>
        <w:rPr>
          <w:color w:val="000000"/>
          <w:spacing w:val="0"/>
          <w:w w:val="100"/>
          <w:position w:val="0"/>
          <w:sz w:val="20"/>
          <w:szCs w:val="20"/>
        </w:rPr>
        <w:t>，主要系待抵扣税金增加所</w:t>
      </w:r>
    </w:p>
    <w:p>
      <w:pPr>
        <w:pStyle w:val="Style14"/>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致。</w:t>
      </w:r>
    </w:p>
    <w:p>
      <w:pPr>
        <w:pStyle w:val="Style33"/>
        <w:keepNext/>
        <w:keepLines/>
        <w:widowControl w:val="0"/>
        <w:shd w:val="clear" w:color="auto" w:fill="auto"/>
        <w:bidi w:val="0"/>
        <w:spacing w:before="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rFonts w:ascii="Times New Roman" w:eastAsia="Times New Roman" w:hAnsi="Times New Roman" w:cs="Times New Roman"/>
          <w:color w:val="000000"/>
          <w:spacing w:val="0"/>
          <w:w w:val="100"/>
          <w:position w:val="0"/>
        </w:rPr>
        <w:t>0</w:t>
      </w:r>
      <w:r>
        <w:rPr>
          <w:color w:val="000000"/>
          <w:spacing w:val="0"/>
          <w:w w:val="100"/>
          <w:position w:val="0"/>
        </w:rPr>
        <w:t>、债权投资</w:t>
      </w:r>
      <w:bookmarkEnd w:id="1367"/>
      <w:bookmarkEnd w:id="1368"/>
      <w:bookmarkEnd w:id="1370"/>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163,121,784.75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163,121,784.75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163,121,784.75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163,121,784.75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13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平安银行大额存单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960"/>
        <w:gridCol w:w="955"/>
        <w:gridCol w:w="955"/>
        <w:gridCol w:w="960"/>
        <w:gridCol w:w="955"/>
        <w:gridCol w:w="955"/>
        <w:gridCol w:w="955"/>
        <w:gridCol w:w="970"/>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交通银行大额存单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10,133,479.</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210,133,479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20" w:line="326" w:lineRule="exact"/>
        <w:ind w:left="0" w:right="0" w:firstLine="44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日，本公司认为所持有的债权投资不存在重大的信用风险，不会因债务人违约而产 生重大损失。</w:t>
      </w:r>
      <w:r>
        <w:br w:type="page"/>
      </w:r>
    </w:p>
    <w:p>
      <w:pPr>
        <w:pStyle w:val="Style33"/>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371"/>
      <w:bookmarkEnd w:id="1372"/>
      <w:bookmarkEnd w:id="137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飞天联合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 统技术有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30,389,80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-7,547,08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5,726,745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28,544,56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北京赛弗 网络科技 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5,455,813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-617,691.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4,838,121</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71,684,07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35,845,61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-8,164,77</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5,726,745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28,544,56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4,838,121</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35,845,61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-8,164,77</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5,726,745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28,544,56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4,838,121</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375"/>
      <w:bookmarkEnd w:id="1376"/>
      <w:bookmarkEnd w:id="137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北京七彩通达传媒股份有限公司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北京智慧图科技有限责任公司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20,234,100.00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北京七彩通达传 媒股份有限公司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北京智慧图科技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326" w:lineRule="exact"/>
        <w:ind w:left="0" w:right="0" w:firstLine="440"/>
        <w:jc w:val="both"/>
        <w:rPr>
          <w:sz w:val="20"/>
          <w:szCs w:val="20"/>
        </w:rPr>
      </w:pPr>
      <w:r>
        <w:rPr>
          <w:color w:val="000000"/>
          <w:spacing w:val="0"/>
          <w:w w:val="100"/>
          <w:position w:val="0"/>
          <w:sz w:val="20"/>
          <w:szCs w:val="20"/>
        </w:rPr>
        <w:t xml:space="preserve">辉煌科技对北京七彩通达传媒股份有限公司（以下简称七彩通达）的股权投资的初始成本为 </w:t>
      </w:r>
      <w:r>
        <w:rPr>
          <w:rFonts w:ascii="Times New Roman" w:eastAsia="Times New Roman" w:hAnsi="Times New Roman" w:cs="Times New Roman"/>
          <w:color w:val="000000"/>
          <w:spacing w:val="0"/>
          <w:w w:val="100"/>
          <w:position w:val="0"/>
          <w:sz w:val="20"/>
          <w:szCs w:val="20"/>
        </w:rPr>
        <w:t>110,000,000.00</w:t>
      </w:r>
      <w:r>
        <w:rPr>
          <w:color w:val="000000"/>
          <w:spacing w:val="0"/>
          <w:w w:val="100"/>
          <w:position w:val="0"/>
          <w:sz w:val="20"/>
          <w:szCs w:val="20"/>
        </w:rPr>
        <w:t>元，期末公允价值较初始投资成本减少</w:t>
      </w:r>
      <w:r>
        <w:rPr>
          <w:rFonts w:ascii="Times New Roman" w:eastAsia="Times New Roman" w:hAnsi="Times New Roman" w:cs="Times New Roman"/>
          <w:color w:val="000000"/>
          <w:spacing w:val="0"/>
          <w:w w:val="100"/>
          <w:position w:val="0"/>
          <w:sz w:val="20"/>
          <w:szCs w:val="20"/>
        </w:rPr>
        <w:t>110,000,000.00</w:t>
      </w:r>
      <w:r>
        <w:rPr>
          <w:color w:val="000000"/>
          <w:spacing w:val="0"/>
          <w:w w:val="100"/>
          <w:position w:val="0"/>
          <w:sz w:val="20"/>
          <w:szCs w:val="20"/>
        </w:rPr>
        <w:t>元，期末公允价值为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w:t>
      </w:r>
    </w:p>
    <w:p>
      <w:pPr>
        <w:pStyle w:val="Style14"/>
        <w:keepNext w:val="0"/>
        <w:keepLines w:val="0"/>
        <w:widowControl w:val="0"/>
        <w:shd w:val="clear" w:color="auto" w:fill="auto"/>
        <w:bidi w:val="0"/>
        <w:spacing w:before="0" w:after="360" w:line="331" w:lineRule="exact"/>
        <w:ind w:left="0" w:right="0" w:firstLine="440"/>
        <w:jc w:val="both"/>
        <w:rPr>
          <w:sz w:val="20"/>
          <w:szCs w:val="20"/>
        </w:rPr>
      </w:pPr>
      <w:r>
        <w:rPr>
          <w:color w:val="000000"/>
          <w:spacing w:val="0"/>
          <w:w w:val="100"/>
          <w:position w:val="0"/>
          <w:sz w:val="20"/>
          <w:szCs w:val="20"/>
        </w:rPr>
        <w:t>辉煌科技对北京智慧图科技有限责任公司（以下简称智慧图）的股权投资的初始成本为</w:t>
      </w:r>
      <w:r>
        <w:rPr>
          <w:rFonts w:ascii="Times New Roman" w:eastAsia="Times New Roman" w:hAnsi="Times New Roman" w:cs="Times New Roman"/>
          <w:color w:val="000000"/>
          <w:spacing w:val="0"/>
          <w:w w:val="100"/>
          <w:position w:val="0"/>
          <w:sz w:val="20"/>
          <w:szCs w:val="20"/>
        </w:rPr>
        <w:t xml:space="preserve">20,000,000.00 </w:t>
      </w:r>
      <w:r>
        <w:rPr>
          <w:color w:val="000000"/>
          <w:spacing w:val="0"/>
          <w:w w:val="100"/>
          <w:position w:val="0"/>
          <w:sz w:val="20"/>
          <w:szCs w:val="20"/>
        </w:rPr>
        <w:t>元，期末公允价值较初始投资成本增加</w:t>
      </w:r>
      <w:r>
        <w:rPr>
          <w:rFonts w:ascii="Times New Roman" w:eastAsia="Times New Roman" w:hAnsi="Times New Roman" w:cs="Times New Roman"/>
          <w:color w:val="000000"/>
          <w:spacing w:val="0"/>
          <w:w w:val="100"/>
          <w:position w:val="0"/>
          <w:sz w:val="20"/>
          <w:szCs w:val="20"/>
        </w:rPr>
        <w:t>234,100.00</w:t>
      </w:r>
      <w:r>
        <w:rPr>
          <w:color w:val="000000"/>
          <w:spacing w:val="0"/>
          <w:w w:val="100"/>
          <w:position w:val="0"/>
          <w:sz w:val="20"/>
          <w:szCs w:val="20"/>
        </w:rPr>
        <w:t>元，期末公允价值为</w:t>
      </w:r>
      <w:r>
        <w:rPr>
          <w:rFonts w:ascii="Times New Roman" w:eastAsia="Times New Roman" w:hAnsi="Times New Roman" w:cs="Times New Roman"/>
          <w:color w:val="000000"/>
          <w:spacing w:val="0"/>
          <w:w w:val="100"/>
          <w:position w:val="0"/>
          <w:sz w:val="20"/>
          <w:szCs w:val="20"/>
        </w:rPr>
        <w:t>20,234,100.00</w:t>
      </w:r>
      <w:r>
        <w:rPr>
          <w:color w:val="000000"/>
          <w:spacing w:val="0"/>
          <w:w w:val="100"/>
          <w:position w:val="0"/>
          <w:sz w:val="20"/>
          <w:szCs w:val="20"/>
        </w:rPr>
        <w:t>元。</w:t>
      </w:r>
    </w:p>
    <w:p>
      <w:pPr>
        <w:pStyle w:val="Style33"/>
        <w:keepNext/>
        <w:keepLines/>
        <w:widowControl w:val="0"/>
        <w:shd w:val="clear" w:color="auto" w:fill="auto"/>
        <w:bidi w:val="0"/>
        <w:spacing w:before="0" w:after="300" w:line="343"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379"/>
      <w:bookmarkEnd w:id="1380"/>
      <w:bookmarkEnd w:id="13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392,585,194.13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157,156,782.78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392,585,194.13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157,156,782.78</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3"/>
      <w:bookmarkEnd w:id="1384"/>
      <w:bookmarkEnd w:id="13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127,194,609.72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165,833,514.88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11,787,088.24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10,887,043.12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315,702,255.96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164,331,786.41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113,847,938.04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627,200.01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278,814,068.27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1,233,108.88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627,200.01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15,946,394.70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164,331,786.41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112,614,829.16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262,867,673.57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30,719,885.70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88,909,838.08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240,457.00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4,162,485.93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124,032,666.71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30,719,885.70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88,909,838.08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240,457.00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4,162,485.93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124,032,666.71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260,806,510.43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190,771,614.84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11,553,775.05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7,351,757.20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470,483,657.52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29,375,316.53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111,092,159.64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9,429,757.06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8,648,239.95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158,545,473.18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4,339,045.78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17,833,026.33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426,016.30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1,000,142.89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23,598,231.30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4,339,045.78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17,833,026.33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426,016.30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1,000,142.89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23,598,231.30</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13,733,123.81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86,241,379.47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4,037,494.52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104,245,241.09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13,733,123.81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86,241,379.47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4,037,494.52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104,245,241.09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19,981,238.50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42,683,806.50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9,622,530.07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5,610,888.32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77,898,463.39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240,825,271.93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148,087,808.34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1,931,244.98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1,740,868.88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392,585,194.13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97,819,293.19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54,741,355.24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2,357,331.18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2,238,803.17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157,156,782.78</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87"/>
      <w:bookmarkEnd w:id="1388"/>
      <w:bookmarkEnd w:id="1390"/>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91"/>
      <w:bookmarkEnd w:id="1392"/>
      <w:bookmarkEnd w:id="1394"/>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95"/>
      <w:bookmarkEnd w:id="1396"/>
      <w:bookmarkEnd w:id="1398"/>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164,018,930.62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新厂房在建，产权证正在办理中</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164,018,930.62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99"/>
      <w:bookmarkEnd w:id="1400"/>
      <w:bookmarkEnd w:id="140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403"/>
      <w:bookmarkEnd w:id="1404"/>
      <w:bookmarkEnd w:id="140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86,447,308.59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294,274,547.32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86,447,308.59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294,274,547.32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07"/>
      <w:bookmarkEnd w:id="1408"/>
      <w:bookmarkEnd w:id="141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新厂区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68,569,407.22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68,569,407.22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178,569,672.17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178,569,672.17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城轨自动化监控 平台系统关键技 术研究与应用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15,432,739.32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15,432,739.32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10,664,628.60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10,664,628.60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铁路综合视频监 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61,686,757.44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61,686,757.44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轨道交通运营安 全服务系统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41,485,078.66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41,485,078.66</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成都新一驱动科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技有限责任公司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2,445,162.05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2,445,162.05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1,868,410.45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1,868,410.45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86,447,308.59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86,447,308.59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294,274,547.32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294,274,547.32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11"/>
      <w:bookmarkEnd w:id="1412"/>
      <w:bookmarkEnd w:id="14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入固定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新厂区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178,569,</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54,331,5</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164,331,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68,569,4</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城轨自 动化监 控平台 系统关 键技术 研究与 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30,960,0</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10,664,6</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4,768,11</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15,432,7</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铁路综</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合视频</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监控系</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70,070,9</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61,686,7</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8,384,10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70,070,8</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轨道交</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通运营 安全服 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42,544,0</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41,485,0</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1,058,88</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42,543,9</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成都新 一驱动 科技有 限责任 公司厂 房装修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1,868,41</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2,445,16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446,574,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294,274,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69,119,3</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276,946,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86,447,3</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numPr>
          <w:ilvl w:val="0"/>
          <w:numId w:val="93"/>
        </w:numPr>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本期计提在建工程减值准备情况</w:t>
      </w:r>
      <w:bookmarkEnd w:id="1415"/>
      <w:bookmarkEnd w:id="1416"/>
      <w:bookmarkEnd w:id="141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7"/>
        <w:keepNext/>
        <w:keepLines/>
        <w:widowControl w:val="0"/>
        <w:numPr>
          <w:ilvl w:val="0"/>
          <w:numId w:val="93"/>
        </w:numPr>
        <w:shd w:val="clear" w:color="auto" w:fill="auto"/>
        <w:bidi w:val="0"/>
        <w:spacing w:before="0" w:line="240" w:lineRule="auto"/>
        <w:ind w:left="0" w:right="0" w:firstLine="0"/>
        <w:jc w:val="both"/>
      </w:pPr>
      <w:bookmarkStart w:id="1419" w:name="bookmark1419"/>
      <w:bookmarkStart w:id="1420" w:name="bookmark1420"/>
      <w:bookmarkStart w:id="1421" w:name="bookmark1421"/>
      <w:bookmarkStart w:id="1422" w:name="bookmark1422"/>
      <w:bookmarkEnd w:id="1421"/>
      <w:r>
        <w:rPr>
          <w:color w:val="000000"/>
          <w:spacing w:val="0"/>
          <w:w w:val="100"/>
          <w:position w:val="0"/>
        </w:rPr>
        <w:t>工程物资</w:t>
      </w:r>
      <w:bookmarkEnd w:id="1419"/>
      <w:bookmarkEnd w:id="1420"/>
      <w:bookmarkEnd w:id="142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1</w:t>
      </w:r>
      <w:bookmarkEnd w:id="1425"/>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423"/>
      <w:bookmarkEnd w:id="1424"/>
      <w:bookmarkEnd w:id="1426"/>
    </w:p>
    <w:p>
      <w:pPr>
        <w:pStyle w:val="Style47"/>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27"/>
      <w:bookmarkEnd w:id="1428"/>
      <w:bookmarkEnd w:id="142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58,356,303.37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2,017,185.49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4,633,008.88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66,606,497.74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58,356,303.37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2,017,185.49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4,633,008.88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66,606,497.74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9,496,593.65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907,733.52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4,497,510.04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16,501,837.21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1,251,862.08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403,437.12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1,717,367.37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1,251,862.08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403,437.12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1,717,367.37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10,748,455.73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1,311,170.64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4,559,578.21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18,219,204.58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47,607,847.64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48,387,293.16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48,859,709.72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1,109,451.97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135,498.84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50,104,660.53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7"/>
        <w:keepNext/>
        <w:keepLines/>
        <w:widowControl w:val="0"/>
        <w:shd w:val="clear" w:color="auto" w:fill="auto"/>
        <w:bidi w:val="0"/>
        <w:spacing w:before="0" w:after="42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30"/>
      <w:bookmarkEnd w:id="1431"/>
      <w:bookmarkEnd w:id="143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42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434"/>
      <w:bookmarkEnd w:id="1435"/>
      <w:bookmarkEnd w:id="1436"/>
    </w:p>
    <w:p>
      <w:pPr>
        <w:pStyle w:val="Style47"/>
        <w:keepNext/>
        <w:keepLines/>
        <w:widowControl w:val="0"/>
        <w:shd w:val="clear" w:color="auto" w:fill="auto"/>
        <w:bidi w:val="0"/>
        <w:spacing w:before="0" w:after="420" w:line="240" w:lineRule="auto"/>
        <w:ind w:left="0" w:right="0" w:firstLine="0"/>
        <w:jc w:val="both"/>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37"/>
      <w:bookmarkEnd w:id="1438"/>
      <w:bookmarkEnd w:id="143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北京国铁路阳技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107,863,014.60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107,863,014.60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成都新一驱动技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34,141,326.36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34,141,326.36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142,004,340.96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142,004,340.96</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40"/>
      <w:bookmarkEnd w:id="1441"/>
      <w:bookmarkEnd w:id="144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北京国铁路阳技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107,863,014.60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107,863,014.60</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成都新一驱动技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34,141,326.36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34,141,326.36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142,004,340.96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142,004,340.96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等）及商誉减值损失的确认方法：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1</w:t>
      </w:r>
      <w:bookmarkEnd w:id="1446"/>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444"/>
      <w:bookmarkEnd w:id="1445"/>
      <w:bookmarkEnd w:id="14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上海申通地铁资产 经营管理有限公司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号线经营权费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613,207.59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3,520,397.41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4,133,605.00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上海申通德高地铁 广告有限公司上海 地铁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号线广告经 营权费用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2,437,503.41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842,699.59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3,280,203.00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3,050,711.00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4,363,097.00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7,413,808.00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bookmarkEnd w:id="1450"/>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48"/>
      <w:bookmarkEnd w:id="1449"/>
      <w:bookmarkEnd w:id="1451"/>
    </w:p>
    <w:p>
      <w:pPr>
        <w:pStyle w:val="Style47"/>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52"/>
      <w:bookmarkEnd w:id="1453"/>
      <w:bookmarkEnd w:id="14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75,124,401.03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11,268,660.15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31,165,899.42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4,674,884.90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226,481,092.83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33,972,163.92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332,894,227.05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49,934,134.06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97,394,250.46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14,712,920.08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87,879,861.74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13,151,287.47</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1,417,640.87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214,465.20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1,160,471.64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172,177.95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1,698,614.96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254,792.24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2,858,108.32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428,716.25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260,994,912.54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39,149,236.89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93,044,910.71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13,956,736.61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655,585.32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453,866.76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68,080.01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17,361,066.67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811,127,564.68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123,774,736.28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679,457,345.64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101,886,017.25</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55"/>
      <w:bookmarkEnd w:id="1456"/>
      <w:bookmarkEnd w:id="145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其他权益工具投资公允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336,928,623.29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50,539,293.49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244,813,003.99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36,721,950.60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750,651.48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112,597.72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债权投资应计利息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3,310,305.30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340,473,028.59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51,070,954.29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245,797,755.47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36,869,663.32</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58"/>
      <w:bookmarkEnd w:id="1459"/>
      <w:bookmarkEnd w:id="14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123,774,736.28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101,886,017.25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51,070,954.29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36,869,663.32</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62"/>
      <w:bookmarkEnd w:id="1463"/>
      <w:bookmarkEnd w:id="146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119,643,125.27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89,614,299.43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283,220,219.03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254,675,655.89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402,863,344.30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344,289,955.32</w:t>
            </w:r>
          </w:p>
        </w:tc>
      </w:tr>
    </w:tbl>
    <w:p>
      <w:pPr>
        <w:spacing w:lineRule="exact" w:line="1"/>
        <w:rPr>
          <w:sz w:val="2"/>
          <w:szCs w:val="2"/>
        </w:rPr>
      </w:pPr>
      <w:r>
        <w:br w:type="page"/>
      </w:r>
    </w:p>
    <w:p>
      <w:pPr>
        <w:pStyle w:val="Style47"/>
        <w:keepNext/>
        <w:keepLines/>
        <w:widowControl w:val="0"/>
        <w:numPr>
          <w:ilvl w:val="0"/>
          <w:numId w:val="93"/>
        </w:numPr>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未确认递延所得税资产的可抵扣亏损将于以下年度到期</w:t>
      </w:r>
      <w:bookmarkEnd w:id="1466"/>
      <w:bookmarkEnd w:id="1467"/>
      <w:bookmarkEnd w:id="146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7,287,847.63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7,287,847.63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13,600,362.61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14,508,517.76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35,197,638.83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35,197,638.83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29,995,356.68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30,435,541.59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33,561,919.52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119,643,125.27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87,429,545.81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470"/>
      <w:bookmarkEnd w:id="1471"/>
      <w:bookmarkEnd w:id="147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预付工程及设备款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1,465,386.27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1,465,386.27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3,402,207.19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3,402,207.19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1,465,386.27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1,465,386.27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3,402,207.19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3,402,207.19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4"/>
        <w:keepNext w:val="0"/>
        <w:keepLines w:val="0"/>
        <w:widowControl w:val="0"/>
        <w:shd w:val="clear" w:color="auto" w:fill="auto"/>
        <w:bidi w:val="0"/>
        <w:spacing w:before="0" w:after="380" w:line="322" w:lineRule="exact"/>
        <w:ind w:left="0" w:right="0" w:firstLine="440"/>
        <w:jc w:val="both"/>
        <w:rPr>
          <w:sz w:val="20"/>
          <w:szCs w:val="20"/>
        </w:rPr>
      </w:pPr>
      <w:r>
        <w:rPr>
          <w:color w:val="000000"/>
          <w:spacing w:val="0"/>
          <w:w w:val="100"/>
          <w:position w:val="0"/>
          <w:sz w:val="20"/>
          <w:szCs w:val="20"/>
        </w:rPr>
        <w:t>其他非流动资产期末余额较期初余额减少</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,936,820.9</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元，减少比例为</w:t>
      </w:r>
      <w:r>
        <w:rPr>
          <w:rFonts w:ascii="Times New Roman" w:eastAsia="Times New Roman" w:hAnsi="Times New Roman" w:cs="Times New Roman"/>
          <w:color w:val="000000"/>
          <w:spacing w:val="0"/>
          <w:w w:val="100"/>
          <w:position w:val="0"/>
          <w:sz w:val="20"/>
          <w:szCs w:val="20"/>
        </w:rPr>
        <w:t>56.93%</w:t>
      </w:r>
      <w:r>
        <w:rPr>
          <w:color w:val="000000"/>
          <w:spacing w:val="0"/>
          <w:w w:val="100"/>
          <w:position w:val="0"/>
          <w:sz w:val="20"/>
          <w:szCs w:val="20"/>
        </w:rPr>
        <w:t>，主要系本期末在建工程 新厂区基建已基本完工，预付款较少所致。</w:t>
      </w:r>
    </w:p>
    <w:p>
      <w:pPr>
        <w:pStyle w:val="Style33"/>
        <w:keepNext/>
        <w:keepLines/>
        <w:widowControl w:val="0"/>
        <w:shd w:val="clear" w:color="auto" w:fill="auto"/>
        <w:bidi w:val="0"/>
        <w:spacing w:before="0" w:after="160" w:line="336"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474"/>
      <w:bookmarkEnd w:id="1475"/>
      <w:bookmarkEnd w:id="1477"/>
    </w:p>
    <w:p>
      <w:pPr>
        <w:pStyle w:val="Style47"/>
        <w:keepNext/>
        <w:keepLines/>
        <w:widowControl w:val="0"/>
        <w:shd w:val="clear" w:color="auto" w:fill="auto"/>
        <w:bidi w:val="0"/>
        <w:spacing w:before="0" w:line="322" w:lineRule="exact"/>
        <w:ind w:left="0" w:right="0" w:firstLine="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78"/>
      <w:bookmarkEnd w:id="1479"/>
      <w:bookmarkEnd w:id="148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4"/>
        <w:keepNext w:val="0"/>
        <w:keepLines w:val="0"/>
        <w:widowControl w:val="0"/>
        <w:shd w:val="clear" w:color="auto" w:fill="auto"/>
        <w:bidi w:val="0"/>
        <w:spacing w:before="0" w:after="120" w:line="317" w:lineRule="exact"/>
        <w:ind w:left="0" w:right="0" w:firstLine="0"/>
        <w:jc w:val="left"/>
        <w:rPr>
          <w:sz w:val="20"/>
          <w:szCs w:val="20"/>
        </w:rPr>
      </w:pPr>
      <w:r>
        <w:rPr>
          <w:color w:val="000000"/>
          <w:spacing w:val="0"/>
          <w:w w:val="100"/>
          <w:position w:val="0"/>
          <w:sz w:val="20"/>
          <w:szCs w:val="20"/>
        </w:rPr>
        <w:t>子公司成都西南交大驱动技术有限责任公司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日与成都银行郸都支行签订保证借款合同，借款 金额为</w:t>
      </w:r>
      <w:r>
        <w:rPr>
          <w:rFonts w:ascii="Times New Roman" w:eastAsia="Times New Roman" w:hAnsi="Times New Roman" w:cs="Times New Roman"/>
          <w:color w:val="000000"/>
          <w:spacing w:val="0"/>
          <w:w w:val="100"/>
          <w:position w:val="0"/>
          <w:sz w:val="20"/>
          <w:szCs w:val="20"/>
        </w:rPr>
        <w:t>300.00</w:t>
      </w:r>
      <w:r>
        <w:rPr>
          <w:color w:val="000000"/>
          <w:spacing w:val="0"/>
          <w:w w:val="100"/>
          <w:position w:val="0"/>
          <w:sz w:val="20"/>
          <w:szCs w:val="20"/>
        </w:rPr>
        <w:t>万元人民币，借款期限为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日，该笔借款由成都市中小企业融资 担保有限责任公司、王国志、吴文海、柯坚、秦剑提供担保。</w:t>
      </w:r>
    </w:p>
    <w:p>
      <w:pPr>
        <w:pStyle w:val="Style47"/>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81"/>
      <w:bookmarkEnd w:id="1482"/>
      <w:bookmarkEnd w:id="148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9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484"/>
      <w:bookmarkEnd w:id="1485"/>
      <w:bookmarkEnd w:id="1487"/>
    </w:p>
    <w:p>
      <w:pPr>
        <w:pStyle w:val="Style47"/>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8"/>
      <w:bookmarkEnd w:id="1489"/>
      <w:bookmarkEnd w:id="149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169,400,522.75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212,821,516.87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18,949,866.22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6,007,500.05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2,957,405.61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3,463,406.40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66,938.30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192,212,462.87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222,359,361.62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91"/>
      <w:bookmarkEnd w:id="1492"/>
      <w:bookmarkEnd w:id="149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494"/>
      <w:bookmarkEnd w:id="1495"/>
      <w:bookmarkEnd w:id="1497"/>
    </w:p>
    <w:p>
      <w:pPr>
        <w:pStyle w:val="Style47"/>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8"/>
      <w:bookmarkEnd w:id="1499"/>
      <w:bookmarkEnd w:id="15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bl>
    <w:p>
      <w:pPr>
        <w:spacing w:lineRule="exact" w:line="1"/>
        <w:rPr>
          <w:sz w:val="2"/>
          <w:szCs w:val="2"/>
        </w:rPr>
      </w:pPr>
      <w:r>
        <w:br w:type="page"/>
      </w:r>
    </w:p>
    <w:p>
      <w:pPr>
        <w:pStyle w:val="Style47"/>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01"/>
      <w:bookmarkEnd w:id="1502"/>
      <w:bookmarkEnd w:id="150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504"/>
      <w:bookmarkEnd w:id="1505"/>
      <w:bookmarkEnd w:id="150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265,105,111.82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102,678,744.33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265,105,111.82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102,678,744.33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bookmarkEnd w:id="1510"/>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508"/>
      <w:bookmarkEnd w:id="1509"/>
      <w:bookmarkEnd w:id="1511"/>
    </w:p>
    <w:p>
      <w:pPr>
        <w:pStyle w:val="Style47"/>
        <w:keepNext/>
        <w:keepLines/>
        <w:widowControl w:val="0"/>
        <w:shd w:val="clear" w:color="auto" w:fill="auto"/>
        <w:bidi w:val="0"/>
        <w:spacing w:before="0" w:after="400" w:line="240" w:lineRule="auto"/>
        <w:ind w:left="0" w:right="0" w:firstLine="0"/>
        <w:jc w:val="left"/>
      </w:pPr>
      <w:bookmarkStart w:id="1512" w:name="bookmark1512"/>
      <w:bookmarkStart w:id="1513" w:name="bookmark1513"/>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12"/>
      <w:bookmarkEnd w:id="1513"/>
      <w:bookmarkEnd w:id="151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15,228,246.66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105,002,191.50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105,989,808.30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14,240,629.86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7,742,889.09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7,726,414.10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16,474.99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15,228,246.66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112,745,080.59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113,716,222.40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14,257,104.85</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5"/>
      <w:bookmarkEnd w:id="1516"/>
      <w:bookmarkEnd w:id="151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13,963,642.22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88,018,859.69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88,600,909.70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13,381,592.21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6,660,779.55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6,660,779.55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4,579,885.11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4,586,891.79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10,721.53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3,962,662.16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3,969,045.24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10,031.92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201,571.33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415,609.43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416,275.22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4,394,954.00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4,394,654.00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1,246,876.23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1,347,713.15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1,746,573.26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848,016.12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15,228,246.66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105,002,191.50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105,989,808.30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14,240,629.86</w:t>
            </w:r>
          </w:p>
        </w:tc>
      </w:tr>
    </w:tbl>
    <w:p>
      <w:pPr>
        <w:widowControl w:val="0"/>
        <w:spacing w:after="339" w:line="1" w:lineRule="exact"/>
      </w:pPr>
    </w:p>
    <w:p>
      <w:pPr>
        <w:pStyle w:val="Style47"/>
        <w:keepNext/>
        <w:keepLines/>
        <w:widowControl w:val="0"/>
        <w:numPr>
          <w:ilvl w:val="0"/>
          <w:numId w:val="95"/>
        </w:numPr>
        <w:shd w:val="clear" w:color="auto" w:fill="auto"/>
        <w:bidi w:val="0"/>
        <w:spacing w:before="0" w:after="40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设定提存计划列示</w:t>
      </w:r>
      <w:bookmarkEnd w:id="1518"/>
      <w:bookmarkEnd w:id="1519"/>
      <w:bookmarkEnd w:id="152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7,415,108.80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7,413,313.60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327,780.29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313,100.50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14,679.79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7,742,889.09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7,726,414.10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16,474.99</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40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2</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522"/>
      <w:bookmarkEnd w:id="1523"/>
      <w:bookmarkEnd w:id="152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16,620,665.45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14,995,953.54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17,525,379.30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11,385,065.23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156,255.92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143,272.58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1,163,446.58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1,030,913.56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831,033.28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736,366.83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117,410.09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74,017.79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124,639.77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124,639.77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36,549,117.29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28,500,394.50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40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526"/>
      <w:bookmarkEnd w:id="1527"/>
      <w:bookmarkEnd w:id="152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72,376,175.25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116,271,918.86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72,466,175.25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116,421,918.86</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both"/>
      </w:pPr>
      <w:bookmarkStart w:id="1530" w:name="bookmark1530"/>
      <w:bookmarkStart w:id="1531" w:name="bookmark1531"/>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30"/>
      <w:bookmarkEnd w:id="1531"/>
      <w:bookmarkEnd w:id="15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60" w:line="360" w:lineRule="exact"/>
        <w:ind w:left="0" w:right="0" w:firstLine="0"/>
        <w:jc w:val="both"/>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00" w:line="240" w:lineRule="auto"/>
        <w:ind w:left="0" w:right="0" w:firstLine="0"/>
        <w:jc w:val="both"/>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33"/>
      <w:bookmarkEnd w:id="1534"/>
      <w:bookmarkEnd w:id="153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bl>
    <w:p>
      <w:pPr>
        <w:pStyle w:val="Style29"/>
        <w:keepNext w:val="0"/>
        <w:keepLines w:val="0"/>
        <w:widowControl w:val="0"/>
        <w:shd w:val="clear" w:color="auto" w:fill="auto"/>
        <w:bidi w:val="0"/>
        <w:spacing w:before="0" w:after="0" w:line="374" w:lineRule="exact"/>
        <w:ind w:left="0" w:right="0" w:firstLine="0"/>
        <w:jc w:val="left"/>
      </w:pPr>
      <w:r>
        <w:rPr>
          <w:color w:val="000000"/>
          <w:spacing w:val="0"/>
          <w:w w:val="100"/>
          <w:position w:val="0"/>
          <w:shd w:val="clear" w:color="auto" w:fill="FFFFFF"/>
        </w:rPr>
        <w:t>其他说明，包括重要的超过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年未支付的应付股利，应披露未支付原因:</w:t>
      </w:r>
    </w:p>
    <w:p>
      <w:pPr>
        <w:pStyle w:val="Style14"/>
        <w:keepNext w:val="0"/>
        <w:keepLines w:val="0"/>
        <w:widowControl w:val="0"/>
        <w:shd w:val="clear" w:color="auto" w:fill="auto"/>
        <w:bidi w:val="0"/>
        <w:spacing w:before="0" w:after="360" w:line="374"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36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36"/>
      <w:bookmarkEnd w:id="1537"/>
      <w:bookmarkEnd w:id="1539"/>
    </w:p>
    <w:p>
      <w:pPr>
        <w:pStyle w:val="Style69"/>
        <w:keepNext/>
        <w:keepLines/>
        <w:widowControl w:val="0"/>
        <w:shd w:val="clear" w:color="auto" w:fill="auto"/>
        <w:bidi w:val="0"/>
        <w:spacing w:before="0" w:after="360" w:line="240" w:lineRule="auto"/>
        <w:ind w:left="0" w:right="0" w:firstLine="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40"/>
      <w:bookmarkEnd w:id="1541"/>
      <w:bookmarkEnd w:id="154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1,146,376.25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4,163,778.95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357,479.37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1,002,898.53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2,925,927.17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1,679,647.12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4,738,992.46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3,555,594.26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土地收储及搬迁补偿款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限制性股权激励回购义务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33,747,600.00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72,376,175.25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116,271,918.86</w:t>
            </w:r>
          </w:p>
        </w:tc>
      </w:tr>
    </w:tbl>
    <w:p>
      <w:pPr>
        <w:widowControl w:val="0"/>
        <w:spacing w:after="359" w:line="1" w:lineRule="exact"/>
      </w:pPr>
    </w:p>
    <w:p>
      <w:pPr>
        <w:pStyle w:val="Style69"/>
        <w:keepNext/>
        <w:keepLines/>
        <w:widowControl w:val="0"/>
        <w:shd w:val="clear" w:color="auto" w:fill="auto"/>
        <w:bidi w:val="0"/>
        <w:spacing w:before="0" w:after="400" w:line="240" w:lineRule="auto"/>
        <w:ind w:left="0" w:right="0" w:firstLine="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3"/>
      <w:bookmarkEnd w:id="1544"/>
      <w:bookmarkEnd w:id="1545"/>
    </w:p>
    <w:p>
      <w:pPr>
        <w:pStyle w:val="Style29"/>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546"/>
      <w:bookmarkEnd w:id="1547"/>
      <w:bookmarkEnd w:id="15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待结转销项税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534,325.90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1,315,144.14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534,325.90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1,315,144.14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60" w:lineRule="exact"/>
        <w:ind w:left="0" w:right="0" w:firstLine="0"/>
        <w:jc w:val="both"/>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80" w:line="360" w:lineRule="exact"/>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both"/>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550"/>
      <w:bookmarkEnd w:id="1551"/>
      <w:bookmarkEnd w:id="155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389,656,420.00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389,616,420.00</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680" w:line="317" w:lineRule="exact"/>
        <w:ind w:left="0" w:right="0" w:firstLine="0"/>
        <w:jc w:val="both"/>
        <w:rPr>
          <w:sz w:val="20"/>
          <w:szCs w:val="20"/>
        </w:rPr>
      </w:pPr>
      <w:r>
        <w:rPr>
          <w:color w:val="000000"/>
          <w:spacing w:val="0"/>
          <w:w w:val="100"/>
          <w:position w:val="0"/>
          <w:sz w:val="20"/>
          <w:szCs w:val="20"/>
        </w:rPr>
        <w:t>股本变动情况说明：报告期内，公司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名激励对象离职，经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年第一次临时股东大会同意回购注 销</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名离职激励对象已获授但尚未解锁的限制性股票共计</w:t>
      </w:r>
      <w:r>
        <w:rPr>
          <w:rFonts w:ascii="Times New Roman" w:eastAsia="Times New Roman" w:hAnsi="Times New Roman" w:cs="Times New Roman"/>
          <w:color w:val="000000"/>
          <w:spacing w:val="0"/>
          <w:w w:val="100"/>
          <w:position w:val="0"/>
          <w:sz w:val="20"/>
          <w:szCs w:val="20"/>
        </w:rPr>
        <w:t>40,000.00</w:t>
      </w:r>
      <w:r>
        <w:rPr>
          <w:color w:val="000000"/>
          <w:spacing w:val="0"/>
          <w:w w:val="100"/>
          <w:position w:val="0"/>
          <w:sz w:val="20"/>
          <w:szCs w:val="20"/>
        </w:rPr>
        <w:t>股，截止报告发布日，公司已完成以上 限制性股票回购注销工作。</w:t>
      </w:r>
    </w:p>
    <w:p>
      <w:pPr>
        <w:pStyle w:val="Style33"/>
        <w:keepNext/>
        <w:keepLines/>
        <w:widowControl w:val="0"/>
        <w:shd w:val="clear" w:color="auto" w:fill="auto"/>
        <w:bidi w:val="0"/>
        <w:spacing w:before="0" w:line="240" w:lineRule="auto"/>
        <w:ind w:left="0" w:right="0" w:firstLine="0"/>
        <w:jc w:val="both"/>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553"/>
      <w:bookmarkEnd w:id="1554"/>
      <w:bookmarkEnd w:id="15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679,036,386.52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678,902,386.52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60,171,785.48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31,737,091.83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91,908,877.31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739,208,172.00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31,737,091.83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770,811,263.83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14"/>
        <w:keepNext w:val="0"/>
        <w:keepLines w:val="0"/>
        <w:widowControl w:val="0"/>
        <w:shd w:val="clear" w:color="auto" w:fill="auto"/>
        <w:tabs>
          <w:tab w:pos="354" w:val="left"/>
        </w:tabs>
        <w:bidi w:val="0"/>
        <w:spacing w:before="0" w:after="0" w:line="317" w:lineRule="exact"/>
        <w:ind w:left="0" w:right="0" w:firstLine="0"/>
        <w:jc w:val="both"/>
        <w:rPr>
          <w:sz w:val="20"/>
          <w:szCs w:val="20"/>
        </w:rPr>
      </w:pPr>
      <w:bookmarkStart w:id="1556" w:name="bookmark1556"/>
      <w:r>
        <w:rPr>
          <w:rFonts w:ascii="Times New Roman" w:eastAsia="Times New Roman" w:hAnsi="Times New Roman" w:cs="Times New Roman"/>
          <w:color w:val="000000"/>
          <w:spacing w:val="0"/>
          <w:w w:val="100"/>
          <w:position w:val="0"/>
          <w:sz w:val="20"/>
          <w:szCs w:val="20"/>
        </w:rPr>
        <w:t>1</w:t>
      </w:r>
      <w:bookmarkEnd w:id="1556"/>
      <w:r>
        <w:rPr>
          <w:color w:val="000000"/>
          <w:spacing w:val="0"/>
          <w:w w:val="100"/>
          <w:position w:val="0"/>
          <w:sz w:val="20"/>
          <w:szCs w:val="20"/>
        </w:rPr>
        <w:t>、</w:t>
        <w:tab/>
        <w:t>公司实施的限制性股票计划在报告期内确认费用，致其他资本公积增加</w:t>
      </w:r>
      <w:r>
        <w:rPr>
          <w:rFonts w:ascii="Times New Roman" w:eastAsia="Times New Roman" w:hAnsi="Times New Roman" w:cs="Times New Roman"/>
          <w:color w:val="000000"/>
          <w:spacing w:val="0"/>
          <w:w w:val="100"/>
          <w:position w:val="0"/>
          <w:sz w:val="20"/>
          <w:szCs w:val="20"/>
        </w:rPr>
        <w:t>26,010,346.67</w:t>
      </w:r>
      <w:r>
        <w:rPr>
          <w:color w:val="000000"/>
          <w:spacing w:val="0"/>
          <w:w w:val="100"/>
          <w:position w:val="0"/>
          <w:sz w:val="20"/>
          <w:szCs w:val="20"/>
        </w:rPr>
        <w:t>元。</w:t>
      </w:r>
    </w:p>
    <w:p>
      <w:pPr>
        <w:pStyle w:val="Style14"/>
        <w:keepNext w:val="0"/>
        <w:keepLines w:val="0"/>
        <w:widowControl w:val="0"/>
        <w:shd w:val="clear" w:color="auto" w:fill="auto"/>
        <w:tabs>
          <w:tab w:pos="373" w:val="left"/>
        </w:tabs>
        <w:bidi w:val="0"/>
        <w:spacing w:before="0" w:after="0" w:line="317" w:lineRule="exact"/>
        <w:ind w:left="0" w:right="0" w:firstLine="0"/>
        <w:jc w:val="both"/>
        <w:rPr>
          <w:sz w:val="20"/>
          <w:szCs w:val="20"/>
        </w:rPr>
      </w:pPr>
      <w:bookmarkStart w:id="1557" w:name="bookmark1557"/>
      <w:r>
        <w:rPr>
          <w:rFonts w:ascii="Times New Roman" w:eastAsia="Times New Roman" w:hAnsi="Times New Roman" w:cs="Times New Roman"/>
          <w:color w:val="000000"/>
          <w:spacing w:val="0"/>
          <w:w w:val="100"/>
          <w:position w:val="0"/>
          <w:sz w:val="20"/>
          <w:szCs w:val="20"/>
        </w:rPr>
        <w:t>2</w:t>
      </w:r>
      <w:bookmarkEnd w:id="1557"/>
      <w:r>
        <w:rPr>
          <w:color w:val="000000"/>
          <w:spacing w:val="0"/>
          <w:w w:val="100"/>
          <w:position w:val="0"/>
          <w:sz w:val="20"/>
          <w:szCs w:val="20"/>
        </w:rPr>
        <w:t>、</w:t>
        <w:tab/>
        <w:t>飞天联合其他股东增资等原因，致公司享有飞天联合所有者权益变动，使其他资本公积增加</w:t>
      </w:r>
      <w:r>
        <w:rPr>
          <w:rFonts w:ascii="Times New Roman" w:eastAsia="Times New Roman" w:hAnsi="Times New Roman" w:cs="Times New Roman"/>
          <w:color w:val="000000"/>
          <w:spacing w:val="0"/>
          <w:w w:val="100"/>
          <w:position w:val="0"/>
          <w:sz w:val="20"/>
          <w:szCs w:val="20"/>
        </w:rPr>
        <w:t xml:space="preserve">5,726,745.16 </w:t>
      </w:r>
      <w:r>
        <w:rPr>
          <w:color w:val="000000"/>
          <w:spacing w:val="0"/>
          <w:w w:val="100"/>
          <w:position w:val="0"/>
          <w:sz w:val="20"/>
          <w:szCs w:val="20"/>
        </w:rPr>
        <w:t>元。</w:t>
      </w:r>
    </w:p>
    <w:p>
      <w:pPr>
        <w:pStyle w:val="Style14"/>
        <w:keepNext w:val="0"/>
        <w:keepLines w:val="0"/>
        <w:widowControl w:val="0"/>
        <w:shd w:val="clear" w:color="auto" w:fill="auto"/>
        <w:tabs>
          <w:tab w:pos="373" w:val="left"/>
        </w:tabs>
        <w:bidi w:val="0"/>
        <w:spacing w:before="0" w:after="380" w:line="317" w:lineRule="exact"/>
        <w:ind w:left="0" w:right="0" w:firstLine="0"/>
        <w:jc w:val="both"/>
        <w:rPr>
          <w:sz w:val="20"/>
          <w:szCs w:val="20"/>
        </w:rPr>
      </w:pPr>
      <w:bookmarkStart w:id="1558" w:name="bookmark1558"/>
      <w:r>
        <w:rPr>
          <w:rFonts w:ascii="Times New Roman" w:eastAsia="Times New Roman" w:hAnsi="Times New Roman" w:cs="Times New Roman"/>
          <w:color w:val="000000"/>
          <w:spacing w:val="0"/>
          <w:w w:val="100"/>
          <w:position w:val="0"/>
          <w:sz w:val="20"/>
          <w:szCs w:val="20"/>
        </w:rPr>
        <w:t>3</w:t>
      </w:r>
      <w:bookmarkEnd w:id="1558"/>
      <w:r>
        <w:rPr>
          <w:color w:val="000000"/>
          <w:spacing w:val="0"/>
          <w:w w:val="100"/>
          <w:position w:val="0"/>
          <w:sz w:val="20"/>
          <w:szCs w:val="20"/>
        </w:rPr>
        <w:t>、</w:t>
        <w:tab/>
        <w:t>资本溢价（股本溢价）本期减少</w:t>
      </w:r>
      <w:r>
        <w:rPr>
          <w:rFonts w:ascii="Times New Roman" w:eastAsia="Times New Roman" w:hAnsi="Times New Roman" w:cs="Times New Roman"/>
          <w:color w:val="000000"/>
          <w:spacing w:val="0"/>
          <w:w w:val="100"/>
          <w:position w:val="0"/>
          <w:sz w:val="20"/>
          <w:szCs w:val="20"/>
        </w:rPr>
        <w:t>134,000.00</w:t>
      </w:r>
      <w:r>
        <w:rPr>
          <w:color w:val="000000"/>
          <w:spacing w:val="0"/>
          <w:w w:val="100"/>
          <w:position w:val="0"/>
          <w:sz w:val="20"/>
          <w:szCs w:val="20"/>
        </w:rPr>
        <w:t>元，系员工离职回购注销股份。</w:t>
      </w:r>
    </w:p>
    <w:p>
      <w:pPr>
        <w:pStyle w:val="Style33"/>
        <w:keepNext/>
        <w:keepLines/>
        <w:widowControl w:val="0"/>
        <w:shd w:val="clear" w:color="auto" w:fill="auto"/>
        <w:bidi w:val="0"/>
        <w:spacing w:before="0" w:after="320" w:line="331"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559"/>
      <w:bookmarkEnd w:id="1560"/>
      <w:bookmarkEnd w:id="156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56,520,000.00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164,722,660.81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22,772,400.00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198,470,260.81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56,520,000.00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164,722,660.81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22,772,400.00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198,470,260.81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4"/>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增加原因：公司报告期内回购股份</w:t>
      </w:r>
      <w:r>
        <w:rPr>
          <w:rFonts w:ascii="Times New Roman" w:eastAsia="Times New Roman" w:hAnsi="Times New Roman" w:cs="Times New Roman"/>
          <w:color w:val="000000"/>
          <w:spacing w:val="0"/>
          <w:w w:val="100"/>
          <w:position w:val="0"/>
          <w:sz w:val="20"/>
          <w:szCs w:val="20"/>
        </w:rPr>
        <w:t>23,851,683</w:t>
      </w:r>
      <w:r>
        <w:rPr>
          <w:color w:val="000000"/>
          <w:spacing w:val="0"/>
          <w:w w:val="100"/>
          <w:position w:val="0"/>
          <w:sz w:val="20"/>
          <w:szCs w:val="20"/>
        </w:rPr>
        <w:t>股，已确认的库存股回购成本为</w:t>
      </w:r>
      <w:r>
        <w:rPr>
          <w:rFonts w:ascii="Times New Roman" w:eastAsia="Times New Roman" w:hAnsi="Times New Roman" w:cs="Times New Roman"/>
          <w:color w:val="000000"/>
          <w:spacing w:val="0"/>
          <w:w w:val="100"/>
          <w:position w:val="0"/>
          <w:sz w:val="20"/>
          <w:szCs w:val="20"/>
        </w:rPr>
        <w:t>164,722,660.81</w:t>
      </w:r>
      <w:r>
        <w:rPr>
          <w:color w:val="000000"/>
          <w:spacing w:val="0"/>
          <w:w w:val="100"/>
          <w:position w:val="0"/>
          <w:sz w:val="20"/>
          <w:szCs w:val="20"/>
        </w:rPr>
        <w:t>元，库存股成 本确定方法为：按照回购时的实际支付价格确认。</w:t>
      </w:r>
    </w:p>
    <w:p>
      <w:pPr>
        <w:pStyle w:val="Style14"/>
        <w:keepNext w:val="0"/>
        <w:keepLines w:val="0"/>
        <w:widowControl w:val="0"/>
        <w:shd w:val="clear" w:color="auto" w:fill="auto"/>
        <w:bidi w:val="0"/>
        <w:spacing w:before="0" w:after="680" w:line="316" w:lineRule="exact"/>
        <w:ind w:left="0" w:right="0" w:firstLine="0"/>
        <w:jc w:val="left"/>
        <w:rPr>
          <w:sz w:val="20"/>
          <w:szCs w:val="20"/>
        </w:rPr>
      </w:pPr>
      <w:r>
        <w:rPr>
          <w:color w:val="000000"/>
          <w:spacing w:val="0"/>
          <w:w w:val="100"/>
          <w:position w:val="0"/>
          <w:sz w:val="20"/>
          <w:szCs w:val="20"/>
        </w:rPr>
        <w:t>减少原因：</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年实施的第二期限制性股票激励计划，因员工离职库存股注销而减少</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74,000.00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年第一期限制性股票激励计划第一个解除限售期解除限售条件已经成就，冲回限制性股票回购义务 </w:t>
      </w:r>
      <w:r>
        <w:rPr>
          <w:rFonts w:ascii="Times New Roman" w:eastAsia="Times New Roman" w:hAnsi="Times New Roman" w:cs="Times New Roman"/>
          <w:color w:val="000000"/>
          <w:spacing w:val="0"/>
          <w:w w:val="100"/>
          <w:position w:val="0"/>
          <w:sz w:val="20"/>
          <w:szCs w:val="20"/>
        </w:rPr>
        <w:t>5,268,000.00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年第二期限制性股票激励计划第一个解除限售期解除限售条件已经成就，冲回限制性 股票回购义务</w:t>
      </w:r>
      <w:r>
        <w:rPr>
          <w:rFonts w:ascii="Times New Roman" w:eastAsia="Times New Roman" w:hAnsi="Times New Roman" w:cs="Times New Roman"/>
          <w:color w:val="000000"/>
          <w:spacing w:val="0"/>
          <w:w w:val="100"/>
          <w:position w:val="0"/>
          <w:sz w:val="20"/>
          <w:szCs w:val="20"/>
        </w:rPr>
        <w:t>17,330,400.00</w:t>
      </w:r>
      <w:r>
        <w:rPr>
          <w:color w:val="000000"/>
          <w:spacing w:val="0"/>
          <w:w w:val="100"/>
          <w:position w:val="0"/>
          <w:sz w:val="20"/>
          <w:szCs w:val="20"/>
        </w:rPr>
        <w:t>元。</w:t>
      </w:r>
    </w:p>
    <w:p>
      <w:pPr>
        <w:pStyle w:val="Style33"/>
        <w:keepNext/>
        <w:keepLines/>
        <w:widowControl w:val="0"/>
        <w:shd w:val="clear" w:color="auto" w:fill="auto"/>
        <w:bidi w:val="0"/>
        <w:spacing w:before="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563"/>
      <w:bookmarkEnd w:id="1564"/>
      <w:bookmarkEnd w:id="15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-93,301,015.</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-93,301,</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015.00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-93,301,015.</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-93,301,</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015.00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24,897.85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24,897.85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-93,276,117.</w:t>
            </w:r>
          </w:p>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-93,301,</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014.86</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其他说明，包括对现金流量套期损益的有效部分转为被套期项目初始确认金额调整:</w:t>
      </w:r>
    </w:p>
    <w:p>
      <w:pPr>
        <w:pStyle w:val="Style14"/>
        <w:keepNext w:val="0"/>
        <w:keepLines w:val="0"/>
        <w:widowControl w:val="0"/>
        <w:shd w:val="clear" w:color="auto" w:fill="auto"/>
        <w:bidi w:val="0"/>
        <w:spacing w:before="0" w:after="200" w:line="365" w:lineRule="exact"/>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567"/>
      <w:bookmarkEnd w:id="1568"/>
      <w:bookmarkEnd w:id="1570"/>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79,317,780.46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12,532,676.94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91,850,457.40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79,317,780.46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12,532,676.94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91,850,457.40</w:t>
            </w:r>
          </w:p>
        </w:tc>
      </w:tr>
    </w:tbl>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盈余公积说明，包括本期增减变动情况、变动原因说明:</w:t>
      </w:r>
    </w:p>
    <w:p>
      <w:pPr>
        <w:pStyle w:val="Style14"/>
        <w:keepNext w:val="0"/>
        <w:keepLines w:val="0"/>
        <w:widowControl w:val="0"/>
        <w:shd w:val="clear" w:color="auto" w:fill="auto"/>
        <w:bidi w:val="0"/>
        <w:spacing w:before="0" w:after="380" w:line="370" w:lineRule="exact"/>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571"/>
      <w:bookmarkEnd w:id="1572"/>
      <w:bookmarkEnd w:id="157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553,941,771.80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493,429,402.21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553,941,771.80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493,429,402.21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120,126,827.51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85,256,848.08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12,532,676.94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5,761,657.49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18,982,821.00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661,535,922.37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553,941,771.80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575" w:name="bookmark1575"/>
      <w:r>
        <w:rPr>
          <w:rFonts w:ascii="Times New Roman" w:eastAsia="Times New Roman" w:hAnsi="Times New Roman" w:cs="Times New Roman"/>
          <w:color w:val="000000"/>
          <w:spacing w:val="0"/>
          <w:w w:val="100"/>
          <w:position w:val="0"/>
          <w:sz w:val="18"/>
          <w:szCs w:val="18"/>
        </w:rPr>
        <w:t>1</w:t>
      </w:r>
      <w:bookmarkEnd w:id="15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76" w:name="bookmark1576"/>
      <w:r>
        <w:rPr>
          <w:rFonts w:ascii="Times New Roman" w:eastAsia="Times New Roman" w:hAnsi="Times New Roman" w:cs="Times New Roman"/>
          <w:color w:val="000000"/>
          <w:spacing w:val="0"/>
          <w:w w:val="100"/>
          <w:position w:val="0"/>
          <w:sz w:val="18"/>
          <w:szCs w:val="18"/>
        </w:rPr>
        <w:t>2</w:t>
      </w:r>
      <w:bookmarkEnd w:id="15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77" w:name="bookmark1577"/>
      <w:r>
        <w:rPr>
          <w:rFonts w:ascii="Times New Roman" w:eastAsia="Times New Roman" w:hAnsi="Times New Roman" w:cs="Times New Roman"/>
          <w:color w:val="000000"/>
          <w:spacing w:val="0"/>
          <w:w w:val="100"/>
          <w:position w:val="0"/>
          <w:sz w:val="18"/>
          <w:szCs w:val="18"/>
        </w:rPr>
        <w:t>3</w:t>
      </w:r>
      <w:bookmarkEnd w:id="15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78" w:name="bookmark1578"/>
      <w:r>
        <w:rPr>
          <w:rFonts w:ascii="Times New Roman" w:eastAsia="Times New Roman" w:hAnsi="Times New Roman" w:cs="Times New Roman"/>
          <w:color w:val="000000"/>
          <w:spacing w:val="0"/>
          <w:w w:val="100"/>
          <w:position w:val="0"/>
          <w:sz w:val="18"/>
          <w:szCs w:val="18"/>
        </w:rPr>
        <w:t>4</w:t>
      </w:r>
      <w:bookmarkEnd w:id="15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579" w:name="bookmark1579"/>
      <w:r>
        <w:rPr>
          <w:rFonts w:ascii="Times New Roman" w:eastAsia="Times New Roman" w:hAnsi="Times New Roman" w:cs="Times New Roman"/>
          <w:color w:val="000000"/>
          <w:spacing w:val="0"/>
          <w:w w:val="100"/>
          <w:position w:val="0"/>
          <w:sz w:val="18"/>
          <w:szCs w:val="18"/>
        </w:rPr>
        <w:t>5</w:t>
      </w:r>
      <w:bookmarkEnd w:id="15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w:t>
      </w:r>
      <w:bookmarkEnd w:id="1582"/>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580"/>
      <w:bookmarkEnd w:id="1581"/>
      <w:bookmarkEnd w:id="1583"/>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646,122,968.82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364,425,824.24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580,682,132.60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344,458,555.78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91,045,083.83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21,446,526.36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56,979,447.41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14,556,825.28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737,168,052.65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385,872,350.60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637,661,580.01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359,015,381.06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设备监测类产品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301,499,926.90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2,551,590.37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304,051,517.27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237,446,784.32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237,446,784.32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生产指挥及运输调度信 息化类产品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862,453.93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信号控制类产品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14,754,170.76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14,754,170.76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电源类设备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53,790,194.90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53,790,194.90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信号设备及器材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15,838,962.14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19,378,885.50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35,217,847.64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86,380,671.93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4,664,411.90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91,045,083.83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640,944,007.84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76,845,159.31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19,378,885.50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737,168,052.65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157,369,592.98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9,562,671.28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166,932,264.26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273,580,320.36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25,274,775.00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4,114,338.54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302,969,433.90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123,613,422.57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37,343,301.13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15,264,546.96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176,221,270.66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86,380,671.93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4,664,411.90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91,045,083.83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640,944,007.84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76,845,159.31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19,378,885.50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737,168,052.65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国家铁路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379,409,376.66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61,259,812.90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440,669,189.56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厂矿企业及地方铁路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10,647,097.48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3,640,254.18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11,237,089.97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25,524,441.63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164,506,861.78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7,280,680.33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8,141,795.53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179,929,337.63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86,380,671.93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4,664,411.90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91,045,083.83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640,944,007.84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76,845,159.31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19,378,885.50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737,168,052.65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与履约义务相关的信息：</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1,495,690,943.52</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448,707,283.06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598,276,377.41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373,922,735.88</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20"/>
          <w:szCs w:val="20"/>
        </w:rPr>
        <w:t>公司收入全部为时点确认收入。</w:t>
      </w:r>
    </w:p>
    <w:p>
      <w:pPr>
        <w:pStyle w:val="Style33"/>
        <w:keepNext/>
        <w:keepLines/>
        <w:widowControl w:val="0"/>
        <w:shd w:val="clear" w:color="auto" w:fill="auto"/>
        <w:bidi w:val="0"/>
        <w:spacing w:before="0" w:after="40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584"/>
      <w:bookmarkEnd w:id="1585"/>
      <w:bookmarkEnd w:id="158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3,305,773.93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2,699,490.78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2,360,616.52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1,927,632.23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1,136,993.18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1,075,437.32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601,061.60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581,656.41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717,667.30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604,350.08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8,149,482.53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6,920,811.82</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40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588"/>
      <w:bookmarkEnd w:id="1589"/>
      <w:bookmarkEnd w:id="159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12,604,323.07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12,937,595.13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122,341.43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132,537.19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614,792.30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459,667.13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116,222.21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114,060.14</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716,407.91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351,325.87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8,939,700.02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9,059,701.69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1,899,617.74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1,756,333.15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招标及咨询费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4,430,936.18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2,554,929.56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173,533.95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171,981.82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285,715.49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852,237.81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30,125.18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29,925,179.07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28,420,494.67</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40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592"/>
      <w:bookmarkEnd w:id="1593"/>
      <w:bookmarkEnd w:id="159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20,512,654.35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18,687,008.63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修理及运输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306,454.40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274,518.26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6,278,026.27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5,494,874.97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3,918,049.99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4,100,034.97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908,392.25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730,420.39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3,039,251.96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1,807,739.36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2,560,719.08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2,870,751.00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3,043,713.78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3,587,354.42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26,010,346.67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10,880,000.00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66,577,608.75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48,432,702.00</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40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596"/>
      <w:bookmarkEnd w:id="1597"/>
      <w:bookmarkEnd w:id="159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42,466,176.28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36,450,189.40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8,551,295.64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7,211,348.91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751,770.23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527,851.84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11,913,010.69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7,027,876.16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5,194,941.81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431,565.18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4,829,279.97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3,343,863.77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19,780,706.05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11,963,870.22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958,300.85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627,500.45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94,445,481.52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67,584,065.93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40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3</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00"/>
      <w:bookmarkEnd w:id="1601"/>
      <w:bookmarkEnd w:id="160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208,697.24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5,899,992.77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4,903,078.18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753,340.63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383,587.45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-5,007,652.14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-4,310,793.49</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40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604"/>
      <w:bookmarkEnd w:id="1605"/>
      <w:bookmarkEnd w:id="160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7,500,635.19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3,210,150.07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增值税超税负返还收入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15,026,801.63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18,179,023.67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递延收益摊销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22,628,362.71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21,397,266.16</w:t>
            </w:r>
          </w:p>
        </w:tc>
      </w:tr>
    </w:tbl>
    <w:p>
      <w:pPr>
        <w:widowControl w:val="0"/>
        <w:spacing w:after="359" w:line="1" w:lineRule="exact"/>
      </w:pPr>
    </w:p>
    <w:p>
      <w:pPr>
        <w:pStyle w:val="Style33"/>
        <w:keepNext/>
        <w:keepLines/>
        <w:widowControl w:val="0"/>
        <w:shd w:val="clear" w:color="auto" w:fill="auto"/>
        <w:bidi w:val="0"/>
        <w:spacing w:before="0" w:after="40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4</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608"/>
      <w:bookmarkEnd w:id="1609"/>
      <w:bookmarkEnd w:id="161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-8,164,775.78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-9,841,127.00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2,653,428.78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3,126,822.41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4,118,015.85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273,750.03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-392,248.00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-1,785,579.15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-6,440,554.56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4</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612"/>
      <w:bookmarkEnd w:id="1613"/>
      <w:bookmarkEnd w:id="161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750,651.48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577,551.48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4</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616"/>
      <w:bookmarkEnd w:id="1617"/>
      <w:bookmarkEnd w:id="161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-10,181,056.59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742,771.73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-10,181,056.59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742,771.73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4</w:t>
      </w:r>
      <w:bookmarkEnd w:id="1622"/>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620"/>
      <w:bookmarkEnd w:id="1621"/>
      <w:bookmarkEnd w:id="162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-28,544,563.14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-42,301,603.59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-28,544,563.14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-42,301,603.59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4</w:t>
      </w:r>
      <w:bookmarkEnd w:id="1626"/>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624"/>
      <w:bookmarkEnd w:id="1625"/>
      <w:bookmarkEnd w:id="162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655,856.85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655,856.85</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628"/>
      <w:bookmarkEnd w:id="1629"/>
      <w:bookmarkEnd w:id="163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73,187.80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20,073,187.80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88,633.98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20,073,187.80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632"/>
      <w:bookmarkEnd w:id="1633"/>
      <w:bookmarkEnd w:id="163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3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1,075,456.54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392,979.36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19,787,425.62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19,787,425.62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25,800,118.45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1,516,742.51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25,800,118.45</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00" w:line="307" w:lineRule="exact"/>
        <w:ind w:left="0" w:right="0" w:firstLine="0"/>
        <w:jc w:val="both"/>
        <w:rPr>
          <w:sz w:val="20"/>
          <w:szCs w:val="20"/>
        </w:rPr>
      </w:pPr>
      <w:r>
        <w:rPr>
          <w:color w:val="000000"/>
          <w:spacing w:val="0"/>
          <w:w w:val="100"/>
          <w:position w:val="0"/>
          <w:sz w:val="20"/>
          <w:szCs w:val="20"/>
        </w:rPr>
        <w:t>营业外支出本期发生额较上期发生额增加</w:t>
      </w:r>
      <w:r>
        <w:rPr>
          <w:rFonts w:ascii="Times New Roman" w:eastAsia="Times New Roman" w:hAnsi="Times New Roman" w:cs="Times New Roman"/>
          <w:color w:val="000000"/>
          <w:spacing w:val="0"/>
          <w:w w:val="100"/>
          <w:position w:val="0"/>
          <w:sz w:val="20"/>
          <w:szCs w:val="20"/>
        </w:rPr>
        <w:t>24,283,375.94</w:t>
      </w:r>
      <w:r>
        <w:rPr>
          <w:color w:val="000000"/>
          <w:spacing w:val="0"/>
          <w:w w:val="100"/>
          <w:position w:val="0"/>
          <w:sz w:val="20"/>
          <w:szCs w:val="20"/>
        </w:rPr>
        <w:t>元，增加比例为</w:t>
      </w:r>
      <w:r>
        <w:rPr>
          <w:rFonts w:ascii="Times New Roman" w:eastAsia="Times New Roman" w:hAnsi="Times New Roman" w:cs="Times New Roman"/>
          <w:color w:val="000000"/>
          <w:spacing w:val="0"/>
          <w:w w:val="100"/>
          <w:position w:val="0"/>
          <w:sz w:val="20"/>
          <w:szCs w:val="20"/>
        </w:rPr>
        <w:t>1601.02%</w:t>
      </w:r>
      <w:r>
        <w:rPr>
          <w:color w:val="000000"/>
          <w:spacing w:val="0"/>
          <w:w w:val="100"/>
          <w:position w:val="0"/>
          <w:sz w:val="20"/>
          <w:szCs w:val="20"/>
        </w:rPr>
        <w:t>，主要系厂区搬迁，旧厂 区报废损失</w:t>
      </w:r>
      <w:r>
        <w:rPr>
          <w:rFonts w:ascii="Times New Roman" w:eastAsia="Times New Roman" w:hAnsi="Times New Roman" w:cs="Times New Roman"/>
          <w:color w:val="000000"/>
          <w:spacing w:val="0"/>
          <w:w w:val="100"/>
          <w:position w:val="0"/>
          <w:sz w:val="20"/>
          <w:szCs w:val="20"/>
        </w:rPr>
        <w:t>19,756,947.06</w:t>
      </w:r>
      <w:r>
        <w:rPr>
          <w:color w:val="000000"/>
          <w:spacing w:val="0"/>
          <w:w w:val="100"/>
          <w:position w:val="0"/>
          <w:sz w:val="20"/>
          <w:szCs w:val="20"/>
        </w:rPr>
        <w:t>元。</w:t>
      </w:r>
    </w:p>
    <w:p>
      <w:pPr>
        <w:pStyle w:val="Style33"/>
        <w:keepNext/>
        <w:keepLines/>
        <w:widowControl w:val="0"/>
        <w:shd w:val="clear" w:color="auto" w:fill="auto"/>
        <w:bidi w:val="0"/>
        <w:spacing w:before="0" w:after="300" w:line="307" w:lineRule="exact"/>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636"/>
      <w:bookmarkEnd w:id="1637"/>
      <w:bookmarkEnd w:id="1639"/>
    </w:p>
    <w:p>
      <w:pPr>
        <w:pStyle w:val="Style47"/>
        <w:keepNext/>
        <w:keepLines/>
        <w:widowControl w:val="0"/>
        <w:shd w:val="clear" w:color="auto" w:fill="auto"/>
        <w:bidi w:val="0"/>
        <w:spacing w:before="0" w:line="307" w:lineRule="exact"/>
        <w:ind w:left="0" w:right="0" w:firstLine="0"/>
        <w:jc w:val="both"/>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40"/>
      <w:bookmarkEnd w:id="1641"/>
      <w:bookmarkEnd w:id="164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24,028,020.39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22,528,236.99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-7,687,428.06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-2,683,606.54</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16,340,592.33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19,844,630.45</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43"/>
      <w:bookmarkEnd w:id="1644"/>
      <w:bookmarkEnd w:id="16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133,595,835.50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20,039,375.31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-1,237,042.20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968,337.41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1,224,716.37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1,075,725.78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-293,066.53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9,210,142.01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-11,769,939.82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-877,656.00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16,340,592.33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646"/>
      <w:bookmarkEnd w:id="1647"/>
      <w:bookmarkEnd w:id="164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详见附注其他综合收益科目。</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650"/>
      <w:bookmarkEnd w:id="1651"/>
      <w:bookmarkEnd w:id="1653"/>
    </w:p>
    <w:p>
      <w:pPr>
        <w:pStyle w:val="Style47"/>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4"/>
      <w:bookmarkEnd w:id="1655"/>
      <w:bookmarkEnd w:id="165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政府各类补助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7,500,635.19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3,210,150.07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42,674.35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5,899,992.77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4,903,078.18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其它暂收往来款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4,650,523.69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4,082,574.06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所有权受限资产减少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1,912,749.90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3,007,294.25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所得税汇算退税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408,785.28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20,479,802.50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15,245,770.91</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收到的其他与经营活动有关的现金说明：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20" w:line="240" w:lineRule="auto"/>
        <w:ind w:left="0" w:right="0" w:firstLine="0"/>
        <w:jc w:val="left"/>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7"/>
      <w:bookmarkEnd w:id="1658"/>
      <w:bookmarkEnd w:id="165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销售费用、管理费用、研发费用付现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80,239,323.19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59,045,887.64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753,340.63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383,587.45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营业外支出付现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6,012,692.83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1,076,217.10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其他暂付款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3,334,594.54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2,823,917.09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所有权受限资产增加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7,910,801.16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2,891,895.90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98,250,752.35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66,221,505.18</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支付的其他与经营活动有关的现金说明:</w:t>
      </w:r>
    </w:p>
    <w:p>
      <w:pPr>
        <w:pStyle w:val="Style14"/>
        <w:keepNext w:val="0"/>
        <w:keepLines w:val="0"/>
        <w:widowControl w:val="0"/>
        <w:shd w:val="clear" w:color="auto" w:fill="auto"/>
        <w:bidi w:val="0"/>
        <w:spacing w:before="0" w:after="38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2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60"/>
      <w:bookmarkEnd w:id="1661"/>
      <w:bookmarkEnd w:id="166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搬迁补偿费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49,000,000.00</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收到的其他与投资活动有关的现金说明:</w:t>
      </w:r>
    </w:p>
    <w:p>
      <w:pPr>
        <w:pStyle w:val="Style14"/>
        <w:keepNext w:val="0"/>
        <w:keepLines w:val="0"/>
        <w:widowControl w:val="0"/>
        <w:shd w:val="clear" w:color="auto" w:fill="auto"/>
        <w:bidi w:val="0"/>
        <w:spacing w:before="0" w:after="38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64"/>
      <w:bookmarkEnd w:id="1665"/>
      <w:bookmarkEnd w:id="166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支付的其他与投资活动有关的现金说明：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2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68"/>
      <w:bookmarkEnd w:id="1669"/>
      <w:bookmarkEnd w:id="167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收到的其他与筹资活动有关的现金说明:</w:t>
      </w:r>
    </w:p>
    <w:p>
      <w:pPr>
        <w:pStyle w:val="Style14"/>
        <w:keepNext w:val="0"/>
        <w:keepLines w:val="0"/>
        <w:widowControl w:val="0"/>
        <w:shd w:val="clear" w:color="auto" w:fill="auto"/>
        <w:bidi w:val="0"/>
        <w:spacing w:before="0" w:after="240" w:line="365" w:lineRule="exact"/>
        <w:ind w:left="0" w:right="0" w:firstLine="0"/>
        <w:jc w:val="left"/>
        <w:rPr>
          <w:sz w:val="20"/>
          <w:szCs w:val="20"/>
        </w:rPr>
      </w:pPr>
      <w:r>
        <w:rPr>
          <w:color w:val="000000"/>
          <w:spacing w:val="0"/>
          <w:w w:val="100"/>
          <w:position w:val="0"/>
          <w:sz w:val="20"/>
          <w:szCs w:val="20"/>
        </w:rPr>
        <w:t>无</w:t>
      </w:r>
      <w:r>
        <w:br w:type="page"/>
      </w:r>
    </w:p>
    <w:p>
      <w:pPr>
        <w:pStyle w:val="Style47"/>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72"/>
      <w:bookmarkEnd w:id="1673"/>
      <w:bookmarkEnd w:id="16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164,722,660.81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164,896,660.81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支付的其他与筹资活动有关的现金说明:</w:t>
      </w:r>
    </w:p>
    <w:p>
      <w:pPr>
        <w:pStyle w:val="Style14"/>
        <w:keepNext w:val="0"/>
        <w:keepLines w:val="0"/>
        <w:widowControl w:val="0"/>
        <w:shd w:val="clear" w:color="auto" w:fill="auto"/>
        <w:bidi w:val="0"/>
        <w:spacing w:before="0" w:after="380" w:line="365" w:lineRule="exact"/>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76"/>
      <w:bookmarkEnd w:id="1677"/>
      <w:bookmarkEnd w:id="1679"/>
    </w:p>
    <w:p>
      <w:pPr>
        <w:pStyle w:val="Style47"/>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0"/>
      <w:bookmarkEnd w:id="1681"/>
      <w:bookmarkEnd w:id="16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117,255,243.17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84,957,467.11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38,725,619.73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41,558,831.86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23,598,231.30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19,556,466.62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1,717,367.37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1,699,241.80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7,413,808.00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8,759,797.52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-655,856.85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19,787,425.62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-577,551.48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208,697.24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1,393,331.15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6,440,554.56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-21,888,719.03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-21,604,459.11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14,201,290.97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18,920,852.57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-54,028,517.96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-97,590,758.77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-29,526,968.11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-55,631,101.03</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115,764,437.07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130,639,185.79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26,010,346.67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260,561,895.95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147,561,367.83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165,303,929.06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365,833,747.22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365,833,747.22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307,570,494.08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-200,529,818.16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58,263,253.14</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83"/>
      <w:bookmarkEnd w:id="1684"/>
      <w:bookmarkEnd w:id="1685"/>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4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86"/>
      <w:bookmarkEnd w:id="1687"/>
      <w:bookmarkEnd w:id="1689"/>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40" w:line="365" w:lineRule="exact"/>
        <w:ind w:left="0" w:right="0" w:firstLine="0"/>
        <w:jc w:val="left"/>
        <w:rPr>
          <w:sz w:val="20"/>
          <w:szCs w:val="20"/>
        </w:rPr>
      </w:pPr>
      <w:r>
        <w:rPr>
          <w:color w:val="000000"/>
          <w:spacing w:val="0"/>
          <w:w w:val="100"/>
          <w:position w:val="0"/>
          <w:sz w:val="20"/>
          <w:szCs w:val="20"/>
        </w:rPr>
        <w:t>无</w:t>
      </w:r>
      <w:r>
        <w:br w:type="page"/>
      </w:r>
    </w:p>
    <w:p>
      <w:pPr>
        <w:pStyle w:val="Style47"/>
        <w:keepNext/>
        <w:keepLines/>
        <w:widowControl w:val="0"/>
        <w:numPr>
          <w:ilvl w:val="0"/>
          <w:numId w:val="97"/>
        </w:numPr>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现金和现金等价物的构成</w:t>
      </w:r>
      <w:bookmarkEnd w:id="1690"/>
      <w:bookmarkEnd w:id="1691"/>
      <w:bookmarkEnd w:id="169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165,303,929.06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365,833,747.22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165,301,348.94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365,824,414.16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165,303,929.06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365,833,747.22</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5</w:t>
      </w:r>
      <w:bookmarkEnd w:id="1696"/>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694"/>
      <w:bookmarkEnd w:id="1695"/>
      <w:bookmarkEnd w:id="1697"/>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31,772,370.84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31,772,370.84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5</w:t>
      </w:r>
      <w:bookmarkEnd w:id="1700"/>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698"/>
      <w:bookmarkEnd w:id="1699"/>
      <w:bookmarkEnd w:id="1701"/>
    </w:p>
    <w:p>
      <w:pPr>
        <w:pStyle w:val="Style47"/>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02"/>
      <w:bookmarkEnd w:id="1703"/>
      <w:bookmarkEnd w:id="170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企业研究开发财政补助资金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334,981.29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334,981.29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增值税超税负返还收入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15,026,801.63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15,026,801.63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职业技能提升以工代训补贴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科技和人才工作局高新技术 企业补贴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知识产权优秀企业奖励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科技型企业研发费用补助专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108,772.15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108,772.15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灾后恢复重建救助补助资金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2,617.75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建筑业政策奖励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中小微企业社会保险补贴资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3,564.00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高成长奖励政策兑现资金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科技和人才工作局补贴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经济运行局火炬补贴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制造业高质量发展专项资金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22,527,436.82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22,527,436.82</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05"/>
      <w:bookmarkEnd w:id="1706"/>
      <w:bookmarkEnd w:id="170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八</w:t>
      </w:r>
      <w:bookmarkEnd w:id="1710"/>
      <w:r>
        <w:rPr>
          <w:color w:val="000000"/>
          <w:spacing w:val="0"/>
          <w:w w:val="100"/>
          <w:position w:val="0"/>
        </w:rPr>
        <w:t>、合并范围的变更</w:t>
      </w:r>
      <w:bookmarkEnd w:id="1708"/>
      <w:bookmarkEnd w:id="1709"/>
      <w:bookmarkEnd w:id="1711"/>
    </w:p>
    <w:p>
      <w:pPr>
        <w:pStyle w:val="Style33"/>
        <w:keepNext/>
        <w:keepLines/>
        <w:widowControl w:val="0"/>
        <w:shd w:val="clear" w:color="auto" w:fill="auto"/>
        <w:bidi w:val="0"/>
        <w:spacing w:before="0" w:after="36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bookmarkEnd w:id="1714"/>
      <w:r>
        <w:rPr>
          <w:color w:val="000000"/>
          <w:spacing w:val="0"/>
          <w:w w:val="100"/>
          <w:position w:val="0"/>
        </w:rPr>
        <w:t>、非同一控制下企业合并</w:t>
      </w:r>
      <w:bookmarkEnd w:id="1712"/>
      <w:bookmarkEnd w:id="1713"/>
      <w:bookmarkEnd w:id="1715"/>
    </w:p>
    <w:p>
      <w:pPr>
        <w:pStyle w:val="Style47"/>
        <w:keepNext/>
        <w:keepLines/>
        <w:widowControl w:val="0"/>
        <w:shd w:val="clear" w:color="auto" w:fill="auto"/>
        <w:bidi w:val="0"/>
        <w:spacing w:before="0" w:after="36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16"/>
      <w:bookmarkEnd w:id="1717"/>
      <w:bookmarkEnd w:id="171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36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19"/>
      <w:bookmarkEnd w:id="1720"/>
      <w:bookmarkEnd w:id="172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合并成本公允价值的确定方法、或有对价及其变动的说明:</w:t>
      </w:r>
    </w:p>
    <w:p>
      <w:pPr>
        <w:pStyle w:val="Style14"/>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大额商誉形成的主要原因：</w:t>
      </w:r>
    </w:p>
    <w:p>
      <w:pPr>
        <w:pStyle w:val="Style14"/>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22"/>
      <w:bookmarkEnd w:id="1723"/>
      <w:bookmarkEnd w:id="1725"/>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可辨认资产、负债公允价值的确定方法:</w:t>
      </w:r>
    </w:p>
    <w:p>
      <w:pPr>
        <w:pStyle w:val="Style14"/>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企业合并中承担的被购买方的或有负债:</w:t>
      </w:r>
    </w:p>
    <w:p>
      <w:pPr>
        <w:pStyle w:val="Style14"/>
        <w:keepNext w:val="0"/>
        <w:keepLines w:val="0"/>
        <w:widowControl w:val="0"/>
        <w:shd w:val="clear" w:color="auto" w:fill="auto"/>
        <w:bidi w:val="0"/>
        <w:spacing w:before="0" w:after="120" w:line="370" w:lineRule="exact"/>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26"/>
      <w:bookmarkEnd w:id="1727"/>
      <w:bookmarkEnd w:id="17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493"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730"/>
      <w:bookmarkEnd w:id="1731"/>
      <w:bookmarkEnd w:id="1733"/>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34"/>
      <w:bookmarkEnd w:id="1735"/>
      <w:bookmarkEnd w:id="1737"/>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bookmarkEnd w:id="1740"/>
      <w:r>
        <w:rPr>
          <w:color w:val="000000"/>
          <w:spacing w:val="0"/>
          <w:w w:val="100"/>
          <w:position w:val="0"/>
        </w:rPr>
        <w:t>、同一控制下企业合并</w:t>
      </w:r>
      <w:bookmarkEnd w:id="1738"/>
      <w:bookmarkEnd w:id="1739"/>
      <w:bookmarkEnd w:id="1741"/>
    </w:p>
    <w:p>
      <w:pPr>
        <w:pStyle w:val="Style47"/>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42"/>
      <w:bookmarkEnd w:id="1743"/>
      <w:bookmarkEnd w:id="174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45"/>
      <w:bookmarkEnd w:id="1746"/>
      <w:bookmarkEnd w:id="17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4"/>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r>
        <w:br w:type="page"/>
      </w:r>
    </w:p>
    <w:p>
      <w:pPr>
        <w:pStyle w:val="Style47"/>
        <w:keepNext/>
        <w:keepLines/>
        <w:widowControl w:val="0"/>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48"/>
      <w:bookmarkEnd w:id="1749"/>
      <w:bookmarkEnd w:id="17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企业合并中承担的被合并方的或有负债：</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3</w:t>
      </w:r>
      <w:bookmarkEnd w:id="1754"/>
      <w:r>
        <w:rPr>
          <w:color w:val="000000"/>
          <w:spacing w:val="0"/>
          <w:w w:val="100"/>
          <w:position w:val="0"/>
        </w:rPr>
        <w:t>、</w:t>
        <w:tab/>
        <w:t>反向购买</w:t>
      </w:r>
      <w:bookmarkEnd w:id="1752"/>
      <w:bookmarkEnd w:id="1753"/>
      <w:bookmarkEnd w:id="1755"/>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color w:val="000000"/>
          <w:spacing w:val="0"/>
          <w:w w:val="100"/>
          <w:position w:val="0"/>
        </w:rPr>
        <w:t>、</w:t>
        <w:tab/>
        <w:t>处置子公司</w:t>
      </w:r>
      <w:bookmarkEnd w:id="1756"/>
      <w:bookmarkEnd w:id="1757"/>
      <w:bookmarkEnd w:id="1759"/>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1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color w:val="000000"/>
          <w:spacing w:val="0"/>
          <w:w w:val="100"/>
          <w:position w:val="0"/>
        </w:rPr>
        <w:t>、</w:t>
        <w:tab/>
        <w:t>其他原因的合并范围变动</w:t>
      </w:r>
      <w:bookmarkEnd w:id="1760"/>
      <w:bookmarkEnd w:id="1761"/>
      <w:bookmarkEnd w:id="176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本公司注销全资子公司天津信通铁路电气技术有限公司，本期不再纳入合并范围。</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color w:val="000000"/>
          <w:spacing w:val="0"/>
          <w:w w:val="100"/>
          <w:position w:val="0"/>
        </w:rPr>
        <w:t>、</w:t>
        <w:tab/>
        <w:t>其他</w:t>
      </w:r>
      <w:bookmarkEnd w:id="1764"/>
      <w:bookmarkEnd w:id="1765"/>
      <w:bookmarkEnd w:id="1767"/>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36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九</w:t>
      </w:r>
      <w:bookmarkEnd w:id="1770"/>
      <w:r>
        <w:rPr>
          <w:color w:val="000000"/>
          <w:spacing w:val="0"/>
          <w:w w:val="100"/>
          <w:position w:val="0"/>
        </w:rPr>
        <w:t>、在其他主体中的权益</w:t>
      </w:r>
      <w:bookmarkEnd w:id="1768"/>
      <w:bookmarkEnd w:id="1769"/>
      <w:bookmarkEnd w:id="1771"/>
    </w:p>
    <w:p>
      <w:pPr>
        <w:pStyle w:val="Style33"/>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72"/>
      <w:bookmarkEnd w:id="1773"/>
      <w:bookmarkEnd w:id="1774"/>
    </w:p>
    <w:p>
      <w:pPr>
        <w:pStyle w:val="Style47"/>
        <w:keepNext/>
        <w:keepLines/>
        <w:widowControl w:val="0"/>
        <w:shd w:val="clear" w:color="auto" w:fill="auto"/>
        <w:bidi w:val="0"/>
        <w:spacing w:before="0" w:after="36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75"/>
      <w:bookmarkEnd w:id="1776"/>
      <w:bookmarkEnd w:id="177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河南辉煌软件有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郑州高新技术产</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业开发区科学大 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河南辉煌信通软 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郑州高新技术产</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业开发区科学大 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北京全路信通技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北京市丰台区南 四环西路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 xml:space="preserve">602 </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园区</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北京国铁路阳技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北京市丰台区南 四环西路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区</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 xml:space="preserve">401 </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园区</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购买取得</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北京国铁路阳软 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北京市丰台区南 四环西路</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 xml:space="preserve">301 </w:t>
            </w:r>
            <w:r>
              <w:rPr>
                <w:color w:val="000000"/>
                <w:spacing w:val="0"/>
                <w:w w:val="100"/>
                <w:position w:val="0"/>
              </w:rPr>
              <w:t>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购买取得</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天津辉煌路阳科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天津市津南区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天津双港工业区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丽港园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购买取得</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河南辉煌城轨科 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郑州高新技术产</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业开发区科学大 道</w:t>
            </w:r>
            <w:r>
              <w:rPr>
                <w:rFonts w:ascii="Times New Roman" w:eastAsia="Times New Roman" w:hAnsi="Times New Roman" w:cs="Times New Roman"/>
                <w:color w:val="000000"/>
                <w:spacing w:val="0"/>
                <w:w w:val="100"/>
                <w:position w:val="0"/>
                <w:sz w:val="18"/>
                <w:szCs w:val="18"/>
              </w:rPr>
              <w:t>188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铁路信号通信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成都新一驱动技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成都高新区肖家 河街</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铁路专用设备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购买取得</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成都新一驱动科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成都郸都区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郸县成都现代工 业港北区蜀都大 道北一段</w:t>
            </w:r>
            <w:r>
              <w:rPr>
                <w:rFonts w:ascii="Times New Roman" w:eastAsia="Times New Roman" w:hAnsi="Times New Roman" w:cs="Times New Roman"/>
                <w:color w:val="000000"/>
                <w:spacing w:val="0"/>
                <w:w w:val="100"/>
                <w:position w:val="0"/>
                <w:sz w:val="18"/>
                <w:szCs w:val="18"/>
              </w:rPr>
              <w:t>1907</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购买取得</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洛阳辉煌城轨科 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洛阳经济技术开 发区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洛阳市经济技术 开发区新伊大街 与太康路交界处 顺兴信息通产业 园内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城市轨道交通监 控设备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9"/>
        <w:keepNext w:val="0"/>
        <w:keepLines w:val="0"/>
        <w:widowControl w:val="0"/>
        <w:shd w:val="clear" w:color="auto" w:fill="auto"/>
        <w:bidi w:val="0"/>
        <w:spacing w:before="0" w:after="0" w:line="370" w:lineRule="exact"/>
        <w:ind w:left="0" w:right="0" w:firstLine="0"/>
        <w:jc w:val="left"/>
      </w:pPr>
      <w:r>
        <w:rPr>
          <w:color w:val="000000"/>
          <w:spacing w:val="0"/>
          <w:w w:val="100"/>
          <w:position w:val="0"/>
          <w:shd w:val="clear" w:color="auto" w:fill="FFFFFF"/>
        </w:rPr>
        <w:t>在子公司的持股比例不同于表决权比例的说明:</w:t>
      </w:r>
    </w:p>
    <w:p>
      <w:pPr>
        <w:pStyle w:val="Style14"/>
        <w:keepNext w:val="0"/>
        <w:keepLines w:val="0"/>
        <w:widowControl w:val="0"/>
        <w:shd w:val="clear" w:color="auto" w:fill="auto"/>
        <w:bidi w:val="0"/>
        <w:spacing w:before="0" w:after="280" w:line="370" w:lineRule="exact"/>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持有半数或以下表决权但仍控制被投资单位、以及持有半数以上表决权但不控制被投资单位的依据:</w:t>
      </w:r>
    </w:p>
    <w:p>
      <w:pPr>
        <w:pStyle w:val="Style14"/>
        <w:keepNext w:val="0"/>
        <w:keepLines w:val="0"/>
        <w:widowControl w:val="0"/>
        <w:shd w:val="clear" w:color="auto" w:fill="auto"/>
        <w:bidi w:val="0"/>
        <w:spacing w:before="0" w:after="280" w:line="365" w:lineRule="exact"/>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对于纳入合并范围的重要的结构化主体，控制的依据：</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365" w:lineRule="exact"/>
        <w:ind w:left="0" w:right="0" w:firstLine="0"/>
        <w:jc w:val="left"/>
      </w:pPr>
      <w:r>
        <w:rPr>
          <w:color w:val="000000"/>
          <w:spacing w:val="0"/>
          <w:w w:val="100"/>
          <w:position w:val="0"/>
        </w:rPr>
        <w:t>确定公司是代理人还是委托人的依据：</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0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78"/>
      <w:bookmarkEnd w:id="1779"/>
      <w:bookmarkEnd w:id="1780"/>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成都新一驱动技术有限 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-2,871,584.34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26,750,642.30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14"/>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0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81"/>
      <w:bookmarkEnd w:id="1782"/>
      <w:bookmarkEnd w:id="178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25"/>
        <w:gridCol w:w="74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成都新</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一驱动 技术有 限责任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43,660,6</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22,308,4</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65,969,1</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11,375,9</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11,375,9</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50,730,7</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72,775,4</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成都新一驱</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动技术有限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19,378,885.5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-5,860,376.20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-5,860,376.20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21,400,616.0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-610,981.57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-610,981.57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4,745,596.36</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6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85"/>
      <w:bookmarkEnd w:id="1786"/>
      <w:bookmarkEnd w:id="1788"/>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89"/>
      <w:bookmarkEnd w:id="1790"/>
      <w:bookmarkEnd w:id="1792"/>
    </w:p>
    <w:p>
      <w:pPr>
        <w:pStyle w:val="Style14"/>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2</w:t>
      </w:r>
      <w:bookmarkEnd w:id="1795"/>
      <w:r>
        <w:rPr>
          <w:color w:val="000000"/>
          <w:spacing w:val="0"/>
          <w:w w:val="100"/>
          <w:position w:val="0"/>
        </w:rPr>
        <w:t>、在子公司的所有者权益份额发生变化且仍控制子公司的交易</w:t>
      </w:r>
      <w:bookmarkEnd w:id="1793"/>
      <w:bookmarkEnd w:id="1794"/>
      <w:bookmarkEnd w:id="1796"/>
    </w:p>
    <w:p>
      <w:pPr>
        <w:pStyle w:val="Style47"/>
        <w:keepNext/>
        <w:keepLines/>
        <w:widowControl w:val="0"/>
        <w:shd w:val="clear" w:color="auto" w:fill="auto"/>
        <w:tabs>
          <w:tab w:pos="493" w:val="left"/>
        </w:tabs>
        <w:bidi w:val="0"/>
        <w:spacing w:before="0" w:after="36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97"/>
      <w:bookmarkEnd w:id="1798"/>
      <w:bookmarkEnd w:id="1800"/>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01"/>
      <w:bookmarkEnd w:id="1802"/>
      <w:bookmarkEnd w:id="180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color w:val="000000"/>
          <w:spacing w:val="0"/>
          <w:w w:val="100"/>
          <w:position w:val="0"/>
        </w:rPr>
        <w:t>、在合营安排或联营企业中的权益</w:t>
      </w:r>
      <w:bookmarkEnd w:id="1805"/>
      <w:bookmarkEnd w:id="1806"/>
      <w:bookmarkEnd w:id="1808"/>
    </w:p>
    <w:p>
      <w:pPr>
        <w:pStyle w:val="Style47"/>
        <w:keepNext/>
        <w:keepLines/>
        <w:widowControl w:val="0"/>
        <w:shd w:val="clear" w:color="auto" w:fill="auto"/>
        <w:bidi w:val="0"/>
        <w:spacing w:before="0" w:after="32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09"/>
      <w:bookmarkEnd w:id="1810"/>
      <w:bookmarkEnd w:id="1811"/>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飞天联合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系统技术有限公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北京市海淀区东 北旺西路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号院 </w:t>
            </w:r>
            <w:r>
              <w:rPr>
                <w:rFonts w:ascii="Times New Roman" w:eastAsia="Times New Roman" w:hAnsi="Times New Roman" w:cs="Times New Roman"/>
                <w:color w:val="000000"/>
                <w:spacing w:val="0"/>
                <w:w w:val="100"/>
                <w:position w:val="0"/>
                <w:sz w:val="18"/>
                <w:szCs w:val="18"/>
              </w:rPr>
              <w:t>39</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电信、广播电视 和卫星传输服务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北京赛弗网络科 技有限责任公司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北京市海淀区西 小口路</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科技推广和应用 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9"/>
        <w:keepNext w:val="0"/>
        <w:keepLines w:val="0"/>
        <w:widowControl w:val="0"/>
        <w:shd w:val="clear" w:color="auto" w:fill="auto"/>
        <w:bidi w:val="0"/>
        <w:spacing w:before="0" w:after="120" w:line="370" w:lineRule="exact"/>
        <w:ind w:left="0" w:right="0" w:firstLine="0"/>
        <w:jc w:val="left"/>
      </w:pPr>
      <w:r>
        <w:rPr>
          <w:color w:val="000000"/>
          <w:spacing w:val="0"/>
          <w:w w:val="100"/>
          <w:position w:val="0"/>
        </w:rPr>
        <w:t>在合营企业或联营企业的持股比例不同于表决权比例的说明：</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300" w:line="370" w:lineRule="exact"/>
        <w:ind w:left="0" w:right="0" w:firstLine="0"/>
        <w:jc w:val="left"/>
        <w:rPr>
          <w:sz w:val="20"/>
          <w:szCs w:val="20"/>
        </w:rPr>
      </w:pPr>
      <w:r>
        <w:rPr>
          <w:color w:val="000000"/>
          <w:spacing w:val="0"/>
          <w:w w:val="100"/>
          <w:position w:val="0"/>
          <w:sz w:val="17"/>
          <w:szCs w:val="17"/>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xml:space="preserve">或以上表决权但不具有重大影响的依据: </w:t>
      </w:r>
      <w:r>
        <w:rPr>
          <w:color w:val="000000"/>
          <w:spacing w:val="0"/>
          <w:w w:val="100"/>
          <w:position w:val="0"/>
          <w:sz w:val="20"/>
          <w:szCs w:val="20"/>
        </w:rPr>
        <w:t>向飞天联合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系统技术有限公司派驻一名董事。</w:t>
      </w:r>
    </w:p>
    <w:p>
      <w:pPr>
        <w:pStyle w:val="Style47"/>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12"/>
      <w:bookmarkEnd w:id="1813"/>
      <w:bookmarkEnd w:id="181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8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15"/>
      <w:bookmarkEnd w:id="1816"/>
      <w:bookmarkEnd w:id="1818"/>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飞天联合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系统技 术有限公司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北京赛弗网络科技有限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责任公司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飞天联合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系统技 术有限公司</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北京赛弗网络科技有限</w:t>
            </w:r>
          </w:p>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责任公司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98,293,616.97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6,436,129.02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82,738,294.95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6,308,589.86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44,833,362.36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11,142,433.53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52,095,709.97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13,060,075.90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143,126,979.33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17,578,562.55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134,834,004.92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19,368,665.76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89,667,191.94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2,917,587.61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74,306,984.86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2,835,898.49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2,421,850.15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92,089,042.09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2,917,587.61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75,686,984.86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2,835,898.49</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153,338.79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50,885,282.27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14,660,974.94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58,993,681.27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16,532,767.27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9,200,681.03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4,838,121.73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11,045,917.89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5,455,813.20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-9,200,681.03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19,343,882.11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4,838,121.73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30,389,800.00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5,455,813.20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存在公开报价的联营企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30,812,989.20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5,045,500.06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7,051,199.84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4,567,314.08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-41,739,901.02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-1,871,792.33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-46,588,907.28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-3,387,474.51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-41,872,873.88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-1,871,792.33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-46,542,346.11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-3,387,474.51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660" w:line="360"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40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19"/>
      <w:bookmarkEnd w:id="1820"/>
      <w:bookmarkEnd w:id="1822"/>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40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23"/>
      <w:bookmarkEnd w:id="1824"/>
      <w:bookmarkEnd w:id="1826"/>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27"/>
      <w:bookmarkEnd w:id="1828"/>
      <w:bookmarkEnd w:id="18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p>
      <w:pPr>
        <w:widowControl w:val="0"/>
        <w:spacing w:after="37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31"/>
      <w:bookmarkEnd w:id="1832"/>
      <w:bookmarkEnd w:id="1834"/>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35"/>
      <w:bookmarkEnd w:id="1836"/>
      <w:bookmarkEnd w:id="1838"/>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4</w:t>
      </w:r>
      <w:bookmarkEnd w:id="1841"/>
      <w:r>
        <w:rPr>
          <w:color w:val="000000"/>
          <w:spacing w:val="0"/>
          <w:w w:val="100"/>
          <w:position w:val="0"/>
        </w:rPr>
        <w:t>、重要的共同经营</w:t>
      </w:r>
      <w:bookmarkEnd w:id="1839"/>
      <w:bookmarkEnd w:id="1840"/>
      <w:bookmarkEnd w:id="1842"/>
    </w:p>
    <w:tbl>
      <w:tblPr>
        <w:tblOverlap w:val="never"/>
        <w:jc w:val="center"/>
        <w:tblLayout w:type="fixed"/>
      </w:tblPr>
      <w:tblGrid>
        <w:gridCol w:w="1603"/>
        <w:gridCol w:w="1594"/>
        <w:gridCol w:w="1584"/>
        <w:gridCol w:w="1603"/>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无</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无</w:t>
      </w:r>
    </w:p>
    <w:p>
      <w:pPr>
        <w:widowControl w:val="0"/>
        <w:spacing w:after="37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5</w:t>
      </w:r>
      <w:bookmarkEnd w:id="1845"/>
      <w:r>
        <w:rPr>
          <w:color w:val="000000"/>
          <w:spacing w:val="0"/>
          <w:w w:val="100"/>
          <w:position w:val="0"/>
        </w:rPr>
        <w:t>、</w:t>
        <w:tab/>
        <w:t>在未纳入合并财务报表范围的结构化主体中的权益</w:t>
      </w:r>
      <w:bookmarkEnd w:id="1843"/>
      <w:bookmarkEnd w:id="1844"/>
      <w:bookmarkEnd w:id="184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未纳入合并财务报表范围的结构化主体的相关说明：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color w:val="000000"/>
          <w:spacing w:val="0"/>
          <w:w w:val="100"/>
          <w:position w:val="0"/>
        </w:rPr>
        <w:t>、</w:t>
        <w:tab/>
        <w:t>其他</w:t>
      </w:r>
      <w:bookmarkEnd w:id="1847"/>
      <w:bookmarkEnd w:id="1848"/>
      <w:bookmarkEnd w:id="1850"/>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r>
        <w:rPr>
          <w:color w:val="000000"/>
          <w:spacing w:val="0"/>
          <w:w w:val="100"/>
          <w:position w:val="0"/>
        </w:rPr>
        <w:t>十、与金融工具相关的风险</w:t>
      </w:r>
      <w:bookmarkEnd w:id="1851"/>
      <w:bookmarkEnd w:id="1852"/>
      <w:bookmarkEnd w:id="1853"/>
    </w:p>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 xml:space="preserve">本公司的主要金融工具包括货币资金、股权投资、交易性金融资产、债权投资、借款、应收款项、应 </w:t>
      </w:r>
      <w:r>
        <w:rPr>
          <w:color w:val="000000"/>
          <w:spacing w:val="0"/>
          <w:w w:val="100"/>
          <w:position w:val="0"/>
          <w:sz w:val="20"/>
          <w:szCs w:val="20"/>
        </w:rPr>
        <w:t>付款项等。在日常活动中面临各种金融工具的风险，主要包括信用风险、流动性风险、市场风险。与这些 金融工具相关的风险，以及本公司为降低这些风险所采取的风险管理政策如下所述：</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14"/>
        <w:keepNext w:val="0"/>
        <w:keepLines w:val="0"/>
        <w:widowControl w:val="0"/>
        <w:numPr>
          <w:ilvl w:val="0"/>
          <w:numId w:val="99"/>
        </w:numPr>
        <w:shd w:val="clear" w:color="auto" w:fill="auto"/>
        <w:bidi w:val="0"/>
        <w:spacing w:before="0" w:after="0" w:line="313" w:lineRule="exact"/>
        <w:ind w:left="0" w:right="0" w:firstLine="440"/>
        <w:jc w:val="both"/>
        <w:rPr>
          <w:sz w:val="20"/>
          <w:szCs w:val="20"/>
        </w:rPr>
      </w:pPr>
      <w:bookmarkStart w:id="1854" w:name="bookmark1854"/>
      <w:bookmarkEnd w:id="1854"/>
      <w:r>
        <w:rPr>
          <w:b/>
          <w:bCs/>
          <w:color w:val="000000"/>
          <w:spacing w:val="0"/>
          <w:w w:val="100"/>
          <w:position w:val="0"/>
          <w:sz w:val="20"/>
          <w:szCs w:val="20"/>
        </w:rPr>
        <w:t>信用风险</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信用风险是指交易对手未能履行合同义务而导致本公司产生财务损失的风险，管理层已制定适当的信 用政策，并且不断监察信用风险的敞口。</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本公司其他金融资产包括货币资金、其他应收款、债权投资等，这些金融资产的信用风险源自于交易 对手违约，最大信用风险敞口为资产负债表中每项金融资产的账面金额。</w:t>
      </w:r>
    </w:p>
    <w:p>
      <w:pPr>
        <w:pStyle w:val="Style14"/>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14"/>
        <w:keepNext w:val="0"/>
        <w:keepLines w:val="0"/>
        <w:widowControl w:val="0"/>
        <w:shd w:val="clear" w:color="auto" w:fill="auto"/>
        <w:bidi w:val="0"/>
        <w:spacing w:before="0" w:after="60" w:line="321" w:lineRule="exact"/>
        <w:ind w:left="0" w:right="0" w:firstLine="440"/>
        <w:jc w:val="both"/>
        <w:rPr>
          <w:sz w:val="20"/>
          <w:szCs w:val="20"/>
        </w:rPr>
      </w:pPr>
      <w:r>
        <w:rPr>
          <w:color w:val="000000"/>
          <w:spacing w:val="0"/>
          <w:w w:val="100"/>
          <w:position w:val="0"/>
          <w:sz w:val="20"/>
          <w:szCs w:val="2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济状况的预测，如国家</w:t>
      </w:r>
      <w:r>
        <w:rPr>
          <w:rFonts w:ascii="Times New Roman" w:eastAsia="Times New Roman" w:hAnsi="Times New Roman" w:cs="Times New Roman"/>
          <w:color w:val="000000"/>
          <w:spacing w:val="0"/>
          <w:w w:val="100"/>
          <w:position w:val="0"/>
          <w:sz w:val="20"/>
          <w:szCs w:val="20"/>
        </w:rPr>
        <w:t>GDP</w:t>
      </w:r>
      <w:r>
        <w:rPr>
          <w:color w:val="000000"/>
          <w:spacing w:val="0"/>
          <w:w w:val="100"/>
          <w:position w:val="0"/>
          <w:sz w:val="20"/>
          <w:szCs w:val="20"/>
        </w:rPr>
        <w:t>增速、基建投资总额、国家货币政策等前瞻性信息进行调整得出预期损失率。 对于长期应收款，本公司综合考虑结算期、合同约定付款期、债务人的财务状况和债务人所处行业的经济 形势，并考虑上述前瞻性信息进行调整后对于预期信用损失进行合理评估。</w:t>
      </w:r>
    </w:p>
    <w:p>
      <w:pPr>
        <w:pStyle w:val="Style2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3614"/>
        <w:gridCol w:w="2592"/>
        <w:gridCol w:w="3470"/>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71,439,049.36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1,698,614.96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560,661,383.11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97,394,250.46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14,300,269.49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1,417,640.87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163,121,784.75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809,522,486.71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100,510,506.29</w:t>
            </w:r>
          </w:p>
        </w:tc>
      </w:tr>
    </w:tbl>
    <w:p>
      <w:pPr>
        <w:widowControl w:val="0"/>
        <w:spacing w:after="259" w:line="1" w:lineRule="exact"/>
      </w:pPr>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本公司的主要客户具有可靠及良好的信誉，因此，本公司认为该等客户并无重大信用风险。由于本公 司的客户广泛，因此没有重大的信用集中风险。</w:t>
      </w:r>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由于本公司的应收账款风险点分布于多个合作方和多个客户，截至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日，本公司应收账款 的</w:t>
      </w:r>
      <w:r>
        <w:rPr>
          <w:rFonts w:ascii="Times New Roman" w:eastAsia="Times New Roman" w:hAnsi="Times New Roman" w:cs="Times New Roman"/>
          <w:color w:val="000000"/>
          <w:spacing w:val="0"/>
          <w:w w:val="100"/>
          <w:position w:val="0"/>
          <w:sz w:val="20"/>
          <w:szCs w:val="20"/>
        </w:rPr>
        <w:t>14.34%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19.48%</w:t>
      </w:r>
      <w:r>
        <w:rPr>
          <w:color w:val="000000"/>
          <w:spacing w:val="0"/>
          <w:w w:val="100"/>
          <w:position w:val="0"/>
          <w:sz w:val="20"/>
          <w:szCs w:val="20"/>
        </w:rPr>
        <w:t>）源于余额前五名客户，本公司不存在重大的信用集中风险。</w:t>
      </w:r>
    </w:p>
    <w:p>
      <w:pPr>
        <w:pStyle w:val="Style14"/>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本公司所承受的最大信用风险敞口为资产负债表中每项金融资产的账面价值。</w:t>
      </w:r>
    </w:p>
    <w:p>
      <w:pPr>
        <w:pStyle w:val="Style14"/>
        <w:keepNext w:val="0"/>
        <w:keepLines w:val="0"/>
        <w:widowControl w:val="0"/>
        <w:numPr>
          <w:ilvl w:val="0"/>
          <w:numId w:val="99"/>
        </w:numPr>
        <w:shd w:val="clear" w:color="auto" w:fill="auto"/>
        <w:bidi w:val="0"/>
        <w:spacing w:before="0" w:after="0" w:line="312" w:lineRule="exact"/>
        <w:ind w:left="0" w:right="0" w:firstLine="440"/>
        <w:jc w:val="both"/>
        <w:rPr>
          <w:sz w:val="20"/>
          <w:szCs w:val="20"/>
        </w:rPr>
      </w:pPr>
      <w:bookmarkStart w:id="1855" w:name="bookmark1855"/>
      <w:bookmarkEnd w:id="1855"/>
      <w:r>
        <w:rPr>
          <w:b/>
          <w:bCs/>
          <w:color w:val="000000"/>
          <w:spacing w:val="0"/>
          <w:w w:val="100"/>
          <w:position w:val="0"/>
          <w:sz w:val="20"/>
          <w:szCs w:val="20"/>
        </w:rPr>
        <w:t>流动性风险</w:t>
      </w:r>
    </w:p>
    <w:p>
      <w:pPr>
        <w:pStyle w:val="Style14"/>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流动性风险是指本公司在履行以交付现金或其他金融资产的方式结算的义务时发生资金短缺的风险。 本公司下属成员企业各自负责其现金流量预测。公司下属财务部门基于各成员企业的现金流量预测结果， 在公司层面持续监控公司短期和长期的资金需求，以确保维持充裕的现金储备；同时持续监控是否符合借 款协议的规定，从主要金融机构获得提供足够备用资金的承诺，以满足短期和长期的资金需求。</w:t>
      </w:r>
    </w:p>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日，本公司金融负债和表外担保项目以未折现的合同现金流量按合同剩余期限列示 如下：</w:t>
      </w:r>
    </w:p>
    <w:tbl>
      <w:tblPr>
        <w:tblOverlap w:val="never"/>
        <w:jc w:val="center"/>
        <w:tblLayout w:type="fixed"/>
      </w:tblPr>
      <w:tblGrid>
        <w:gridCol w:w="2280"/>
        <w:gridCol w:w="2414"/>
        <w:gridCol w:w="2275"/>
        <w:gridCol w:w="2707"/>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6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192,212,462.87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192,212,462.87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72,466,175.25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72,466,175.25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267,678,638.12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267,678,638.12</w:t>
            </w:r>
          </w:p>
        </w:tc>
      </w:tr>
    </w:tbl>
    <w:p>
      <w:pPr>
        <w:widowControl w:val="0"/>
        <w:spacing w:after="359" w:line="1" w:lineRule="exact"/>
      </w:pPr>
    </w:p>
    <w:p>
      <w:pPr>
        <w:pStyle w:val="Style14"/>
        <w:keepNext w:val="0"/>
        <w:keepLines w:val="0"/>
        <w:widowControl w:val="0"/>
        <w:numPr>
          <w:ilvl w:val="0"/>
          <w:numId w:val="99"/>
        </w:numPr>
        <w:shd w:val="clear" w:color="auto" w:fill="auto"/>
        <w:bidi w:val="0"/>
        <w:spacing w:before="0" w:line="316" w:lineRule="exact"/>
        <w:ind w:left="0" w:right="0" w:firstLine="440"/>
        <w:jc w:val="both"/>
        <w:rPr>
          <w:sz w:val="20"/>
          <w:szCs w:val="20"/>
        </w:rPr>
      </w:pPr>
      <w:bookmarkStart w:id="1856" w:name="bookmark1856"/>
      <w:bookmarkEnd w:id="1856"/>
      <w:r>
        <w:rPr>
          <w:b/>
          <w:bCs/>
          <w:color w:val="000000"/>
          <w:spacing w:val="0"/>
          <w:w w:val="100"/>
          <w:position w:val="0"/>
          <w:sz w:val="20"/>
          <w:szCs w:val="20"/>
        </w:rPr>
        <w:t>市场风险</w:t>
      </w:r>
    </w:p>
    <w:p>
      <w:pPr>
        <w:pStyle w:val="Style14"/>
        <w:keepNext w:val="0"/>
        <w:keepLines w:val="0"/>
        <w:widowControl w:val="0"/>
        <w:shd w:val="clear" w:color="auto" w:fill="auto"/>
        <w:bidi w:val="0"/>
        <w:spacing w:before="0" w:after="0" w:line="316" w:lineRule="exact"/>
        <w:ind w:left="0" w:right="0" w:firstLine="360"/>
        <w:jc w:val="both"/>
        <w:rPr>
          <w:sz w:val="20"/>
          <w:szCs w:val="20"/>
        </w:rPr>
      </w:pPr>
      <w:r>
        <w:rPr>
          <w:b/>
          <w:bCs/>
          <w:color w:val="000000"/>
          <w:spacing w:val="0"/>
          <w:w w:val="100"/>
          <w:position w:val="0"/>
          <w:sz w:val="20"/>
          <w:szCs w:val="20"/>
        </w:rPr>
        <w:t>⑴利率风险</w:t>
      </w:r>
    </w:p>
    <w:p>
      <w:pPr>
        <w:pStyle w:val="Style14"/>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本公司的利率风险主要产生于银行借款。浮动利率的金融负债使本公司面临现金流量利率风险，固定 利率的金融负债使本公司面临公允价值利率风险。本公司根据当时的市场环境来决定固定利率及浮动利率 合同的相对比例。</w:t>
      </w:r>
    </w:p>
    <w:p>
      <w:pPr>
        <w:pStyle w:val="Style14"/>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w:t>
      </w:r>
    </w:p>
    <w:p>
      <w:pPr>
        <w:pStyle w:val="Style14"/>
        <w:keepNext w:val="0"/>
        <w:keepLines w:val="0"/>
        <w:widowControl w:val="0"/>
        <w:numPr>
          <w:ilvl w:val="0"/>
          <w:numId w:val="101"/>
        </w:numPr>
        <w:shd w:val="clear" w:color="auto" w:fill="auto"/>
        <w:tabs>
          <w:tab w:pos="832" w:val="left"/>
        </w:tabs>
        <w:bidi w:val="0"/>
        <w:spacing w:before="0" w:after="0" w:line="316" w:lineRule="exact"/>
        <w:ind w:left="0" w:right="0" w:firstLine="440"/>
        <w:jc w:val="both"/>
        <w:rPr>
          <w:sz w:val="20"/>
          <w:szCs w:val="20"/>
        </w:rPr>
      </w:pPr>
      <w:bookmarkStart w:id="1857" w:name="bookmark1857"/>
      <w:bookmarkEnd w:id="1857"/>
      <w:r>
        <w:rPr>
          <w:color w:val="000000"/>
          <w:spacing w:val="0"/>
          <w:w w:val="100"/>
          <w:position w:val="0"/>
          <w:sz w:val="20"/>
          <w:szCs w:val="20"/>
        </w:rPr>
        <w:t>本年度公司无利率互换安排。</w:t>
      </w:r>
    </w:p>
    <w:p>
      <w:pPr>
        <w:pStyle w:val="Style14"/>
        <w:keepNext w:val="0"/>
        <w:keepLines w:val="0"/>
        <w:widowControl w:val="0"/>
        <w:numPr>
          <w:ilvl w:val="0"/>
          <w:numId w:val="101"/>
        </w:numPr>
        <w:shd w:val="clear" w:color="auto" w:fill="auto"/>
        <w:tabs>
          <w:tab w:pos="810" w:val="left"/>
        </w:tabs>
        <w:bidi w:val="0"/>
        <w:spacing w:before="0" w:after="0" w:line="326" w:lineRule="exact"/>
        <w:ind w:left="0" w:right="0" w:firstLine="440"/>
        <w:jc w:val="both"/>
        <w:rPr>
          <w:sz w:val="20"/>
          <w:szCs w:val="20"/>
        </w:rPr>
      </w:pPr>
      <w:bookmarkStart w:id="1858" w:name="bookmark1858"/>
      <w:bookmarkEnd w:id="1858"/>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日，本公司带息债务主要为人民币计价的浮动利率合同，金额为</w:t>
      </w:r>
      <w:r>
        <w:rPr>
          <w:rFonts w:ascii="Times New Roman" w:eastAsia="Times New Roman" w:hAnsi="Times New Roman" w:cs="Times New Roman"/>
          <w:color w:val="000000"/>
          <w:spacing w:val="0"/>
          <w:w w:val="100"/>
          <w:position w:val="0"/>
          <w:sz w:val="20"/>
          <w:szCs w:val="20"/>
        </w:rPr>
        <w:t>3,000,000.00</w:t>
      </w:r>
      <w:r>
        <w:rPr>
          <w:color w:val="000000"/>
          <w:spacing w:val="0"/>
          <w:w w:val="100"/>
          <w:position w:val="0"/>
          <w:sz w:val="20"/>
          <w:szCs w:val="20"/>
        </w:rPr>
        <w:t>元， 详见附注短期借款科目。</w:t>
      </w:r>
    </w:p>
    <w:p>
      <w:pPr>
        <w:pStyle w:val="Style14"/>
        <w:keepNext w:val="0"/>
        <w:keepLines w:val="0"/>
        <w:widowControl w:val="0"/>
        <w:numPr>
          <w:ilvl w:val="0"/>
          <w:numId w:val="101"/>
        </w:numPr>
        <w:shd w:val="clear" w:color="auto" w:fill="auto"/>
        <w:tabs>
          <w:tab w:pos="837" w:val="left"/>
        </w:tabs>
        <w:bidi w:val="0"/>
        <w:spacing w:before="0" w:after="0" w:line="326" w:lineRule="exact"/>
        <w:ind w:left="0" w:right="0" w:firstLine="440"/>
        <w:jc w:val="both"/>
        <w:rPr>
          <w:sz w:val="20"/>
          <w:szCs w:val="20"/>
        </w:rPr>
      </w:pPr>
      <w:bookmarkStart w:id="1859" w:name="bookmark1859"/>
      <w:bookmarkEnd w:id="1859"/>
      <w:r>
        <w:rPr>
          <w:color w:val="000000"/>
          <w:spacing w:val="0"/>
          <w:w w:val="100"/>
          <w:position w:val="0"/>
          <w:sz w:val="20"/>
          <w:szCs w:val="20"/>
        </w:rPr>
        <w:t>敏感性分析：</w:t>
      </w:r>
    </w:p>
    <w:p>
      <w:pPr>
        <w:pStyle w:val="Style14"/>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日，如果以浮动利率计算的借款利率上升或下降</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个基点，而其他因素保持不变， 本公司的净利润会减少或增加约</w:t>
      </w:r>
      <w:r>
        <w:rPr>
          <w:rFonts w:ascii="Times New Roman" w:eastAsia="Times New Roman" w:hAnsi="Times New Roman" w:cs="Times New Roman"/>
          <w:color w:val="000000"/>
          <w:spacing w:val="0"/>
          <w:w w:val="100"/>
          <w:position w:val="0"/>
          <w:sz w:val="20"/>
          <w:szCs w:val="20"/>
        </w:rPr>
        <w:t>12,750.00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年度约</w:t>
      </w:r>
      <w:r>
        <w:rPr>
          <w:rFonts w:ascii="Times New Roman" w:eastAsia="Times New Roman" w:hAnsi="Times New Roman" w:cs="Times New Roman"/>
          <w:color w:val="000000"/>
          <w:spacing w:val="0"/>
          <w:w w:val="100"/>
          <w:position w:val="0"/>
          <w:sz w:val="20"/>
          <w:szCs w:val="20"/>
        </w:rPr>
        <w:t>12,750.00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4"/>
        <w:keepNext w:val="0"/>
        <w:keepLines w:val="0"/>
        <w:widowControl w:val="0"/>
        <w:shd w:val="clear" w:color="auto" w:fill="auto"/>
        <w:bidi w:val="0"/>
        <w:spacing w:before="0" w:after="360" w:line="314" w:lineRule="exact"/>
        <w:ind w:left="0" w:right="0" w:firstLine="440"/>
        <w:jc w:val="both"/>
        <w:rPr>
          <w:sz w:val="20"/>
          <w:szCs w:val="20"/>
        </w:rPr>
      </w:pPr>
      <w:r>
        <w:rPr>
          <w:color w:val="000000"/>
          <w:spacing w:val="0"/>
          <w:w w:val="100"/>
          <w:position w:val="0"/>
          <w:sz w:val="20"/>
          <w:szCs w:val="20"/>
        </w:rPr>
        <w:t>上述敏感性分析假定在资产负债表日已发生利率变动，并且已应用于本公司所有按浮动利率获得的借 款。</w:t>
      </w:r>
    </w:p>
    <w:p>
      <w:pPr>
        <w:pStyle w:val="Style24"/>
        <w:keepNext/>
        <w:keepLines/>
        <w:widowControl w:val="0"/>
        <w:shd w:val="clear" w:color="auto" w:fill="auto"/>
        <w:bidi w:val="0"/>
        <w:spacing w:before="0" w:after="300" w:line="240" w:lineRule="auto"/>
        <w:ind w:left="0" w:right="0" w:firstLine="0"/>
        <w:jc w:val="left"/>
      </w:pPr>
      <w:bookmarkStart w:id="1860" w:name="bookmark1860"/>
      <w:bookmarkStart w:id="1861" w:name="bookmark1861"/>
      <w:bookmarkStart w:id="1862" w:name="bookmark1862"/>
      <w:r>
        <w:rPr>
          <w:color w:val="000000"/>
          <w:spacing w:val="0"/>
          <w:w w:val="100"/>
          <w:position w:val="0"/>
        </w:rPr>
        <w:t>十一、公允价值的披露</w:t>
      </w:r>
      <w:bookmarkEnd w:id="1860"/>
      <w:bookmarkEnd w:id="1861"/>
      <w:bookmarkEnd w:id="1862"/>
    </w:p>
    <w:p>
      <w:pPr>
        <w:pStyle w:val="Style33"/>
        <w:keepNext/>
        <w:keepLines/>
        <w:widowControl w:val="0"/>
        <w:shd w:val="clear" w:color="auto" w:fill="auto"/>
        <w:bidi w:val="0"/>
        <w:spacing w:before="0" w:after="360" w:line="316" w:lineRule="exact"/>
        <w:ind w:left="0" w:right="0" w:firstLine="0"/>
        <w:jc w:val="left"/>
      </w:pPr>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63"/>
      <w:bookmarkEnd w:id="1864"/>
      <w:bookmarkEnd w:id="18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240,234,100.00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240,234,100.00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tabs>
          <w:tab w:pos="378" w:val="left"/>
        </w:tabs>
        <w:bidi w:val="0"/>
        <w:spacing w:before="0" w:after="360" w:line="240" w:lineRule="auto"/>
        <w:ind w:left="0" w:right="0" w:firstLine="0"/>
        <w:jc w:val="both"/>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2</w:t>
      </w:r>
      <w:bookmarkEnd w:id="1868"/>
      <w:r>
        <w:rPr>
          <w:color w:val="000000"/>
          <w:spacing w:val="0"/>
          <w:w w:val="100"/>
          <w:position w:val="0"/>
        </w:rPr>
        <w:t>、</w:t>
        <w:tab/>
        <w:t>持续和非持续第一层次公允价值计量项目市价的确定依据</w:t>
      </w:r>
      <w:bookmarkEnd w:id="1866"/>
      <w:bookmarkEnd w:id="1867"/>
      <w:bookmarkEnd w:id="1869"/>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3</w:t>
      </w:r>
      <w:bookmarkEnd w:id="1872"/>
      <w:r>
        <w:rPr>
          <w:color w:val="000000"/>
          <w:spacing w:val="0"/>
          <w:w w:val="100"/>
          <w:position w:val="0"/>
        </w:rPr>
        <w:t>、</w:t>
        <w:tab/>
        <w:t>持续和非持续第二层次公允价值计量项目，采用的估值技术和重要参数的定性及定量信息</w:t>
      </w:r>
      <w:bookmarkEnd w:id="1870"/>
      <w:bookmarkEnd w:id="1871"/>
      <w:bookmarkEnd w:id="1873"/>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4</w:t>
      </w:r>
      <w:bookmarkEnd w:id="1876"/>
      <w:r>
        <w:rPr>
          <w:color w:val="000000"/>
          <w:spacing w:val="0"/>
          <w:w w:val="100"/>
          <w:position w:val="0"/>
        </w:rPr>
        <w:t>、</w:t>
        <w:tab/>
        <w:t>持续和非持续第三层次公允价值计量项目，采用的估值技术和重要参数的定性及定量信息</w:t>
      </w:r>
      <w:bookmarkEnd w:id="1874"/>
      <w:bookmarkEnd w:id="1875"/>
      <w:bookmarkEnd w:id="1877"/>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5</w:t>
      </w:r>
      <w:bookmarkEnd w:id="1880"/>
      <w:r>
        <w:rPr>
          <w:color w:val="000000"/>
          <w:spacing w:val="0"/>
          <w:w w:val="100"/>
          <w:position w:val="0"/>
        </w:rPr>
        <w:t>、</w:t>
        <w:tab/>
        <w:t>持续的第三层次公允价值计量项目，期初与期末账面价值间的调节信息及不可观察参数敏感性分析</w:t>
      </w:r>
      <w:bookmarkEnd w:id="1878"/>
      <w:bookmarkEnd w:id="1879"/>
      <w:bookmarkEnd w:id="1881"/>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6</w:t>
      </w:r>
      <w:bookmarkEnd w:id="1884"/>
      <w:r>
        <w:rPr>
          <w:color w:val="000000"/>
          <w:spacing w:val="0"/>
          <w:w w:val="100"/>
          <w:position w:val="0"/>
        </w:rPr>
        <w:t>、</w:t>
        <w:tab/>
        <w:t>持续的公允价值计量项目，本期内发生各层级之间转换的，转换的原因及确定转换时点的政策</w:t>
      </w:r>
      <w:bookmarkEnd w:id="1882"/>
      <w:bookmarkEnd w:id="1883"/>
      <w:bookmarkEnd w:id="1885"/>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7</w:t>
      </w:r>
      <w:bookmarkEnd w:id="1888"/>
      <w:r>
        <w:rPr>
          <w:color w:val="000000"/>
          <w:spacing w:val="0"/>
          <w:w w:val="100"/>
          <w:position w:val="0"/>
        </w:rPr>
        <w:t>、</w:t>
        <w:tab/>
        <w:t>本期内发生的估值技术变更及变更原因</w:t>
      </w:r>
      <w:bookmarkEnd w:id="1886"/>
      <w:bookmarkEnd w:id="1887"/>
      <w:bookmarkEnd w:id="1889"/>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8</w:t>
      </w:r>
      <w:bookmarkEnd w:id="1892"/>
      <w:r>
        <w:rPr>
          <w:color w:val="000000"/>
          <w:spacing w:val="0"/>
          <w:w w:val="100"/>
          <w:position w:val="0"/>
        </w:rPr>
        <w:t>、</w:t>
        <w:tab/>
        <w:t>不以公允价值计量的金融资产和金融负债的公允价值情况</w:t>
      </w:r>
      <w:bookmarkEnd w:id="1890"/>
      <w:bookmarkEnd w:id="1891"/>
      <w:bookmarkEnd w:id="1893"/>
    </w:p>
    <w:p>
      <w:pPr>
        <w:pStyle w:val="Style14"/>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不以公允价值计量的金融资产和负债主要包括：应收款项、债权投资、短期借款、应付款项等。</w:t>
      </w:r>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上述不以公允价值计量的金融资产和负债的账面价值与公允价值相差很小。</w:t>
      </w:r>
    </w:p>
    <w:p>
      <w:pPr>
        <w:pStyle w:val="Style33"/>
        <w:keepNext/>
        <w:keepLines/>
        <w:widowControl w:val="0"/>
        <w:shd w:val="clear" w:color="auto" w:fill="auto"/>
        <w:tabs>
          <w:tab w:pos="378" w:val="left"/>
        </w:tabs>
        <w:bidi w:val="0"/>
        <w:spacing w:before="0" w:after="360" w:line="240" w:lineRule="auto"/>
        <w:ind w:left="0" w:right="0" w:firstLine="0"/>
        <w:jc w:val="both"/>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9</w:t>
      </w:r>
      <w:bookmarkEnd w:id="1896"/>
      <w:r>
        <w:rPr>
          <w:color w:val="000000"/>
          <w:spacing w:val="0"/>
          <w:w w:val="100"/>
          <w:position w:val="0"/>
        </w:rPr>
        <w:t>、</w:t>
        <w:tab/>
        <w:t>其他</w:t>
      </w:r>
      <w:bookmarkEnd w:id="1894"/>
      <w:bookmarkEnd w:id="1895"/>
      <w:bookmarkEnd w:id="1897"/>
    </w:p>
    <w:p>
      <w:pPr>
        <w:pStyle w:val="Style14"/>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380" w:line="240" w:lineRule="auto"/>
        <w:ind w:left="0" w:right="0" w:firstLine="0"/>
        <w:jc w:val="left"/>
      </w:pPr>
      <w:bookmarkStart w:id="1898" w:name="bookmark1898"/>
      <w:bookmarkStart w:id="1899" w:name="bookmark1899"/>
      <w:bookmarkStart w:id="1900" w:name="bookmark1900"/>
      <w:r>
        <w:rPr>
          <w:color w:val="000000"/>
          <w:spacing w:val="0"/>
          <w:w w:val="100"/>
          <w:position w:val="0"/>
        </w:rPr>
        <w:t>十二、关联方及关联交易</w:t>
      </w:r>
      <w:bookmarkEnd w:id="1898"/>
      <w:bookmarkEnd w:id="1899"/>
      <w:bookmarkEnd w:id="1900"/>
    </w:p>
    <w:p>
      <w:pPr>
        <w:pStyle w:val="Style33"/>
        <w:keepNext/>
        <w:keepLines/>
        <w:widowControl w:val="0"/>
        <w:shd w:val="clear" w:color="auto" w:fill="auto"/>
        <w:tabs>
          <w:tab w:pos="368" w:val="left"/>
        </w:tabs>
        <w:bidi w:val="0"/>
        <w:spacing w:before="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1</w:t>
      </w:r>
      <w:bookmarkEnd w:id="1903"/>
      <w:r>
        <w:rPr>
          <w:color w:val="000000"/>
          <w:spacing w:val="0"/>
          <w:w w:val="100"/>
          <w:position w:val="0"/>
        </w:rPr>
        <w:t>、</w:t>
        <w:tab/>
        <w:t>本企业的子公司情况</w:t>
      </w:r>
      <w:bookmarkEnd w:id="1901"/>
      <w:bookmarkEnd w:id="1902"/>
      <w:bookmarkEnd w:id="190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3"/>
        <w:keepNext/>
        <w:keepLines/>
        <w:widowControl w:val="0"/>
        <w:shd w:val="clear" w:color="auto" w:fill="auto"/>
        <w:tabs>
          <w:tab w:pos="378" w:val="left"/>
        </w:tabs>
        <w:bidi w:val="0"/>
        <w:spacing w:before="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bookmarkEnd w:id="1907"/>
      <w:r>
        <w:rPr>
          <w:color w:val="000000"/>
          <w:spacing w:val="0"/>
          <w:w w:val="100"/>
          <w:position w:val="0"/>
        </w:rPr>
        <w:t>、</w:t>
        <w:tab/>
        <w:t>本企业合营和联营企业情况</w:t>
      </w:r>
      <w:bookmarkEnd w:id="1905"/>
      <w:bookmarkEnd w:id="1906"/>
      <w:bookmarkEnd w:id="190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飞天联合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北京赛弗网络科技有限责任公司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、其他关联方情况</w:t>
      </w:r>
      <w:bookmarkEnd w:id="1909"/>
      <w:bookmarkEnd w:id="1910"/>
      <w:bookmarkEnd w:id="191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北京智慧图科技有限责任公司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世纪空联（北京）航空电子科技有限公司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北京七彩通达传媒股份有限公司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color w:val="000000"/>
          <w:spacing w:val="0"/>
          <w:w w:val="100"/>
          <w:position w:val="0"/>
        </w:rPr>
        <w:t>、关联交易情况</w:t>
      </w:r>
      <w:bookmarkEnd w:id="1913"/>
      <w:bookmarkEnd w:id="1914"/>
      <w:bookmarkEnd w:id="1916"/>
    </w:p>
    <w:p>
      <w:pPr>
        <w:pStyle w:val="Style47"/>
        <w:keepNext/>
        <w:keepLines/>
        <w:widowControl w:val="0"/>
        <w:shd w:val="clear" w:color="auto" w:fill="auto"/>
        <w:bidi w:val="0"/>
        <w:spacing w:before="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17"/>
      <w:bookmarkEnd w:id="1918"/>
      <w:bookmarkEnd w:id="191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北京赛弗网络科技 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1,820,754.67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购销商品、提供和接受劳务的关联交易说明</w:t>
      </w:r>
    </w:p>
    <w:p>
      <w:pPr>
        <w:pStyle w:val="Style14"/>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存在控制关系且已纳入本公司合并财务报表范围的子公司，其相互间交易及母子公司交易已作抵销。</w:t>
      </w:r>
    </w:p>
    <w:p>
      <w:pPr>
        <w:pStyle w:val="Style47"/>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0"/>
      <w:bookmarkEnd w:id="1921"/>
      <w:bookmarkEnd w:id="192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14"/>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关联管理</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出包情况说明</w:t>
      </w:r>
    </w:p>
    <w:p>
      <w:pPr>
        <w:pStyle w:val="Style14"/>
        <w:keepNext w:val="0"/>
        <w:keepLines w:val="0"/>
        <w:widowControl w:val="0"/>
        <w:shd w:val="clear" w:color="auto" w:fill="auto"/>
        <w:bidi w:val="0"/>
        <w:spacing w:before="0" w:after="38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23"/>
      <w:bookmarkEnd w:id="1924"/>
      <w:bookmarkEnd w:id="192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14"/>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27"/>
      <w:bookmarkEnd w:id="1928"/>
      <w:bookmarkEnd w:id="193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8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关联担保情况说明</w:t>
      </w:r>
    </w:p>
    <w:p>
      <w:pPr>
        <w:pStyle w:val="Style14"/>
        <w:keepNext w:val="0"/>
        <w:keepLines w:val="0"/>
        <w:widowControl w:val="0"/>
        <w:shd w:val="clear" w:color="auto" w:fill="auto"/>
        <w:bidi w:val="0"/>
        <w:spacing w:before="0" w:after="380" w:line="365" w:lineRule="exact"/>
        <w:ind w:left="0" w:right="0" w:firstLine="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31"/>
      <w:bookmarkEnd w:id="1932"/>
      <w:bookmarkEnd w:id="1934"/>
    </w:p>
    <w:p>
      <w:pPr>
        <w:pStyle w:val="Style2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30"/>
        <w:gridCol w:w="1901"/>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59" w:line="1" w:lineRule="exact"/>
      </w:pPr>
    </w:p>
    <w:p>
      <w:pPr>
        <w:pStyle w:val="Style47"/>
        <w:keepNext/>
        <w:keepLines/>
        <w:widowControl w:val="0"/>
        <w:shd w:val="clear" w:color="auto" w:fill="auto"/>
        <w:bidi w:val="0"/>
        <w:spacing w:before="0" w:after="40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35"/>
      <w:bookmarkEnd w:id="1936"/>
      <w:bookmarkEnd w:id="19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47"/>
        <w:keepNext/>
        <w:keepLines/>
        <w:widowControl w:val="0"/>
        <w:shd w:val="clear" w:color="auto" w:fill="auto"/>
        <w:bidi w:val="0"/>
        <w:spacing w:before="0" w:after="40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39"/>
      <w:bookmarkEnd w:id="1940"/>
      <w:bookmarkEnd w:id="19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6,274,600.00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6,130,200.00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43"/>
      <w:bookmarkEnd w:id="1944"/>
      <w:bookmarkEnd w:id="1946"/>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5</w:t>
      </w:r>
      <w:bookmarkEnd w:id="1949"/>
      <w:r>
        <w:rPr>
          <w:color w:val="000000"/>
          <w:spacing w:val="0"/>
          <w:w w:val="100"/>
          <w:position w:val="0"/>
        </w:rPr>
        <w:t>、</w:t>
        <w:tab/>
        <w:t>关联方承诺</w:t>
      </w:r>
      <w:bookmarkEnd w:id="1947"/>
      <w:bookmarkEnd w:id="1948"/>
      <w:bookmarkEnd w:id="1950"/>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w:t>
        <w:tab/>
        <w:t>其他</w:t>
      </w:r>
      <w:bookmarkEnd w:id="1951"/>
      <w:bookmarkEnd w:id="1952"/>
      <w:bookmarkEnd w:id="1954"/>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400" w:line="240" w:lineRule="auto"/>
        <w:ind w:left="0" w:right="0" w:firstLine="0"/>
        <w:jc w:val="left"/>
      </w:pPr>
      <w:bookmarkStart w:id="1955" w:name="bookmark1955"/>
      <w:bookmarkStart w:id="1956" w:name="bookmark1956"/>
      <w:bookmarkStart w:id="1957" w:name="bookmark1957"/>
      <w:r>
        <w:rPr>
          <w:color w:val="000000"/>
          <w:spacing w:val="0"/>
          <w:w w:val="100"/>
          <w:position w:val="0"/>
        </w:rPr>
        <w:t>十三、股份支付</w:t>
      </w:r>
      <w:bookmarkEnd w:id="1955"/>
      <w:bookmarkEnd w:id="1956"/>
      <w:bookmarkEnd w:id="1957"/>
    </w:p>
    <w:p>
      <w:pPr>
        <w:pStyle w:val="Style33"/>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58"/>
      <w:bookmarkEnd w:id="1959"/>
      <w:bookmarkEnd w:id="196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60" w:line="360" w:lineRule="exact"/>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line="240" w:lineRule="auto"/>
        <w:ind w:left="0" w:right="0" w:firstLine="0"/>
        <w:jc w:val="both"/>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2</w:t>
      </w:r>
      <w:bookmarkEnd w:id="1963"/>
      <w:r>
        <w:rPr>
          <w:color w:val="000000"/>
          <w:spacing w:val="0"/>
          <w:w w:val="100"/>
          <w:position w:val="0"/>
        </w:rPr>
        <w:t>、以权益结算的股份支付情况</w:t>
      </w:r>
      <w:bookmarkEnd w:id="1961"/>
      <w:bookmarkEnd w:id="1962"/>
      <w:bookmarkEnd w:id="196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36,890,346.67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26,010,346.67</w:t>
            </w:r>
          </w:p>
        </w:tc>
      </w:tr>
    </w:tbl>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19" w:line="1" w:lineRule="exact"/>
      </w:pPr>
    </w:p>
    <w:p>
      <w:pPr>
        <w:pStyle w:val="Style14"/>
        <w:keepNext w:val="0"/>
        <w:keepLines w:val="0"/>
        <w:widowControl w:val="0"/>
        <w:shd w:val="clear" w:color="auto" w:fill="auto"/>
        <w:bidi w:val="0"/>
        <w:spacing w:before="0" w:after="60" w:line="240" w:lineRule="auto"/>
        <w:ind w:left="0" w:right="0" w:firstLine="440"/>
        <w:jc w:val="both"/>
        <w:rPr>
          <w:sz w:val="20"/>
          <w:szCs w:val="20"/>
        </w:rPr>
      </w:pPr>
      <w:r>
        <w:rPr>
          <w:color w:val="000000"/>
          <w:spacing w:val="0"/>
          <w:w w:val="100"/>
          <w:position w:val="0"/>
          <w:sz w:val="20"/>
          <w:szCs w:val="20"/>
        </w:rPr>
        <w:t>第一期授予日权益工具公允价值的确定方法：</w:t>
      </w:r>
    </w:p>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公司授予员工的</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万股限制性股票公允价值计算基础采用授予日公司股票收盘价，即授予日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日收盘价</w:t>
      </w:r>
      <w:r>
        <w:rPr>
          <w:rFonts w:ascii="Times New Roman" w:eastAsia="Times New Roman" w:hAnsi="Times New Roman" w:cs="Times New Roman"/>
          <w:color w:val="000000"/>
          <w:spacing w:val="0"/>
          <w:w w:val="100"/>
          <w:position w:val="0"/>
          <w:sz w:val="20"/>
          <w:szCs w:val="20"/>
        </w:rPr>
        <w:t>7.65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股，扣除授予价格为</w:t>
      </w:r>
      <w:r>
        <w:rPr>
          <w:rFonts w:ascii="Times New Roman" w:eastAsia="Times New Roman" w:hAnsi="Times New Roman" w:cs="Times New Roman"/>
          <w:color w:val="000000"/>
          <w:spacing w:val="0"/>
          <w:w w:val="100"/>
          <w:position w:val="0"/>
          <w:sz w:val="20"/>
          <w:szCs w:val="20"/>
        </w:rPr>
        <w:t>4.39</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股，因此每股限制性股票股权激励的公允价值为 </w:t>
      </w:r>
      <w:r>
        <w:rPr>
          <w:rFonts w:ascii="Times New Roman" w:eastAsia="Times New Roman" w:hAnsi="Times New Roman" w:cs="Times New Roman"/>
          <w:color w:val="000000"/>
          <w:spacing w:val="0"/>
          <w:w w:val="100"/>
          <w:position w:val="0"/>
          <w:sz w:val="20"/>
          <w:szCs w:val="20"/>
        </w:rPr>
        <w:t>7.65-4.39=3.26</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第二期授予日权益工具公允价值的确定方法：</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公司授予员工的</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万股限制性股票公允价值计算基础采用授予日公司股票收盘价，即授予日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日收盘价</w:t>
      </w:r>
      <w:r>
        <w:rPr>
          <w:rFonts w:ascii="Times New Roman" w:eastAsia="Times New Roman" w:hAnsi="Times New Roman" w:cs="Times New Roman"/>
          <w:color w:val="000000"/>
          <w:spacing w:val="0"/>
          <w:w w:val="100"/>
          <w:position w:val="0"/>
          <w:sz w:val="20"/>
          <w:szCs w:val="20"/>
        </w:rPr>
        <w:t>8.27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股，扣除授予价格为</w:t>
      </w:r>
      <w:r>
        <w:rPr>
          <w:rFonts w:ascii="Times New Roman" w:eastAsia="Times New Roman" w:hAnsi="Times New Roman" w:cs="Times New Roman"/>
          <w:color w:val="000000"/>
          <w:spacing w:val="0"/>
          <w:w w:val="100"/>
          <w:position w:val="0"/>
          <w:sz w:val="20"/>
          <w:szCs w:val="20"/>
        </w:rPr>
        <w:t>4.35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股，因此每股限制性股票股权激励的公允价值为 </w:t>
      </w:r>
      <w:r>
        <w:rPr>
          <w:rFonts w:ascii="Times New Roman" w:eastAsia="Times New Roman" w:hAnsi="Times New Roman" w:cs="Times New Roman"/>
          <w:color w:val="000000"/>
          <w:spacing w:val="0"/>
          <w:w w:val="100"/>
          <w:position w:val="0"/>
          <w:sz w:val="20"/>
          <w:szCs w:val="20"/>
        </w:rPr>
        <w:t>8.27-4.35=3.9</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名激励对象离职，经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年第一次临时股东大会同意回购注销</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名离职激励对象已获授但尚未 解锁的限制性股票共计</w:t>
      </w:r>
      <w:r>
        <w:rPr>
          <w:rFonts w:ascii="Times New Roman" w:eastAsia="Times New Roman" w:hAnsi="Times New Roman" w:cs="Times New Roman"/>
          <w:color w:val="000000"/>
          <w:spacing w:val="0"/>
          <w:w w:val="100"/>
          <w:position w:val="0"/>
          <w:sz w:val="20"/>
          <w:szCs w:val="20"/>
        </w:rPr>
        <w:t>40,000.00</w:t>
      </w:r>
      <w:r>
        <w:rPr>
          <w:color w:val="000000"/>
          <w:spacing w:val="0"/>
          <w:w w:val="100"/>
          <w:position w:val="0"/>
          <w:sz w:val="20"/>
          <w:szCs w:val="20"/>
        </w:rPr>
        <w:t>股，截止报告发布日，公司已完成以上限制性股票回购注销工作。</w:t>
      </w:r>
    </w:p>
    <w:p>
      <w:pPr>
        <w:pStyle w:val="Style14"/>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以权益结算的股份支付计入资本公积的累计金额：</w:t>
      </w:r>
      <w:r>
        <w:rPr>
          <w:rFonts w:ascii="Times New Roman" w:eastAsia="Times New Roman" w:hAnsi="Times New Roman" w:cs="Times New Roman"/>
          <w:color w:val="000000"/>
          <w:spacing w:val="0"/>
          <w:w w:val="100"/>
          <w:position w:val="0"/>
          <w:sz w:val="20"/>
          <w:szCs w:val="20"/>
        </w:rPr>
        <w:t>36,890,346.6</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元。</w:t>
      </w:r>
    </w:p>
    <w:p>
      <w:pPr>
        <w:pStyle w:val="Style14"/>
        <w:keepNext w:val="0"/>
        <w:keepLines w:val="0"/>
        <w:widowControl w:val="0"/>
        <w:shd w:val="clear" w:color="auto" w:fill="auto"/>
        <w:bidi w:val="0"/>
        <w:spacing w:before="0" w:after="660" w:line="311" w:lineRule="exact"/>
        <w:ind w:left="0" w:right="0" w:firstLine="440"/>
        <w:jc w:val="both"/>
        <w:rPr>
          <w:sz w:val="20"/>
          <w:szCs w:val="20"/>
        </w:rPr>
      </w:pPr>
      <w:r>
        <w:rPr>
          <w:color w:val="000000"/>
          <w:spacing w:val="0"/>
          <w:w w:val="100"/>
          <w:position w:val="0"/>
          <w:sz w:val="20"/>
          <w:szCs w:val="20"/>
        </w:rPr>
        <w:t>本期以权益结算的股份支付确认的费用总额：</w:t>
      </w:r>
      <w:r>
        <w:rPr>
          <w:rFonts w:ascii="Times New Roman" w:eastAsia="Times New Roman" w:hAnsi="Times New Roman" w:cs="Times New Roman"/>
          <w:color w:val="000000"/>
          <w:spacing w:val="0"/>
          <w:w w:val="100"/>
          <w:position w:val="0"/>
          <w:sz w:val="20"/>
          <w:szCs w:val="20"/>
        </w:rPr>
        <w:t>26,010,346.6</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元。</w:t>
      </w:r>
    </w:p>
    <w:p>
      <w:pPr>
        <w:pStyle w:val="Style33"/>
        <w:keepNext/>
        <w:keepLines/>
        <w:widowControl w:val="0"/>
        <w:shd w:val="clear" w:color="auto" w:fill="auto"/>
        <w:tabs>
          <w:tab w:pos="378" w:val="left"/>
        </w:tabs>
        <w:bidi w:val="0"/>
        <w:spacing w:before="0" w:line="240" w:lineRule="auto"/>
        <w:ind w:left="0" w:right="0" w:firstLine="0"/>
        <w:jc w:val="both"/>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3</w:t>
      </w:r>
      <w:bookmarkEnd w:id="1967"/>
      <w:r>
        <w:rPr>
          <w:color w:val="000000"/>
          <w:spacing w:val="0"/>
          <w:w w:val="100"/>
          <w:position w:val="0"/>
        </w:rPr>
        <w:t>、</w:t>
        <w:tab/>
        <w:t>以现金结算的股份支付情况</w:t>
      </w:r>
      <w:bookmarkEnd w:id="1965"/>
      <w:bookmarkEnd w:id="1966"/>
      <w:bookmarkEnd w:id="1968"/>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4</w:t>
      </w:r>
      <w:bookmarkEnd w:id="1971"/>
      <w:r>
        <w:rPr>
          <w:color w:val="000000"/>
          <w:spacing w:val="0"/>
          <w:w w:val="100"/>
          <w:position w:val="0"/>
        </w:rPr>
        <w:t>、</w:t>
        <w:tab/>
        <w:t>股份支付的修改、终止情况</w:t>
      </w:r>
      <w:bookmarkEnd w:id="1969"/>
      <w:bookmarkEnd w:id="1970"/>
      <w:bookmarkEnd w:id="1972"/>
    </w:p>
    <w:p>
      <w:pPr>
        <w:pStyle w:val="Style14"/>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line="240" w:lineRule="auto"/>
        <w:ind w:left="0" w:right="0" w:firstLine="0"/>
        <w:jc w:val="both"/>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5</w:t>
      </w:r>
      <w:bookmarkEnd w:id="1975"/>
      <w:r>
        <w:rPr>
          <w:color w:val="000000"/>
          <w:spacing w:val="0"/>
          <w:w w:val="100"/>
          <w:position w:val="0"/>
        </w:rPr>
        <w:t>、</w:t>
        <w:tab/>
        <w:t>其他</w:t>
      </w:r>
      <w:bookmarkEnd w:id="1973"/>
      <w:bookmarkEnd w:id="1974"/>
      <w:bookmarkEnd w:id="1976"/>
    </w:p>
    <w:p>
      <w:pPr>
        <w:pStyle w:val="Style14"/>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380" w:line="240" w:lineRule="auto"/>
        <w:ind w:left="0" w:right="0" w:firstLine="0"/>
        <w:jc w:val="both"/>
      </w:pPr>
      <w:bookmarkStart w:id="1977" w:name="bookmark1977"/>
      <w:bookmarkStart w:id="1978" w:name="bookmark1978"/>
      <w:bookmarkStart w:id="1979" w:name="bookmark1979"/>
      <w:r>
        <w:rPr>
          <w:color w:val="000000"/>
          <w:spacing w:val="0"/>
          <w:w w:val="100"/>
          <w:position w:val="0"/>
        </w:rPr>
        <w:t>十四、承诺及或有事项</w:t>
      </w:r>
      <w:bookmarkEnd w:id="1977"/>
      <w:bookmarkEnd w:id="1978"/>
      <w:bookmarkEnd w:id="1979"/>
    </w:p>
    <w:p>
      <w:pPr>
        <w:pStyle w:val="Style33"/>
        <w:keepNext/>
        <w:keepLines/>
        <w:widowControl w:val="0"/>
        <w:shd w:val="clear" w:color="auto" w:fill="auto"/>
        <w:bidi w:val="0"/>
        <w:spacing w:before="0" w:line="240" w:lineRule="auto"/>
        <w:ind w:left="0" w:right="0" w:firstLine="0"/>
        <w:jc w:val="both"/>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80"/>
      <w:bookmarkEnd w:id="1981"/>
      <w:bookmarkEnd w:id="1982"/>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资产负债表日存在的重要承诺</w:t>
      </w:r>
    </w:p>
    <w:p>
      <w:pPr>
        <w:pStyle w:val="Style14"/>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本公司不存在需要披露的重要承诺事项。</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2</w:t>
      </w:r>
      <w:bookmarkEnd w:id="1985"/>
      <w:r>
        <w:rPr>
          <w:color w:val="000000"/>
          <w:spacing w:val="0"/>
          <w:w w:val="100"/>
          <w:position w:val="0"/>
        </w:rPr>
        <w:t>、</w:t>
        <w:tab/>
        <w:t>或有事项</w:t>
      </w:r>
      <w:bookmarkEnd w:id="1983"/>
      <w:bookmarkEnd w:id="1984"/>
      <w:bookmarkEnd w:id="1986"/>
    </w:p>
    <w:p>
      <w:pPr>
        <w:pStyle w:val="Style47"/>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资产负债表日存在的重要或有事项</w:t>
      </w:r>
      <w:bookmarkEnd w:id="1987"/>
      <w:bookmarkEnd w:id="1988"/>
      <w:bookmarkEnd w:id="1990"/>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本公司不存在需要披露的重要或有事项。</w:t>
      </w:r>
    </w:p>
    <w:p>
      <w:pPr>
        <w:pStyle w:val="Style47"/>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公司没有需要披露的重要或有事项，也应予以说明</w:t>
      </w:r>
      <w:bookmarkEnd w:id="1991"/>
      <w:bookmarkEnd w:id="1992"/>
      <w:bookmarkEnd w:id="199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after="36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3</w:t>
      </w:r>
      <w:bookmarkEnd w:id="1997"/>
      <w:r>
        <w:rPr>
          <w:color w:val="000000"/>
          <w:spacing w:val="0"/>
          <w:w w:val="100"/>
          <w:position w:val="0"/>
        </w:rPr>
        <w:t>、</w:t>
        <w:tab/>
        <w:t>其他</w:t>
      </w:r>
      <w:bookmarkEnd w:id="1995"/>
      <w:bookmarkEnd w:id="1996"/>
      <w:bookmarkEnd w:id="1998"/>
    </w:p>
    <w:p>
      <w:pPr>
        <w:pStyle w:val="Style14"/>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360" w:line="240" w:lineRule="auto"/>
        <w:ind w:left="0" w:right="0" w:firstLine="0"/>
        <w:jc w:val="left"/>
      </w:pPr>
      <w:bookmarkStart w:id="1999" w:name="bookmark1999"/>
      <w:bookmarkStart w:id="2000" w:name="bookmark2000"/>
      <w:bookmarkStart w:id="2001" w:name="bookmark2001"/>
      <w:r>
        <w:rPr>
          <w:color w:val="000000"/>
          <w:spacing w:val="0"/>
          <w:w w:val="100"/>
          <w:position w:val="0"/>
        </w:rPr>
        <w:t>十五、资产负债表日后事项</w:t>
      </w:r>
      <w:bookmarkEnd w:id="1999"/>
      <w:bookmarkEnd w:id="2000"/>
      <w:bookmarkEnd w:id="2001"/>
    </w:p>
    <w:p>
      <w:pPr>
        <w:pStyle w:val="Style33"/>
        <w:keepNext/>
        <w:keepLines/>
        <w:widowControl w:val="0"/>
        <w:shd w:val="clear" w:color="auto" w:fill="auto"/>
        <w:bidi w:val="0"/>
        <w:spacing w:before="0" w:after="360" w:line="240" w:lineRule="auto"/>
        <w:ind w:left="0" w:right="0" w:firstLine="0"/>
        <w:jc w:val="left"/>
      </w:pPr>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02"/>
      <w:bookmarkEnd w:id="2003"/>
      <w:bookmarkEnd w:id="20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2005" w:name="bookmark200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2005"/>
    </w:p>
    <w:p>
      <w:pPr>
        <w:widowControl w:val="0"/>
        <w:spacing w:after="3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17" w:lineRule="exact"/>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3</w:t>
      </w:r>
      <w:bookmarkEnd w:id="2008"/>
      <w:r>
        <w:rPr>
          <w:color w:val="000000"/>
          <w:spacing w:val="0"/>
          <w:w w:val="100"/>
          <w:position w:val="0"/>
        </w:rPr>
        <w:t>、</w:t>
        <w:tab/>
        <w:t>销售退回</w:t>
      </w:r>
      <w:bookmarkEnd w:id="2006"/>
      <w:bookmarkEnd w:id="2007"/>
      <w:bookmarkEnd w:id="2009"/>
    </w:p>
    <w:p>
      <w:pPr>
        <w:pStyle w:val="Style14"/>
        <w:keepNext w:val="0"/>
        <w:keepLines w:val="0"/>
        <w:widowControl w:val="0"/>
        <w:shd w:val="clear" w:color="auto" w:fill="auto"/>
        <w:bidi w:val="0"/>
        <w:spacing w:before="0" w:after="280" w:line="317" w:lineRule="exact"/>
        <w:ind w:left="0" w:right="0" w:firstLine="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378" w:val="left"/>
        </w:tabs>
        <w:bidi w:val="0"/>
        <w:spacing w:before="0" w:after="280" w:line="317" w:lineRule="exact"/>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4</w:t>
      </w:r>
      <w:bookmarkEnd w:id="2012"/>
      <w:r>
        <w:rPr>
          <w:color w:val="000000"/>
          <w:spacing w:val="0"/>
          <w:w w:val="100"/>
          <w:position w:val="0"/>
        </w:rPr>
        <w:t>、</w:t>
        <w:tab/>
        <w:t>其他资产负债表日后事项说明</w:t>
      </w:r>
      <w:bookmarkEnd w:id="2010"/>
      <w:bookmarkEnd w:id="2011"/>
      <w:bookmarkEnd w:id="2013"/>
    </w:p>
    <w:p>
      <w:pPr>
        <w:pStyle w:val="Style14"/>
        <w:keepNext w:val="0"/>
        <w:keepLines w:val="0"/>
        <w:widowControl w:val="0"/>
        <w:shd w:val="clear" w:color="auto" w:fill="auto"/>
        <w:bidi w:val="0"/>
        <w:spacing w:before="0" w:after="360" w:line="317" w:lineRule="exact"/>
        <w:ind w:left="0" w:right="0" w:firstLine="0"/>
        <w:jc w:val="left"/>
        <w:rPr>
          <w:sz w:val="20"/>
          <w:szCs w:val="20"/>
        </w:rPr>
        <w:sectPr>
          <w:footnotePr>
            <w:pos w:val="pageBottom"/>
            <w:numFmt w:val="decimal"/>
            <w:numRestart w:val="continuous"/>
          </w:footnotePr>
          <w:pgSz w:w="11900" w:h="16840"/>
          <w:pgMar w:top="1393" w:right="1052" w:bottom="1403" w:left="1050" w:header="0" w:footer="3" w:gutter="0"/>
          <w:cols w:space="720"/>
          <w:noEndnote/>
          <w:rtlGutter w:val="0"/>
          <w:docGrid w:linePitch="360"/>
        </w:sectPr>
      </w:pPr>
      <w:r>
        <w:rPr>
          <w:color w:val="000000"/>
          <w:spacing w:val="0"/>
          <w:w w:val="100"/>
          <w:position w:val="0"/>
          <w:sz w:val="20"/>
          <w:szCs w:val="20"/>
        </w:rPr>
        <w:t>除存在上述资产负债表日后事项外，截至财务报告批准报出日止，本公司无其他应披露未披露的重大资产 负债表日后事项。</w:t>
      </w:r>
    </w:p>
    <w:p>
      <w:pPr>
        <w:pStyle w:val="Style24"/>
        <w:keepNext/>
        <w:keepLines/>
        <w:widowControl w:val="0"/>
        <w:shd w:val="clear" w:color="auto" w:fill="auto"/>
        <w:bidi w:val="0"/>
        <w:spacing w:before="80" w:after="360" w:line="240" w:lineRule="auto"/>
        <w:ind w:left="0" w:right="0" w:firstLine="360"/>
        <w:jc w:val="left"/>
      </w:pPr>
      <w:bookmarkStart w:id="2014" w:name="bookmark2014"/>
      <w:bookmarkStart w:id="2015" w:name="bookmark2015"/>
      <w:bookmarkStart w:id="2016" w:name="bookmark2016"/>
      <w:r>
        <w:rPr>
          <w:color w:val="000000"/>
          <w:spacing w:val="0"/>
          <w:w w:val="100"/>
          <w:position w:val="0"/>
        </w:rPr>
        <w:t>十六、其他重要事项</w:t>
      </w:r>
      <w:bookmarkEnd w:id="2014"/>
      <w:bookmarkEnd w:id="2015"/>
      <w:bookmarkEnd w:id="2016"/>
    </w:p>
    <w:p>
      <w:pPr>
        <w:pStyle w:val="Style33"/>
        <w:keepNext/>
        <w:keepLines/>
        <w:widowControl w:val="0"/>
        <w:shd w:val="clear" w:color="auto" w:fill="auto"/>
        <w:bidi w:val="0"/>
        <w:spacing w:before="0" w:after="360" w:line="240" w:lineRule="auto"/>
        <w:ind w:left="0" w:right="0" w:firstLine="360"/>
        <w:jc w:val="left"/>
      </w:pPr>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17"/>
      <w:bookmarkEnd w:id="2018"/>
      <w:bookmarkEnd w:id="2019"/>
    </w:p>
    <w:p>
      <w:pPr>
        <w:pStyle w:val="Style47"/>
        <w:keepNext/>
        <w:keepLines/>
        <w:widowControl w:val="0"/>
        <w:shd w:val="clear" w:color="auto" w:fill="auto"/>
        <w:bidi w:val="0"/>
        <w:spacing w:before="0" w:after="400" w:line="240" w:lineRule="auto"/>
        <w:ind w:left="0" w:right="0" w:firstLine="36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20"/>
      <w:bookmarkEnd w:id="2021"/>
      <w:bookmarkEnd w:id="202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36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23"/>
      <w:bookmarkEnd w:id="2024"/>
      <w:bookmarkEnd w:id="2025"/>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3"/>
        <w:keepNext/>
        <w:keepLines/>
        <w:widowControl w:val="0"/>
        <w:shd w:val="clear" w:color="auto" w:fill="auto"/>
        <w:tabs>
          <w:tab w:pos="738" w:val="left"/>
        </w:tabs>
        <w:bidi w:val="0"/>
        <w:spacing w:before="0" w:after="360" w:line="240" w:lineRule="auto"/>
        <w:ind w:left="0" w:right="0" w:firstLine="36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bookmarkEnd w:id="2028"/>
      <w:r>
        <w:rPr>
          <w:color w:val="000000"/>
          <w:spacing w:val="0"/>
          <w:w w:val="100"/>
          <w:position w:val="0"/>
        </w:rPr>
        <w:t>、</w:t>
        <w:tab/>
        <w:t>债务重组</w:t>
      </w:r>
      <w:bookmarkEnd w:id="2026"/>
      <w:bookmarkEnd w:id="2027"/>
      <w:bookmarkEnd w:id="2029"/>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738" w:val="left"/>
        </w:tabs>
        <w:bidi w:val="0"/>
        <w:spacing w:before="0" w:after="360" w:line="240" w:lineRule="auto"/>
        <w:ind w:left="0" w:right="0" w:firstLine="36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3</w:t>
      </w:r>
      <w:bookmarkEnd w:id="2032"/>
      <w:r>
        <w:rPr>
          <w:color w:val="000000"/>
          <w:spacing w:val="0"/>
          <w:w w:val="100"/>
          <w:position w:val="0"/>
        </w:rPr>
        <w:t>、</w:t>
        <w:tab/>
        <w:t>资产置换</w:t>
      </w:r>
      <w:bookmarkEnd w:id="2030"/>
      <w:bookmarkEnd w:id="2031"/>
      <w:bookmarkEnd w:id="2033"/>
    </w:p>
    <w:p>
      <w:pPr>
        <w:pStyle w:val="Style47"/>
        <w:keepNext/>
        <w:keepLines/>
        <w:widowControl w:val="0"/>
        <w:shd w:val="clear" w:color="auto" w:fill="auto"/>
        <w:tabs>
          <w:tab w:pos="853" w:val="left"/>
        </w:tabs>
        <w:bidi w:val="0"/>
        <w:spacing w:before="0" w:after="360" w:line="240" w:lineRule="auto"/>
        <w:ind w:left="0" w:right="0" w:firstLine="36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34"/>
      <w:bookmarkEnd w:id="2035"/>
      <w:bookmarkEnd w:id="2037"/>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853" w:val="left"/>
        </w:tabs>
        <w:bidi w:val="0"/>
        <w:spacing w:before="0" w:after="360" w:line="240" w:lineRule="auto"/>
        <w:ind w:left="0" w:right="0" w:firstLine="36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38"/>
      <w:bookmarkEnd w:id="2039"/>
      <w:bookmarkEnd w:id="2041"/>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738" w:val="left"/>
        </w:tabs>
        <w:bidi w:val="0"/>
        <w:spacing w:before="0" w:after="360" w:line="240" w:lineRule="auto"/>
        <w:ind w:left="0" w:right="0" w:firstLine="36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4</w:t>
      </w:r>
      <w:bookmarkEnd w:id="2044"/>
      <w:r>
        <w:rPr>
          <w:color w:val="000000"/>
          <w:spacing w:val="0"/>
          <w:w w:val="100"/>
          <w:position w:val="0"/>
        </w:rPr>
        <w:t>、</w:t>
        <w:tab/>
        <w:t>年金计划</w:t>
      </w:r>
      <w:bookmarkEnd w:id="2042"/>
      <w:bookmarkEnd w:id="2043"/>
      <w:bookmarkEnd w:id="2045"/>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738" w:val="left"/>
        </w:tabs>
        <w:bidi w:val="0"/>
        <w:spacing w:before="0" w:after="400" w:line="240" w:lineRule="auto"/>
        <w:ind w:left="0" w:right="0" w:firstLine="36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5</w:t>
      </w:r>
      <w:bookmarkEnd w:id="2048"/>
      <w:r>
        <w:rPr>
          <w:color w:val="000000"/>
          <w:spacing w:val="0"/>
          <w:w w:val="100"/>
          <w:position w:val="0"/>
        </w:rPr>
        <w:t>、</w:t>
        <w:tab/>
        <w:t>终止经营</w:t>
      </w:r>
      <w:bookmarkEnd w:id="2046"/>
      <w:bookmarkEnd w:id="2047"/>
      <w:bookmarkEnd w:id="20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9"/>
        <w:keepNext w:val="0"/>
        <w:keepLines w:val="0"/>
        <w:widowControl w:val="0"/>
        <w:shd w:val="clear" w:color="auto" w:fill="auto"/>
        <w:bidi w:val="0"/>
        <w:spacing w:before="0" w:after="0" w:line="365" w:lineRule="exact"/>
        <w:ind w:left="0" w:right="0" w:firstLine="360"/>
        <w:jc w:val="left"/>
      </w:pPr>
      <w:r>
        <w:rPr>
          <w:color w:val="000000"/>
          <w:spacing w:val="0"/>
          <w:w w:val="100"/>
          <w:position w:val="0"/>
          <w:shd w:val="clear" w:color="auto" w:fill="FFFFFF"/>
        </w:rPr>
        <w:t>其他说明</w:t>
      </w:r>
    </w:p>
    <w:p>
      <w:pPr>
        <w:pStyle w:val="Style14"/>
        <w:keepNext w:val="0"/>
        <w:keepLines w:val="0"/>
        <w:widowControl w:val="0"/>
        <w:shd w:val="clear" w:color="auto" w:fill="auto"/>
        <w:bidi w:val="0"/>
        <w:spacing w:before="0" w:after="360" w:line="365" w:lineRule="exact"/>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280" w:line="316" w:lineRule="exact"/>
        <w:ind w:left="0" w:right="0" w:firstLine="36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6</w:t>
      </w:r>
      <w:bookmarkEnd w:id="2052"/>
      <w:r>
        <w:rPr>
          <w:color w:val="000000"/>
          <w:spacing w:val="0"/>
          <w:w w:val="100"/>
          <w:position w:val="0"/>
        </w:rPr>
        <w:t>、分部信息</w:t>
      </w:r>
      <w:bookmarkEnd w:id="2050"/>
      <w:bookmarkEnd w:id="2051"/>
      <w:bookmarkEnd w:id="2053"/>
    </w:p>
    <w:p>
      <w:pPr>
        <w:pStyle w:val="Style47"/>
        <w:keepNext/>
        <w:keepLines/>
        <w:widowControl w:val="0"/>
        <w:shd w:val="clear" w:color="auto" w:fill="auto"/>
        <w:tabs>
          <w:tab w:pos="853" w:val="left"/>
        </w:tabs>
        <w:bidi w:val="0"/>
        <w:spacing w:before="0" w:after="280" w:line="316" w:lineRule="exact"/>
        <w:ind w:left="0" w:right="0" w:firstLine="360"/>
        <w:jc w:val="both"/>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54"/>
      <w:bookmarkEnd w:id="2055"/>
      <w:bookmarkEnd w:id="2057"/>
    </w:p>
    <w:p>
      <w:pPr>
        <w:pStyle w:val="Style47"/>
        <w:keepNext/>
        <w:keepLines/>
        <w:widowControl w:val="0"/>
        <w:numPr>
          <w:ilvl w:val="0"/>
          <w:numId w:val="105"/>
        </w:numPr>
        <w:shd w:val="clear" w:color="auto" w:fill="auto"/>
        <w:tabs>
          <w:tab w:pos="862" w:val="left"/>
        </w:tabs>
        <w:bidi w:val="0"/>
        <w:spacing w:before="0" w:after="0" w:line="316" w:lineRule="exact"/>
        <w:ind w:left="0" w:right="0" w:firstLine="460"/>
        <w:jc w:val="both"/>
      </w:pPr>
      <w:bookmarkStart w:id="2054" w:name="bookmark2054"/>
      <w:bookmarkStart w:id="2055" w:name="bookmark2055"/>
      <w:bookmarkStart w:id="2058" w:name="bookmark2058"/>
      <w:bookmarkEnd w:id="2058"/>
      <w:r>
        <w:rPr>
          <w:color w:val="000000"/>
          <w:spacing w:val="0"/>
          <w:w w:val="100"/>
          <w:position w:val="0"/>
        </w:rPr>
        <w:t>报告分部的确定依据与会计政策</w:t>
      </w:r>
      <w:bookmarkEnd w:id="2054"/>
      <w:bookmarkEnd w:id="2055"/>
    </w:p>
    <w:p>
      <w:pPr>
        <w:pStyle w:val="Style14"/>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本公司以内部组织结构、管理要求、内部报告制度为依据确定经营分部。本公司的经营分部是指同时 满足下列条件的组成部分：</w:t>
      </w:r>
    </w:p>
    <w:p>
      <w:pPr>
        <w:pStyle w:val="Style14"/>
        <w:keepNext w:val="0"/>
        <w:keepLines w:val="0"/>
        <w:widowControl w:val="0"/>
        <w:numPr>
          <w:ilvl w:val="0"/>
          <w:numId w:val="107"/>
        </w:numPr>
        <w:shd w:val="clear" w:color="auto" w:fill="auto"/>
        <w:tabs>
          <w:tab w:pos="523" w:val="left"/>
        </w:tabs>
        <w:bidi w:val="0"/>
        <w:spacing w:before="0" w:after="0" w:line="316" w:lineRule="exact"/>
        <w:ind w:left="0" w:right="0" w:firstLine="0"/>
        <w:jc w:val="left"/>
        <w:rPr>
          <w:sz w:val="20"/>
          <w:szCs w:val="20"/>
        </w:rPr>
      </w:pPr>
      <w:bookmarkStart w:id="2059" w:name="bookmark2059"/>
      <w:bookmarkEnd w:id="205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）该组成部分能够在日常活动中产生收入、发生费用；</w:t>
      </w:r>
    </w:p>
    <w:p>
      <w:pPr>
        <w:pStyle w:val="Style14"/>
        <w:keepNext w:val="0"/>
        <w:keepLines w:val="0"/>
        <w:widowControl w:val="0"/>
        <w:numPr>
          <w:ilvl w:val="0"/>
          <w:numId w:val="107"/>
        </w:numPr>
        <w:shd w:val="clear" w:color="auto" w:fill="auto"/>
        <w:tabs>
          <w:tab w:pos="523" w:val="left"/>
        </w:tabs>
        <w:bidi w:val="0"/>
        <w:spacing w:before="0" w:after="0" w:line="316" w:lineRule="exact"/>
        <w:ind w:left="0" w:right="0" w:firstLine="0"/>
        <w:jc w:val="left"/>
        <w:rPr>
          <w:sz w:val="20"/>
          <w:szCs w:val="20"/>
        </w:rPr>
      </w:pPr>
      <w:bookmarkStart w:id="2060" w:name="bookmark2060"/>
      <w:bookmarkEnd w:id="206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）管理层能够定期评价该组成部分的经营成果，以决定向其配置资源、评价其业绩；</w:t>
      </w:r>
    </w:p>
    <w:p>
      <w:pPr>
        <w:pStyle w:val="Style14"/>
        <w:keepNext w:val="0"/>
        <w:keepLines w:val="0"/>
        <w:widowControl w:val="0"/>
        <w:numPr>
          <w:ilvl w:val="0"/>
          <w:numId w:val="107"/>
        </w:numPr>
        <w:shd w:val="clear" w:color="auto" w:fill="auto"/>
        <w:tabs>
          <w:tab w:pos="523" w:val="left"/>
        </w:tabs>
        <w:bidi w:val="0"/>
        <w:spacing w:before="0" w:after="0" w:line="316" w:lineRule="exact"/>
        <w:ind w:left="0" w:right="0" w:firstLine="0"/>
        <w:jc w:val="left"/>
        <w:rPr>
          <w:sz w:val="20"/>
          <w:szCs w:val="20"/>
        </w:rPr>
      </w:pPr>
      <w:bookmarkStart w:id="2061" w:name="bookmark2061"/>
      <w:bookmarkEnd w:id="206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）能够取得该组成部分的财务状况、经营成果和现金流量等有关会计信息。</w:t>
      </w:r>
    </w:p>
    <w:p>
      <w:pPr>
        <w:pStyle w:val="Style14"/>
        <w:keepNext w:val="0"/>
        <w:keepLines w:val="0"/>
        <w:widowControl w:val="0"/>
        <w:shd w:val="clear" w:color="auto" w:fill="auto"/>
        <w:bidi w:val="0"/>
        <w:spacing w:before="0" w:after="0" w:line="316" w:lineRule="exact"/>
        <w:ind w:left="0" w:right="0" w:firstLine="800"/>
        <w:jc w:val="both"/>
        <w:rPr>
          <w:sz w:val="20"/>
          <w:szCs w:val="20"/>
        </w:rPr>
      </w:pPr>
      <w:r>
        <w:rPr>
          <w:color w:val="000000"/>
          <w:spacing w:val="0"/>
          <w:w w:val="100"/>
          <w:position w:val="0"/>
          <w:sz w:val="20"/>
          <w:szCs w:val="20"/>
        </w:rPr>
        <w:t>本公司以经营分部为基础确定报告分部，满足下列条件之一的经营分部确定为报告分部：</w:t>
      </w:r>
    </w:p>
    <w:p>
      <w:pPr>
        <w:pStyle w:val="Style14"/>
        <w:keepNext w:val="0"/>
        <w:keepLines w:val="0"/>
        <w:widowControl w:val="0"/>
        <w:shd w:val="clear" w:color="auto" w:fill="auto"/>
        <w:tabs>
          <w:tab w:pos="913" w:val="left"/>
        </w:tabs>
        <w:bidi w:val="0"/>
        <w:spacing w:before="0" w:after="0" w:line="316" w:lineRule="exact"/>
        <w:ind w:left="360" w:right="0" w:firstLine="180"/>
        <w:jc w:val="both"/>
        <w:rPr>
          <w:sz w:val="20"/>
          <w:szCs w:val="20"/>
        </w:rPr>
      </w:pPr>
      <w:bookmarkStart w:id="2062" w:name="bookmark2062"/>
      <w:r>
        <w:rPr>
          <w:rFonts w:ascii="Times New Roman" w:eastAsia="Times New Roman" w:hAnsi="Times New Roman" w:cs="Times New Roman"/>
          <w:color w:val="000000"/>
          <w:spacing w:val="0"/>
          <w:w w:val="100"/>
          <w:position w:val="0"/>
          <w:sz w:val="20"/>
          <w:szCs w:val="20"/>
        </w:rPr>
        <w:t>1</w:t>
      </w:r>
      <w:bookmarkEnd w:id="2062"/>
      <w:r>
        <w:rPr>
          <w:color w:val="000000"/>
          <w:spacing w:val="0"/>
          <w:w w:val="100"/>
          <w:position w:val="0"/>
          <w:sz w:val="20"/>
          <w:szCs w:val="20"/>
        </w:rPr>
        <w:t>）</w:t>
        <w:tab/>
        <w:t>该经营分部的分部收入占所有分部收入合计的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或者以上；</w:t>
      </w:r>
    </w:p>
    <w:p>
      <w:pPr>
        <w:pStyle w:val="Style14"/>
        <w:keepNext w:val="0"/>
        <w:keepLines w:val="0"/>
        <w:widowControl w:val="0"/>
        <w:shd w:val="clear" w:color="auto" w:fill="auto"/>
        <w:bidi w:val="0"/>
        <w:spacing w:before="0" w:after="0" w:line="316" w:lineRule="exact"/>
        <w:ind w:left="360" w:right="0" w:firstLine="180"/>
        <w:jc w:val="both"/>
        <w:rPr>
          <w:sz w:val="20"/>
          <w:szCs w:val="20"/>
        </w:rPr>
      </w:pPr>
      <w:bookmarkStart w:id="2063" w:name="bookmark2063"/>
      <w:r>
        <w:rPr>
          <w:rFonts w:ascii="Times New Roman" w:eastAsia="Times New Roman" w:hAnsi="Times New Roman" w:cs="Times New Roman"/>
          <w:color w:val="000000"/>
          <w:spacing w:val="0"/>
          <w:w w:val="100"/>
          <w:position w:val="0"/>
          <w:sz w:val="20"/>
          <w:szCs w:val="20"/>
        </w:rPr>
        <w:t>2</w:t>
      </w:r>
      <w:bookmarkEnd w:id="2063"/>
      <w:r>
        <w:rPr>
          <w:color w:val="000000"/>
          <w:spacing w:val="0"/>
          <w:w w:val="100"/>
          <w:position w:val="0"/>
          <w:sz w:val="20"/>
          <w:szCs w:val="20"/>
        </w:rPr>
        <w:t>） 该分部的分部利润（亏损）的绝对额，占所有盈利分部利润合计额或者所有亏损分部亏损合计额的绝 对额两者中较大者的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或者以上。</w:t>
      </w:r>
    </w:p>
    <w:p>
      <w:pPr>
        <w:pStyle w:val="Style14"/>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按上述会计政策确定的报告分部的经营分部的对外交易收入合计额占合并总收入的比重未达到</w:t>
      </w:r>
      <w:r>
        <w:rPr>
          <w:rFonts w:ascii="Times New Roman" w:eastAsia="Times New Roman" w:hAnsi="Times New Roman" w:cs="Times New Roman"/>
          <w:color w:val="000000"/>
          <w:spacing w:val="0"/>
          <w:w w:val="100"/>
          <w:position w:val="0"/>
          <w:sz w:val="20"/>
          <w:szCs w:val="20"/>
        </w:rPr>
        <w:t xml:space="preserve">75% </w:t>
      </w:r>
      <w:r>
        <w:rPr>
          <w:color w:val="000000"/>
          <w:spacing w:val="0"/>
          <w:w w:val="100"/>
          <w:position w:val="0"/>
          <w:sz w:val="20"/>
          <w:szCs w:val="20"/>
        </w:rPr>
        <w:t>时，增加报告分部的数量，按下述规定将其他未作为报告分部的经营分部纳入报告分部的范围，直到该比 重达到</w:t>
      </w: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w:t>
      </w:r>
    </w:p>
    <w:p>
      <w:pPr>
        <w:pStyle w:val="Style14"/>
        <w:keepNext w:val="0"/>
        <w:keepLines w:val="0"/>
        <w:widowControl w:val="0"/>
        <w:shd w:val="clear" w:color="auto" w:fill="auto"/>
        <w:tabs>
          <w:tab w:pos="913" w:val="left"/>
        </w:tabs>
        <w:bidi w:val="0"/>
        <w:spacing w:before="0" w:after="0" w:line="316" w:lineRule="exact"/>
        <w:ind w:left="360" w:right="0" w:firstLine="180"/>
        <w:jc w:val="both"/>
        <w:rPr>
          <w:sz w:val="20"/>
          <w:szCs w:val="20"/>
        </w:rPr>
      </w:pPr>
      <w:bookmarkStart w:id="2064" w:name="bookmark2064"/>
      <w:r>
        <w:rPr>
          <w:rFonts w:ascii="Times New Roman" w:eastAsia="Times New Roman" w:hAnsi="Times New Roman" w:cs="Times New Roman"/>
          <w:color w:val="000000"/>
          <w:spacing w:val="0"/>
          <w:w w:val="100"/>
          <w:position w:val="0"/>
          <w:sz w:val="20"/>
          <w:szCs w:val="20"/>
        </w:rPr>
        <w:t>1</w:t>
      </w:r>
      <w:bookmarkEnd w:id="2064"/>
      <w:r>
        <w:rPr>
          <w:color w:val="000000"/>
          <w:spacing w:val="0"/>
          <w:w w:val="100"/>
          <w:position w:val="0"/>
          <w:sz w:val="20"/>
          <w:szCs w:val="20"/>
        </w:rPr>
        <w:t>）</w:t>
        <w:tab/>
        <w:t>将管理层认为披露该经营分部信息对会计信息使用者有用的经营分部确定为报告分部；</w:t>
      </w:r>
    </w:p>
    <w:p>
      <w:pPr>
        <w:pStyle w:val="Style14"/>
        <w:keepNext w:val="0"/>
        <w:keepLines w:val="0"/>
        <w:widowControl w:val="0"/>
        <w:shd w:val="clear" w:color="auto" w:fill="auto"/>
        <w:tabs>
          <w:tab w:pos="920" w:val="left"/>
        </w:tabs>
        <w:bidi w:val="0"/>
        <w:spacing w:before="0" w:after="0" w:line="316" w:lineRule="exact"/>
        <w:ind w:left="360" w:right="0" w:firstLine="180"/>
        <w:jc w:val="both"/>
        <w:rPr>
          <w:sz w:val="20"/>
          <w:szCs w:val="20"/>
        </w:rPr>
      </w:pPr>
      <w:bookmarkStart w:id="2065" w:name="bookmark2065"/>
      <w:r>
        <w:rPr>
          <w:rFonts w:ascii="Times New Roman" w:eastAsia="Times New Roman" w:hAnsi="Times New Roman" w:cs="Times New Roman"/>
          <w:color w:val="000000"/>
          <w:spacing w:val="0"/>
          <w:w w:val="100"/>
          <w:position w:val="0"/>
          <w:sz w:val="20"/>
          <w:szCs w:val="20"/>
        </w:rPr>
        <w:t>2</w:t>
      </w:r>
      <w:bookmarkEnd w:id="2065"/>
      <w:r>
        <w:rPr>
          <w:color w:val="000000"/>
          <w:spacing w:val="0"/>
          <w:w w:val="100"/>
          <w:position w:val="0"/>
          <w:sz w:val="20"/>
          <w:szCs w:val="20"/>
        </w:rPr>
        <w:t>）</w:t>
        <w:tab/>
        <w:t>将该经营分部与一个或一个以上的具有相似经济特征、满足经营分部合并条件的其他经营分部合并， 作为一个报告分部。</w:t>
      </w:r>
    </w:p>
    <w:p>
      <w:pPr>
        <w:pStyle w:val="Style14"/>
        <w:keepNext w:val="0"/>
        <w:keepLines w:val="0"/>
        <w:widowControl w:val="0"/>
        <w:shd w:val="clear" w:color="auto" w:fill="auto"/>
        <w:bidi w:val="0"/>
        <w:spacing w:before="0" w:after="0" w:line="316" w:lineRule="exact"/>
        <w:ind w:left="360" w:right="0" w:firstLine="440"/>
        <w:jc w:val="both"/>
        <w:rPr>
          <w:sz w:val="20"/>
          <w:szCs w:val="20"/>
        </w:rPr>
      </w:pPr>
      <w:r>
        <w:rPr>
          <w:color w:val="000000"/>
          <w:spacing w:val="0"/>
          <w:w w:val="100"/>
          <w:position w:val="0"/>
          <w:sz w:val="20"/>
          <w:szCs w:val="20"/>
        </w:rPr>
        <w:t>分部间转移价格参照市场价格确定，与各分部共同使用的资产、相关的费用按照收入比例在不同的分 部之间分配。</w:t>
      </w:r>
    </w:p>
    <w:p>
      <w:pPr>
        <w:pStyle w:val="Style14"/>
        <w:keepNext w:val="0"/>
        <w:keepLines w:val="0"/>
        <w:widowControl w:val="0"/>
        <w:numPr>
          <w:ilvl w:val="0"/>
          <w:numId w:val="105"/>
        </w:numPr>
        <w:shd w:val="clear" w:color="auto" w:fill="auto"/>
        <w:tabs>
          <w:tab w:pos="862" w:val="left"/>
        </w:tabs>
        <w:bidi w:val="0"/>
        <w:spacing w:before="0" w:after="120" w:line="316" w:lineRule="exact"/>
        <w:ind w:left="0" w:right="0" w:firstLine="460"/>
        <w:jc w:val="both"/>
        <w:rPr>
          <w:sz w:val="20"/>
          <w:szCs w:val="20"/>
        </w:rPr>
      </w:pPr>
      <w:bookmarkStart w:id="2066" w:name="bookmark2066"/>
      <w:bookmarkEnd w:id="2066"/>
      <w:r>
        <w:rPr>
          <w:b/>
          <w:bCs/>
          <w:color w:val="000000"/>
          <w:spacing w:val="0"/>
          <w:w w:val="100"/>
          <w:position w:val="0"/>
          <w:sz w:val="20"/>
          <w:szCs w:val="20"/>
        </w:rPr>
        <w:t>本公司确定报告分部考虑的因素、报告分部的产品和劳务的类型</w:t>
      </w:r>
    </w:p>
    <w:p>
      <w:pPr>
        <w:pStyle w:val="Style14"/>
        <w:keepNext w:val="0"/>
        <w:keepLines w:val="0"/>
        <w:widowControl w:val="0"/>
        <w:shd w:val="clear" w:color="auto" w:fill="auto"/>
        <w:bidi w:val="0"/>
        <w:spacing w:before="0" w:after="120" w:line="307" w:lineRule="exact"/>
        <w:ind w:left="360" w:right="0" w:firstLine="440"/>
        <w:jc w:val="both"/>
        <w:rPr>
          <w:sz w:val="20"/>
          <w:szCs w:val="20"/>
        </w:rPr>
      </w:pPr>
      <w:r>
        <w:rPr>
          <w:color w:val="000000"/>
          <w:spacing w:val="0"/>
          <w:w w:val="100"/>
          <w:position w:val="0"/>
          <w:sz w:val="20"/>
          <w:szCs w:val="20"/>
        </w:rPr>
        <w:t>本公司报告分部生产经营活动及业务内容相同：为铁路信号通信产品的研发、生产、销售、安装和维 护等；但从内部组织结构、管理要求、内部报告制度及地理区域等方面分为如下</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个分部：</w:t>
      </w:r>
    </w:p>
    <w:p>
      <w:pPr>
        <w:pStyle w:val="Style14"/>
        <w:keepNext w:val="0"/>
        <w:keepLines w:val="0"/>
        <w:widowControl w:val="0"/>
        <w:shd w:val="clear" w:color="auto" w:fill="auto"/>
        <w:bidi w:val="0"/>
        <w:spacing w:before="0" w:after="280" w:line="312" w:lineRule="exact"/>
        <w:ind w:left="360" w:right="0" w:firstLine="440"/>
        <w:jc w:val="both"/>
        <w:rPr>
          <w:sz w:val="20"/>
          <w:szCs w:val="20"/>
        </w:rPr>
      </w:pPr>
      <w:r>
        <w:rPr>
          <w:color w:val="000000"/>
          <w:spacing w:val="0"/>
          <w:w w:val="100"/>
          <w:position w:val="0"/>
          <w:sz w:val="20"/>
          <w:szCs w:val="20"/>
        </w:rPr>
        <w:t>郑州分部、北京分部、其他分部。郑州分部包括：股份本部、河南辉煌软件有限公司、河南辉煌信通 软件有限公司、北京全路信通技术有限公司、河南辉煌城轨科技有限公司、洛阳辉煌城轨科技有限公司； 北京分部包括：北京国铁路阳技术有限公司、北京国铁路阳软件有限公司、天津辉煌路阳科技有限公司； 其他分部：成都新一驱动技术有限责任公司、成都新一驱动科技有限责任公司。</w:t>
      </w:r>
    </w:p>
    <w:p>
      <w:pPr>
        <w:pStyle w:val="Style47"/>
        <w:keepNext/>
        <w:keepLines/>
        <w:widowControl w:val="0"/>
        <w:shd w:val="clear" w:color="auto" w:fill="auto"/>
        <w:tabs>
          <w:tab w:pos="853" w:val="left"/>
        </w:tabs>
        <w:bidi w:val="0"/>
        <w:spacing w:before="0" w:after="360" w:line="316" w:lineRule="exact"/>
        <w:ind w:left="0" w:right="0" w:firstLine="360"/>
        <w:jc w:val="both"/>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67"/>
      <w:bookmarkEnd w:id="2068"/>
      <w:bookmarkEnd w:id="20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郑州分部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北京分部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643,184,573.88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77,469,495.60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19,378,885.50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-2,864,902.33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737,168,052.65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640,944,007.84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76,845,159.31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19,378,885.50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737,168,052.65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分部间交 易收入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2,240,566.04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624,336.29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-2,864,902.33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469,484,847.95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89,693,080.37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23,649,424.34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-2,864,902.33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579,962,450.33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其中：折旧费和摊销 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21,067,545.46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2,756,529.92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1,491,523.29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25,315,598.67</w:t>
            </w:r>
          </w:p>
        </w:tc>
      </w:tr>
    </w:tbl>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对联营和合营 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-8,164,775.78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-8,164,775.78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-4,512,994.49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-3,623,681.65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-2,044,380.45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-10,181,056.59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-28,544,563.14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-28,544,563.14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153,966,674.66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-14,102,300.02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-6,268,539.14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133,595,835.50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17,416,506.41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-667,751.14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-408,162.94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16,340,592.33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136,550,168.25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-13,434,548.88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-5,860,376.20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117,255,243.17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2,280,345,754.43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277,079,308.31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65,969,143.02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-339,405,523.26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2,283,988,682.50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597,829,891.13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107,812,006.55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11,375,995.46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-81,822,640.87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635,195,252.27</w:t>
            </w:r>
          </w:p>
        </w:tc>
      </w:tr>
    </w:tbl>
    <w:p>
      <w:pPr>
        <w:widowControl w:val="0"/>
        <w:spacing w:after="359" w:line="1" w:lineRule="exact"/>
      </w:pPr>
    </w:p>
    <w:p>
      <w:pPr>
        <w:pStyle w:val="Style47"/>
        <w:keepNext/>
        <w:keepLines/>
        <w:widowControl w:val="0"/>
        <w:shd w:val="clear" w:color="auto" w:fill="auto"/>
        <w:tabs>
          <w:tab w:pos="853" w:val="left"/>
        </w:tabs>
        <w:bidi w:val="0"/>
        <w:spacing w:before="0" w:after="360" w:line="240" w:lineRule="auto"/>
        <w:ind w:left="0" w:right="0" w:firstLine="360"/>
        <w:jc w:val="left"/>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71"/>
      <w:bookmarkEnd w:id="2072"/>
      <w:bookmarkEnd w:id="2074"/>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853" w:val="left"/>
        </w:tabs>
        <w:bidi w:val="0"/>
        <w:spacing w:before="0" w:after="360" w:line="240" w:lineRule="auto"/>
        <w:ind w:left="0" w:right="0" w:firstLine="36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75"/>
      <w:bookmarkEnd w:id="2076"/>
      <w:bookmarkEnd w:id="2078"/>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733" w:val="left"/>
        </w:tabs>
        <w:bidi w:val="0"/>
        <w:spacing w:before="0" w:after="360" w:line="240" w:lineRule="auto"/>
        <w:ind w:left="0" w:right="0" w:firstLine="36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7</w:t>
      </w:r>
      <w:bookmarkEnd w:id="2081"/>
      <w:r>
        <w:rPr>
          <w:color w:val="000000"/>
          <w:spacing w:val="0"/>
          <w:w w:val="100"/>
          <w:position w:val="0"/>
        </w:rPr>
        <w:t>、</w:t>
        <w:tab/>
        <w:t>其他对投资者决策有影响的重要交易和事项</w:t>
      </w:r>
      <w:bookmarkEnd w:id="2079"/>
      <w:bookmarkEnd w:id="2080"/>
      <w:bookmarkEnd w:id="2082"/>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tabs>
          <w:tab w:pos="738" w:val="left"/>
        </w:tabs>
        <w:bidi w:val="0"/>
        <w:spacing w:before="0" w:after="360" w:line="240" w:lineRule="auto"/>
        <w:ind w:left="0" w:right="0" w:firstLine="36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8</w:t>
      </w:r>
      <w:bookmarkEnd w:id="2085"/>
      <w:r>
        <w:rPr>
          <w:color w:val="000000"/>
          <w:spacing w:val="0"/>
          <w:w w:val="100"/>
          <w:position w:val="0"/>
        </w:rPr>
        <w:t>、</w:t>
        <w:tab/>
        <w:t>其他</w:t>
      </w:r>
      <w:bookmarkEnd w:id="2083"/>
      <w:bookmarkEnd w:id="2084"/>
      <w:bookmarkEnd w:id="2086"/>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24"/>
        <w:keepNext/>
        <w:keepLines/>
        <w:widowControl w:val="0"/>
        <w:shd w:val="clear" w:color="auto" w:fill="auto"/>
        <w:bidi w:val="0"/>
        <w:spacing w:before="0" w:after="360" w:line="240" w:lineRule="auto"/>
        <w:ind w:left="0" w:right="0" w:firstLine="360"/>
        <w:jc w:val="left"/>
      </w:pPr>
      <w:bookmarkStart w:id="2087" w:name="bookmark2087"/>
      <w:bookmarkStart w:id="2088" w:name="bookmark2088"/>
      <w:bookmarkStart w:id="2089" w:name="bookmark2089"/>
      <w:r>
        <w:rPr>
          <w:color w:val="000000"/>
          <w:spacing w:val="0"/>
          <w:w w:val="100"/>
          <w:position w:val="0"/>
        </w:rPr>
        <w:t>十七、母公司财务报表主要项目注释</w:t>
      </w:r>
      <w:bookmarkEnd w:id="2087"/>
      <w:bookmarkEnd w:id="2088"/>
      <w:bookmarkEnd w:id="2089"/>
    </w:p>
    <w:p>
      <w:pPr>
        <w:pStyle w:val="Style33"/>
        <w:keepNext/>
        <w:keepLines/>
        <w:widowControl w:val="0"/>
        <w:shd w:val="clear" w:color="auto" w:fill="auto"/>
        <w:bidi w:val="0"/>
        <w:spacing w:before="0" w:after="360" w:line="240" w:lineRule="auto"/>
        <w:ind w:left="0" w:right="0" w:firstLine="360"/>
        <w:jc w:val="left"/>
      </w:pPr>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90"/>
      <w:bookmarkEnd w:id="2091"/>
      <w:bookmarkEnd w:id="2092"/>
    </w:p>
    <w:p>
      <w:pPr>
        <w:pStyle w:val="Style47"/>
        <w:keepNext/>
        <w:keepLines/>
        <w:widowControl w:val="0"/>
        <w:shd w:val="clear" w:color="auto" w:fill="auto"/>
        <w:bidi w:val="0"/>
        <w:spacing w:before="0" w:after="360" w:line="240" w:lineRule="auto"/>
        <w:ind w:left="0" w:right="0" w:firstLine="360"/>
        <w:jc w:val="left"/>
      </w:pPr>
      <w:bookmarkStart w:id="2093" w:name="bookmark2093"/>
      <w:bookmarkStart w:id="2094" w:name="bookmark2094"/>
      <w:bookmarkStart w:id="2095" w:name="bookmark20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93"/>
      <w:bookmarkEnd w:id="2094"/>
      <w:bookmarkEnd w:id="2095"/>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389,406,</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65,486,1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323,920,6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371,737,0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62,371,87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389,406,</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65,486,1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323,920,6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371,737,0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62,371,87</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389,406,</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65,486,1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323,920,6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371,737,0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62,371,87</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65,486,136.47</w:t>
      </w:r>
    </w:p>
    <w:p>
      <w:pPr>
        <w:widowControl w:val="0"/>
        <w:spacing w:after="139" w:line="1" w:lineRule="exact"/>
      </w:pP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273,375,938.54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13,668,796.93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46,910,936.89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4,691,093.69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21,754,648.45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6,526,394.53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10,756,725.81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6,454,035.49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12,313,500.42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9,850,800.33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24,295,015.50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24,295,015.50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389,406,765.61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65,486,136.47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after="140" w:line="240" w:lineRule="auto"/>
        <w:ind w:left="0" w:right="0" w:firstLine="36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273,375,938.54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46,910,936.89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21,754,648.45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47,365,241.73</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10,756,725.81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12,313,500.42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24,295,015.50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389,406,765.61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360"/>
        <w:jc w:val="left"/>
      </w:pPr>
      <w:bookmarkStart w:id="2096" w:name="bookmark2096"/>
      <w:bookmarkStart w:id="2097" w:name="bookmark2097"/>
      <w:bookmarkStart w:id="2098" w:name="bookmark20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96"/>
      <w:bookmarkEnd w:id="2097"/>
      <w:bookmarkEnd w:id="2098"/>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62,371,873.70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4,683,254.77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-1,568,992.00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65,486,136.47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62,371,873.70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4,683,254.77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-1,568,992.00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65,486,136.47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79" w:line="1" w:lineRule="exact"/>
      </w:pPr>
    </w:p>
    <w:p>
      <w:pPr>
        <w:pStyle w:val="Style14"/>
        <w:keepNext w:val="0"/>
        <w:keepLines w:val="0"/>
        <w:widowControl w:val="0"/>
        <w:shd w:val="clear" w:color="auto" w:fill="auto"/>
        <w:bidi w:val="0"/>
        <w:spacing w:before="0" w:after="380" w:line="240" w:lineRule="auto"/>
        <w:ind w:left="0" w:right="0" w:firstLine="36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36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99"/>
      <w:bookmarkEnd w:id="2100"/>
      <w:bookmarkEnd w:id="2102"/>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应收账款核销说明：</w:t>
      </w:r>
    </w:p>
    <w:p>
      <w:pPr>
        <w:pStyle w:val="Style14"/>
        <w:keepNext w:val="0"/>
        <w:keepLines w:val="0"/>
        <w:widowControl w:val="0"/>
        <w:shd w:val="clear" w:color="auto" w:fill="auto"/>
        <w:bidi w:val="0"/>
        <w:spacing w:before="0" w:after="380" w:line="240" w:lineRule="auto"/>
        <w:ind w:left="0" w:right="0" w:firstLine="36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line="240" w:lineRule="auto"/>
        <w:ind w:left="0" w:right="0" w:firstLine="36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03"/>
      <w:bookmarkEnd w:id="2104"/>
      <w:bookmarkEnd w:id="2106"/>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28,746,367.91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1,437,318.40</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21,724,849.72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1,086,242.49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13,176,106.73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880,090.84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10,929,990.93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546,499.55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9,531,474.00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476,573.70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84,108,789.29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7"/>
        <w:keepNext/>
        <w:keepLines/>
        <w:widowControl w:val="0"/>
        <w:shd w:val="clear" w:color="auto" w:fill="auto"/>
        <w:tabs>
          <w:tab w:pos="853" w:val="left"/>
        </w:tabs>
        <w:bidi w:val="0"/>
        <w:spacing w:before="0" w:after="360" w:line="240" w:lineRule="auto"/>
        <w:ind w:left="0" w:right="0" w:firstLine="36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107"/>
      <w:bookmarkEnd w:id="2108"/>
      <w:bookmarkEnd w:id="2110"/>
    </w:p>
    <w:p>
      <w:pPr>
        <w:pStyle w:val="Style14"/>
        <w:keepNext w:val="0"/>
        <w:keepLines w:val="0"/>
        <w:widowControl w:val="0"/>
        <w:shd w:val="clear" w:color="auto" w:fill="auto"/>
        <w:bidi w:val="0"/>
        <w:spacing w:before="0" w:after="140" w:line="240" w:lineRule="auto"/>
        <w:ind w:left="0" w:right="0" w:firstLine="36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47"/>
        <w:keepNext/>
        <w:keepLines/>
        <w:widowControl w:val="0"/>
        <w:shd w:val="clear" w:color="auto" w:fill="auto"/>
        <w:tabs>
          <w:tab w:pos="853" w:val="left"/>
        </w:tabs>
        <w:bidi w:val="0"/>
        <w:spacing w:before="0" w:after="360" w:line="240" w:lineRule="auto"/>
        <w:ind w:left="0" w:right="0" w:firstLine="36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111"/>
      <w:bookmarkEnd w:id="2112"/>
      <w:bookmarkEnd w:id="2114"/>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360" w:line="240" w:lineRule="auto"/>
        <w:ind w:left="0" w:right="0" w:firstLine="360"/>
        <w:jc w:val="left"/>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15"/>
      <w:bookmarkEnd w:id="2116"/>
      <w:bookmarkEnd w:id="2117"/>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14,829,791.66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12,454,791.66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59,518,914.82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60,441,459.92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74,348,706.48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72,896,251.58</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360"/>
        <w:jc w:val="left"/>
      </w:pPr>
      <w:bookmarkStart w:id="2118" w:name="bookmark2118"/>
      <w:bookmarkStart w:id="2119" w:name="bookmark2119"/>
      <w:bookmarkStart w:id="2120" w:name="bookmark2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18"/>
      <w:bookmarkEnd w:id="2119"/>
      <w:bookmarkEnd w:id="2120"/>
    </w:p>
    <w:p>
      <w:pPr>
        <w:pStyle w:val="Style69"/>
        <w:keepNext/>
        <w:keepLines/>
        <w:widowControl w:val="0"/>
        <w:shd w:val="clear" w:color="auto" w:fill="auto"/>
        <w:bidi w:val="0"/>
        <w:spacing w:before="0" w:after="360" w:line="240" w:lineRule="auto"/>
        <w:ind w:left="0" w:right="0" w:firstLine="36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21"/>
      <w:bookmarkEnd w:id="2122"/>
      <w:bookmarkEnd w:id="2123"/>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14,829,791.66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12,454,791.66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14,829,791.66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12,454,791.66</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360"/>
        <w:jc w:val="both"/>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124"/>
      <w:bookmarkEnd w:id="2125"/>
      <w:bookmarkEnd w:id="2126"/>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本期应收利息系对合并范围内的关联方天津辉煌路阳科技有限公司的资金拆借，划入无风险组合，因此不</w:t>
      </w:r>
    </w:p>
    <w:p>
      <w:pPr>
        <w:pStyle w:val="Style14"/>
        <w:keepNext w:val="0"/>
        <w:keepLines w:val="0"/>
        <w:widowControl w:val="0"/>
        <w:shd w:val="clear" w:color="auto" w:fill="auto"/>
        <w:bidi w:val="0"/>
        <w:spacing w:before="0" w:after="1300" w:line="240" w:lineRule="auto"/>
        <w:ind w:left="0" w:right="0" w:firstLine="360"/>
        <w:jc w:val="left"/>
        <w:rPr>
          <w:sz w:val="20"/>
          <w:szCs w:val="20"/>
        </w:rPr>
      </w:pPr>
      <w:r>
        <w:rPr>
          <w:color w:val="000000"/>
          <w:spacing w:val="0"/>
          <w:w w:val="100"/>
          <w:position w:val="0"/>
          <w:sz w:val="20"/>
          <w:szCs w:val="20"/>
        </w:rPr>
        <w:t>计提坏账准备。</w:t>
      </w:r>
    </w:p>
    <w:p>
      <w:pPr>
        <w:pStyle w:val="Style69"/>
        <w:keepNext/>
        <w:keepLines/>
        <w:widowControl w:val="0"/>
        <w:shd w:val="clear" w:color="auto" w:fill="auto"/>
        <w:bidi w:val="0"/>
        <w:spacing w:before="0" w:after="360" w:line="240" w:lineRule="auto"/>
        <w:ind w:left="0" w:right="0" w:firstLine="36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3</w:t>
      </w:r>
      <w:bookmarkEnd w:id="2129"/>
      <w:r>
        <w:rPr>
          <w:color w:val="000000"/>
          <w:spacing w:val="0"/>
          <w:w w:val="100"/>
          <w:position w:val="0"/>
        </w:rPr>
        <w:t>）坏账准备计提情况</w:t>
      </w:r>
      <w:bookmarkEnd w:id="2127"/>
      <w:bookmarkEnd w:id="2128"/>
      <w:bookmarkEnd w:id="2130"/>
    </w:p>
    <w:p>
      <w:pPr>
        <w:pStyle w:val="Style29"/>
        <w:keepNext w:val="0"/>
        <w:keepLines w:val="0"/>
        <w:widowControl w:val="0"/>
        <w:shd w:val="clear" w:color="auto" w:fill="auto"/>
        <w:bidi w:val="0"/>
        <w:spacing w:before="0" w:after="36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360"/>
        <w:jc w:val="left"/>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31"/>
      <w:bookmarkEnd w:id="2132"/>
      <w:bookmarkEnd w:id="2133"/>
    </w:p>
    <w:p>
      <w:pPr>
        <w:pStyle w:val="Style69"/>
        <w:keepNext/>
        <w:keepLines/>
        <w:widowControl w:val="0"/>
        <w:shd w:val="clear" w:color="auto" w:fill="auto"/>
        <w:bidi w:val="0"/>
        <w:spacing w:before="0" w:after="360" w:line="240" w:lineRule="auto"/>
        <w:ind w:left="0" w:right="0" w:firstLine="360"/>
        <w:jc w:val="left"/>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34"/>
      <w:bookmarkEnd w:id="2135"/>
      <w:bookmarkEnd w:id="2136"/>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36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37"/>
      <w:bookmarkEnd w:id="2138"/>
      <w:bookmarkEnd w:id="2139"/>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36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3</w:t>
      </w:r>
      <w:bookmarkEnd w:id="2142"/>
      <w:r>
        <w:rPr>
          <w:color w:val="000000"/>
          <w:spacing w:val="0"/>
          <w:w w:val="100"/>
          <w:position w:val="0"/>
        </w:rPr>
        <w:t>）坏账准备计提情况</w:t>
      </w:r>
      <w:bookmarkEnd w:id="2140"/>
      <w:bookmarkEnd w:id="2141"/>
      <w:bookmarkEnd w:id="2143"/>
    </w:p>
    <w:p>
      <w:pPr>
        <w:pStyle w:val="Style29"/>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47"/>
        <w:keepNext/>
        <w:keepLines/>
        <w:widowControl w:val="0"/>
        <w:shd w:val="clear" w:color="auto" w:fill="auto"/>
        <w:bidi w:val="0"/>
        <w:spacing w:before="0" w:after="360" w:line="240" w:lineRule="auto"/>
        <w:ind w:left="0" w:right="0" w:firstLine="36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44"/>
      <w:bookmarkEnd w:id="2145"/>
      <w:bookmarkEnd w:id="2147"/>
    </w:p>
    <w:p>
      <w:pPr>
        <w:pStyle w:val="Style69"/>
        <w:keepNext/>
        <w:keepLines/>
        <w:widowControl w:val="0"/>
        <w:shd w:val="clear" w:color="auto" w:fill="auto"/>
        <w:bidi w:val="0"/>
        <w:spacing w:before="0" w:after="360" w:line="240" w:lineRule="auto"/>
        <w:ind w:left="0" w:right="0" w:firstLine="36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48"/>
      <w:bookmarkEnd w:id="2149"/>
      <w:bookmarkEnd w:id="2150"/>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590,775.95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786,194.95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6,924,309.55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8,420,390.23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代缴代扣款项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776,082.14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629,750.13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351,350.00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1,738,740.60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1,338,223.45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60,381,258.24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61,178,758.76</w:t>
            </w:r>
          </w:p>
        </w:tc>
      </w:tr>
    </w:tbl>
    <w:p>
      <w:pPr>
        <w:spacing w:lineRule="exact" w:line="1"/>
        <w:rPr>
          <w:sz w:val="2"/>
          <w:szCs w:val="2"/>
        </w:rPr>
      </w:pPr>
      <w:r>
        <w:br w:type="page"/>
      </w:r>
    </w:p>
    <w:p>
      <w:pPr>
        <w:pStyle w:val="Style69"/>
        <w:keepNext/>
        <w:keepLines/>
        <w:widowControl w:val="0"/>
        <w:shd w:val="clear" w:color="auto" w:fill="auto"/>
        <w:bidi w:val="0"/>
        <w:spacing w:before="0" w:after="400" w:line="240" w:lineRule="auto"/>
        <w:ind w:left="0" w:right="0" w:firstLine="360"/>
        <w:jc w:val="left"/>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51"/>
      <w:bookmarkEnd w:id="2152"/>
      <w:bookmarkEnd w:id="2153"/>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737,298.84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737,298.84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125,044.58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125,044.58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862,343.42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862,343.42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14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427,531.99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28,517.92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107,465.87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298,827.64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141,224.64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72,640.00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40" w:right="0" w:firstLine="0"/>
              <w:jc w:val="left"/>
              <w:rPr>
                <w:sz w:val="18"/>
                <w:szCs w:val="18"/>
              </w:rPr>
            </w:pPr>
            <w:r>
              <w:rPr>
                <w:rFonts w:ascii="Times New Roman" w:eastAsia="Times New Roman" w:hAnsi="Times New Roman" w:cs="Times New Roman"/>
                <w:color w:val="000000"/>
                <w:spacing w:val="0"/>
                <w:w w:val="100"/>
                <w:position w:val="0"/>
                <w:sz w:val="18"/>
                <w:szCs w:val="18"/>
              </w:rPr>
              <w:t>84,963.00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862,343.42</w:t>
            </w:r>
          </w:p>
        </w:tc>
      </w:tr>
    </w:tbl>
    <w:p>
      <w:pPr>
        <w:widowControl w:val="0"/>
        <w:spacing w:after="319" w:line="1" w:lineRule="exact"/>
      </w:pPr>
    </w:p>
    <w:p>
      <w:pPr>
        <w:pStyle w:val="Style69"/>
        <w:keepNext/>
        <w:keepLines/>
        <w:widowControl w:val="0"/>
        <w:shd w:val="clear" w:color="auto" w:fill="auto"/>
        <w:bidi w:val="0"/>
        <w:spacing w:before="0" w:after="400" w:line="240" w:lineRule="auto"/>
        <w:ind w:left="0" w:right="0" w:firstLine="360"/>
        <w:jc w:val="left"/>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3</w:t>
      </w:r>
      <w:bookmarkEnd w:id="2156"/>
      <w:r>
        <w:rPr>
          <w:color w:val="000000"/>
          <w:spacing w:val="0"/>
          <w:w w:val="100"/>
          <w:position w:val="0"/>
        </w:rPr>
        <w:t>）本期计提、收回或转回的坏账准备情况</w:t>
      </w:r>
      <w:bookmarkEnd w:id="2154"/>
      <w:bookmarkEnd w:id="2155"/>
      <w:bookmarkEnd w:id="2157"/>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737,298.84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125,044.58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862,343.42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737,298.84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125,044.58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862,343.42</w:t>
            </w:r>
          </w:p>
        </w:tc>
      </w:tr>
    </w:tbl>
    <w:p>
      <w:pPr>
        <w:spacing w:lineRule="exact" w:line="1"/>
        <w:rPr>
          <w:sz w:val="2"/>
          <w:szCs w:val="2"/>
        </w:rPr>
      </w:pPr>
      <w:r>
        <w:br w:type="page"/>
      </w:r>
    </w:p>
    <w:p>
      <w:pPr>
        <w:pStyle w:val="Style14"/>
        <w:keepNext w:val="0"/>
        <w:keepLines w:val="0"/>
        <w:widowControl w:val="0"/>
        <w:shd w:val="clear" w:color="auto" w:fill="auto"/>
        <w:bidi w:val="0"/>
        <w:spacing w:before="0" w:after="140" w:line="240" w:lineRule="auto"/>
        <w:ind w:left="0" w:right="0" w:firstLine="36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60" w:line="240" w:lineRule="auto"/>
        <w:ind w:left="93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59" w:line="1" w:lineRule="exact"/>
      </w:pPr>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69"/>
        <w:keepNext/>
        <w:keepLines/>
        <w:widowControl w:val="0"/>
        <w:shd w:val="clear" w:color="auto" w:fill="auto"/>
        <w:bidi w:val="0"/>
        <w:spacing w:before="0" w:after="360" w:line="240" w:lineRule="auto"/>
        <w:ind w:left="0" w:right="0" w:firstLine="36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4</w:t>
      </w:r>
      <w:bookmarkEnd w:id="2160"/>
      <w:r>
        <w:rPr>
          <w:color w:val="000000"/>
          <w:spacing w:val="0"/>
          <w:w w:val="100"/>
          <w:position w:val="0"/>
        </w:rPr>
        <w:t>）本期实际核销的其他应收款情况</w:t>
      </w:r>
      <w:bookmarkEnd w:id="2158"/>
      <w:bookmarkEnd w:id="2159"/>
      <w:bookmarkEnd w:id="21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tabs>
                <w:tab w:pos="1819" w:val="left"/>
                <w:tab w:pos="3643"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1"/>
              <w:keepNext w:val="0"/>
              <w:keepLines w:val="0"/>
              <w:widowControl w:val="0"/>
              <w:shd w:val="clear" w:color="auto" w:fill="auto"/>
              <w:tabs>
                <w:tab w:pos="1730"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600" w:firstLine="0"/>
              <w:jc w:val="right"/>
            </w:pPr>
            <w:r>
              <w:rPr>
                <w:color w:val="000000"/>
                <w:spacing w:val="0"/>
                <w:w w:val="100"/>
                <w:position w:val="0"/>
              </w:rPr>
              <w:t>易产生</w:t>
            </w:r>
          </w:p>
        </w:tc>
      </w:tr>
    </w:tbl>
    <w:p>
      <w:pPr>
        <w:pStyle w:val="Style29"/>
        <w:keepNext w:val="0"/>
        <w:keepLines w:val="0"/>
        <w:widowControl w:val="0"/>
        <w:shd w:val="clear" w:color="auto" w:fill="auto"/>
        <w:bidi w:val="0"/>
        <w:spacing w:before="0" w:after="0" w:line="365" w:lineRule="exact"/>
        <w:ind w:left="0" w:right="0" w:firstLine="360"/>
        <w:jc w:val="left"/>
      </w:pPr>
      <w:r>
        <w:rPr>
          <w:color w:val="000000"/>
          <w:spacing w:val="0"/>
          <w:w w:val="100"/>
          <w:position w:val="0"/>
          <w:shd w:val="clear" w:color="auto" w:fill="FFFFFF"/>
        </w:rPr>
        <w:t>其他应收款核销说明:</w:t>
      </w:r>
    </w:p>
    <w:p>
      <w:pPr>
        <w:pStyle w:val="Style14"/>
        <w:keepNext w:val="0"/>
        <w:keepLines w:val="0"/>
        <w:widowControl w:val="0"/>
        <w:shd w:val="clear" w:color="auto" w:fill="auto"/>
        <w:bidi w:val="0"/>
        <w:spacing w:before="0" w:after="680" w:line="365" w:lineRule="exact"/>
        <w:ind w:left="0" w:right="0" w:firstLine="360"/>
        <w:jc w:val="left"/>
        <w:rPr>
          <w:sz w:val="20"/>
          <w:szCs w:val="20"/>
        </w:rPr>
      </w:pPr>
      <w:r>
        <w:rPr>
          <w:color w:val="000000"/>
          <w:spacing w:val="0"/>
          <w:w w:val="100"/>
          <w:position w:val="0"/>
          <w:sz w:val="20"/>
          <w:szCs w:val="20"/>
        </w:rPr>
        <w:t>无</w:t>
      </w:r>
    </w:p>
    <w:p>
      <w:pPr>
        <w:pStyle w:val="Style69"/>
        <w:keepNext/>
        <w:keepLines/>
        <w:widowControl w:val="0"/>
        <w:shd w:val="clear" w:color="auto" w:fill="auto"/>
        <w:bidi w:val="0"/>
        <w:spacing w:before="0" w:after="360" w:line="240" w:lineRule="auto"/>
        <w:ind w:left="0" w:right="0" w:firstLine="36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5</w:t>
      </w:r>
      <w:bookmarkEnd w:id="2164"/>
      <w:r>
        <w:rPr>
          <w:color w:val="000000"/>
          <w:spacing w:val="0"/>
          <w:w w:val="100"/>
          <w:position w:val="0"/>
        </w:rPr>
        <w:t>）按欠款方归集的期末余额前五名的其他应收款情况</w:t>
      </w:r>
      <w:bookmarkEnd w:id="2162"/>
      <w:bookmarkEnd w:id="2163"/>
      <w:bookmarkEnd w:id="2165"/>
    </w:p>
    <w:p>
      <w:pPr>
        <w:pStyle w:val="Style29"/>
        <w:keepNext w:val="0"/>
        <w:keepLines w:val="0"/>
        <w:widowControl w:val="0"/>
        <w:shd w:val="clear" w:color="auto" w:fill="auto"/>
        <w:bidi w:val="0"/>
        <w:spacing w:before="0" w:after="60" w:line="240" w:lineRule="auto"/>
        <w:ind w:left="930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1,289,917.91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64,495.90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557,950.00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27,897.50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437,455.37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21,872.77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55,525,323.28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276,266.17</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36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6</w:t>
      </w:r>
      <w:bookmarkEnd w:id="2168"/>
      <w:r>
        <w:rPr>
          <w:color w:val="000000"/>
          <w:spacing w:val="0"/>
          <w:w w:val="100"/>
          <w:position w:val="0"/>
        </w:rPr>
        <w:t>）涉及政府补助的应收款项</w:t>
      </w:r>
      <w:bookmarkEnd w:id="2166"/>
      <w:bookmarkEnd w:id="2167"/>
      <w:bookmarkEnd w:id="2169"/>
    </w:p>
    <w:p>
      <w:pPr>
        <w:pStyle w:val="Style29"/>
        <w:keepNext w:val="0"/>
        <w:keepLines w:val="0"/>
        <w:widowControl w:val="0"/>
        <w:shd w:val="clear" w:color="auto" w:fill="auto"/>
        <w:bidi w:val="0"/>
        <w:spacing w:before="0" w:after="60" w:line="240" w:lineRule="auto"/>
        <w:ind w:left="930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预计收取的时间、金额 及依据</w:t>
            </w:r>
          </w:p>
        </w:tc>
      </w:tr>
    </w:tbl>
    <w:p>
      <w:pPr>
        <w:widowControl w:val="0"/>
        <w:spacing w:after="59" w:line="1" w:lineRule="exact"/>
      </w:pPr>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69"/>
        <w:keepNext/>
        <w:keepLines/>
        <w:widowControl w:val="0"/>
        <w:shd w:val="clear" w:color="auto" w:fill="auto"/>
        <w:bidi w:val="0"/>
        <w:spacing w:before="0" w:after="240" w:line="240" w:lineRule="auto"/>
        <w:ind w:left="0" w:right="0" w:firstLine="36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7</w:t>
      </w:r>
      <w:bookmarkEnd w:id="2172"/>
      <w:r>
        <w:rPr>
          <w:color w:val="000000"/>
          <w:spacing w:val="0"/>
          <w:w w:val="100"/>
          <w:position w:val="0"/>
        </w:rPr>
        <w:t>）因金融资产转移而终止确认的其他应收款</w:t>
      </w:r>
      <w:bookmarkEnd w:id="2170"/>
      <w:bookmarkEnd w:id="2171"/>
      <w:bookmarkEnd w:id="2173"/>
      <w:r>
        <w:br w:type="page"/>
      </w:r>
    </w:p>
    <w:p>
      <w:pPr>
        <w:pStyle w:val="Style69"/>
        <w:keepNext/>
        <w:keepLines/>
        <w:widowControl w:val="0"/>
        <w:shd w:val="clear" w:color="auto" w:fill="auto"/>
        <w:bidi w:val="0"/>
        <w:spacing w:before="0" w:after="360" w:line="240" w:lineRule="auto"/>
        <w:ind w:left="0" w:right="0" w:firstLine="36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8</w:t>
      </w:r>
      <w:bookmarkEnd w:id="2176"/>
      <w:r>
        <w:rPr>
          <w:color w:val="000000"/>
          <w:spacing w:val="0"/>
          <w:w w:val="100"/>
          <w:position w:val="0"/>
        </w:rPr>
        <w:t>）转移其他应收款且继续涉入形成的资产、负债金额</w:t>
      </w:r>
      <w:bookmarkEnd w:id="2174"/>
      <w:bookmarkEnd w:id="2175"/>
      <w:bookmarkEnd w:id="2177"/>
    </w:p>
    <w:p>
      <w:pPr>
        <w:pStyle w:val="Style14"/>
        <w:keepNext w:val="0"/>
        <w:keepLines w:val="0"/>
        <w:widowControl w:val="0"/>
        <w:shd w:val="clear" w:color="auto" w:fill="auto"/>
        <w:bidi w:val="0"/>
        <w:spacing w:before="0" w:after="120" w:line="240" w:lineRule="auto"/>
        <w:ind w:left="0" w:right="0" w:firstLine="360"/>
        <w:jc w:val="left"/>
        <w:rPr>
          <w:sz w:val="20"/>
          <w:szCs w:val="20"/>
        </w:rPr>
      </w:pPr>
      <w:r>
        <w:rPr>
          <w:color w:val="000000"/>
          <w:spacing w:val="0"/>
          <w:w w:val="100"/>
          <w:position w:val="0"/>
          <w:sz w:val="20"/>
          <w:szCs w:val="20"/>
        </w:rPr>
        <w:t>无</w:t>
      </w:r>
    </w:p>
    <w:p>
      <w:pPr>
        <w:pStyle w:val="Style29"/>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360"/>
        <w:jc w:val="left"/>
        <w:rPr>
          <w:sz w:val="20"/>
          <w:szCs w:val="20"/>
        </w:rPr>
      </w:pPr>
      <w:r>
        <w:rPr>
          <w:color w:val="000000"/>
          <w:spacing w:val="0"/>
          <w:w w:val="100"/>
          <w:position w:val="0"/>
          <w:sz w:val="20"/>
          <w:szCs w:val="20"/>
        </w:rPr>
        <w:t>无</w:t>
      </w:r>
    </w:p>
    <w:p>
      <w:pPr>
        <w:pStyle w:val="Style33"/>
        <w:keepNext/>
        <w:keepLines/>
        <w:widowControl w:val="0"/>
        <w:shd w:val="clear" w:color="auto" w:fill="auto"/>
        <w:bidi w:val="0"/>
        <w:spacing w:before="0" w:after="360" w:line="240" w:lineRule="auto"/>
        <w:ind w:left="0" w:right="0" w:firstLine="36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3</w:t>
      </w:r>
      <w:bookmarkEnd w:id="2180"/>
      <w:r>
        <w:rPr>
          <w:color w:val="000000"/>
          <w:spacing w:val="0"/>
          <w:w w:val="100"/>
          <w:position w:val="0"/>
        </w:rPr>
        <w:t>、长期股权投资</w:t>
      </w:r>
      <w:bookmarkEnd w:id="2178"/>
      <w:bookmarkEnd w:id="2179"/>
      <w:bookmarkEnd w:id="2181"/>
    </w:p>
    <w:p>
      <w:pPr>
        <w:pStyle w:val="Style29"/>
        <w:keepNext w:val="0"/>
        <w:keepLines w:val="0"/>
        <w:widowControl w:val="0"/>
        <w:shd w:val="clear" w:color="auto" w:fill="auto"/>
        <w:bidi w:val="0"/>
        <w:spacing w:before="0" w:after="60" w:line="240" w:lineRule="auto"/>
        <w:ind w:left="930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452,664,857.83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108,081,975.44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344,582,882.39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452,664,857.83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108,081,975.44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344,582,882.39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69,531,805.48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69,531,805.48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71,377,042.34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40,987,242.34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30,389,800.00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522,196,663.31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177,613,780.92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344,582,882.39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524,041,900.17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149,069,217.78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374,972,682.39</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360"/>
        <w:jc w:val="left"/>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82"/>
      <w:bookmarkEnd w:id="2183"/>
      <w:bookmarkEnd w:id="2184"/>
    </w:p>
    <w:p>
      <w:pPr>
        <w:pStyle w:val="Style29"/>
        <w:keepNext w:val="0"/>
        <w:keepLines w:val="0"/>
        <w:widowControl w:val="0"/>
        <w:shd w:val="clear" w:color="auto" w:fill="auto"/>
        <w:bidi w:val="0"/>
        <w:spacing w:before="0" w:after="60" w:line="240" w:lineRule="auto"/>
        <w:ind w:left="930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河南辉煌软件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北京全路信通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北京国铁路阳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226,501,600.0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226,501,600.00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84,896,657.83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河南辉煌信通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河南辉煌城轨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成都新一驱动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31,081,282.39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31,081,282.39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23,185,317.61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洛阳辉煌城轨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344,582,882.3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344,582,882.39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108,081,975.44</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360"/>
        <w:jc w:val="left"/>
      </w:pPr>
      <w:bookmarkStart w:id="2185" w:name="bookmark2185"/>
      <w:bookmarkStart w:id="2186" w:name="bookmark2186"/>
      <w:bookmarkStart w:id="2187" w:name="bookmark21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85"/>
      <w:bookmarkEnd w:id="2186"/>
      <w:bookmarkEnd w:id="2187"/>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飞天联合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 统技术有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30,389,80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-7,547,08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5,726,745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28,544,56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30,389,80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-7,547,08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5,726,745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28,544,56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30,389,80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-7,547,08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5,726,745</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28,544,56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69,531,80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360"/>
        <w:jc w:val="left"/>
      </w:pPr>
      <w:bookmarkStart w:id="2188" w:name="bookmark2188"/>
      <w:bookmarkStart w:id="2189" w:name="bookmark2189"/>
      <w:bookmarkStart w:id="2190" w:name="bookmark2190"/>
      <w:bookmarkStart w:id="2191" w:name="bookmark2191"/>
      <w:r>
        <w:rPr>
          <w:color w:val="000000"/>
          <w:spacing w:val="0"/>
          <w:w w:val="100"/>
          <w:position w:val="0"/>
        </w:rPr>
        <w:t>（</w:t>
      </w:r>
      <w:bookmarkEnd w:id="219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88"/>
      <w:bookmarkEnd w:id="2189"/>
      <w:bookmarkEnd w:id="2191"/>
    </w:p>
    <w:p>
      <w:pPr>
        <w:pStyle w:val="Style29"/>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36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4</w:t>
      </w:r>
      <w:bookmarkEnd w:id="2194"/>
      <w:r>
        <w:rPr>
          <w:color w:val="000000"/>
          <w:spacing w:val="0"/>
          <w:w w:val="100"/>
          <w:position w:val="0"/>
        </w:rPr>
        <w:t>、营业收入和营业成本</w:t>
      </w:r>
      <w:bookmarkEnd w:id="2192"/>
      <w:bookmarkEnd w:id="2193"/>
      <w:bookmarkEnd w:id="2195"/>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522,855,309.78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297,229,643.00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441,359,093.74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304,722,090.92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88,423,917.88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17,175,143.04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56,163,158.00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13,128,914.43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611,279,227.66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314,404,786.04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497,522,251.74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317,851,005.35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设备监测类产品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300,971,319.39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300,971,319.39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安防类产品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206,267,365.70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206,267,365.70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生产指挥及运输调度信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862,453.93</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息化类产品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信号控制类产品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14,754,170.76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14,754,170.76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88,423,917.88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88,423,917.88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611,279,227.66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611,279,227.66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157,004,058.84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157,004,058.84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248,743,493.29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248,743,493.29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117,107,757.65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117,107,757.65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88,423,917.88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88,423,917.88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611,279,227.66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611,279,227.66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国家铁路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379,210,850.59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379,210,850.59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厂矿企业及地方铁路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10,671,761.26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10,671,761.26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132,972,697.93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132,972,697.93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88,423,917.88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88,423,917.88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611,279,227.66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611,279,227.66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40" w:line="355" w:lineRule="exact"/>
        <w:ind w:left="360" w:right="0" w:firstLine="0"/>
        <w:jc w:val="left"/>
      </w:pPr>
      <w:r>
        <w:rPr>
          <w:color w:val="000000"/>
          <w:spacing w:val="0"/>
          <w:w w:val="100"/>
          <w:position w:val="0"/>
        </w:rPr>
        <w:t>与履约义务相关的信息: 无</w:t>
      </w:r>
    </w:p>
    <w:p>
      <w:pPr>
        <w:pStyle w:val="Style29"/>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与分摊至剩余履约义务的交易价格相关的信息：</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1,449,596,430.25</w:t>
      </w:r>
      <w:r>
        <w:rPr>
          <w:color w:val="000000"/>
          <w:spacing w:val="0"/>
          <w:w w:val="100"/>
          <w:position w:val="0"/>
        </w:rPr>
        <w:t>元，其中，</w:t>
        <w:br w:type="page"/>
      </w:r>
      <w:r>
        <w:rPr>
          <w:rStyle w:val="CharStyle22"/>
          <w:rFonts w:ascii="Times New Roman" w:eastAsia="Times New Roman" w:hAnsi="Times New Roman" w:cs="Times New Roman"/>
          <w:sz w:val="18"/>
          <w:szCs w:val="18"/>
        </w:rPr>
        <w:t>434,878,929.07</w:t>
      </w:r>
      <w:r>
        <w:rPr>
          <w:rStyle w:val="CharStyle22"/>
        </w:rPr>
        <w:t>元预计将于</w:t>
      </w:r>
      <w:r>
        <w:rPr>
          <w:rStyle w:val="CharStyle22"/>
          <w:rFonts w:ascii="Times New Roman" w:eastAsia="Times New Roman" w:hAnsi="Times New Roman" w:cs="Times New Roman"/>
          <w:sz w:val="18"/>
          <w:szCs w:val="18"/>
        </w:rPr>
        <w:t>2022</w:t>
      </w:r>
      <w:r>
        <w:rPr>
          <w:rStyle w:val="CharStyle22"/>
        </w:rPr>
        <w:t>年度确认收入，</w:t>
      </w:r>
      <w:r>
        <w:rPr>
          <w:rStyle w:val="CharStyle22"/>
          <w:rFonts w:ascii="Times New Roman" w:eastAsia="Times New Roman" w:hAnsi="Times New Roman" w:cs="Times New Roman"/>
          <w:sz w:val="18"/>
          <w:szCs w:val="18"/>
        </w:rPr>
        <w:t>579,838,572.10</w:t>
      </w:r>
      <w:r>
        <w:rPr>
          <w:rStyle w:val="CharStyle22"/>
        </w:rPr>
        <w:t>元预计将于</w:t>
      </w:r>
      <w:r>
        <w:rPr>
          <w:rStyle w:val="CharStyle22"/>
          <w:rFonts w:ascii="Times New Roman" w:eastAsia="Times New Roman" w:hAnsi="Times New Roman" w:cs="Times New Roman"/>
          <w:sz w:val="18"/>
          <w:szCs w:val="18"/>
        </w:rPr>
        <w:t>2023</w:t>
      </w:r>
      <w:r>
        <w:rPr>
          <w:rStyle w:val="CharStyle22"/>
        </w:rPr>
        <w:t>年度确认收入，</w:t>
      </w:r>
      <w:r>
        <w:rPr>
          <w:rStyle w:val="CharStyle22"/>
          <w:rFonts w:ascii="Times New Roman" w:eastAsia="Times New Roman" w:hAnsi="Times New Roman" w:cs="Times New Roman"/>
          <w:sz w:val="18"/>
          <w:szCs w:val="18"/>
        </w:rPr>
        <w:t>362,399,107.56</w:t>
      </w:r>
      <w:r>
        <w:rPr>
          <w:rStyle w:val="CharStyle22"/>
        </w:rPr>
        <w:t xml:space="preserve">元预计将于 </w:t>
      </w:r>
      <w:r>
        <w:rPr>
          <w:rStyle w:val="CharStyle22"/>
          <w:rFonts w:ascii="Times New Roman" w:eastAsia="Times New Roman" w:hAnsi="Times New Roman" w:cs="Times New Roman"/>
          <w:sz w:val="18"/>
          <w:szCs w:val="18"/>
        </w:rPr>
        <w:t>2024</w:t>
      </w:r>
      <w:r>
        <w:rPr>
          <w:rStyle w:val="CharStyle22"/>
        </w:rPr>
        <w:t>年度确认收入。</w:t>
      </w:r>
    </w:p>
    <w:p>
      <w:pPr>
        <w:pStyle w:val="Style29"/>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其他说明：</w:t>
      </w:r>
    </w:p>
    <w:p>
      <w:pPr>
        <w:pStyle w:val="Style29"/>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无</w:t>
      </w:r>
    </w:p>
    <w:p>
      <w:pPr>
        <w:pStyle w:val="Style33"/>
        <w:keepNext/>
        <w:keepLines/>
        <w:widowControl w:val="0"/>
        <w:shd w:val="clear" w:color="auto" w:fill="auto"/>
        <w:bidi w:val="0"/>
        <w:spacing w:before="0" w:line="240" w:lineRule="auto"/>
        <w:ind w:left="0" w:right="0" w:firstLine="36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5</w:t>
      </w:r>
      <w:bookmarkEnd w:id="2198"/>
      <w:r>
        <w:rPr>
          <w:color w:val="000000"/>
          <w:spacing w:val="0"/>
          <w:w w:val="100"/>
          <w:position w:val="0"/>
        </w:rPr>
        <w:t>、投资收益</w:t>
      </w:r>
      <w:bookmarkEnd w:id="2196"/>
      <w:bookmarkEnd w:id="2197"/>
      <w:bookmarkEnd w:id="219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-7,547,084.31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-8,723,260.41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2,653,428.78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3,126,822.41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4,118,015.85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273,750.03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-392,248.00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-1,167,887.68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-5,322,687.97</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36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6</w:t>
      </w:r>
      <w:bookmarkEnd w:id="2202"/>
      <w:r>
        <w:rPr>
          <w:color w:val="000000"/>
          <w:spacing w:val="0"/>
          <w:w w:val="100"/>
          <w:position w:val="0"/>
        </w:rPr>
        <w:t>、其他</w:t>
      </w:r>
      <w:bookmarkEnd w:id="2200"/>
      <w:bookmarkEnd w:id="2201"/>
      <w:bookmarkEnd w:id="2203"/>
    </w:p>
    <w:p>
      <w:pPr>
        <w:pStyle w:val="Style29"/>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360"/>
        <w:jc w:val="left"/>
      </w:pPr>
      <w:bookmarkStart w:id="2204" w:name="bookmark2204"/>
      <w:bookmarkStart w:id="2205" w:name="bookmark2205"/>
      <w:bookmarkStart w:id="2206" w:name="bookmark2206"/>
      <w:r>
        <w:rPr>
          <w:color w:val="000000"/>
          <w:spacing w:val="0"/>
          <w:w w:val="100"/>
          <w:position w:val="0"/>
        </w:rPr>
        <w:t>十八、补充资料</w:t>
      </w:r>
      <w:bookmarkEnd w:id="2204"/>
      <w:bookmarkEnd w:id="2205"/>
      <w:bookmarkEnd w:id="2206"/>
    </w:p>
    <w:p>
      <w:pPr>
        <w:pStyle w:val="Style33"/>
        <w:keepNext/>
        <w:keepLines/>
        <w:widowControl w:val="0"/>
        <w:shd w:val="clear" w:color="auto" w:fill="auto"/>
        <w:bidi w:val="0"/>
        <w:spacing w:before="0" w:line="240" w:lineRule="auto"/>
        <w:ind w:left="0" w:right="0" w:firstLine="360"/>
        <w:jc w:val="left"/>
      </w:pPr>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07"/>
      <w:bookmarkEnd w:id="2208"/>
      <w:bookmarkEnd w:id="2209"/>
    </w:p>
    <w:p>
      <w:pPr>
        <w:pStyle w:val="Style29"/>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9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-19,787,425.62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pPr>
            <w:r>
              <w:rPr>
                <w:color w:val="000000"/>
                <w:spacing w:val="0"/>
                <w:w w:val="100"/>
                <w:position w:val="0"/>
              </w:rPr>
              <w:t>详见合并财务报表项目注释</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7,500,635.19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详见合并财务报表项目注释</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2,653,428.78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详见合并财务报表项目注释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14,161,420.86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1,260,809.98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22,726.27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3,244,522.96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22" w:lineRule="exact"/>
        <w:ind w:left="0" w:right="0" w:firstLine="360"/>
        <w:jc w:val="left"/>
      </w:pPr>
      <w:r>
        <w:rPr>
          <w:color w:val="000000"/>
          <w:spacing w:val="0"/>
          <w:w w:val="100"/>
          <w:position w:val="0"/>
        </w:rPr>
        <w:t>其他符合非经常性损益定义的损益项目的具体情况：</w:t>
      </w:r>
    </w:p>
    <w:p>
      <w:pPr>
        <w:pStyle w:val="Style29"/>
        <w:keepNext w:val="0"/>
        <w:keepLines w:val="0"/>
        <w:widowControl w:val="0"/>
        <w:shd w:val="clear" w:color="auto" w:fill="auto"/>
        <w:bidi w:val="0"/>
        <w:spacing w:before="0" w:after="0" w:line="374" w:lineRule="auto"/>
        <w:ind w:left="36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360" w:right="0" w:firstLine="0"/>
        <w:jc w:val="left"/>
      </w:pPr>
      <w:r>
        <w:rPr>
          <w:color w:val="000000"/>
          <w:spacing w:val="0"/>
          <w:w w:val="100"/>
          <w:position w:val="0"/>
        </w:rPr>
        <w:t>公司不存在其他符合非经常性损益定义的损益项目的具体情况。</w:t>
      </w:r>
    </w:p>
    <w:p>
      <w:pPr>
        <w:pStyle w:val="Style29"/>
        <w:keepNext w:val="0"/>
        <w:keepLines w:val="0"/>
        <w:widowControl w:val="0"/>
        <w:shd w:val="clear" w:color="auto" w:fill="auto"/>
        <w:bidi w:val="0"/>
        <w:spacing w:before="0" w:after="140" w:line="322" w:lineRule="exact"/>
        <w:ind w:left="36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9"/>
        <w:keepNext w:val="0"/>
        <w:keepLines w:val="0"/>
        <w:widowControl w:val="0"/>
        <w:shd w:val="clear" w:color="auto" w:fill="auto"/>
        <w:bidi w:val="0"/>
        <w:spacing w:before="0" w:after="280" w:line="374"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360"/>
        <w:jc w:val="left"/>
      </w:pPr>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10"/>
      <w:bookmarkEnd w:id="2211"/>
      <w:bookmarkEnd w:id="2212"/>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0.3286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0.3197</w:t>
            </w:r>
          </w:p>
        </w:tc>
      </w:tr>
    </w:tbl>
    <w:p>
      <w:pPr>
        <w:widowControl w:val="0"/>
        <w:spacing w:after="279" w:line="1" w:lineRule="exact"/>
      </w:pPr>
    </w:p>
    <w:p>
      <w:pPr>
        <w:pStyle w:val="Style33"/>
        <w:keepNext/>
        <w:keepLines/>
        <w:widowControl w:val="0"/>
        <w:shd w:val="clear" w:color="auto" w:fill="auto"/>
        <w:tabs>
          <w:tab w:pos="738" w:val="left"/>
        </w:tabs>
        <w:bidi w:val="0"/>
        <w:spacing w:before="0" w:after="280" w:line="326" w:lineRule="exact"/>
        <w:ind w:left="0" w:right="0" w:firstLine="36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3</w:t>
      </w:r>
      <w:bookmarkEnd w:id="2215"/>
      <w:r>
        <w:rPr>
          <w:color w:val="000000"/>
          <w:spacing w:val="0"/>
          <w:w w:val="100"/>
          <w:position w:val="0"/>
        </w:rPr>
        <w:t>、</w:t>
        <w:tab/>
        <w:t>境内外会计准则下会计数据差异</w:t>
      </w:r>
      <w:bookmarkEnd w:id="2213"/>
      <w:bookmarkEnd w:id="2214"/>
      <w:bookmarkEnd w:id="2216"/>
    </w:p>
    <w:p>
      <w:pPr>
        <w:pStyle w:val="Style47"/>
        <w:keepNext/>
        <w:keepLines/>
        <w:widowControl w:val="0"/>
        <w:shd w:val="clear" w:color="auto" w:fill="auto"/>
        <w:tabs>
          <w:tab w:pos="853" w:val="left"/>
        </w:tabs>
        <w:bidi w:val="0"/>
        <w:spacing w:before="0" w:line="326" w:lineRule="exact"/>
        <w:ind w:left="0" w:right="0" w:firstLine="360"/>
        <w:jc w:val="left"/>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17"/>
      <w:bookmarkEnd w:id="2218"/>
      <w:bookmarkEnd w:id="2220"/>
    </w:p>
    <w:p>
      <w:pPr>
        <w:pStyle w:val="Style29"/>
        <w:keepNext w:val="0"/>
        <w:keepLines w:val="0"/>
        <w:widowControl w:val="0"/>
        <w:shd w:val="clear" w:color="auto" w:fill="auto"/>
        <w:bidi w:val="0"/>
        <w:spacing w:before="0" w:after="2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853" w:val="left"/>
        </w:tabs>
        <w:bidi w:val="0"/>
        <w:spacing w:before="0" w:line="326" w:lineRule="exact"/>
        <w:ind w:left="0" w:right="0" w:firstLine="360"/>
        <w:jc w:val="left"/>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21"/>
      <w:bookmarkEnd w:id="2222"/>
      <w:bookmarkEnd w:id="2224"/>
    </w:p>
    <w:p>
      <w:pPr>
        <w:pStyle w:val="Style29"/>
        <w:keepNext w:val="0"/>
        <w:keepLines w:val="0"/>
        <w:widowControl w:val="0"/>
        <w:shd w:val="clear" w:color="auto" w:fill="auto"/>
        <w:bidi w:val="0"/>
        <w:spacing w:before="0" w:after="280" w:line="240" w:lineRule="auto"/>
        <w:ind w:left="0" w:right="0" w:firstLine="3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7"/>
        <w:keepNext/>
        <w:keepLines/>
        <w:widowControl w:val="0"/>
        <w:shd w:val="clear" w:color="auto" w:fill="auto"/>
        <w:bidi w:val="0"/>
        <w:spacing w:before="0" w:line="326" w:lineRule="exact"/>
        <w:ind w:left="36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25"/>
      <w:bookmarkEnd w:id="2226"/>
      <w:bookmarkEnd w:id="2228"/>
    </w:p>
    <w:p>
      <w:pPr>
        <w:pStyle w:val="Style29"/>
        <w:keepNext w:val="0"/>
        <w:keepLines w:val="0"/>
        <w:widowControl w:val="0"/>
        <w:shd w:val="clear" w:color="auto" w:fill="auto"/>
        <w:bidi w:val="0"/>
        <w:spacing w:before="0" w:after="280" w:line="240" w:lineRule="auto"/>
        <w:ind w:left="360" w:right="0" w:firstLine="0"/>
        <w:jc w:val="left"/>
      </w:pPr>
      <w:r>
        <w:rPr>
          <w:color w:val="000000"/>
          <w:spacing w:val="0"/>
          <w:w w:val="100"/>
          <w:position w:val="0"/>
        </w:rPr>
        <w:t>无</w:t>
      </w:r>
    </w:p>
    <w:p>
      <w:pPr>
        <w:pStyle w:val="Style33"/>
        <w:keepNext/>
        <w:keepLines/>
        <w:widowControl w:val="0"/>
        <w:shd w:val="clear" w:color="auto" w:fill="auto"/>
        <w:tabs>
          <w:tab w:pos="738" w:val="left"/>
        </w:tabs>
        <w:bidi w:val="0"/>
        <w:spacing w:before="0" w:line="326" w:lineRule="exact"/>
        <w:ind w:left="0" w:right="0" w:firstLine="36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4</w:t>
      </w:r>
      <w:bookmarkEnd w:id="2231"/>
      <w:r>
        <w:rPr>
          <w:color w:val="000000"/>
          <w:spacing w:val="0"/>
          <w:w w:val="100"/>
          <w:position w:val="0"/>
        </w:rPr>
        <w:t>、</w:t>
        <w:tab/>
        <w:t>其他</w:t>
      </w:r>
      <w:bookmarkEnd w:id="2229"/>
      <w:bookmarkEnd w:id="2230"/>
      <w:bookmarkEnd w:id="2232"/>
    </w:p>
    <w:p>
      <w:pPr>
        <w:pStyle w:val="Style29"/>
        <w:keepNext w:val="0"/>
        <w:keepLines w:val="0"/>
        <w:widowControl w:val="0"/>
        <w:shd w:val="clear" w:color="auto" w:fill="auto"/>
        <w:bidi w:val="0"/>
        <w:spacing w:before="0" w:after="280" w:line="240" w:lineRule="auto"/>
        <w:ind w:left="0" w:right="0" w:firstLine="360"/>
        <w:jc w:val="left"/>
      </w:pPr>
      <w:r>
        <w:rPr>
          <w:color w:val="000000"/>
          <w:spacing w:val="0"/>
          <w:w w:val="100"/>
          <w:position w:val="0"/>
        </w:rPr>
        <w:t>无</w:t>
      </w:r>
    </w:p>
    <w:sectPr>
      <w:footnotePr>
        <w:pos w:val="pageBottom"/>
        <w:numFmt w:val="decimal"/>
        <w:numRestart w:val="continuous"/>
      </w:footnotePr>
      <w:pgSz w:w="11900" w:h="16840"/>
      <w:pgMar w:top="1383" w:right="1025" w:bottom="1522" w:left="7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0">
    <w:name w:val="Body text (6)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val="0"/>
      <w:bCs w:val="0"/>
      <w:i w:val="0"/>
      <w:iCs w:val="0"/>
      <w:smallCaps w:val="0"/>
      <w:strike w:val="0"/>
      <w:sz w:val="22"/>
      <w:szCs w:val="22"/>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Body text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8">
    <w:name w:val="Heading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70">
    <w:name w:val="Heading #5_"/>
    <w:basedOn w:val="DefaultParagraphFont"/>
    <w:link w:val="Style69"/>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8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2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9">
    <w:name w:val="Body text (6)"/>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1"/>
    <w:basedOn w:val="Normal"/>
    <w:link w:val="CharStyle13"/>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qFormat/>
    <w:pPr>
      <w:widowControl w:val="0"/>
      <w:shd w:val="clear" w:color="auto" w:fill="auto"/>
      <w:spacing w:after="100" w:line="468" w:lineRule="exact"/>
      <w:ind w:firstLine="480"/>
    </w:pPr>
    <w:rPr>
      <w:rFonts w:ascii="SimSun" w:eastAsia="SimSun" w:hAnsi="SimSun" w:cs="SimSun"/>
      <w:b w:val="0"/>
      <w:bCs w:val="0"/>
      <w:i w:val="0"/>
      <w:iCs w:val="0"/>
      <w:smallCaps w:val="0"/>
      <w:strike w:val="0"/>
      <w:sz w:val="22"/>
      <w:szCs w:val="22"/>
      <w:u w:val="none"/>
      <w:shd w:val="clear" w:color="auto" w:fill="auto"/>
    </w:rPr>
  </w:style>
  <w:style w:type="paragraph" w:customStyle="1" w:styleId="Style18">
    <w:name w:val="Table of contents"/>
    <w:basedOn w:val="Normal"/>
    <w:link w:val="CharStyle19"/>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9">
    <w:name w:val="Body text"/>
    <w:basedOn w:val="Normal"/>
    <w:link w:val="CharStyle30"/>
    <w:pPr>
      <w:widowControl w:val="0"/>
      <w:shd w:val="clear" w:color="auto" w:fill="auto"/>
      <w:spacing w:line="377"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3"/>
    <w:basedOn w:val="Normal"/>
    <w:link w:val="CharStyle34"/>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Heading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9">
    <w:name w:val="Heading #5"/>
    <w:basedOn w:val="Normal"/>
    <w:link w:val="CharStyle7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河南辉煌科技股份有限公司2021年年度报告全文</dc:title>
  <dc:subject/>
  <dc:creator>河南辉煌科技股份有限公司</dc:creator>
  <cp:keywords/>
</cp:coreProperties>
</file>