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p>
      <w:pPr>
        <w:spacing w:line="621" w:lineRule="exact" w:before="0"/>
        <w:ind w:left="1120" w:right="2801" w:firstLine="0"/>
        <w:jc w:val="center"/>
        <w:rPr>
          <w:rFonts w:ascii="黑体" w:hAnsi="黑体" w:cs="黑体" w:eastAsia="黑体" w:hint="default"/>
          <w:sz w:val="52"/>
          <w:szCs w:val="52"/>
        </w:rPr>
      </w:pPr>
      <w:r>
        <w:rPr>
          <w:rFonts w:ascii="黑体" w:hAnsi="黑体" w:cs="黑体" w:eastAsia="黑体" w:hint="default"/>
          <w:b/>
          <w:bCs/>
          <w:sz w:val="52"/>
          <w:szCs w:val="52"/>
        </w:rPr>
        <w:t>安徽鑫龙电器股份有限公司</w:t>
      </w:r>
      <w:r>
        <w:rPr>
          <w:rFonts w:ascii="黑体" w:hAnsi="黑体" w:cs="黑体" w:eastAsia="黑体" w:hint="default"/>
          <w:sz w:val="52"/>
          <w:szCs w:val="52"/>
        </w:rPr>
      </w:r>
    </w:p>
    <w:p>
      <w:pPr>
        <w:spacing w:before="28"/>
        <w:ind w:left="1119" w:right="2801" w:firstLine="0"/>
        <w:jc w:val="center"/>
        <w:rPr>
          <w:rFonts w:ascii="宋体" w:hAnsi="宋体" w:cs="宋体" w:eastAsia="宋体" w:hint="default"/>
          <w:sz w:val="32"/>
          <w:szCs w:val="32"/>
        </w:rPr>
      </w:pPr>
      <w:r>
        <w:rPr>
          <w:rFonts w:ascii="宋体"/>
          <w:sz w:val="32"/>
        </w:rPr>
        <w:t>ANHUI XINLONG ELECTRICAL CO.,</w:t>
      </w:r>
      <w:r>
        <w:rPr>
          <w:rFonts w:ascii="宋体"/>
          <w:spacing w:val="-28"/>
          <w:sz w:val="32"/>
        </w:rPr>
        <w:t> </w:t>
      </w:r>
      <w:r>
        <w:rPr>
          <w:rFonts w:ascii="宋体"/>
          <w:sz w:val="32"/>
        </w:rPr>
        <w:t>LTD.</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10"/>
        <w:rPr>
          <w:rFonts w:ascii="宋体" w:hAnsi="宋体" w:cs="宋体" w:eastAsia="宋体" w:hint="default"/>
          <w:sz w:val="32"/>
          <w:szCs w:val="32"/>
        </w:rPr>
      </w:pPr>
    </w:p>
    <w:p>
      <w:pPr>
        <w:spacing w:before="0"/>
        <w:ind w:left="1120" w:right="2797" w:firstLine="0"/>
        <w:jc w:val="center"/>
        <w:rPr>
          <w:rFonts w:ascii="黑体" w:hAnsi="黑体" w:cs="黑体" w:eastAsia="黑体" w:hint="default"/>
          <w:sz w:val="48"/>
          <w:szCs w:val="48"/>
        </w:rPr>
      </w:pPr>
      <w:r>
        <w:rPr/>
        <w:pict>
          <v:group style="position:absolute;margin-left:224.850006pt;margin-top:111.511253pt;width:.1pt;height:97.55pt;mso-position-horizontal-relative:page;mso-position-vertical-relative:paragraph;z-index:1120" coordorigin="4497,2230" coordsize="2,1951">
            <v:shape style="position:absolute;left:4497;top:2230;width:2;height:1951" coordorigin="4497,2230" coordsize="2,1951" path="m4497,4181l4498,4181,4498,2230,4497,2230,4497,4181xe" filled="true" fillcolor="#0000ff" stroked="false">
              <v:path arrowok="t"/>
              <v:fill type="solid"/>
            </v:shape>
            <w10:wrap type="none"/>
          </v:group>
        </w:pict>
      </w:r>
      <w:r>
        <w:rPr/>
        <w:pict>
          <v:group style="position:absolute;margin-left:377.384888pt;margin-top:111.571251pt;width:.550pt;height:97.55pt;mso-position-horizontal-relative:page;mso-position-vertical-relative:paragraph;z-index:1144" coordorigin="7548,2231" coordsize="11,1951">
            <v:shape style="position:absolute;left:7548;top:2231;width:11;height:1951" coordorigin="7548,2231" coordsize="11,1951" path="m7548,4182l7558,4182,7558,2231,7548,2231,7548,4182xe" filled="true" fillcolor="#0000ff" stroked="false">
              <v:path arrowok="t"/>
              <v:fill type="solid"/>
            </v:shape>
            <w10:wrap type="none"/>
          </v:group>
        </w:pict>
      </w:r>
      <w:r>
        <w:rPr>
          <w:rFonts w:ascii="黑体" w:hAnsi="黑体" w:cs="黑体" w:eastAsia="黑体" w:hint="default"/>
          <w:b/>
          <w:bCs/>
          <w:sz w:val="48"/>
          <w:szCs w:val="48"/>
        </w:rPr>
        <w:t>二○一○年年度报告</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2"/>
          <w:szCs w:val="22"/>
        </w:rPr>
      </w:pPr>
    </w:p>
    <w:p>
      <w:pPr>
        <w:spacing w:line="1278" w:lineRule="exact"/>
        <w:ind w:left="3608" w:right="0" w:firstLine="0"/>
        <w:rPr>
          <w:rFonts w:ascii="黑体" w:hAnsi="黑体" w:cs="黑体" w:eastAsia="黑体" w:hint="default"/>
          <w:sz w:val="20"/>
          <w:szCs w:val="20"/>
        </w:rPr>
      </w:pPr>
      <w:r>
        <w:rPr>
          <w:rFonts w:ascii="黑体" w:hAnsi="黑体" w:cs="黑体" w:eastAsia="黑体" w:hint="default"/>
          <w:position w:val="-25"/>
          <w:sz w:val="20"/>
          <w:szCs w:val="20"/>
        </w:rPr>
        <w:pict>
          <v:group style="width:80.4pt;height:63.95pt;mso-position-horizontal-relative:char;mso-position-vertical-relative:line" coordorigin="0,0" coordsize="1608,1279">
            <v:group style="position:absolute;left:5;top:4;width:1402;height:1274" coordorigin="5,4" coordsize="1402,1274">
              <v:shape style="position:absolute;left:5;top:4;width:1402;height:1274" coordorigin="5,4" coordsize="1402,1274" path="m1303,98l1232,50,1146,18,1048,4,939,9,824,32,706,72,587,129,472,200,364,284,265,379,179,481,108,587,55,695,20,802,5,904,10,998,35,1083,79,1154,142,1211,220,1251,313,1274,416,1278,529,1264,646,1233,765,1184,882,1120,994,1042,1098,952,1191,853,1269,749,1332,641,1376,533,1401,429,1406,330,1391,241,1356,163,1303,98e" filled="false" stroked="true" strokeweight=".063742pt" strokecolor="#0000ff">
                <v:path arrowok="t"/>
              </v:shape>
            </v:group>
            <v:group style="position:absolute;left:994;top:669;width:200;height:182" coordorigin="994,669" coordsize="200,182">
              <v:shape style="position:absolute;left:994;top:669;width:200;height:182" coordorigin="994,669" coordsize="200,182" path="m994,669l1193,851e" filled="false" stroked="true" strokeweight=".063742pt" strokecolor="#0000ff">
                <v:path arrowok="t"/>
              </v:shape>
            </v:group>
            <v:group style="position:absolute;left:1000;top:842;width:110;height:100" coordorigin="1000,842" coordsize="110,100">
              <v:shape style="position:absolute;left:1000;top:842;width:110;height:100" coordorigin="1000,842" coordsize="110,100" path="m1000,842l1109,941e" filled="false" stroked="true" strokeweight=".063740pt" strokecolor="#0000ff">
                <v:path arrowok="t"/>
              </v:shape>
            </v:group>
            <v:group style="position:absolute;left:1135;top:797;width:59;height:54" coordorigin="1135,797" coordsize="59,54">
              <v:shape style="position:absolute;left:1135;top:797;width:59;height:54" coordorigin="1135,797" coordsize="59,54" path="m1135,797l1193,851e" filled="false" stroked="true" strokeweight=".063749pt" strokecolor="#0000ff">
                <v:path arrowok="t"/>
              </v:shape>
            </v:group>
            <v:group style="position:absolute;left:395;top:5;width:1012;height:846" coordorigin="395,5" coordsize="1012,846">
              <v:shape style="position:absolute;left:395;top:5;width:1012;height:846" coordorigin="395,5" coordsize="1012,846" path="m1193,851l1270,748,1331,642,1375,537,1400,434,1407,336,1393,248,1361,170,1311,105,1243,55,1161,22,1067,5,962,6,850,25,734,61,617,113,503,179,395,258e" filled="false" stroked="true" strokeweight=".063482pt" strokecolor="#0000ff">
                <v:path arrowok="t"/>
              </v:shape>
            </v:group>
            <v:group style="position:absolute;left:375;top:258;width:20;height:17" coordorigin="375,258" coordsize="20,17">
              <v:shape style="position:absolute;left:375;top:258;width:20;height:17" coordorigin="375,258" coordsize="20,17" path="m395,258l375,274e" filled="false" stroked="true" strokeweight=".063465pt" strokecolor="#0000ff">
                <v:path arrowok="t"/>
              </v:shape>
            </v:group>
            <v:group style="position:absolute;left:5;top:274;width:1104;height:1004" coordorigin="5,274" coordsize="1104,1004">
              <v:shape style="position:absolute;left:5;top:274;width:1104;height:1004" coordorigin="5,274" coordsize="1104,1004" path="m375,274l279,364,194,461,123,563,67,667,28,770,8,869,5,963,22,1048,56,1123,108,1184,176,1231,258,1263,351,1277,454,1276,564,1257,678,1221,792,1171,904,1106,1011,1029,1109,941e" filled="false" stroked="true" strokeweight=".063741pt" strokecolor="#0000ff">
                <v:path arrowok="t"/>
              </v:shape>
            </v:group>
            <v:group style="position:absolute;left:1109;top:924;width:18;height:18" coordorigin="1109,924" coordsize="18,18">
              <v:shape style="position:absolute;left:1109;top:924;width:18;height:18" coordorigin="1109,924" coordsize="18,18" path="m1109,941l1127,924e" filled="false" stroked="true" strokeweight=".064035pt" strokecolor="#0000ff">
                <v:path arrowok="t"/>
              </v:shape>
            </v:group>
            <v:group style="position:absolute;left:1127;top:851;width:67;height:74" coordorigin="1127,851" coordsize="67,74">
              <v:shape style="position:absolute;left:1127;top:851;width:67;height:74" coordorigin="1127,851" coordsize="67,74" path="m1127,924l1193,851e" filled="false" stroked="true" strokeweight=".064343pt" strokecolor="#0000ff">
                <v:path arrowok="t"/>
              </v:shape>
            </v:group>
            <v:group style="position:absolute;left:1002;top:978;width:29;height:43" coordorigin="1002,978" coordsize="29,43">
              <v:shape style="position:absolute;left:1002;top:978;width:29;height:43" coordorigin="1002,978" coordsize="29,43" path="m1002,978l1012,1020,1031,1004,1002,978xe" filled="true" fillcolor="#0000ff" stroked="false">
                <v:path arrowok="t"/>
                <v:fill type="solid"/>
              </v:shape>
            </v:group>
            <v:group style="position:absolute;left:1007;top:982;width:29;height:43" coordorigin="1007,982" coordsize="29,43">
              <v:shape style="position:absolute;left:1007;top:982;width:29;height:43" coordorigin="1007,982" coordsize="29,43" path="m1007,982l1017,1024,1036,1008,1007,982e" filled="false" stroked="true" strokeweight=".065163pt" strokecolor="#0000ff">
                <v:path arrowok="t"/>
              </v:shape>
            </v:group>
            <v:group style="position:absolute;left:1073;top:875;width:49;height:62" coordorigin="1073,875" coordsize="49,62">
              <v:shape style="position:absolute;left:1073;top:875;width:49;height:62" coordorigin="1073,875" coordsize="49,62" path="m1073,875l1105,937,1122,920,1073,875xe" filled="true" fillcolor="#0000ff" stroked="false">
                <v:path arrowok="t"/>
                <v:fill type="solid"/>
              </v:shape>
            </v:group>
            <v:group style="position:absolute;left:1078;top:880;width:49;height:62" coordorigin="1078,880" coordsize="49,62">
              <v:shape style="position:absolute;left:1078;top:880;width:49;height:62" coordorigin="1078,880" coordsize="49,62" path="m1078,880l1109,941,1127,924,1078,880e" filled="false" stroked="true" strokeweight=".064775pt" strokecolor="#0000ff">
                <v:path arrowok="t"/>
              </v:shape>
            </v:group>
            <v:group style="position:absolute;left:279;top:354;width:733;height:666" coordorigin="279,354" coordsize="733,666">
              <v:shape style="position:absolute;left:279;top:354;width:733;height:666" coordorigin="279,354" coordsize="733,666" path="m279,354l1012,1020,1002,978,279,354xe" filled="true" fillcolor="#0000ff" stroked="false">
                <v:path arrowok="t"/>
                <v:fill type="solid"/>
              </v:shape>
            </v:group>
            <v:group style="position:absolute;left:284;top:359;width:733;height:666" coordorigin="284,359" coordsize="733,666">
              <v:shape style="position:absolute;left:284;top:359;width:733;height:666" coordorigin="284,359" coordsize="733,666" path="m284,359l1017,1024,1007,982,284,359e" filled="false" stroked="true" strokeweight=".063741pt" strokecolor="#0000ff">
                <v:path arrowok="t"/>
              </v:shape>
            </v:group>
            <v:group style="position:absolute;left:279;top:337;width:723;height:641" coordorigin="279,337" coordsize="723,641">
              <v:shape style="position:absolute;left:279;top:337;width:723;height:641" coordorigin="279,337" coordsize="723,641" path="m297,337l279,354,1002,978,297,337xe" filled="true" fillcolor="#0000ff" stroked="false">
                <v:path arrowok="t"/>
                <v:fill type="solid"/>
              </v:shape>
            </v:group>
            <v:group style="position:absolute;left:284;top:341;width:723;height:641" coordorigin="284,341" coordsize="723,641">
              <v:shape style="position:absolute;left:284;top:341;width:723;height:641" coordorigin="284,341" coordsize="723,641" path="m302,341l284,359,1007,982,302,341e" filled="false" stroked="true" strokeweight=".063666pt" strokecolor="#0000ff">
                <v:path arrowok="t"/>
              </v:shape>
            </v:group>
            <v:group style="position:absolute;left:371;top:270;width:734;height:667" coordorigin="371,270" coordsize="734,667">
              <v:shape style="position:absolute;left:371;top:270;width:734;height:667" coordorigin="371,270" coordsize="734,667" path="m371,270l1105,937,1073,875,371,270xe" filled="true" fillcolor="#0000ff" stroked="false">
                <v:path arrowok="t"/>
                <v:fill type="solid"/>
              </v:shape>
            </v:group>
            <v:group style="position:absolute;left:375;top:274;width:734;height:667" coordorigin="375,274" coordsize="734,667">
              <v:shape style="position:absolute;left:375;top:274;width:734;height:667" coordorigin="375,274" coordsize="734,667" path="m375,274l1109,941,1078,880,375,274e" filled="false" stroked="true" strokeweight=".063740pt" strokecolor="#0000ff">
                <v:path arrowok="t"/>
              </v:shape>
            </v:group>
            <v:group style="position:absolute;left:371;top:254;width:703;height:622" coordorigin="371,254" coordsize="703,622">
              <v:shape style="position:absolute;left:371;top:254;width:703;height:622" coordorigin="371,254" coordsize="703,622" path="m390,254l371,270,1073,875,390,254xe" filled="true" fillcolor="#0000ff" stroked="false">
                <v:path arrowok="t"/>
                <v:fill type="solid"/>
              </v:shape>
            </v:group>
            <v:group style="position:absolute;left:375;top:258;width:703;height:622" coordorigin="375,258" coordsize="703,622">
              <v:shape style="position:absolute;left:375;top:258;width:703;height:622" coordorigin="375,258" coordsize="703,622" path="m395,258l375,274,1078,880,395,258e" filled="false" stroked="true" strokeweight=".063656pt" strokecolor="#0000ff">
                <v:path arrowok="t"/>
              </v:shape>
            </v:group>
            <v:group style="position:absolute;left:135;top:428;width:797;height:653" coordorigin="135,428" coordsize="797,653">
              <v:shape style="position:absolute;left:135;top:428;width:797;height:653" coordorigin="135,428" coordsize="797,653" path="m213,428l135,532,931,1080,213,428xe" filled="true" fillcolor="#0000ff" stroked="false">
                <v:path arrowok="t"/>
                <v:fill type="solid"/>
              </v:shape>
            </v:group>
            <v:group style="position:absolute;left:140;top:432;width:797;height:653" coordorigin="140,432" coordsize="797,653">
              <v:shape style="position:absolute;left:140;top:432;width:797;height:653" coordorigin="140,432" coordsize="797,653" path="m218,432l140,536,936,1085,218,432e" filled="false" stroked="true" strokeweight=".063426pt" strokecolor="#0000ff">
                <v:path arrowok="t"/>
              </v:shape>
            </v:group>
            <v:group style="position:absolute;left:73;top:532;width:858;height:549" coordorigin="73,532" coordsize="858,549">
              <v:shape style="position:absolute;left:73;top:532;width:858;height:549" coordorigin="73,532" coordsize="858,549" path="m135,532l73,639,931,1080,135,532xe" filled="true" fillcolor="#0000ff" stroked="false">
                <v:path arrowok="t"/>
                <v:fill type="solid"/>
              </v:shape>
            </v:group>
            <v:group style="position:absolute;left:78;top:536;width:858;height:549" coordorigin="78,536" coordsize="858,549">
              <v:shape style="position:absolute;left:78;top:536;width:858;height:549" coordorigin="78,536" coordsize="858,549" path="m78,644l936,1085,140,536,78,644e" filled="false" stroked="true" strokeweight=".062726pt" strokecolor="#0000ff">
                <v:path arrowok="t"/>
              </v:shape>
            </v:group>
            <v:group style="position:absolute;left:73;top:639;width:858;height:512" coordorigin="73,639" coordsize="858,512">
              <v:shape style="position:absolute;left:73;top:639;width:858;height:512" coordorigin="73,639" coordsize="858,512" path="m73,639l816,1151,931,1080,73,639xe" filled="true" fillcolor="#0000ff" stroked="false">
                <v:path arrowok="t"/>
                <v:fill type="solid"/>
              </v:shape>
            </v:group>
            <v:group style="position:absolute;left:78;top:644;width:858;height:512" coordorigin="78,644" coordsize="858,512">
              <v:shape style="position:absolute;left:78;top:644;width:858;height:512" coordorigin="78,644" coordsize="858,512" path="m936,1085l78,644,821,1155,936,1085e" filled="false" stroked="true" strokeweight=".062554pt" strokecolor="#0000ff">
                <v:path arrowok="t"/>
              </v:shape>
            </v:group>
            <v:group style="position:absolute;left:30;top:639;width:787;height:512" coordorigin="30,639" coordsize="787,512">
              <v:shape style="position:absolute;left:30;top:639;width:787;height:512" coordorigin="30,639" coordsize="787,512" path="m73,639l30,747,816,1151,73,639xe" filled="true" fillcolor="#0000ff" stroked="false">
                <v:path arrowok="t"/>
                <v:fill type="solid"/>
              </v:shape>
            </v:group>
            <v:group style="position:absolute;left:34;top:644;width:787;height:512" coordorigin="34,644" coordsize="787,512">
              <v:shape style="position:absolute;left:34;top:644;width:787;height:512" coordorigin="34,644" coordsize="787,512" path="m34,751l821,1155,78,644,34,751e" filled="false" stroked="true" strokeweight=".062772pt" strokecolor="#0000ff">
                <v:path arrowok="t"/>
              </v:shape>
            </v:group>
            <v:group style="position:absolute;left:30;top:747;width:787;height:461" coordorigin="30,747" coordsize="787,461">
              <v:shape style="position:absolute;left:30;top:747;width:787;height:461" coordorigin="30,747" coordsize="787,461" path="m30,747l698,1207,816,1151,30,747xe" filled="true" fillcolor="#0000ff" stroked="false">
                <v:path arrowok="t"/>
                <v:fill type="solid"/>
              </v:shape>
            </v:group>
            <v:group style="position:absolute;left:34;top:751;width:787;height:461" coordorigin="34,751" coordsize="787,461">
              <v:shape style="position:absolute;left:34;top:751;width:787;height:461" coordorigin="34,751" coordsize="787,461" path="m821,1155l34,751,703,1212,821,1155e" filled="false" stroked="true" strokeweight=".062508pt" strokecolor="#0000ff">
                <v:path arrowok="t"/>
              </v:shape>
            </v:group>
            <v:group style="position:absolute;left:5;top:747;width:694;height:461" coordorigin="5,747" coordsize="694,461">
              <v:shape style="position:absolute;left:5;top:747;width:694;height:461" coordorigin="5,747" coordsize="694,461" path="m30,747l5,851,698,1207,30,747xe" filled="true" fillcolor="#0000ff" stroked="false">
                <v:path arrowok="t"/>
                <v:fill type="solid"/>
              </v:shape>
            </v:group>
            <v:group style="position:absolute;left:10;top:751;width:694;height:461" coordorigin="10,751" coordsize="694,461">
              <v:shape style="position:absolute;left:10;top:751;width:694;height:461" coordorigin="10,751" coordsize="694,461" path="m10,855l703,1212,34,751,10,855e" filled="false" stroked="true" strokeweight=".062826pt" strokecolor="#0000ff">
                <v:path arrowok="t"/>
              </v:shape>
            </v:group>
            <v:group style="position:absolute;left:5;top:851;width:694;height:397" coordorigin="5,851" coordsize="694,397">
              <v:shape style="position:absolute;left:5;top:851;width:694;height:397" coordorigin="5,851" coordsize="694,397" path="m5,851l580,1247,698,1207,5,851xe" filled="true" fillcolor="#0000ff" stroked="false">
                <v:path arrowok="t"/>
                <v:fill type="solid"/>
              </v:shape>
            </v:group>
            <v:group style="position:absolute;left:10;top:855;width:694;height:397" coordorigin="10,855" coordsize="694,397">
              <v:shape style="position:absolute;left:10;top:855;width:694;height:397" coordorigin="10,855" coordsize="694,397" path="m703,1212l10,855,585,1251,703,1212e" filled="false" stroked="true" strokeweight=".062452pt" strokecolor="#0000ff">
                <v:path arrowok="t"/>
              </v:shape>
            </v:group>
            <v:group style="position:absolute;left:0;top:851;width:580;height:397" coordorigin="0,851" coordsize="580,397">
              <v:shape style="position:absolute;left:0;top:851;width:580;height:397" coordorigin="0,851" coordsize="580,397" path="m5,851l0,949,580,1247,5,851xe" filled="true" fillcolor="#0000ff" stroked="false">
                <v:path arrowok="t"/>
                <v:fill type="solid"/>
              </v:shape>
            </v:group>
            <v:group style="position:absolute;left:5;top:855;width:580;height:397" coordorigin="5,855" coordsize="580,397">
              <v:shape style="position:absolute;left:5;top:855;width:580;height:397" coordorigin="5,855" coordsize="580,397" path="m5,953l585,1251,10,855,5,953e" filled="false" stroked="true" strokeweight=".062903pt" strokecolor="#0000ff">
                <v:path arrowok="t"/>
              </v:shape>
            </v:group>
            <v:group style="position:absolute;left:0;top:949;width:580;height:321" coordorigin="0,949" coordsize="580,321">
              <v:shape style="position:absolute;left:0;top:949;width:580;height:321" coordorigin="0,949" coordsize="580,321" path="m0,949l465,1269,580,1247,0,949xe" filled="true" fillcolor="#0000ff" stroked="false">
                <v:path arrowok="t"/>
                <v:fill type="solid"/>
              </v:shape>
            </v:group>
            <v:group style="position:absolute;left:5;top:953;width:580;height:321" coordorigin="5,953" coordsize="580,321">
              <v:shape style="position:absolute;left:5;top:953;width:580;height:321" coordorigin="5,953" coordsize="580,321" path="m585,1251l5,953,470,1274,585,1251e" filled="false" stroked="true" strokeweight=".062374pt" strokecolor="#0000ff">
                <v:path arrowok="t"/>
              </v:shape>
            </v:group>
            <v:group style="position:absolute;left:0;top:949;width:466;height:321" coordorigin="0,949" coordsize="466,321">
              <v:shape style="position:absolute;left:0;top:949;width:466;height:321" coordorigin="0,949" coordsize="466,321" path="m0,949l15,1038,465,1269,0,949xe" filled="true" fillcolor="#0000ff" stroked="false">
                <v:path arrowok="t"/>
                <v:fill type="solid"/>
              </v:shape>
            </v:group>
            <v:group style="position:absolute;left:5;top:953;width:466;height:321" coordorigin="5,953" coordsize="466,321">
              <v:shape style="position:absolute;left:5;top:953;width:466;height:321" coordorigin="5,953" coordsize="466,321" path="m20,1043l470,1274,5,953,20,1043e" filled="false" stroked="true" strokeweight=".062923pt" strokecolor="#0000ff">
                <v:path arrowok="t"/>
              </v:shape>
            </v:group>
            <v:group style="position:absolute;left:15;top:1038;width:451;height:236" coordorigin="15,1038" coordsize="451,236">
              <v:shape style="position:absolute;left:15;top:1038;width:451;height:236" coordorigin="15,1038" coordsize="451,236" path="m15,1038l357,1274,465,1269,15,1038xe" filled="true" fillcolor="#0000ff" stroked="false">
                <v:path arrowok="t"/>
                <v:fill type="solid"/>
              </v:shape>
            </v:group>
            <v:group style="position:absolute;left:20;top:1043;width:451;height:236" coordorigin="20,1043" coordsize="451,236">
              <v:shape style="position:absolute;left:20;top:1043;width:451;height:236" coordorigin="20,1043" coordsize="451,236" path="m470,1274l20,1043,362,1278,470,1274e" filled="false" stroked="true" strokeweight=".062256pt" strokecolor="#0000ff">
                <v:path arrowok="t"/>
              </v:shape>
              <v:shape style="position:absolute;left:15;top:1038;width:348;height:241" type="#_x0000_t75" stroked="false">
                <v:imagedata r:id="rId6" o:title=""/>
              </v:shape>
            </v:group>
            <v:group style="position:absolute;left:471;top:194;width:796;height:653" coordorigin="471,194" coordsize="796,653">
              <v:shape style="position:absolute;left:471;top:194;width:796;height:653" coordorigin="471,194" coordsize="796,653" path="m471,194l1188,846,1266,742,471,194xe" filled="true" fillcolor="#0000ff" stroked="false">
                <v:path arrowok="t"/>
                <v:fill type="solid"/>
              </v:shape>
            </v:group>
            <v:group style="position:absolute;left:475;top:198;width:796;height:653" coordorigin="475,198" coordsize="796,653">
              <v:shape style="position:absolute;left:475;top:198;width:796;height:653" coordorigin="475,198" coordsize="796,653" path="m1193,851l1271,746,475,198,1193,851e" filled="false" stroked="true" strokeweight=".063428pt" strokecolor="#0000ff">
                <v:path arrowok="t"/>
              </v:shape>
            </v:group>
            <v:group style="position:absolute;left:471;top:194;width:858;height:549" coordorigin="471,194" coordsize="858,549">
              <v:shape style="position:absolute;left:471;top:194;width:858;height:549" coordorigin="471,194" coordsize="858,549" path="m471,194l1266,742,1328,635,471,194xe" filled="true" fillcolor="#0000ff" stroked="false">
                <v:path arrowok="t"/>
                <v:fill type="solid"/>
              </v:shape>
            </v:group>
            <v:group style="position:absolute;left:475;top:198;width:858;height:549" coordorigin="475,198" coordsize="858,549">
              <v:shape style="position:absolute;left:475;top:198;width:858;height:549" coordorigin="475,198" coordsize="858,549" path="m1333,639l475,198,1271,746,1333,639e" filled="false" stroked="true" strokeweight=".062726pt" strokecolor="#0000ff">
                <v:path arrowok="t"/>
              </v:shape>
            </v:group>
            <v:group style="position:absolute;left:471;top:123;width:858;height:512" coordorigin="471,123" coordsize="858,512">
              <v:shape style="position:absolute;left:471;top:123;width:858;height:512" coordorigin="471,123" coordsize="858,512" path="m585,123l471,194,1328,635,585,123xe" filled="true" fillcolor="#0000ff" stroked="false">
                <v:path arrowok="t"/>
                <v:fill type="solid"/>
              </v:shape>
            </v:group>
            <v:group style="position:absolute;left:475;top:127;width:858;height:512" coordorigin="475,127" coordsize="858,512">
              <v:shape style="position:absolute;left:475;top:127;width:858;height:512" coordorigin="475,127" coordsize="858,512" path="m475,198l1333,639,590,127,475,198e" filled="false" stroked="true" strokeweight=".062553pt" strokecolor="#0000ff">
                <v:path arrowok="t"/>
              </v:shape>
            </v:group>
            <v:group style="position:absolute;left:585;top:123;width:787;height:512" coordorigin="585,123" coordsize="787,512">
              <v:shape style="position:absolute;left:585;top:123;width:787;height:512" coordorigin="585,123" coordsize="787,512" path="m585,123l1328,635,1372,527,585,123xe" filled="true" fillcolor="#0000ff" stroked="false">
                <v:path arrowok="t"/>
                <v:fill type="solid"/>
              </v:shape>
            </v:group>
            <v:group style="position:absolute;left:590;top:127;width:787;height:512" coordorigin="590,127" coordsize="787,512">
              <v:shape style="position:absolute;left:590;top:127;width:787;height:512" coordorigin="590,127" coordsize="787,512" path="m1377,532l590,127,1333,639,1377,532e" filled="false" stroked="true" strokeweight=".062771pt" strokecolor="#0000ff">
                <v:path arrowok="t"/>
              </v:shape>
            </v:group>
            <v:group style="position:absolute;left:585;top:67;width:787;height:461" coordorigin="585,67" coordsize="787,461">
              <v:shape style="position:absolute;left:585;top:67;width:787;height:461" coordorigin="585,67" coordsize="787,461" path="m704,67l585,123,1372,527,704,67xe" filled="true" fillcolor="#0000ff" stroked="false">
                <v:path arrowok="t"/>
                <v:fill type="solid"/>
              </v:shape>
            </v:group>
            <v:group style="position:absolute;left:590;top:71;width:787;height:461" coordorigin="590,71" coordsize="787,461">
              <v:shape style="position:absolute;left:590;top:71;width:787;height:461" coordorigin="590,71" coordsize="787,461" path="m590,127l1377,532,708,71,590,127e" filled="false" stroked="true" strokeweight=".062507pt" strokecolor="#0000ff">
                <v:path arrowok="t"/>
              </v:shape>
            </v:group>
            <v:group style="position:absolute;left:704;top:67;width:693;height:461" coordorigin="704,67" coordsize="693,461">
              <v:shape style="position:absolute;left:704;top:67;width:693;height:461" coordorigin="704,67" coordsize="693,461" path="m704,67l1372,527,1397,423,704,67xe" filled="true" fillcolor="#0000ff" stroked="false">
                <v:path arrowok="t"/>
                <v:fill type="solid"/>
              </v:shape>
            </v:group>
            <v:group style="position:absolute;left:708;top:71;width:693;height:461" coordorigin="708,71" coordsize="693,461">
              <v:shape style="position:absolute;left:708;top:71;width:693;height:461" coordorigin="708,71" coordsize="693,461" path="m1401,427l708,71,1377,532,1401,427e" filled="false" stroked="true" strokeweight=".062827pt" strokecolor="#0000ff">
                <v:path arrowok="t"/>
              </v:shape>
            </v:group>
            <v:group style="position:absolute;left:704;top:27;width:693;height:396" coordorigin="704,27" coordsize="693,396">
              <v:shape style="position:absolute;left:704;top:27;width:693;height:396" coordorigin="704,27" coordsize="693,396" path="m821,27l704,67,1397,423,821,27xe" filled="true" fillcolor="#0000ff" stroked="false">
                <v:path arrowok="t"/>
                <v:fill type="solid"/>
              </v:shape>
            </v:group>
            <v:group style="position:absolute;left:708;top:31;width:693;height:397" coordorigin="708,31" coordsize="693,397">
              <v:shape style="position:absolute;left:708;top:31;width:693;height:397" coordorigin="708,31" coordsize="693,397" path="m708,71l1401,427,826,31,708,71e" filled="false" stroked="true" strokeweight=".062451pt" strokecolor="#0000ff">
                <v:path arrowok="t"/>
              </v:shape>
            </v:group>
            <v:group style="position:absolute;left:821;top:27;width:580;height:396" coordorigin="821,27" coordsize="580,396">
              <v:shape style="position:absolute;left:821;top:27;width:580;height:396" coordorigin="821,27" coordsize="580,396" path="m821,27l1397,423,1401,325,821,27xe" filled="true" fillcolor="#0000ff" stroked="false">
                <v:path arrowok="t"/>
                <v:fill type="solid"/>
              </v:shape>
            </v:group>
            <v:group style="position:absolute;left:826;top:31;width:580;height:397" coordorigin="826,31" coordsize="580,397">
              <v:shape style="position:absolute;left:826;top:31;width:580;height:397" coordorigin="826,31" coordsize="580,397" path="m1406,329l826,31,1401,427,1406,329e" filled="false" stroked="true" strokeweight=".062901pt" strokecolor="#0000ff">
                <v:path arrowok="t"/>
              </v:shape>
            </v:group>
            <v:group style="position:absolute;left:821;top:4;width:580;height:321" coordorigin="821,4" coordsize="580,321">
              <v:shape style="position:absolute;left:821;top:4;width:580;height:321" coordorigin="821,4" coordsize="580,321" path="m936,4l821,27,1401,325,936,4xe" filled="true" fillcolor="#0000ff" stroked="false">
                <v:path arrowok="t"/>
                <v:fill type="solid"/>
              </v:shape>
            </v:group>
            <v:group style="position:absolute;left:826;top:9;width:580;height:321" coordorigin="826,9" coordsize="580,321">
              <v:shape style="position:absolute;left:826;top:9;width:580;height:321" coordorigin="826,9" coordsize="580,321" path="m826,31l1406,329,941,9,826,31e" filled="false" stroked="true" strokeweight=".062375pt" strokecolor="#0000ff">
                <v:path arrowok="t"/>
              </v:shape>
            </v:group>
            <v:group style="position:absolute;left:936;top:4;width:466;height:321" coordorigin="936,4" coordsize="466,321">
              <v:shape style="position:absolute;left:936;top:4;width:466;height:321" coordorigin="936,4" coordsize="466,321" path="m936,4l1401,325,1386,236,936,4xe" filled="true" fillcolor="#0000ff" stroked="false">
                <v:path arrowok="t"/>
                <v:fill type="solid"/>
              </v:shape>
            </v:group>
            <v:group style="position:absolute;left:941;top:9;width:466;height:321" coordorigin="941,9" coordsize="466,321">
              <v:shape style="position:absolute;left:941;top:9;width:466;height:321" coordorigin="941,9" coordsize="466,321" path="m1391,240l941,9,1406,329,1391,240e" filled="false" stroked="true" strokeweight=".062926pt" strokecolor="#0000ff">
                <v:path arrowok="t"/>
              </v:shape>
            </v:group>
            <v:group style="position:absolute;left:936;top:0;width:451;height:236" coordorigin="936,0" coordsize="451,236">
              <v:shape style="position:absolute;left:936;top:0;width:451;height:236" coordorigin="936,0" coordsize="451,236" path="m1044,0l936,4,1386,236,1044,0xe" filled="true" fillcolor="#0000ff" stroked="false">
                <v:path arrowok="t"/>
                <v:fill type="solid"/>
              </v:shape>
            </v:group>
            <v:group style="position:absolute;left:941;top:4;width:451;height:236" coordorigin="941,4" coordsize="451,236">
              <v:shape style="position:absolute;left:941;top:4;width:451;height:236" coordorigin="941,4" coordsize="451,236" path="m941,9l1391,240,1049,4,941,9e" filled="false" stroked="true" strokeweight=".062257pt" strokecolor="#0000ff">
                <v:path arrowok="t"/>
              </v:shape>
              <v:shape style="position:absolute;left:1044;top:0;width:348;height:241" type="#_x0000_t75" stroked="false">
                <v:imagedata r:id="rId7" o:title=""/>
              </v:shape>
              <v:shape style="position:absolute;left:23;top:20;width:426;height:385" type="#_x0000_t75" stroked="false">
                <v:imagedata r:id="rId8" o:title=""/>
              </v:shape>
              <v:shape style="position:absolute;left:966;top:725;width:642;height:490" type="#_x0000_t75" stroked="false">
                <v:imagedata r:id="rId9" o:title=""/>
              </v:shape>
            </v:group>
          </v:group>
        </w:pict>
      </w:r>
      <w:r>
        <w:rPr>
          <w:rFonts w:ascii="黑体" w:hAnsi="黑体" w:cs="黑体" w:eastAsia="黑体" w:hint="default"/>
          <w:position w:val="-25"/>
          <w:sz w:val="20"/>
          <w:szCs w:val="20"/>
        </w:rPr>
      </w:r>
    </w:p>
    <w:p>
      <w:pPr>
        <w:spacing w:line="240" w:lineRule="auto" w:before="10"/>
        <w:rPr>
          <w:rFonts w:ascii="黑体" w:hAnsi="黑体" w:cs="黑体" w:eastAsia="黑体" w:hint="default"/>
          <w:b/>
          <w:bCs/>
          <w:sz w:val="8"/>
          <w:szCs w:val="8"/>
        </w:rPr>
      </w:pPr>
    </w:p>
    <w:p>
      <w:pPr>
        <w:spacing w:line="217" w:lineRule="exact"/>
        <w:ind w:left="3329" w:right="0" w:firstLine="0"/>
        <w:rPr>
          <w:rFonts w:ascii="黑体" w:hAnsi="黑体" w:cs="黑体" w:eastAsia="黑体" w:hint="default"/>
          <w:sz w:val="20"/>
          <w:szCs w:val="20"/>
        </w:rPr>
      </w:pPr>
      <w:r>
        <w:rPr>
          <w:rFonts w:ascii="黑体"/>
          <w:position w:val="-3"/>
          <w:sz w:val="20"/>
        </w:rPr>
        <w:pict>
          <v:group style="width:23.4pt;height:10.9pt;mso-position-horizontal-relative:char;mso-position-vertical-relative:line" coordorigin="0,0" coordsize="468,218">
            <v:group style="position:absolute;left:33;top:4;width:279;height:213" coordorigin="33,4" coordsize="279,213">
              <v:shape style="position:absolute;left:33;top:4;width:279;height:213" coordorigin="33,4" coordsize="279,213" path="m312,4l33,217e" filled="false" stroked="true" strokeweight=".063213pt" strokecolor="#0000ff">
                <v:path arrowok="t"/>
              </v:shape>
            </v:group>
            <v:group style="position:absolute;left:118;top:4;width:195;height:213" coordorigin="118,4" coordsize="195,213">
              <v:shape style="position:absolute;left:118;top:4;width:195;height:213" coordorigin="118,4" coordsize="195,213" path="m118,4l312,217e" filled="false" stroked="true" strokeweight=".064325pt" strokecolor="#0000ff">
                <v:path arrowok="t"/>
              </v:shape>
            </v:group>
            <v:group style="position:absolute;left:33;top:4;width:195;height:213" coordorigin="33,4" coordsize="195,213">
              <v:shape style="position:absolute;left:33;top:4;width:195;height:213" coordorigin="33,4" coordsize="195,213" path="m33,4l227,217e" filled="false" stroked="true" strokeweight=".064321pt" strokecolor="#0000ff">
                <v:path arrowok="t"/>
              </v:shape>
            </v:group>
            <v:group style="position:absolute;left:1;top:4;width:118;height:2" coordorigin="1,4" coordsize="118,2">
              <v:shape style="position:absolute;left:1;top:4;width:118;height:2" coordorigin="1,4" coordsize="118,0" path="m118,4l1,4e" filled="false" stroked="true" strokeweight=".06091pt" strokecolor="#0000ff">
                <v:path arrowok="t"/>
              </v:shape>
            </v:group>
            <v:group style="position:absolute;left:402;top:4;width:2;height:213" coordorigin="402,4" coordsize="2,213">
              <v:shape style="position:absolute;left:402;top:4;width:2;height:213" coordorigin="402,4" coordsize="0,213" path="m402,4l402,217e" filled="false" stroked="true" strokeweight=".067170pt" strokecolor="#0000ff">
                <v:path arrowok="t"/>
              </v:shape>
            </v:group>
            <v:group style="position:absolute;left:467;top:4;width:2;height:213" coordorigin="467,4" coordsize="2,213">
              <v:shape style="position:absolute;left:467;top:4;width:2;height:213" coordorigin="467,4" coordsize="0,213" path="m467,4l467,217e" filled="false" stroked="true" strokeweight=".067170pt" strokecolor="#0000ff">
                <v:path arrowok="t"/>
              </v:shape>
            </v:group>
            <v:group style="position:absolute;left:312;top:4;width:25;height:2" coordorigin="312,4" coordsize="25,2">
              <v:shape style="position:absolute;left:312;top:4;width:25;height:2" coordorigin="312,4" coordsize="25,0" path="m312,4l336,4e" filled="false" stroked="true" strokeweight=".06091pt" strokecolor="#0000ff">
                <v:path arrowok="t"/>
              </v:shape>
            </v:group>
            <v:group style="position:absolute;left:6;top:217;width:27;height:2" coordorigin="6,217" coordsize="27,2">
              <v:shape style="position:absolute;left:6;top:217;width:27;height:2" coordorigin="6,217" coordsize="27,0" path="m33,217l6,217e" filled="false" stroked="true" strokeweight=".06091pt" strokecolor="#0000ff">
                <v:path arrowok="t"/>
              </v:shape>
            </v:group>
            <v:group style="position:absolute;left:227;top:217;width:85;height:2" coordorigin="227,217" coordsize="85,2">
              <v:shape style="position:absolute;left:227;top:217;width:85;height:2" coordorigin="227,217" coordsize="85,0" path="m227,217l312,217e" filled="false" stroked="true" strokeweight=".06091pt" strokecolor="#0000ff">
                <v:path arrowok="t"/>
              </v:shape>
            </v:group>
            <v:group style="position:absolute;left:402;top:217;width:66;height:2" coordorigin="402,217" coordsize="66,2">
              <v:shape style="position:absolute;left:402;top:217;width:66;height:2" coordorigin="402,217" coordsize="66,0" path="m402,217l467,217e" filled="false" stroked="true" strokeweight=".06091pt" strokecolor="#0000ff">
                <v:path arrowok="t"/>
              </v:shape>
            </v:group>
            <v:group style="position:absolute;left:377;top:4;width:90;height:2" coordorigin="377,4" coordsize="90,2">
              <v:shape style="position:absolute;left:377;top:4;width:90;height:2" coordorigin="377,4" coordsize="90,0" path="m467,4l377,4e" filled="false" stroked="true" strokeweight=".06091pt" strokecolor="#0000ff">
                <v:path arrowok="t"/>
              </v:shape>
            </v:group>
            <v:group style="position:absolute;left:111;top:0;width:82;height:88" coordorigin="111,0" coordsize="82,88">
              <v:shape style="position:absolute;left:111;top:0;width:82;height:88" coordorigin="111,0" coordsize="82,88" path="m113,0l111,44,193,87,113,0xe" filled="true" fillcolor="#0000ff" stroked="false">
                <v:path arrowok="t"/>
                <v:fill type="solid"/>
              </v:shape>
            </v:group>
            <v:group style="position:absolute;left:115;top:4;width:82;height:88" coordorigin="115,4" coordsize="82,88">
              <v:shape style="position:absolute;left:115;top:4;width:82;height:88" coordorigin="115,4" coordsize="82,88" path="m115,48l197,92,118,4,115,48e" filled="false" stroked="true" strokeweight=".064238pt" strokecolor="#0000ff">
                <v:path arrowok="t"/>
              </v:shape>
            </v:group>
            <v:group style="position:absolute;left:28;top:0;width:85;height:44" coordorigin="28,0" coordsize="85,44">
              <v:shape style="position:absolute;left:28;top:0;width:85;height:44" coordorigin="28,0" coordsize="85,44" path="m113,0l28,0,111,44,113,0xe" filled="true" fillcolor="#0000ff" stroked="false">
                <v:path arrowok="t"/>
                <v:fill type="solid"/>
              </v:shape>
            </v:group>
            <v:group style="position:absolute;left:33;top:4;width:85;height:44" coordorigin="33,4" coordsize="85,44">
              <v:shape style="position:absolute;left:33;top:4;width:85;height:44" coordorigin="33,4" coordsize="85,44" path="m115,48l118,4,33,4,115,48e" filled="false" stroked="true" strokeweight=".062221pt" strokecolor="#0000ff">
                <v:path arrowok="t"/>
              </v:shape>
            </v:group>
            <v:group style="position:absolute;left:28;top:0;width:115;height:126" coordorigin="28,0" coordsize="115,126">
              <v:shape style="position:absolute;left:28;top:0;width:115;height:126" coordorigin="28,0" coordsize="115,126" path="m28,0l143,125,111,44,28,0xe" filled="true" fillcolor="#0000ff" stroked="false">
                <v:path arrowok="t"/>
                <v:fill type="solid"/>
              </v:shape>
            </v:group>
            <v:group style="position:absolute;left:33;top:4;width:115;height:126" coordorigin="33,4" coordsize="115,126">
              <v:shape style="position:absolute;left:33;top:4;width:115;height:126" coordorigin="33,4" coordsize="115,126" path="m115,48l33,4,148,130,115,48e" filled="false" stroked="true" strokeweight=".064321pt" strokecolor="#0000ff">
                <v:path arrowok="t"/>
              </v:shape>
            </v:group>
            <v:group style="position:absolute;left:111;top:44;width:82;height:82" coordorigin="111,44" coordsize="82,82">
              <v:shape style="position:absolute;left:111;top:44;width:82;height:82" coordorigin="111,44" coordsize="82,82" path="m111,44l143,125,193,87,111,44xe" filled="true" fillcolor="#0000ff" stroked="false">
                <v:path arrowok="t"/>
                <v:fill type="solid"/>
              </v:shape>
            </v:group>
            <v:group style="position:absolute;left:115;top:48;width:82;height:82" coordorigin="115,48" coordsize="82,82">
              <v:shape style="position:absolute;left:115;top:48;width:82;height:82" coordorigin="115,48" coordsize="82,82" path="m115,48l148,130,197,92,115,48e" filled="false" stroked="true" strokeweight=".064029pt" strokecolor="#0000ff">
                <v:path arrowok="t"/>
              </v:shape>
            </v:group>
            <v:group style="position:absolute;left:143;top:87;width:65;height:63" coordorigin="143,87" coordsize="65,63">
              <v:shape style="position:absolute;left:143;top:87;width:65;height:63" coordorigin="143,87" coordsize="65,63" path="m193,87l143,125,208,150,193,87xe" filled="true" fillcolor="#0000ff" stroked="false">
                <v:path arrowok="t"/>
                <v:fill type="solid"/>
              </v:shape>
            </v:group>
            <v:group style="position:absolute;left:148;top:92;width:65;height:63" coordorigin="148,92" coordsize="65,63">
              <v:shape style="position:absolute;left:148;top:92;width:65;height:63" coordorigin="148,92" coordsize="65,63" path="m212,154l197,92,148,130,212,154e" filled="false" stroked="true" strokeweight=".063935pt" strokecolor="#0000ff">
                <v:path arrowok="t"/>
              </v:shape>
            </v:group>
            <v:group style="position:absolute;left:143;top:125;width:80;height:88" coordorigin="143,125" coordsize="80,88">
              <v:shape style="position:absolute;left:143;top:125;width:80;height:88" coordorigin="143,125" coordsize="80,88" path="m143,125l223,213,208,150,143,125xe" filled="true" fillcolor="#0000ff" stroked="false">
                <v:path arrowok="t"/>
                <v:fill type="solid"/>
              </v:shape>
            </v:group>
            <v:group style="position:absolute;left:148;top:130;width:80;height:88" coordorigin="148,130" coordsize="80,88">
              <v:shape style="position:absolute;left:148;top:130;width:80;height:88" coordorigin="148,130" coordsize="80,88" path="m212,154l148,130,227,217,212,154e" filled="false" stroked="true" strokeweight=".064321pt" strokecolor="#0000ff">
                <v:path arrowok="t"/>
              </v:shape>
            </v:group>
            <v:group style="position:absolute;left:208;top:150;width:100;height:63" coordorigin="208,150" coordsize="100,63">
              <v:shape style="position:absolute;left:208;top:150;width:100;height:63" coordorigin="208,150" coordsize="100,63" path="m208,150l223,213,307,213,208,150xe" filled="true" fillcolor="#0000ff" stroked="false">
                <v:path arrowok="t"/>
                <v:fill type="solid"/>
              </v:shape>
            </v:group>
            <v:group style="position:absolute;left:212;top:154;width:100;height:63" coordorigin="212,154" coordsize="100,63">
              <v:shape style="position:absolute;left:212;top:154;width:100;height:63" coordorigin="212,154" coordsize="100,63" path="m212,154l227,217,312,217,212,154e" filled="false" stroked="true" strokeweight=".062688pt" strokecolor="#0000ff">
                <v:path arrowok="t"/>
              </v:shape>
            </v:group>
            <v:group style="position:absolute;left:193;top:87;width:115;height:126" coordorigin="193,87" coordsize="115,126">
              <v:shape style="position:absolute;left:193;top:87;width:115;height:126" coordorigin="193,87" coordsize="115,126" path="m193,87l208,150,307,213,193,87xe" filled="true" fillcolor="#0000ff" stroked="false">
                <v:path arrowok="t"/>
                <v:fill type="solid"/>
              </v:shape>
            </v:group>
            <v:group style="position:absolute;left:197;top:92;width:115;height:126" coordorigin="197,92" coordsize="115,126">
              <v:shape style="position:absolute;left:197;top:92;width:115;height:126" coordorigin="197,92" coordsize="115,126" path="m212,154l312,217,197,92,212,154e" filled="false" stroked="true" strokeweight=".064321pt" strokecolor="#0000ff">
                <v:path arrowok="t"/>
              </v:shape>
            </v:group>
            <v:group style="position:absolute;left:397;top:0;width:66;height:213" coordorigin="397,0" coordsize="66,213">
              <v:shape style="position:absolute;left:397;top:0;width:66;height:213" coordorigin="397,0" coordsize="66,213" path="m462,0l397,213,462,213,462,0xe" filled="true" fillcolor="#0000ff" stroked="false">
                <v:path arrowok="t"/>
                <v:fill type="solid"/>
              </v:shape>
            </v:group>
            <v:group style="position:absolute;left:402;top:4;width:66;height:213" coordorigin="402,4" coordsize="66,213">
              <v:shape style="position:absolute;left:402;top:4;width:66;height:213" coordorigin="402,4" coordsize="66,213" path="m467,4l402,217,467,217,467,4e" filled="false" stroked="true" strokeweight=".066634pt" strokecolor="#0000ff">
                <v:path arrowok="t"/>
              </v:shape>
            </v:group>
            <v:group style="position:absolute;left:397;top:0;width:66;height:213" coordorigin="397,0" coordsize="66,213">
              <v:shape style="position:absolute;left:397;top:0;width:66;height:213" coordorigin="397,0" coordsize="66,213" path="m462,0l397,0,397,213,462,0xe" filled="true" fillcolor="#0000ff" stroked="false">
                <v:path arrowok="t"/>
                <v:fill type="solid"/>
              </v:shape>
            </v:group>
            <v:group style="position:absolute;left:402;top:4;width:66;height:213" coordorigin="402,4" coordsize="66,213">
              <v:shape style="position:absolute;left:402;top:4;width:66;height:213" coordorigin="402,4" coordsize="66,213" path="m402,4l402,217,467,4,402,4e" filled="false" stroked="true" strokeweight=".066634pt" strokecolor="#0000ff">
                <v:path arrowok="t"/>
              </v:shape>
            </v:group>
          </v:group>
        </w:pict>
      </w:r>
      <w:r>
        <w:rPr>
          <w:rFonts w:ascii="黑体"/>
          <w:position w:val="-3"/>
          <w:sz w:val="20"/>
        </w:rPr>
      </w:r>
      <w:r>
        <w:rPr>
          <w:rFonts w:ascii="Times New Roman"/>
          <w:spacing w:val="3"/>
          <w:position w:val="-3"/>
          <w:sz w:val="20"/>
        </w:rPr>
        <w:t> </w:t>
      </w:r>
      <w:r>
        <w:rPr>
          <w:rFonts w:ascii="黑体"/>
          <w:spacing w:val="3"/>
          <w:position w:val="-3"/>
          <w:sz w:val="20"/>
        </w:rPr>
        <w:pict>
          <v:group style="width:11.1pt;height:10.9pt;mso-position-horizontal-relative:char;mso-position-vertical-relative:line" coordorigin="0,0" coordsize="222,218">
            <v:group style="position:absolute;left:23;top:4;width:2;height:213" coordorigin="23,4" coordsize="2,213">
              <v:shape style="position:absolute;left:23;top:4;width:2;height:213" coordorigin="23,4" coordsize="0,213" path="m23,4l23,217e" filled="false" stroked="true" strokeweight=".067170pt" strokecolor="#0000ff">
                <v:path arrowok="t"/>
              </v:shape>
            </v:group>
            <v:group style="position:absolute;left:155;top:4;width:2;height:213" coordorigin="155,4" coordsize="2,213">
              <v:shape style="position:absolute;left:155;top:4;width:2;height:213" coordorigin="155,4" coordsize="0,213" path="m155,4l155,217e" filled="false" stroked="true" strokeweight=".067170pt" strokecolor="#0000ff">
                <v:path arrowok="t"/>
              </v:shape>
            </v:group>
            <v:group style="position:absolute;left:88;top:4;width:2;height:213" coordorigin="88,4" coordsize="2,213">
              <v:shape style="position:absolute;left:88;top:4;width:2;height:213" coordorigin="88,4" coordsize="0,213" path="m88,4l88,217e" filled="false" stroked="true" strokeweight=".067170pt" strokecolor="#0000ff">
                <v:path arrowok="t"/>
              </v:shape>
            </v:group>
            <v:group style="position:absolute;left:221;top:4;width:2;height:213" coordorigin="221,4" coordsize="2,213">
              <v:shape style="position:absolute;left:221;top:4;width:2;height:213" coordorigin="221,4" coordsize="0,213" path="m221,4l221,217e" filled="false" stroked="true" strokeweight=".067170pt" strokecolor="#0000ff">
                <v:path arrowok="t"/>
              </v:shape>
            </v:group>
            <v:group style="position:absolute;left:23;top:217;width:65;height:2" coordorigin="23,217" coordsize="65,2">
              <v:shape style="position:absolute;left:23;top:217;width:65;height:2" coordorigin="23,217" coordsize="65,0" path="m23,217l88,217e" filled="false" stroked="true" strokeweight=".06091pt" strokecolor="#0000ff">
                <v:path arrowok="t"/>
              </v:shape>
            </v:group>
            <v:group style="position:absolute;left:1;top:4;width:88;height:2" coordorigin="1,4" coordsize="88,2">
              <v:shape style="position:absolute;left:1;top:4;width:88;height:2" coordorigin="1,4" coordsize="88,0" path="m88,4l1,4e" filled="false" stroked="true" strokeweight=".06091pt" strokecolor="#0000ff">
                <v:path arrowok="t"/>
              </v:shape>
            </v:group>
            <v:group style="position:absolute;left:155;top:217;width:66;height:2" coordorigin="155,217" coordsize="66,2">
              <v:shape style="position:absolute;left:155;top:217;width:66;height:2" coordorigin="155,217" coordsize="66,0" path="m155,217l221,217e" filled="false" stroked="true" strokeweight=".06091pt" strokecolor="#0000ff">
                <v:path arrowok="t"/>
              </v:shape>
            </v:group>
            <v:group style="position:absolute;left:108;top:4;width:113;height:2" coordorigin="108,4" coordsize="113,2">
              <v:shape style="position:absolute;left:108;top:4;width:113;height:2" coordorigin="108,4" coordsize="113,0" path="m221,4l108,4e" filled="false" stroked="true" strokeweight=".06091pt" strokecolor="#0000ff">
                <v:path arrowok="t"/>
              </v:shape>
            </v:group>
            <v:group style="position:absolute;left:18;top:0;width:66;height:213" coordorigin="18,0" coordsize="66,213">
              <v:shape style="position:absolute;left:18;top:0;width:66;height:213" coordorigin="18,0" coordsize="66,213" path="m83,0l18,0,83,213,83,0xe" filled="true" fillcolor="#0000ff" stroked="false">
                <v:path arrowok="t"/>
                <v:fill type="solid"/>
              </v:shape>
            </v:group>
            <v:group style="position:absolute;left:23;top:4;width:65;height:213" coordorigin="23,4" coordsize="65,213">
              <v:shape style="position:absolute;left:23;top:4;width:65;height:213" coordorigin="23,4" coordsize="65,213" path="m88,217l88,4,23,4,88,217e" filled="false" stroked="true" strokeweight=".066635pt" strokecolor="#0000ff">
                <v:path arrowok="t"/>
              </v:shape>
            </v:group>
            <v:group style="position:absolute;left:18;top:0;width:66;height:213" coordorigin="18,0" coordsize="66,213">
              <v:shape style="position:absolute;left:18;top:0;width:66;height:213" coordorigin="18,0" coordsize="66,213" path="m18,0l18,213,83,213,18,0xe" filled="true" fillcolor="#0000ff" stroked="false">
                <v:path arrowok="t"/>
                <v:fill type="solid"/>
              </v:shape>
            </v:group>
            <v:group style="position:absolute;left:23;top:4;width:65;height:213" coordorigin="23,4" coordsize="65,213">
              <v:shape style="position:absolute;left:23;top:4;width:65;height:213" coordorigin="23,4" coordsize="65,213" path="m23,4l23,217,88,217,23,4e" filled="false" stroked="true" strokeweight=".066635pt" strokecolor="#0000ff">
                <v:path arrowok="t"/>
              </v:shape>
            </v:group>
            <v:group style="position:absolute;left:151;top:0;width:66;height:213" coordorigin="151,0" coordsize="66,213">
              <v:shape style="position:absolute;left:151;top:0;width:66;height:213" coordorigin="151,0" coordsize="66,213" path="m216,0l151,213,216,213,216,0xe" filled="true" fillcolor="#0000ff" stroked="false">
                <v:path arrowok="t"/>
                <v:fill type="solid"/>
              </v:shape>
            </v:group>
            <v:group style="position:absolute;left:155;top:4;width:66;height:213" coordorigin="155,4" coordsize="66,213">
              <v:shape style="position:absolute;left:155;top:4;width:66;height:213" coordorigin="155,4" coordsize="66,213" path="m221,4l155,217,221,217,221,4e" filled="false" stroked="true" strokeweight=".066634pt" strokecolor="#0000ff">
                <v:path arrowok="t"/>
              </v:shape>
            </v:group>
            <v:group style="position:absolute;left:151;top:0;width:66;height:213" coordorigin="151,0" coordsize="66,213">
              <v:shape style="position:absolute;left:151;top:0;width:66;height:213" coordorigin="151,0" coordsize="66,213" path="m216,0l151,0,151,213,216,0xe" filled="true" fillcolor="#0000ff" stroked="false">
                <v:path arrowok="t"/>
                <v:fill type="solid"/>
              </v:shape>
            </v:group>
            <v:group style="position:absolute;left:155;top:4;width:66;height:213" coordorigin="155,4" coordsize="66,213">
              <v:shape style="position:absolute;left:155;top:4;width:66;height:213" coordorigin="155,4" coordsize="66,213" path="m155,4l155,217,221,4,155,4e" filled="false" stroked="true" strokeweight=".066634pt" strokecolor="#0000ff">
                <v:path arrowok="t"/>
              </v:shape>
            </v:group>
            <v:group style="position:absolute;left:151;top:0;width:66;height:213" coordorigin="151,0" coordsize="66,213">
              <v:shape style="position:absolute;left:151;top:0;width:66;height:213" coordorigin="151,0" coordsize="66,213" path="m216,0l151,0,216,213,216,0xe" filled="true" fillcolor="#0000ff" stroked="false">
                <v:path arrowok="t"/>
                <v:fill type="solid"/>
              </v:shape>
            </v:group>
            <v:group style="position:absolute;left:155;top:4;width:66;height:213" coordorigin="155,4" coordsize="66,213">
              <v:shape style="position:absolute;left:155;top:4;width:66;height:213" coordorigin="155,4" coordsize="66,213" path="m221,217l221,4,155,4,221,217e" filled="false" stroked="true" strokeweight=".066634pt" strokecolor="#0000ff">
                <v:path arrowok="t"/>
              </v:shape>
            </v:group>
            <v:group style="position:absolute;left:151;top:0;width:66;height:213" coordorigin="151,0" coordsize="66,213">
              <v:shape style="position:absolute;left:151;top:0;width:66;height:213" coordorigin="151,0" coordsize="66,213" path="m151,0l151,213,216,213,151,0xe" filled="true" fillcolor="#0000ff" stroked="false">
                <v:path arrowok="t"/>
                <v:fill type="solid"/>
              </v:shape>
            </v:group>
            <v:group style="position:absolute;left:155;top:4;width:66;height:213" coordorigin="155,4" coordsize="66,213">
              <v:shape style="position:absolute;left:155;top:4;width:66;height:213" coordorigin="155,4" coordsize="66,213" path="m155,4l155,217,221,217,155,4e" filled="false" stroked="true" strokeweight=".066634pt" strokecolor="#0000ff">
                <v:path arrowok="t"/>
              </v:shape>
            </v:group>
          </v:group>
        </w:pict>
      </w:r>
      <w:r>
        <w:rPr>
          <w:rFonts w:ascii="黑体"/>
          <w:spacing w:val="3"/>
          <w:position w:val="-3"/>
          <w:sz w:val="20"/>
        </w:rPr>
      </w:r>
      <w:r>
        <w:rPr>
          <w:rFonts w:ascii="Times New Roman"/>
          <w:spacing w:val="130"/>
          <w:position w:val="-3"/>
          <w:sz w:val="20"/>
        </w:rPr>
        <w:t> </w:t>
      </w:r>
      <w:r>
        <w:rPr>
          <w:rFonts w:ascii="黑体"/>
          <w:spacing w:val="130"/>
          <w:position w:val="-3"/>
          <w:sz w:val="20"/>
        </w:rPr>
        <w:pict>
          <v:group style="width:53.2pt;height:10.9pt;mso-position-horizontal-relative:char;mso-position-vertical-relative:line" coordorigin="0,0" coordsize="1064,218">
            <v:shape style="position:absolute;left:0;top:0;width:1064;height:218" type="#_x0000_t75" stroked="false">
              <v:imagedata r:id="rId10" o:title=""/>
            </v:shape>
            <v:group style="position:absolute;left:474;top:0;width:65;height:213" coordorigin="474,0" coordsize="65,213">
              <v:shape style="position:absolute;left:474;top:0;width:65;height:213" coordorigin="474,0" coordsize="65,213" path="m474,0l474,213,539,213,474,0xe" filled="true" fillcolor="#0000ff" stroked="false">
                <v:path arrowok="t"/>
                <v:fill type="solid"/>
              </v:shape>
            </v:group>
            <v:group style="position:absolute;left:479;top:5;width:65;height:213" coordorigin="479,5" coordsize="65,213">
              <v:shape style="position:absolute;left:479;top:5;width:65;height:213" coordorigin="479,5" coordsize="65,213" path="m479,5l479,217,544,217,479,5e" filled="false" stroked="true" strokeweight=".066638pt" strokecolor="#0000ff">
                <v:path arrowok="t"/>
              </v:shape>
            </v:group>
            <v:group style="position:absolute;left:474;top:0;width:65;height:213" coordorigin="474,0" coordsize="65,213">
              <v:shape style="position:absolute;left:474;top:0;width:65;height:213" coordorigin="474,0" coordsize="65,213" path="m539,0l474,0,539,213,539,0xe" filled="true" fillcolor="#0000ff" stroked="false">
                <v:path arrowok="t"/>
                <v:fill type="solid"/>
              </v:shape>
            </v:group>
            <v:group style="position:absolute;left:479;top:5;width:65;height:213" coordorigin="479,5" coordsize="65,213">
              <v:shape style="position:absolute;left:479;top:5;width:65;height:213" coordorigin="479,5" coordsize="65,213" path="m544,5l479,5,544,217,544,5e" filled="false" stroked="true" strokeweight=".066638pt" strokecolor="#0000ff">
                <v:path arrowok="t"/>
              </v:shape>
            </v:group>
            <v:group style="position:absolute;left:20;top:0;width:65;height:213" coordorigin="20,0" coordsize="65,213">
              <v:shape style="position:absolute;left:20;top:0;width:65;height:213" coordorigin="20,0" coordsize="65,213" path="m85,0l20,213,85,213,85,0xe" filled="true" fillcolor="#0000ff" stroked="false">
                <v:path arrowok="t"/>
                <v:fill type="solid"/>
              </v:shape>
            </v:group>
            <v:group style="position:absolute;left:25;top:4;width:65;height:213" coordorigin="25,4" coordsize="65,213">
              <v:shape style="position:absolute;left:25;top:4;width:65;height:213" coordorigin="25,4" coordsize="65,213" path="m90,4l25,217,90,217,90,4e" filled="false" stroked="true" strokeweight=".066636pt" strokecolor="#0000ff">
                <v:path arrowok="t"/>
              </v:shape>
            </v:group>
            <v:group style="position:absolute;left:20;top:0;width:66;height:213" coordorigin="20,0" coordsize="66,213">
              <v:shape style="position:absolute;left:20;top:0;width:66;height:213" coordorigin="20,0" coordsize="66,213" path="m85,0l20,0,20,213,85,0xe" filled="true" fillcolor="#0000ff" stroked="false">
                <v:path arrowok="t"/>
                <v:fill type="solid"/>
              </v:shape>
            </v:group>
            <v:group style="position:absolute;left:25;top:4;width:66;height:213" coordorigin="25,4" coordsize="66,213">
              <v:shape style="position:absolute;left:25;top:4;width:66;height:213" coordorigin="25,4" coordsize="66,213" path="m25,4l25,217,90,4,25,4e" filled="false" stroked="true" strokeweight=".066635pt" strokecolor="#0000ff">
                <v:path arrowok="t"/>
              </v:shape>
            </v:group>
          </v:group>
        </w:pict>
      </w:r>
      <w:r>
        <w:rPr>
          <w:rFonts w:ascii="黑体"/>
          <w:spacing w:val="130"/>
          <w:position w:val="-3"/>
          <w:sz w:val="20"/>
        </w:rPr>
      </w: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0"/>
        <w:rPr>
          <w:rFonts w:ascii="黑体" w:hAnsi="黑体" w:cs="黑体" w:eastAsia="黑体" w:hint="default"/>
          <w:b/>
          <w:bCs/>
          <w:sz w:val="48"/>
          <w:szCs w:val="48"/>
        </w:rPr>
      </w:pPr>
    </w:p>
    <w:p>
      <w:pPr>
        <w:spacing w:line="240" w:lineRule="auto" w:before="4"/>
        <w:rPr>
          <w:rFonts w:ascii="黑体" w:hAnsi="黑体" w:cs="黑体" w:eastAsia="黑体" w:hint="default"/>
          <w:b/>
          <w:bCs/>
          <w:sz w:val="46"/>
          <w:szCs w:val="46"/>
        </w:rPr>
      </w:pPr>
    </w:p>
    <w:p>
      <w:pPr>
        <w:pStyle w:val="Heading3"/>
        <w:spacing w:line="357" w:lineRule="auto" w:before="0"/>
        <w:ind w:left="2655" w:right="4331" w:hanging="3"/>
        <w:jc w:val="center"/>
        <w:rPr>
          <w:b w:val="0"/>
          <w:bCs w:val="0"/>
        </w:rPr>
      </w:pPr>
      <w:r>
        <w:rPr/>
        <w:t>股票简称：鑫龙电器</w:t>
      </w:r>
      <w:r>
        <w:rPr>
          <w:w w:val="99"/>
        </w:rPr>
        <w:t> </w:t>
      </w:r>
      <w:r>
        <w:rPr/>
        <w:t>股票代码：</w:t>
      </w:r>
      <w:r>
        <w:rPr>
          <w:rFonts w:ascii="宋体" w:hAnsi="宋体" w:cs="宋体" w:eastAsia="宋体" w:hint="default"/>
        </w:rPr>
        <w:t>002298</w:t>
      </w:r>
      <w:r>
        <w:rPr>
          <w:rFonts w:ascii="宋体" w:hAnsi="宋体" w:cs="宋体" w:eastAsia="宋体" w:hint="default"/>
          <w:w w:val="99"/>
        </w:rPr>
        <w:t> </w:t>
      </w:r>
      <w:r>
        <w:rPr/>
        <w:t>披露时间：</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31</w:t>
      </w:r>
      <w:r>
        <w:rPr/>
        <w:t>日</w:t>
      </w:r>
      <w:r>
        <w:rPr>
          <w:b w:val="0"/>
          <w:bCs w:val="0"/>
        </w:rPr>
      </w:r>
    </w:p>
    <w:p>
      <w:pPr>
        <w:spacing w:after="0" w:line="357" w:lineRule="auto"/>
        <w:jc w:val="center"/>
        <w:sectPr>
          <w:footerReference w:type="default" r:id="rId5"/>
          <w:type w:val="continuous"/>
          <w:pgSz w:w="11910" w:h="16840"/>
          <w:pgMar w:footer="956" w:top="1580" w:bottom="1140" w:left="1680" w:right="0"/>
          <w:pgNumType w:start="1"/>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3409" w:right="1787" w:firstLine="0"/>
        <w:jc w:val="left"/>
        <w:rPr>
          <w:rFonts w:ascii="黑体" w:hAnsi="黑体" w:cs="黑体" w:eastAsia="黑体" w:hint="default"/>
          <w:sz w:val="32"/>
          <w:szCs w:val="32"/>
        </w:rPr>
      </w:pPr>
      <w:r>
        <w:rPr>
          <w:rFonts w:ascii="黑体" w:hAnsi="黑体" w:cs="黑体" w:eastAsia="黑体" w:hint="default"/>
          <w:b/>
          <w:bCs/>
          <w:sz w:val="32"/>
          <w:szCs w:val="32"/>
        </w:rPr>
        <w:t>重 要 提</w:t>
      </w:r>
      <w:r>
        <w:rPr>
          <w:rFonts w:ascii="黑体" w:hAnsi="黑体" w:cs="黑体" w:eastAsia="黑体" w:hint="default"/>
          <w:b/>
          <w:bCs/>
          <w:spacing w:val="-4"/>
          <w:sz w:val="32"/>
          <w:szCs w:val="32"/>
        </w:rPr>
        <w:t> </w:t>
      </w:r>
      <w:r>
        <w:rPr>
          <w:rFonts w:ascii="黑体" w:hAnsi="黑体" w:cs="黑体" w:eastAsia="黑体" w:hint="default"/>
          <w:b/>
          <w:bCs/>
          <w:sz w:val="32"/>
          <w:szCs w:val="32"/>
        </w:rPr>
        <w:t>示</w:t>
      </w:r>
      <w:r>
        <w:rPr>
          <w:rFonts w:ascii="黑体" w:hAnsi="黑体" w:cs="黑体" w:eastAsia="黑体" w:hint="default"/>
          <w:sz w:val="32"/>
          <w:szCs w:val="32"/>
        </w:rPr>
      </w:r>
    </w:p>
    <w:p>
      <w:pPr>
        <w:pStyle w:val="BodyText"/>
        <w:spacing w:line="357" w:lineRule="auto" w:before="250"/>
        <w:ind w:right="1792" w:firstLine="479"/>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02"/>
        </w:rPr>
        <w:t> </w:t>
      </w:r>
      <w:r>
        <w:rPr>
          <w:spacing w:val="-102"/>
        </w:rPr>
      </w:r>
      <w:r>
        <w:rPr/>
        <w:t>完整性承担个别及连带责任。</w:t>
      </w:r>
    </w:p>
    <w:p>
      <w:pPr>
        <w:pStyle w:val="BodyText"/>
        <w:spacing w:line="355" w:lineRule="auto" w:before="36"/>
        <w:ind w:right="1792" w:firstLine="479"/>
        <w:jc w:val="both"/>
      </w:pPr>
      <w:r>
        <w:rPr>
          <w:spacing w:val="-3"/>
        </w:rPr>
        <w:t>没有董事、监事、高级管理人员对本报告内容的真实性、准确性和完整性无</w:t>
      </w:r>
      <w:r>
        <w:rPr/>
        <w:t> 法保证或存在异议的情形。</w:t>
      </w:r>
    </w:p>
    <w:p>
      <w:pPr>
        <w:pStyle w:val="BodyText"/>
        <w:spacing w:line="355" w:lineRule="auto" w:before="38"/>
        <w:ind w:left="618" w:right="1787"/>
        <w:jc w:val="left"/>
      </w:pPr>
      <w:r>
        <w:rPr/>
        <w:t>公司全体董事均亲自出席了本次审议年度报告的董事会。 </w:t>
      </w:r>
      <w:r>
        <w:rPr>
          <w:spacing w:val="4"/>
        </w:rPr>
        <w:t>本公司年度财务报告经天健正信会计师事务所有限公司审计并出具标准无</w:t>
      </w:r>
    </w:p>
    <w:p>
      <w:pPr>
        <w:pStyle w:val="BodyText"/>
        <w:spacing w:line="355" w:lineRule="auto" w:before="38"/>
        <w:ind w:left="618" w:right="1787" w:hanging="480"/>
        <w:jc w:val="left"/>
      </w:pPr>
      <w:r>
        <w:rPr/>
        <w:t>保留意见的审计报告。 </w:t>
      </w:r>
      <w:r>
        <w:rPr>
          <w:spacing w:val="-3"/>
        </w:rPr>
        <w:t>本公司董事长束龙胜先生、财务负责人陶黎明先生及会计机构负责人杨勇先</w:t>
      </w:r>
    </w:p>
    <w:p>
      <w:pPr>
        <w:pStyle w:val="BodyText"/>
        <w:spacing w:line="240" w:lineRule="auto" w:before="38"/>
        <w:ind w:right="1787"/>
        <w:jc w:val="left"/>
      </w:pPr>
      <w:r>
        <w:rPr/>
        <w:t>生声明：保证年度报告中财务报告的真实、完整。</w:t>
      </w:r>
    </w:p>
    <w:p>
      <w:pPr>
        <w:spacing w:after="0" w:line="240" w:lineRule="auto"/>
        <w:jc w:val="left"/>
        <w:sectPr>
          <w:headerReference w:type="default" r:id="rId11"/>
          <w:pgSz w:w="11910" w:h="16840"/>
          <w:pgMar w:header="816" w:footer="956" w:top="1160" w:bottom="1140" w:left="1660" w:right="0"/>
        </w:sectPr>
      </w:pPr>
    </w:p>
    <w:p>
      <w:pPr>
        <w:spacing w:line="240" w:lineRule="auto" w:before="1"/>
        <w:rPr>
          <w:rFonts w:ascii="宋体" w:hAnsi="宋体" w:cs="宋体" w:eastAsia="宋体" w:hint="default"/>
          <w:sz w:val="11"/>
          <w:szCs w:val="11"/>
        </w:rPr>
      </w:pPr>
    </w:p>
    <w:p>
      <w:pPr>
        <w:tabs>
          <w:tab w:pos="1447" w:val="left" w:leader="none"/>
        </w:tabs>
        <w:spacing w:before="0"/>
        <w:ind w:left="0" w:right="1658"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sdt>
      <w:sdtPr>
        <w:docPartObj>
          <w:docPartGallery w:val="Table of Contents"/>
          <w:docPartUnique/>
        </w:docPartObj>
      </w:sdtPr>
      <w:sdtEndPr/>
      <w:sdtContent>
        <w:p>
          <w:pPr>
            <w:pStyle w:val="TOC1"/>
            <w:tabs>
              <w:tab w:pos="1258" w:val="left" w:leader="none"/>
              <w:tab w:pos="8119" w:val="left" w:leader="middleDot"/>
            </w:tabs>
            <w:spacing w:line="240" w:lineRule="auto" w:before="394"/>
            <w:ind w:right="1787"/>
            <w:jc w:val="left"/>
            <w:rPr>
              <w:rFonts w:ascii="Times New Roman" w:hAnsi="Times New Roman" w:cs="Times New Roman" w:eastAsia="Times New Roman" w:hint="default"/>
            </w:rPr>
          </w:pPr>
          <w:hyperlink w:history="true" w:anchor="_TOC_250009">
            <w:r>
              <w:rPr/>
              <w:t>第一节</w:t>
              <w:tab/>
            </w:r>
            <w:r>
              <w:rPr>
                <w:spacing w:val="-8"/>
              </w:rPr>
              <w:t>公司基本情况简介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rPr>
              <w:t>4</w:t>
            </w:r>
          </w:hyperlink>
        </w:p>
        <w:p>
          <w:pPr>
            <w:pStyle w:val="TOC1"/>
            <w:tabs>
              <w:tab w:pos="1258" w:val="left" w:leader="none"/>
              <w:tab w:pos="8119" w:val="left" w:leader="middleDot"/>
            </w:tabs>
            <w:spacing w:line="240" w:lineRule="auto" w:before="339"/>
            <w:ind w:right="1787"/>
            <w:jc w:val="left"/>
            <w:rPr>
              <w:rFonts w:ascii="Times New Roman" w:hAnsi="Times New Roman" w:cs="Times New Roman" w:eastAsia="Times New Roman" w:hint="default"/>
            </w:rPr>
          </w:pPr>
          <w:hyperlink w:history="true" w:anchor="_TOC_250008">
            <w:r>
              <w:rPr/>
              <w:t>第二节</w:t>
              <w:tab/>
            </w:r>
            <w:r>
              <w:rPr>
                <w:spacing w:val="-6"/>
              </w:rPr>
              <w:t>会计数据和业务数据摘要</w:t>
            </w:r>
            <w:r>
              <w:rPr>
                <w:rFonts w:ascii="Times New Roman" w:hAnsi="Times New Roman" w:cs="Times New Roman" w:eastAsia="Times New Roman" w:hint="default"/>
                <w:spacing w:val="-6"/>
              </w:rPr>
              <w:tab/>
            </w:r>
            <w:r>
              <w:rPr>
                <w:rFonts w:ascii="Times New Roman" w:hAnsi="Times New Roman" w:cs="Times New Roman" w:eastAsia="Times New Roman" w:hint="default"/>
              </w:rPr>
              <w:t>6</w:t>
            </w:r>
          </w:hyperlink>
        </w:p>
        <w:p>
          <w:pPr>
            <w:pStyle w:val="TOC1"/>
            <w:tabs>
              <w:tab w:pos="8052" w:val="left" w:leader="middleDot"/>
            </w:tabs>
            <w:spacing w:line="240" w:lineRule="auto"/>
            <w:ind w:right="1787"/>
            <w:jc w:val="left"/>
            <w:rPr>
              <w:rFonts w:ascii="Times New Roman" w:hAnsi="Times New Roman" w:cs="Times New Roman" w:eastAsia="Times New Roman" w:hint="default"/>
            </w:rPr>
          </w:pPr>
          <w:hyperlink w:history="true" w:anchor="_TOC_250007">
            <w:r>
              <w:rPr/>
              <w:t>第三节</w:t>
            </w:r>
            <w:r>
              <w:rPr>
                <w:spacing w:val="12"/>
              </w:rPr>
              <w:t> </w:t>
            </w:r>
            <w:r>
              <w:rPr>
                <w:spacing w:val="-7"/>
              </w:rPr>
              <w:t>股本变动及股东情况</w:t>
            </w:r>
            <w:r>
              <w:rPr>
                <w:rFonts w:ascii="Times New Roman" w:hAnsi="Times New Roman" w:cs="Times New Roman" w:eastAsia="Times New Roman" w:hint="default"/>
                <w:spacing w:val="-7"/>
              </w:rPr>
              <w:tab/>
            </w:r>
            <w:r>
              <w:rPr>
                <w:rFonts w:ascii="Times New Roman" w:hAnsi="Times New Roman" w:cs="Times New Roman" w:eastAsia="Times New Roman" w:hint="default"/>
              </w:rPr>
              <w:t>10</w:t>
            </w:r>
          </w:hyperlink>
        </w:p>
        <w:p>
          <w:pPr>
            <w:pStyle w:val="TOC1"/>
            <w:tabs>
              <w:tab w:pos="7980" w:val="left" w:leader="middleDot"/>
            </w:tabs>
            <w:spacing w:line="240" w:lineRule="auto" w:before="339"/>
            <w:ind w:right="1787"/>
            <w:jc w:val="left"/>
            <w:rPr>
              <w:rFonts w:ascii="Times New Roman" w:hAnsi="Times New Roman" w:cs="Times New Roman" w:eastAsia="Times New Roman" w:hint="default"/>
            </w:rPr>
          </w:pPr>
          <w:hyperlink w:history="true" w:anchor="_TOC_250006">
            <w:r>
              <w:rPr/>
              <w:t>第四节</w:t>
            </w:r>
            <w:r>
              <w:rPr>
                <w:spacing w:val="16"/>
              </w:rPr>
              <w:t> </w:t>
            </w:r>
            <w:r>
              <w:rPr>
                <w:spacing w:val="-4"/>
              </w:rPr>
              <w:t>董事、监事、高级管理人员和员工情况</w:t>
            </w:r>
            <w:r>
              <w:rPr>
                <w:rFonts w:ascii="Times New Roman" w:hAnsi="Times New Roman" w:cs="Times New Roman" w:eastAsia="Times New Roman" w:hint="default"/>
                <w:spacing w:val="-4"/>
              </w:rPr>
              <w:tab/>
            </w:r>
            <w:r>
              <w:rPr>
                <w:rFonts w:ascii="Times New Roman" w:hAnsi="Times New Roman" w:cs="Times New Roman" w:eastAsia="Times New Roman" w:hint="default"/>
              </w:rPr>
              <w:t>15</w:t>
            </w:r>
          </w:hyperlink>
        </w:p>
        <w:p>
          <w:pPr>
            <w:pStyle w:val="TOC1"/>
            <w:tabs>
              <w:tab w:pos="7982" w:val="left" w:leader="middleDot"/>
            </w:tabs>
            <w:spacing w:line="240" w:lineRule="auto" w:before="340"/>
            <w:ind w:right="1787"/>
            <w:jc w:val="left"/>
            <w:rPr>
              <w:rFonts w:ascii="Times New Roman" w:hAnsi="Times New Roman" w:cs="Times New Roman" w:eastAsia="Times New Roman" w:hint="default"/>
            </w:rPr>
          </w:pPr>
          <w:hyperlink w:history="true" w:anchor="_TOC_250005">
            <w:r>
              <w:rPr/>
              <w:t>第五节</w:t>
            </w:r>
            <w:r>
              <w:rPr>
                <w:spacing w:val="10"/>
              </w:rPr>
              <w:t> </w:t>
            </w:r>
            <w:r>
              <w:rPr>
                <w:spacing w:val="-10"/>
              </w:rPr>
              <w:t>公司治理结构</w:t>
            </w:r>
            <w:r>
              <w:rPr>
                <w:rFonts w:ascii="Times New Roman" w:hAnsi="Times New Roman" w:cs="Times New Roman" w:eastAsia="Times New Roman" w:hint="default"/>
                <w:spacing w:val="-10"/>
              </w:rPr>
              <w:tab/>
            </w:r>
            <w:r>
              <w:rPr>
                <w:rFonts w:ascii="Times New Roman" w:hAnsi="Times New Roman" w:cs="Times New Roman" w:eastAsia="Times New Roman" w:hint="default"/>
              </w:rPr>
              <w:t>20</w:t>
            </w:r>
          </w:hyperlink>
        </w:p>
        <w:p>
          <w:pPr>
            <w:pStyle w:val="TOC1"/>
            <w:tabs>
              <w:tab w:pos="7982" w:val="left" w:leader="middleDot"/>
            </w:tabs>
            <w:spacing w:line="240" w:lineRule="auto"/>
            <w:ind w:right="1787"/>
            <w:jc w:val="left"/>
            <w:rPr>
              <w:rFonts w:ascii="Times New Roman" w:hAnsi="Times New Roman" w:cs="Times New Roman" w:eastAsia="Times New Roman" w:hint="default"/>
            </w:rPr>
          </w:pPr>
          <w:hyperlink w:history="true" w:anchor="_TOC_250004">
            <w:r>
              <w:rPr/>
              <w:t>第六节</w:t>
            </w:r>
            <w:r>
              <w:rPr>
                <w:spacing w:val="12"/>
              </w:rPr>
              <w:t> </w:t>
            </w:r>
            <w:r>
              <w:rPr>
                <w:spacing w:val="-8"/>
              </w:rPr>
              <w:t>股东大会情况简介</w:t>
            </w:r>
            <w:r>
              <w:rPr>
                <w:rFonts w:ascii="Times New Roman" w:hAnsi="Times New Roman" w:cs="Times New Roman" w:eastAsia="Times New Roman" w:hint="default"/>
                <w:spacing w:val="-8"/>
              </w:rPr>
              <w:tab/>
            </w:r>
            <w:r>
              <w:rPr>
                <w:rFonts w:ascii="Times New Roman" w:hAnsi="Times New Roman" w:cs="Times New Roman" w:eastAsia="Times New Roman" w:hint="default"/>
              </w:rPr>
              <w:t>32</w:t>
            </w:r>
          </w:hyperlink>
        </w:p>
        <w:p>
          <w:pPr>
            <w:pStyle w:val="TOC1"/>
            <w:tabs>
              <w:tab w:pos="7982" w:val="left" w:leader="middleDot"/>
            </w:tabs>
            <w:spacing w:line="240" w:lineRule="auto" w:before="339"/>
            <w:ind w:right="1787"/>
            <w:jc w:val="left"/>
            <w:rPr>
              <w:rFonts w:ascii="Times New Roman" w:hAnsi="Times New Roman" w:cs="Times New Roman" w:eastAsia="Times New Roman" w:hint="default"/>
            </w:rPr>
          </w:pPr>
          <w:hyperlink w:history="true" w:anchor="_TOC_250003">
            <w:r>
              <w:rPr/>
              <w:t>第七节</w:t>
            </w:r>
            <w:r>
              <w:rPr>
                <w:spacing w:val="9"/>
              </w:rPr>
              <w:t> </w:t>
            </w:r>
            <w:r>
              <w:rPr>
                <w:spacing w:val="-12"/>
              </w:rPr>
              <w:t>董事会报告</w:t>
            </w:r>
            <w:r>
              <w:rPr>
                <w:rFonts w:ascii="Times New Roman" w:hAnsi="Times New Roman" w:cs="Times New Roman" w:eastAsia="Times New Roman" w:hint="default"/>
                <w:spacing w:val="-12"/>
              </w:rPr>
              <w:tab/>
            </w:r>
            <w:r>
              <w:rPr>
                <w:rFonts w:ascii="Times New Roman" w:hAnsi="Times New Roman" w:cs="Times New Roman" w:eastAsia="Times New Roman" w:hint="default"/>
              </w:rPr>
              <w:t>36</w:t>
            </w:r>
          </w:hyperlink>
        </w:p>
        <w:p>
          <w:pPr>
            <w:pStyle w:val="TOC1"/>
            <w:tabs>
              <w:tab w:pos="7982" w:val="left" w:leader="middleDot"/>
            </w:tabs>
            <w:spacing w:line="240" w:lineRule="auto"/>
            <w:ind w:right="1787"/>
            <w:jc w:val="left"/>
            <w:rPr>
              <w:rFonts w:ascii="Times New Roman" w:hAnsi="Times New Roman" w:cs="Times New Roman" w:eastAsia="Times New Roman" w:hint="default"/>
            </w:rPr>
          </w:pPr>
          <w:hyperlink w:history="true" w:anchor="_TOC_250002">
            <w:r>
              <w:rPr/>
              <w:t>第八节</w:t>
            </w:r>
            <w:r>
              <w:rPr>
                <w:spacing w:val="9"/>
              </w:rPr>
              <w:t> </w:t>
            </w:r>
            <w:r>
              <w:rPr>
                <w:spacing w:val="-12"/>
              </w:rPr>
              <w:t>监事会报告</w:t>
            </w:r>
            <w:r>
              <w:rPr>
                <w:rFonts w:ascii="Times New Roman" w:hAnsi="Times New Roman" w:cs="Times New Roman" w:eastAsia="Times New Roman" w:hint="default"/>
                <w:spacing w:val="-12"/>
              </w:rPr>
              <w:tab/>
            </w:r>
            <w:r>
              <w:rPr>
                <w:rFonts w:ascii="Times New Roman" w:hAnsi="Times New Roman" w:cs="Times New Roman" w:eastAsia="Times New Roman" w:hint="default"/>
              </w:rPr>
              <w:t>59</w:t>
            </w:r>
          </w:hyperlink>
        </w:p>
        <w:p>
          <w:pPr>
            <w:pStyle w:val="TOC1"/>
            <w:tabs>
              <w:tab w:pos="7982" w:val="left" w:leader="middleDot"/>
            </w:tabs>
            <w:spacing w:line="240" w:lineRule="auto" w:before="339"/>
            <w:ind w:right="1787"/>
            <w:jc w:val="left"/>
            <w:rPr>
              <w:rFonts w:ascii="Times New Roman" w:hAnsi="Times New Roman" w:cs="Times New Roman" w:eastAsia="Times New Roman" w:hint="default"/>
            </w:rPr>
          </w:pPr>
          <w:hyperlink w:history="true" w:anchor="_TOC_250001">
            <w:r>
              <w:rPr/>
              <w:t>第九节</w:t>
            </w:r>
            <w:r>
              <w:rPr>
                <w:spacing w:val="4"/>
              </w:rPr>
              <w:t> </w:t>
            </w:r>
            <w:r>
              <w:rPr>
                <w:spacing w:val="-14"/>
              </w:rPr>
              <w:t>重要事项</w:t>
            </w:r>
            <w:r>
              <w:rPr>
                <w:rFonts w:ascii="Times New Roman" w:hAnsi="Times New Roman" w:cs="Times New Roman" w:eastAsia="Times New Roman" w:hint="default"/>
                <w:spacing w:val="-14"/>
              </w:rPr>
              <w:tab/>
            </w:r>
            <w:r>
              <w:rPr>
                <w:rFonts w:ascii="Times New Roman" w:hAnsi="Times New Roman" w:cs="Times New Roman" w:eastAsia="Times New Roman" w:hint="default"/>
              </w:rPr>
              <w:t>62</w:t>
            </w:r>
          </w:hyperlink>
        </w:p>
        <w:p>
          <w:pPr>
            <w:pStyle w:val="TOC1"/>
            <w:tabs>
              <w:tab w:pos="7982" w:val="left" w:leader="middleDot"/>
            </w:tabs>
            <w:spacing w:line="240" w:lineRule="auto" w:before="340"/>
            <w:ind w:right="1787"/>
            <w:jc w:val="left"/>
            <w:rPr>
              <w:rFonts w:ascii="Times New Roman" w:hAnsi="Times New Roman" w:cs="Times New Roman" w:eastAsia="Times New Roman" w:hint="default"/>
            </w:rPr>
          </w:pPr>
          <w:r>
            <w:rPr/>
            <w:t>第十节</w:t>
          </w:r>
          <w:r>
            <w:rPr>
              <w:spacing w:val="9"/>
            </w:rPr>
            <w:t> </w:t>
          </w:r>
          <w:r>
            <w:rPr>
              <w:spacing w:val="-10"/>
            </w:rPr>
            <w:t>财务会计报告</w:t>
          </w:r>
          <w:r>
            <w:rPr>
              <w:rFonts w:ascii="Times New Roman" w:hAnsi="Times New Roman" w:cs="Times New Roman" w:eastAsia="Times New Roman" w:hint="default"/>
              <w:spacing w:val="-10"/>
            </w:rPr>
            <w:tab/>
          </w:r>
          <w:r>
            <w:rPr>
              <w:rFonts w:ascii="Times New Roman" w:hAnsi="Times New Roman" w:cs="Times New Roman" w:eastAsia="Times New Roman" w:hint="default"/>
            </w:rPr>
            <w:t>68</w:t>
          </w:r>
        </w:p>
        <w:p>
          <w:pPr>
            <w:pStyle w:val="TOC1"/>
            <w:tabs>
              <w:tab w:pos="7982" w:val="left" w:leader="middleDot"/>
            </w:tabs>
            <w:spacing w:line="240" w:lineRule="auto"/>
            <w:ind w:right="1787"/>
            <w:jc w:val="left"/>
            <w:rPr>
              <w:rFonts w:ascii="Times New Roman" w:hAnsi="Times New Roman" w:cs="Times New Roman" w:eastAsia="Times New Roman" w:hint="default"/>
            </w:rPr>
          </w:pPr>
          <w:hyperlink w:history="true" w:anchor="_TOC_250000">
            <w:r>
              <w:rPr/>
              <w:t>第十一节</w:t>
            </w:r>
            <w:r>
              <w:rPr>
                <w:spacing w:val="11"/>
              </w:rPr>
              <w:t> </w:t>
            </w:r>
            <w:r>
              <w:rPr>
                <w:spacing w:val="-10"/>
              </w:rPr>
              <w:t>备查文件目录</w:t>
            </w:r>
            <w:r>
              <w:rPr>
                <w:rFonts w:ascii="Times New Roman" w:hAnsi="Times New Roman" w:cs="Times New Roman" w:eastAsia="Times New Roman" w:hint="default"/>
                <w:spacing w:val="-10"/>
              </w:rPr>
              <w:tab/>
            </w:r>
            <w:r>
              <w:rPr>
                <w:rFonts w:ascii="Times New Roman" w:hAnsi="Times New Roman" w:cs="Times New Roman" w:eastAsia="Times New Roman" w:hint="default"/>
              </w:rPr>
              <w:t>122</w:t>
            </w:r>
          </w:hyperlink>
        </w:p>
      </w:sdtContent>
    </w:sdt>
    <w:p>
      <w:pPr>
        <w:spacing w:after="0" w:line="240" w:lineRule="auto"/>
        <w:jc w:val="left"/>
        <w:rPr>
          <w:rFonts w:ascii="Times New Roman" w:hAnsi="Times New Roman" w:cs="Times New Roman" w:eastAsia="Times New Roman" w:hint="default"/>
        </w:rPr>
        <w:sectPr>
          <w:pgSz w:w="11910" w:h="16840"/>
          <w:pgMar w:header="816" w:footer="956" w:top="1160" w:bottom="1140" w:left="1660" w:right="0"/>
        </w:sectPr>
      </w:pPr>
    </w:p>
    <w:p>
      <w:pPr>
        <w:pStyle w:val="Heading1"/>
        <w:spacing w:line="240" w:lineRule="auto" w:before="388"/>
        <w:ind w:left="2927" w:right="3968"/>
        <w:jc w:val="left"/>
        <w:rPr>
          <w:b w:val="0"/>
          <w:bCs w:val="0"/>
        </w:rPr>
      </w:pPr>
      <w:bookmarkStart w:name="_TOC_250009" w:id="1"/>
      <w:r>
        <w:rPr/>
        <w:t>第一节</w:t>
      </w:r>
      <w:r>
        <w:rPr>
          <w:spacing w:val="-6"/>
        </w:rPr>
        <w:t> </w:t>
      </w:r>
      <w:r>
        <w:rPr/>
        <w:t>公司基本情况简介</w:t>
      </w:r>
      <w:bookmarkEnd w:id="1"/>
      <w:r>
        <w:rPr>
          <w:b w:val="0"/>
          <w:bCs w:val="0"/>
        </w:rPr>
      </w:r>
    </w:p>
    <w:p>
      <w:pPr>
        <w:pStyle w:val="BodyText"/>
        <w:spacing w:line="357" w:lineRule="auto" w:before="334"/>
        <w:ind w:left="1098" w:right="3968"/>
        <w:jc w:val="left"/>
      </w:pPr>
      <w:r>
        <w:rPr/>
        <w:pict>
          <v:shape style="position:absolute;margin-left:64.704002pt;margin-top:158.878677pt;width:466.4pt;height:143.4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0"/>
                    <w:gridCol w:w="4007"/>
                    <w:gridCol w:w="4097"/>
                  </w:tblGrid>
                  <w:tr>
                    <w:trPr>
                      <w:trHeight w:val="409"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400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364" w:right="0"/>
                          <w:jc w:val="left"/>
                          <w:rPr>
                            <w:rFonts w:ascii="宋体" w:hAnsi="宋体" w:cs="宋体" w:eastAsia="宋体" w:hint="default"/>
                            <w:sz w:val="21"/>
                            <w:szCs w:val="21"/>
                          </w:rPr>
                        </w:pPr>
                        <w:r>
                          <w:rPr>
                            <w:rFonts w:ascii="宋体" w:hAnsi="宋体" w:cs="宋体" w:eastAsia="宋体" w:hint="default"/>
                            <w:sz w:val="21"/>
                            <w:szCs w:val="21"/>
                          </w:rPr>
                          <w:t>董事会秘书、投资者关系管理负责人</w:t>
                        </w:r>
                      </w:p>
                    </w:tc>
                    <w:tc>
                      <w:tcPr>
                        <w:tcW w:w="40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538"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0"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right="89"/>
                          <w:jc w:val="center"/>
                          <w:rPr>
                            <w:rFonts w:ascii="宋体" w:hAnsi="宋体" w:cs="宋体" w:eastAsia="宋体" w:hint="default"/>
                            <w:sz w:val="21"/>
                            <w:szCs w:val="21"/>
                          </w:rPr>
                        </w:pPr>
                        <w:r>
                          <w:rPr>
                            <w:rFonts w:ascii="宋体" w:hAnsi="宋体" w:cs="宋体" w:eastAsia="宋体" w:hint="default"/>
                            <w:sz w:val="21"/>
                            <w:szCs w:val="21"/>
                          </w:rPr>
                          <w:t>姓名</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69" w:right="0"/>
                          <w:jc w:val="center"/>
                          <w:rPr>
                            <w:rFonts w:ascii="宋体" w:hAnsi="宋体" w:cs="宋体" w:eastAsia="宋体" w:hint="default"/>
                            <w:sz w:val="21"/>
                            <w:szCs w:val="21"/>
                          </w:rPr>
                        </w:pPr>
                        <w:r>
                          <w:rPr>
                            <w:rFonts w:ascii="宋体" w:hAnsi="宋体" w:cs="宋体" w:eastAsia="宋体" w:hint="default"/>
                            <w:sz w:val="21"/>
                            <w:szCs w:val="21"/>
                          </w:rPr>
                          <w:t>汪宇</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7" w:right="0"/>
                          <w:jc w:val="center"/>
                          <w:rPr>
                            <w:rFonts w:ascii="宋体" w:hAnsi="宋体" w:cs="宋体" w:eastAsia="宋体" w:hint="default"/>
                            <w:sz w:val="21"/>
                            <w:szCs w:val="21"/>
                          </w:rPr>
                        </w:pPr>
                        <w:r>
                          <w:rPr>
                            <w:rFonts w:ascii="宋体" w:hAnsi="宋体" w:cs="宋体" w:eastAsia="宋体" w:hint="default"/>
                            <w:sz w:val="21"/>
                            <w:szCs w:val="21"/>
                          </w:rPr>
                          <w:t>朱文</w:t>
                        </w:r>
                      </w:p>
                    </w:tc>
                  </w:tr>
                  <w:tr>
                    <w:trPr>
                      <w:trHeight w:val="811"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6"/>
                          <w:ind w:right="91"/>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安徽省芜湖市经济技术开发区</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九华北路</w:t>
                        </w:r>
                        <w:r>
                          <w:rPr>
                            <w:rFonts w:ascii="宋体" w:hAnsi="宋体" w:cs="宋体" w:eastAsia="宋体" w:hint="default"/>
                            <w:sz w:val="21"/>
                            <w:szCs w:val="21"/>
                          </w:rPr>
                          <w:t>118</w:t>
                        </w:r>
                        <w:r>
                          <w:rPr>
                            <w:rFonts w:ascii="宋体" w:hAnsi="宋体" w:cs="宋体" w:eastAsia="宋体" w:hint="default"/>
                            <w:sz w:val="21"/>
                            <w:szCs w:val="21"/>
                          </w:rPr>
                          <w:t>号</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安徽省芜湖市经济技术开发区</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九华北路</w:t>
                        </w:r>
                        <w:r>
                          <w:rPr>
                            <w:rFonts w:ascii="宋体" w:hAnsi="宋体" w:cs="宋体" w:eastAsia="宋体" w:hint="default"/>
                            <w:sz w:val="21"/>
                            <w:szCs w:val="21"/>
                          </w:rPr>
                          <w:t>118</w:t>
                        </w:r>
                        <w:r>
                          <w:rPr>
                            <w:rFonts w:ascii="宋体" w:hAnsi="宋体" w:cs="宋体" w:eastAsia="宋体" w:hint="default"/>
                            <w:sz w:val="21"/>
                            <w:szCs w:val="21"/>
                          </w:rPr>
                          <w:t>号</w:t>
                        </w:r>
                      </w:p>
                    </w:tc>
                  </w:tr>
                  <w:tr>
                    <w:trPr>
                      <w:trHeight w:val="410"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91"/>
                          <w:jc w:val="center"/>
                          <w:rPr>
                            <w:rFonts w:ascii="宋体" w:hAnsi="宋体" w:cs="宋体" w:eastAsia="宋体" w:hint="default"/>
                            <w:sz w:val="21"/>
                            <w:szCs w:val="21"/>
                          </w:rPr>
                        </w:pPr>
                        <w:r>
                          <w:rPr>
                            <w:rFonts w:ascii="宋体" w:hAnsi="宋体" w:cs="宋体" w:eastAsia="宋体" w:hint="default"/>
                            <w:sz w:val="21"/>
                            <w:szCs w:val="21"/>
                          </w:rPr>
                          <w:t>联系电话</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0553</w:t>
                        </w:r>
                        <w:r>
                          <w:rPr>
                            <w:rFonts w:ascii="宋体" w:hAnsi="宋体" w:cs="宋体" w:eastAsia="宋体" w:hint="default"/>
                            <w:sz w:val="21"/>
                            <w:szCs w:val="21"/>
                          </w:rPr>
                          <w:t>—</w:t>
                        </w:r>
                        <w:r>
                          <w:rPr>
                            <w:rFonts w:ascii="宋体" w:hAnsi="宋体" w:cs="宋体" w:eastAsia="宋体" w:hint="default"/>
                            <w:sz w:val="21"/>
                            <w:szCs w:val="21"/>
                          </w:rPr>
                          <w:t>5772627</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0553</w:t>
                        </w:r>
                        <w:r>
                          <w:rPr>
                            <w:rFonts w:ascii="宋体" w:hAnsi="宋体" w:cs="宋体" w:eastAsia="宋体" w:hint="default"/>
                            <w:sz w:val="21"/>
                            <w:szCs w:val="21"/>
                          </w:rPr>
                          <w:t>—</w:t>
                        </w:r>
                        <w:r>
                          <w:rPr>
                            <w:rFonts w:ascii="宋体" w:hAnsi="宋体" w:cs="宋体" w:eastAsia="宋体" w:hint="default"/>
                            <w:sz w:val="21"/>
                            <w:szCs w:val="21"/>
                          </w:rPr>
                          <w:t>5772627</w:t>
                        </w:r>
                      </w:p>
                    </w:tc>
                  </w:tr>
                  <w:tr>
                    <w:trPr>
                      <w:trHeight w:val="408"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31" w:val="left" w:leader="none"/>
                          </w:tabs>
                          <w:spacing w:line="219" w:lineRule="exact"/>
                          <w:ind w:right="91"/>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sz w:val="21"/>
                          </w:rPr>
                          <w:t>0553-5312688</w:t>
                        </w:r>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0553</w:t>
                        </w:r>
                        <w:r>
                          <w:rPr>
                            <w:rFonts w:ascii="宋体" w:hAnsi="宋体" w:cs="宋体" w:eastAsia="宋体" w:hint="default"/>
                            <w:sz w:val="21"/>
                            <w:szCs w:val="21"/>
                          </w:rPr>
                          <w:t>—</w:t>
                        </w:r>
                        <w:r>
                          <w:rPr>
                            <w:rFonts w:ascii="宋体" w:hAnsi="宋体" w:cs="宋体" w:eastAsia="宋体" w:hint="default"/>
                            <w:sz w:val="21"/>
                            <w:szCs w:val="21"/>
                          </w:rPr>
                          <w:t>5772865</w:t>
                        </w:r>
                      </w:p>
                    </w:tc>
                  </w:tr>
                  <w:tr>
                    <w:trPr>
                      <w:trHeight w:val="410" w:hRule="exact"/>
                    </w:trPr>
                    <w:tc>
                      <w:tcPr>
                        <w:tcW w:w="12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right="91"/>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hyperlink r:id="rId12">
                          <w:r>
                            <w:rPr>
                              <w:rFonts w:ascii="宋体"/>
                              <w:sz w:val="21"/>
                            </w:rPr>
                            <w:t>xinlongdsb@126.com</w:t>
                          </w:r>
                        </w:hyperlink>
                      </w:p>
                    </w:tc>
                    <w:tc>
                      <w:tcPr>
                        <w:tcW w:w="40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hyperlink r:id="rId13">
                          <w:r>
                            <w:rPr>
                              <w:rFonts w:ascii="宋体"/>
                              <w:sz w:val="21"/>
                            </w:rPr>
                            <w:t>zhuwen888@126.com</w:t>
                          </w:r>
                        </w:hyperlink>
                      </w:p>
                    </w:tc>
                  </w:tr>
                </w:tbl>
                <w:p>
                  <w:pPr/>
                </w:p>
              </w:txbxContent>
            </v:textbox>
            <w10:wrap type="none"/>
          </v:shape>
        </w:pict>
      </w:r>
      <w:r>
        <w:rPr/>
        <w:t>一、公司法定中文名称：安徽鑫龙电器股份有限公司 公司英文名称：</w:t>
      </w:r>
      <w:r>
        <w:rPr>
          <w:rFonts w:ascii="宋体" w:hAnsi="宋体" w:cs="宋体" w:eastAsia="宋体" w:hint="default"/>
        </w:rPr>
        <w:t>Anhui Xinlong Electrical Co.,Ltd. </w:t>
      </w:r>
      <w:r>
        <w:rPr/>
        <w:t>公司中文名称缩写：鑫龙电器 公司英文名称缩写：</w:t>
      </w:r>
      <w:r>
        <w:rPr>
          <w:rFonts w:ascii="宋体" w:hAnsi="宋体" w:cs="宋体" w:eastAsia="宋体" w:hint="default"/>
        </w:rPr>
        <w:t>Xinlong Electrical </w:t>
      </w:r>
      <w:r>
        <w:rPr/>
        <w:t>二、公司法定代表人：束龙胜 三、相关联系人和联系方式：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BodyText"/>
        <w:spacing w:line="357" w:lineRule="auto" w:before="0"/>
        <w:ind w:left="1098" w:right="1584" w:hanging="480"/>
        <w:jc w:val="both"/>
        <w:rPr>
          <w:rFonts w:ascii="宋体" w:hAnsi="宋体" w:cs="宋体" w:eastAsia="宋体" w:hint="default"/>
        </w:rPr>
      </w:pPr>
      <w:r>
        <w:rPr/>
        <w:t>四、公司注册地址：安徽省芜湖市经济技术开发区电器部件园（九华北路</w:t>
      </w:r>
      <w:r>
        <w:rPr>
          <w:rFonts w:ascii="宋体" w:hAnsi="宋体" w:cs="宋体" w:eastAsia="宋体" w:hint="default"/>
        </w:rPr>
        <w:t>118</w:t>
      </w:r>
      <w:r>
        <w:rPr/>
        <w:t>号） 公司办公地址：安徽省芜湖市经济技术开发区电器部件园（九华北路</w:t>
      </w:r>
      <w:r>
        <w:rPr>
          <w:rFonts w:ascii="宋体" w:hAnsi="宋体" w:cs="宋体" w:eastAsia="宋体" w:hint="default"/>
        </w:rPr>
        <w:t>118</w:t>
      </w:r>
      <w:r>
        <w:rPr/>
        <w:t>号） 邮政编码：</w:t>
      </w:r>
      <w:r>
        <w:rPr>
          <w:rFonts w:ascii="宋体" w:hAnsi="宋体" w:cs="宋体" w:eastAsia="宋体" w:hint="default"/>
        </w:rPr>
        <w:t>241008</w:t>
      </w:r>
    </w:p>
    <w:p>
      <w:pPr>
        <w:pStyle w:val="BodyText"/>
        <w:spacing w:line="357" w:lineRule="auto"/>
        <w:ind w:left="1098" w:right="2448"/>
        <w:jc w:val="left"/>
      </w:pPr>
      <w:r>
        <w:rPr/>
        <w:t>互联网网址：</w:t>
      </w:r>
      <w:r>
        <w:rPr>
          <w:rFonts w:ascii="宋体" w:hAnsi="宋体" w:cs="宋体" w:eastAsia="宋体" w:hint="default"/>
        </w:rPr>
        <w:t>http</w:t>
      </w:r>
      <w:r>
        <w:rPr/>
        <w:t>：</w:t>
      </w:r>
      <w:hyperlink r:id="rId14">
        <w:r>
          <w:rPr>
            <w:rFonts w:ascii="宋体" w:hAnsi="宋体" w:cs="宋体" w:eastAsia="宋体" w:hint="default"/>
          </w:rPr>
          <w:t>//www.ah</w:t>
        </w:r>
      </w:hyperlink>
      <w:r>
        <w:rPr>
          <w:rFonts w:ascii="宋体" w:hAnsi="宋体" w:cs="宋体" w:eastAsia="宋体" w:hint="default"/>
        </w:rPr>
        <w:t>-</w:t>
      </w:r>
      <w:hyperlink r:id="rId14">
        <w:r>
          <w:rPr>
            <w:rFonts w:ascii="宋体" w:hAnsi="宋体" w:cs="宋体" w:eastAsia="宋体" w:hint="default"/>
          </w:rPr>
          <w:t>xinlong.co</w:t>
        </w:r>
      </w:hyperlink>
      <w:r>
        <w:rPr>
          <w:rFonts w:ascii="宋体" w:hAnsi="宋体" w:cs="宋体" w:eastAsia="宋体" w:hint="default"/>
        </w:rPr>
        <w:t>m</w:t>
      </w:r>
      <w:r>
        <w:rPr>
          <w:rFonts w:ascii="宋体" w:hAnsi="宋体" w:cs="宋体" w:eastAsia="宋体" w:hint="default"/>
        </w:rPr>
        <w:t> </w:t>
      </w:r>
      <w:r>
        <w:rPr/>
        <w:t>电子信箱：</w:t>
      </w:r>
      <w:hyperlink r:id="rId12">
        <w:r>
          <w:rPr>
            <w:rFonts w:ascii="宋体" w:hAnsi="宋体" w:cs="宋体" w:eastAsia="宋体" w:hint="default"/>
          </w:rPr>
          <w:t>xinlongdsb@126.com</w:t>
        </w:r>
      </w:hyperlink>
      <w:r>
        <w:rPr>
          <w:rFonts w:ascii="宋体" w:hAnsi="宋体" w:cs="宋体" w:eastAsia="宋体" w:hint="default"/>
        </w:rPr>
        <w:t> </w:t>
      </w:r>
      <w:r>
        <w:rPr>
          <w:spacing w:val="-14"/>
        </w:rPr>
        <w:t>五、公司选定信息披露报纸：《证券时报》、《中国证券报》</w:t>
      </w:r>
      <w:r>
        <w:rPr>
          <w:spacing w:val="-102"/>
        </w:rPr>
        <w:t> </w:t>
      </w:r>
      <w:r>
        <w:rPr>
          <w:spacing w:val="-102"/>
        </w:rPr>
      </w:r>
      <w:r>
        <w:rPr/>
        <w:t>中国证监会指定信息披露网站网址：</w:t>
      </w:r>
      <w:hyperlink r:id="rId15">
        <w:r>
          <w:rPr>
            <w:rFonts w:ascii="宋体" w:hAnsi="宋体" w:cs="宋体" w:eastAsia="宋体" w:hint="default"/>
          </w:rPr>
          <w:t>www.cninfo.com.cn</w:t>
        </w:r>
      </w:hyperlink>
      <w:r>
        <w:rPr>
          <w:rFonts w:ascii="宋体" w:hAnsi="宋体" w:cs="宋体" w:eastAsia="宋体" w:hint="default"/>
        </w:rPr>
        <w:t> </w:t>
      </w:r>
      <w:r>
        <w:rPr/>
        <w:t>年度报告备置地点：公司董事会办公室 六、公司股票上市交易所：深圳证券交易所 公司股票简称：鑫龙电器</w:t>
      </w:r>
    </w:p>
    <w:p>
      <w:pPr>
        <w:pStyle w:val="BodyText"/>
        <w:spacing w:line="357" w:lineRule="auto" w:before="37"/>
        <w:ind w:left="1098" w:right="5408"/>
        <w:jc w:val="left"/>
      </w:pPr>
      <w:r>
        <w:rPr/>
        <w:t>公司股票代码：</w:t>
      </w:r>
      <w:r>
        <w:rPr>
          <w:rFonts w:ascii="宋体" w:hAnsi="宋体" w:cs="宋体" w:eastAsia="宋体" w:hint="default"/>
        </w:rPr>
        <w:t>002298 </w:t>
      </w:r>
      <w:r>
        <w:rPr/>
        <w:t>七、其它有关资料 公司首次登记注册日期：</w:t>
      </w:r>
      <w:r>
        <w:rPr>
          <w:rFonts w:ascii="宋体" w:hAnsi="宋体" w:cs="宋体" w:eastAsia="宋体" w:hint="default"/>
        </w:rPr>
        <w:t>1998</w:t>
      </w:r>
      <w:r>
        <w:rPr/>
        <w:t>年</w:t>
      </w:r>
      <w:r>
        <w:rPr>
          <w:rFonts w:ascii="宋体" w:hAnsi="宋体" w:cs="宋体" w:eastAsia="宋体" w:hint="default"/>
        </w:rPr>
        <w:t>5</w:t>
      </w:r>
      <w:r>
        <w:rPr/>
        <w:t>月</w:t>
      </w:r>
      <w:r>
        <w:rPr>
          <w:rFonts w:ascii="宋体" w:hAnsi="宋体" w:cs="宋体" w:eastAsia="宋体" w:hint="default"/>
        </w:rPr>
        <w:t>15</w:t>
      </w:r>
      <w:r>
        <w:rPr/>
        <w:t>日</w:t>
      </w:r>
    </w:p>
    <w:p>
      <w:pPr>
        <w:pStyle w:val="BodyText"/>
        <w:spacing w:line="357" w:lineRule="auto"/>
        <w:ind w:left="1098" w:right="3608"/>
        <w:jc w:val="left"/>
      </w:pPr>
      <w:r>
        <w:rPr/>
        <w:t>公司首次登记注册地点：安徽省芜湖市</w:t>
      </w:r>
      <w:r>
        <w:rPr>
          <w:rFonts w:ascii="宋体" w:hAnsi="宋体" w:cs="宋体" w:eastAsia="宋体" w:hint="default"/>
        </w:rPr>
        <w:t>205</w:t>
      </w:r>
      <w:r>
        <w:rPr/>
        <w:t>国道</w:t>
      </w:r>
      <w:r>
        <w:rPr>
          <w:rFonts w:ascii="宋体" w:hAnsi="宋体" w:cs="宋体" w:eastAsia="宋体" w:hint="default"/>
        </w:rPr>
        <w:t>118</w:t>
      </w:r>
      <w:r>
        <w:rPr/>
        <w:t>号 公司最近一次变更登记注册日期：</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25</w:t>
      </w:r>
      <w:r>
        <w:rPr/>
        <w:t>日 公司最近一次变更登记注册地点：芜湖市工商行政管理局</w:t>
      </w:r>
    </w:p>
    <w:p>
      <w:pPr>
        <w:spacing w:after="0" w:line="357" w:lineRule="auto"/>
        <w:jc w:val="left"/>
        <w:sectPr>
          <w:pgSz w:w="11910" w:h="16840"/>
          <w:pgMar w:header="816" w:footer="956" w:top="1160" w:bottom="1140" w:left="118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248"/>
        <w:jc w:val="left"/>
      </w:pPr>
      <w:r>
        <w:rPr/>
        <w:t>公司法人营业执照注册号：</w:t>
      </w:r>
      <w:r>
        <w:rPr>
          <w:rFonts w:ascii="宋体" w:hAnsi="宋体" w:cs="宋体" w:eastAsia="宋体" w:hint="default"/>
        </w:rPr>
        <w:t>3400002400030 </w:t>
      </w:r>
      <w:r>
        <w:rPr/>
        <w:t>公司税务登记证号：</w:t>
      </w:r>
      <w:r>
        <w:rPr>
          <w:rFonts w:ascii="宋体" w:hAnsi="宋体" w:cs="宋体" w:eastAsia="宋体" w:hint="default"/>
        </w:rPr>
        <w:t>340207149661982 </w:t>
      </w:r>
      <w:r>
        <w:rPr/>
        <w:t>公司聘请的会计师事务所：天健正信会计师事务所有限公司 </w:t>
      </w:r>
      <w:r>
        <w:rPr>
          <w:spacing w:val="-3"/>
        </w:rPr>
        <w:t>公司聘请的会计师事务所办公地址：北京市西城区月坛北街</w:t>
      </w:r>
      <w:r>
        <w:rPr>
          <w:rFonts w:ascii="宋体" w:hAnsi="宋体" w:cs="宋体" w:eastAsia="宋体" w:hint="default"/>
          <w:spacing w:val="-3"/>
        </w:rPr>
        <w:t>26</w:t>
      </w:r>
      <w:r>
        <w:rPr>
          <w:spacing w:val="-3"/>
        </w:rPr>
        <w:t>号恒华国际商务</w:t>
      </w:r>
    </w:p>
    <w:p>
      <w:pPr>
        <w:pStyle w:val="BodyText"/>
        <w:spacing w:line="240" w:lineRule="auto"/>
        <w:ind w:right="1787"/>
        <w:jc w:val="left"/>
        <w:rPr>
          <w:rFonts w:ascii="宋体" w:hAnsi="宋体" w:cs="宋体" w:eastAsia="宋体" w:hint="default"/>
        </w:rPr>
      </w:pPr>
      <w:r>
        <w:rPr/>
        <w:t>中心</w:t>
      </w:r>
      <w:r>
        <w:rPr>
          <w:rFonts w:ascii="宋体" w:hAnsi="宋体" w:cs="宋体" w:eastAsia="宋体" w:hint="default"/>
        </w:rPr>
        <w:t>A</w:t>
      </w:r>
      <w:r>
        <w:rPr/>
        <w:t>座</w:t>
      </w:r>
      <w:r>
        <w:rPr>
          <w:rFonts w:ascii="宋体" w:hAnsi="宋体" w:cs="宋体" w:eastAsia="宋体" w:hint="default"/>
        </w:rPr>
        <w:t>401</w:t>
      </w:r>
    </w:p>
    <w:p>
      <w:pPr>
        <w:spacing w:after="0" w:line="240" w:lineRule="auto"/>
        <w:jc w:val="left"/>
        <w:rPr>
          <w:rFonts w:ascii="宋体" w:hAnsi="宋体" w:cs="宋体" w:eastAsia="宋体" w:hint="default"/>
        </w:rPr>
        <w:sectPr>
          <w:pgSz w:w="11910" w:h="16840"/>
          <w:pgMar w:header="816" w:footer="956" w:top="1160" w:bottom="1140" w:left="1660" w:right="0"/>
        </w:sectPr>
      </w:pPr>
    </w:p>
    <w:p>
      <w:pPr>
        <w:spacing w:line="240" w:lineRule="auto" w:before="8"/>
        <w:rPr>
          <w:rFonts w:ascii="宋体" w:hAnsi="宋体" w:cs="宋体" w:eastAsia="宋体" w:hint="default"/>
          <w:sz w:val="29"/>
          <w:szCs w:val="29"/>
        </w:rPr>
      </w:pPr>
    </w:p>
    <w:p>
      <w:pPr>
        <w:pStyle w:val="Heading1"/>
        <w:spacing w:line="240" w:lineRule="auto"/>
        <w:ind w:left="2684" w:right="0"/>
        <w:jc w:val="left"/>
        <w:rPr>
          <w:b w:val="0"/>
          <w:bCs w:val="0"/>
        </w:rPr>
      </w:pPr>
      <w:bookmarkStart w:name="_TOC_250008" w:id="2"/>
      <w:r>
        <w:rPr/>
        <w:t>第二节</w:t>
      </w:r>
      <w:r>
        <w:rPr>
          <w:spacing w:val="-5"/>
        </w:rPr>
        <w:t> </w:t>
      </w:r>
      <w:r>
        <w:rPr/>
        <w:t>会计数据和业务数据摘要</w:t>
      </w:r>
      <w:bookmarkEnd w:id="2"/>
      <w:r>
        <w:rPr>
          <w:b w:val="0"/>
          <w:bCs w:val="0"/>
        </w:rPr>
      </w:r>
    </w:p>
    <w:p>
      <w:pPr>
        <w:spacing w:line="240" w:lineRule="auto" w:before="8"/>
        <w:rPr>
          <w:rFonts w:ascii="黑体" w:hAnsi="黑体" w:cs="黑体" w:eastAsia="黑体" w:hint="default"/>
          <w:b/>
          <w:bCs/>
          <w:sz w:val="25"/>
          <w:szCs w:val="25"/>
        </w:rPr>
      </w:pPr>
    </w:p>
    <w:p>
      <w:pPr>
        <w:pStyle w:val="BodyText"/>
        <w:spacing w:line="240" w:lineRule="auto" w:before="0"/>
        <w:ind w:left="1338" w:right="0"/>
        <w:jc w:val="left"/>
      </w:pPr>
      <w:r>
        <w:rPr/>
        <w:t>一、主要会计数据</w:t>
      </w:r>
    </w:p>
    <w:p>
      <w:pPr>
        <w:tabs>
          <w:tab w:pos="1891" w:val="left" w:leader="none"/>
        </w:tabs>
        <w:spacing w:before="160"/>
        <w:ind w:left="0" w:right="1541" w:firstLine="0"/>
        <w:jc w:val="right"/>
        <w:rPr>
          <w:rFonts w:ascii="宋体" w:hAnsi="宋体" w:cs="宋体" w:eastAsia="宋体" w:hint="default"/>
          <w:sz w:val="21"/>
          <w:szCs w:val="21"/>
        </w:rPr>
      </w:pPr>
      <w:r>
        <w:rPr>
          <w:rFonts w:ascii="宋体" w:hAnsi="宋体" w:cs="宋体" w:eastAsia="宋体" w:hint="default"/>
          <w:spacing w:val="-2"/>
          <w:sz w:val="21"/>
          <w:szCs w:val="21"/>
        </w:rPr>
        <w:t>金额单位：人民币</w:t>
        <w:tab/>
      </w:r>
      <w:r>
        <w:rPr>
          <w:rFonts w:ascii="宋体" w:hAnsi="宋体" w:cs="宋体" w:eastAsia="宋体" w:hint="default"/>
          <w:sz w:val="21"/>
          <w:szCs w:val="21"/>
        </w:rPr>
        <w:t>元</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692"/>
        <w:gridCol w:w="2041"/>
        <w:gridCol w:w="2028"/>
        <w:gridCol w:w="2029"/>
        <w:gridCol w:w="2028"/>
      </w:tblGrid>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609,526,619.84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512,854,330.10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418,854,654.07</w:t>
            </w:r>
          </w:p>
        </w:tc>
      </w:tr>
      <w:tr>
        <w:trPr>
          <w:trHeight w:val="24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sz w:val="18"/>
              </w:rPr>
              <w:t>50,104,486.15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44,059,852.91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32,694,605.66</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5"/>
              <w:ind w:left="6" w:right="0"/>
              <w:jc w:val="center"/>
              <w:rPr>
                <w:rFonts w:ascii="宋体" w:hAnsi="宋体" w:cs="宋体" w:eastAsia="宋体" w:hint="default"/>
                <w:sz w:val="18"/>
                <w:szCs w:val="18"/>
              </w:rPr>
            </w:pPr>
            <w:r>
              <w:rPr>
                <w:rFonts w:ascii="宋体"/>
                <w:sz w:val="18"/>
              </w:rPr>
              <w:t>42,735,587.61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37,986,548.08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12.50%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27,784,980.12</w:t>
            </w:r>
          </w:p>
        </w:tc>
      </w:tr>
      <w:tr>
        <w:trPr>
          <w:trHeight w:val="710"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4"/>
              <w:ind w:left="211" w:right="29" w:hanging="181"/>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38,841,951.38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36,291,958.57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7.03%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27,431,279.38</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41" w:type="dxa"/>
            <w:tcBorders>
              <w:top w:val="single" w:sz="4" w:space="0" w:color="000000"/>
              <w:left w:val="single" w:sz="10" w:space="0" w:color="DCDCDC"/>
              <w:bottom w:val="single" w:sz="51" w:space="0" w:color="DCDCDC"/>
              <w:right w:val="single" w:sz="4"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sz w:val="18"/>
              </w:rPr>
              <w:t>-152,638,603.93</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15,730,640.06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-1,070.33%</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28,184,503.19</w:t>
            </w:r>
          </w:p>
        </w:tc>
      </w:tr>
      <w:tr>
        <w:trPr>
          <w:trHeight w:val="122" w:hRule="exact"/>
        </w:trPr>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96" w:hRule="exact"/>
        </w:trPr>
        <w:tc>
          <w:tcPr>
            <w:tcW w:w="169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1" w:type="dxa"/>
            <w:tcBorders>
              <w:top w:val="single" w:sz="47" w:space="0" w:color="DCDCDC"/>
              <w:left w:val="single" w:sz="10" w:space="0" w:color="DCDCDC"/>
              <w:bottom w:val="single" w:sz="4" w:space="0" w:color="000000"/>
              <w:right w:val="single" w:sz="4" w:space="0" w:color="000000"/>
            </w:tcBorders>
          </w:tcPr>
          <w:p>
            <w:pPr>
              <w:pStyle w:val="TableParagraph"/>
              <w:spacing w:line="210" w:lineRule="exact"/>
              <w:ind w:left="6" w:right="0"/>
              <w:jc w:val="center"/>
              <w:rPr>
                <w:rFonts w:ascii="宋体" w:hAnsi="宋体" w:cs="宋体" w:eastAsia="宋体" w:hint="default"/>
                <w:sz w:val="18"/>
                <w:szCs w:val="18"/>
              </w:rPr>
            </w:pPr>
            <w:r>
              <w:rPr>
                <w:rFonts w:ascii="宋体"/>
                <w:sz w:val="18"/>
              </w:rPr>
              <w:t>1,157,978,344.72</w:t>
            </w:r>
          </w:p>
        </w:tc>
        <w:tc>
          <w:tcPr>
            <w:tcW w:w="2028" w:type="dxa"/>
            <w:tcBorders>
              <w:top w:val="single" w:sz="47" w:space="0" w:color="DCDCDC"/>
              <w:left w:val="single" w:sz="4" w:space="0" w:color="000000"/>
              <w:bottom w:val="single" w:sz="4" w:space="0" w:color="000000"/>
              <w:right w:val="single" w:sz="10" w:space="0" w:color="DCDCDC"/>
            </w:tcBorders>
          </w:tcPr>
          <w:p>
            <w:pPr>
              <w:pStyle w:val="TableParagraph"/>
              <w:spacing w:line="210" w:lineRule="exact"/>
              <w:ind w:left="6" w:right="0"/>
              <w:jc w:val="center"/>
              <w:rPr>
                <w:rFonts w:ascii="宋体" w:hAnsi="宋体" w:cs="宋体" w:eastAsia="宋体" w:hint="default"/>
                <w:sz w:val="18"/>
                <w:szCs w:val="18"/>
              </w:rPr>
            </w:pPr>
            <w:r>
              <w:rPr>
                <w:rFonts w:ascii="宋体"/>
                <w:sz w:val="18"/>
              </w:rPr>
              <w:t>857,958,892.00</w:t>
            </w:r>
          </w:p>
        </w:tc>
        <w:tc>
          <w:tcPr>
            <w:tcW w:w="2029" w:type="dxa"/>
            <w:tcBorders>
              <w:top w:val="single" w:sz="4" w:space="0" w:color="000000"/>
              <w:left w:val="single" w:sz="10" w:space="0" w:color="DCDCDC"/>
              <w:bottom w:val="single" w:sz="4" w:space="0" w:color="000000"/>
              <w:right w:val="single" w:sz="14" w:space="0" w:color="DCDCDC"/>
            </w:tcBorders>
          </w:tcPr>
          <w:p>
            <w:pPr>
              <w:pStyle w:val="TableParagraph"/>
              <w:spacing w:line="240" w:lineRule="auto" w:before="28"/>
              <w:ind w:left="5" w:right="0"/>
              <w:jc w:val="center"/>
              <w:rPr>
                <w:rFonts w:ascii="宋体" w:hAnsi="宋体" w:cs="宋体" w:eastAsia="宋体" w:hint="default"/>
                <w:sz w:val="18"/>
                <w:szCs w:val="18"/>
              </w:rPr>
            </w:pPr>
            <w:r>
              <w:rPr>
                <w:rFonts w:ascii="宋体"/>
                <w:sz w:val="18"/>
              </w:rPr>
              <w:t>34.97%</w:t>
            </w:r>
          </w:p>
        </w:tc>
        <w:tc>
          <w:tcPr>
            <w:tcW w:w="2028" w:type="dxa"/>
            <w:tcBorders>
              <w:top w:val="single" w:sz="47" w:space="0" w:color="DCDCDC"/>
              <w:left w:val="single" w:sz="14" w:space="0" w:color="DCDCDC"/>
              <w:bottom w:val="single" w:sz="4" w:space="0" w:color="000000"/>
              <w:right w:val="single" w:sz="4" w:space="0" w:color="000000"/>
            </w:tcBorders>
          </w:tcPr>
          <w:p>
            <w:pPr>
              <w:pStyle w:val="TableParagraph"/>
              <w:spacing w:line="210" w:lineRule="exact"/>
              <w:ind w:right="10"/>
              <w:jc w:val="center"/>
              <w:rPr>
                <w:rFonts w:ascii="宋体" w:hAnsi="宋体" w:cs="宋体" w:eastAsia="宋体" w:hint="default"/>
                <w:sz w:val="18"/>
                <w:szCs w:val="18"/>
              </w:rPr>
            </w:pPr>
            <w:r>
              <w:rPr>
                <w:rFonts w:ascii="宋体"/>
                <w:sz w:val="18"/>
              </w:rPr>
              <w:t>617,144,825.50</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488,684,414.01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452,548,826.40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7.98%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174,422,562.38</w:t>
            </w:r>
          </w:p>
        </w:tc>
      </w:tr>
      <w:tr>
        <w:trPr>
          <w:trHeight w:val="242"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165,000,000.00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110,000,000.00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82,000,000.00</w:t>
            </w:r>
          </w:p>
        </w:tc>
      </w:tr>
    </w:tbl>
    <w:p>
      <w:pPr>
        <w:spacing w:line="240" w:lineRule="auto" w:before="4"/>
        <w:rPr>
          <w:rFonts w:ascii="宋体" w:hAnsi="宋体" w:cs="宋体" w:eastAsia="宋体" w:hint="default"/>
          <w:sz w:val="26"/>
          <w:szCs w:val="26"/>
        </w:rPr>
      </w:pPr>
    </w:p>
    <w:p>
      <w:pPr>
        <w:pStyle w:val="BodyText"/>
        <w:spacing w:line="240" w:lineRule="auto" w:before="26"/>
        <w:ind w:left="1338" w:right="0"/>
        <w:jc w:val="left"/>
      </w:pPr>
      <w:r>
        <w:rPr/>
        <w:t>二、主要财务指标</w:t>
      </w:r>
    </w:p>
    <w:p>
      <w:pPr>
        <w:spacing w:line="240" w:lineRule="auto" w:before="4"/>
        <w:rPr>
          <w:rFonts w:ascii="宋体" w:hAnsi="宋体" w:cs="宋体" w:eastAsia="宋体" w:hint="default"/>
          <w:sz w:val="9"/>
          <w:szCs w:val="9"/>
        </w:rPr>
      </w:pPr>
    </w:p>
    <w:p>
      <w:pPr>
        <w:tabs>
          <w:tab w:pos="1471" w:val="left" w:leader="none"/>
        </w:tabs>
        <w:spacing w:before="36"/>
        <w:ind w:left="0" w:right="1541"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w:t>
        <w:tab/>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66"/>
        <w:gridCol w:w="1935"/>
        <w:gridCol w:w="1925"/>
        <w:gridCol w:w="1769"/>
        <w:gridCol w:w="1922"/>
      </w:tblGrid>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2" w:val="left" w:leader="none"/>
              </w:tabs>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0.2590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0.2845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-8.96%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0.2259</w:t>
            </w:r>
          </w:p>
        </w:tc>
      </w:tr>
      <w:tr>
        <w:trPr>
          <w:trHeight w:val="24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0.2590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0.2845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z w:val="18"/>
              </w:rPr>
              <w:t>-8.96%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0.2259</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0.2354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0.2718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-13.39%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0.2230</w:t>
            </w:r>
          </w:p>
        </w:tc>
      </w:tr>
      <w:tr>
        <w:trPr>
          <w:trHeight w:val="242"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8"/>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9.08%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14.99%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-5.91%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17.31%</w:t>
            </w:r>
          </w:p>
        </w:tc>
      </w:tr>
      <w:tr>
        <w:trPr>
          <w:trHeight w:val="478"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93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z w:val="18"/>
              </w:rPr>
              <w:t>8.25%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14.32%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-6.07%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17.09%</w:t>
            </w:r>
          </w:p>
        </w:tc>
      </w:tr>
      <w:tr>
        <w:trPr>
          <w:trHeight w:val="534"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宋体" w:hAnsi="宋体" w:cs="宋体" w:eastAsia="宋体" w:hint="default"/>
                <w:sz w:val="18"/>
                <w:szCs w:val="18"/>
              </w:rPr>
              <w:t>/</w:t>
            </w:r>
            <w:r>
              <w:rPr>
                <w:rFonts w:ascii="宋体" w:hAnsi="宋体" w:cs="宋体" w:eastAsia="宋体" w:hint="default"/>
                <w:sz w:val="18"/>
                <w:szCs w:val="18"/>
              </w:rPr>
              <w:t>股）</w:t>
            </w:r>
          </w:p>
        </w:tc>
        <w:tc>
          <w:tcPr>
            <w:tcW w:w="1935"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-0.9251</w:t>
            </w:r>
          </w:p>
        </w:tc>
        <w:tc>
          <w:tcPr>
            <w:tcW w:w="1925" w:type="dxa"/>
            <w:tcBorders>
              <w:top w:val="single" w:sz="4" w:space="0" w:color="000000"/>
              <w:left w:val="single" w:sz="4" w:space="0" w:color="000000"/>
              <w:bottom w:val="single" w:sz="51" w:space="0" w:color="DCDCDC"/>
              <w:right w:val="single" w:sz="9" w:space="0" w:color="DCDCDC"/>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0.1430</w:t>
            </w:r>
          </w:p>
        </w:tc>
        <w:tc>
          <w:tcPr>
            <w:tcW w:w="1769"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85"/>
              <w:ind w:right="12"/>
              <w:jc w:val="right"/>
              <w:rPr>
                <w:rFonts w:ascii="宋体" w:hAnsi="宋体" w:cs="宋体" w:eastAsia="宋体" w:hint="default"/>
                <w:sz w:val="18"/>
                <w:szCs w:val="18"/>
              </w:rPr>
            </w:pPr>
            <w:r>
              <w:rPr>
                <w:rFonts w:ascii="宋体"/>
                <w:spacing w:val="-1"/>
                <w:sz w:val="18"/>
              </w:rPr>
              <w:t>-746.92%</w:t>
            </w:r>
          </w:p>
        </w:tc>
        <w:tc>
          <w:tcPr>
            <w:tcW w:w="1922" w:type="dxa"/>
            <w:tcBorders>
              <w:top w:val="single" w:sz="4" w:space="0" w:color="000000"/>
              <w:left w:val="single" w:sz="13" w:space="0" w:color="DCDCDC"/>
              <w:bottom w:val="single" w:sz="51" w:space="0" w:color="DCDCDC"/>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pacing w:val="-1"/>
                <w:sz w:val="18"/>
              </w:rPr>
              <w:t>0.3437</w:t>
            </w:r>
          </w:p>
        </w:tc>
      </w:tr>
      <w:tr>
        <w:trPr>
          <w:trHeight w:val="360"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8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7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8" w:lineRule="exact"/>
              <w:ind w:right="3"/>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7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536"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53"/>
              <w:ind w:left="12" w:right="82"/>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1935"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92"/>
              <w:ind w:right="21"/>
              <w:jc w:val="right"/>
              <w:rPr>
                <w:rFonts w:ascii="宋体" w:hAnsi="宋体" w:cs="宋体" w:eastAsia="宋体" w:hint="default"/>
                <w:sz w:val="18"/>
                <w:szCs w:val="18"/>
              </w:rPr>
            </w:pPr>
            <w:r>
              <w:rPr>
                <w:rFonts w:ascii="宋体"/>
                <w:sz w:val="18"/>
              </w:rPr>
              <w:t>2.96</w:t>
            </w:r>
          </w:p>
        </w:tc>
        <w:tc>
          <w:tcPr>
            <w:tcW w:w="1925"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92"/>
              <w:ind w:right="15"/>
              <w:jc w:val="right"/>
              <w:rPr>
                <w:rFonts w:ascii="宋体" w:hAnsi="宋体" w:cs="宋体" w:eastAsia="宋体" w:hint="default"/>
                <w:sz w:val="18"/>
                <w:szCs w:val="18"/>
              </w:rPr>
            </w:pPr>
            <w:r>
              <w:rPr>
                <w:rFonts w:ascii="宋体"/>
                <w:sz w:val="18"/>
              </w:rPr>
              <w:t>4.11</w:t>
            </w:r>
          </w:p>
        </w:tc>
        <w:tc>
          <w:tcPr>
            <w:tcW w:w="1769"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46"/>
              <w:ind w:right="12"/>
              <w:jc w:val="right"/>
              <w:rPr>
                <w:rFonts w:ascii="宋体" w:hAnsi="宋体" w:cs="宋体" w:eastAsia="宋体" w:hint="default"/>
                <w:sz w:val="18"/>
                <w:szCs w:val="18"/>
              </w:rPr>
            </w:pPr>
            <w:r>
              <w:rPr>
                <w:rFonts w:ascii="宋体"/>
                <w:sz w:val="18"/>
              </w:rPr>
              <w:t>-27.98%</w:t>
            </w:r>
          </w:p>
        </w:tc>
        <w:tc>
          <w:tcPr>
            <w:tcW w:w="1922"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92"/>
              <w:ind w:right="21"/>
              <w:jc w:val="right"/>
              <w:rPr>
                <w:rFonts w:ascii="宋体" w:hAnsi="宋体" w:cs="宋体" w:eastAsia="宋体" w:hint="default"/>
                <w:sz w:val="18"/>
                <w:szCs w:val="18"/>
              </w:rPr>
            </w:pPr>
            <w:r>
              <w:rPr>
                <w:rFonts w:ascii="宋体"/>
                <w:sz w:val="18"/>
              </w:rPr>
              <w:t>2.13</w:t>
            </w:r>
          </w:p>
        </w:tc>
      </w:tr>
    </w:tbl>
    <w:p>
      <w:pPr>
        <w:spacing w:line="240" w:lineRule="auto" w:before="9"/>
        <w:rPr>
          <w:rFonts w:ascii="宋体" w:hAnsi="宋体" w:cs="宋体" w:eastAsia="宋体" w:hint="default"/>
          <w:sz w:val="15"/>
          <w:szCs w:val="15"/>
        </w:rPr>
      </w:pPr>
    </w:p>
    <w:p>
      <w:pPr>
        <w:pStyle w:val="BodyText"/>
        <w:spacing w:line="357" w:lineRule="auto" w:before="26"/>
        <w:ind w:left="1338" w:right="0" w:firstLine="120"/>
        <w:jc w:val="left"/>
      </w:pPr>
      <w:r>
        <w:rPr/>
        <w:t>三、当期非经常性损益明细表 根据中国证监会《公开发行证券的公司信息披露解释性公告第</w:t>
      </w:r>
      <w:r>
        <w:rPr>
          <w:rFonts w:ascii="宋体" w:hAnsi="宋体" w:cs="宋体" w:eastAsia="宋体" w:hint="default"/>
        </w:rPr>
        <w:t>1</w:t>
      </w:r>
      <w:r>
        <w:rPr/>
        <w:t>号—非经常性</w:t>
      </w:r>
    </w:p>
    <w:p>
      <w:pPr>
        <w:pStyle w:val="BodyText"/>
        <w:spacing w:line="240" w:lineRule="auto"/>
        <w:ind w:left="0" w:right="1465"/>
        <w:jc w:val="right"/>
      </w:pPr>
      <w:r>
        <w:rPr/>
        <w:t>损益</w:t>
      </w:r>
      <w:r>
        <w:rPr>
          <w:spacing w:val="-120"/>
        </w:rPr>
        <w:t>》（</w:t>
      </w:r>
      <w:r>
        <w:rPr/>
        <w:t>“中国证券监督管理委员会公告</w:t>
      </w:r>
      <w:r>
        <w:rPr>
          <w:rFonts w:ascii="宋体" w:hAnsi="宋体" w:cs="宋体" w:eastAsia="宋体" w:hint="default"/>
        </w:rPr>
        <w:t>[2008]43</w:t>
      </w:r>
      <w:r>
        <w:rPr/>
        <w:t>号</w:t>
      </w:r>
      <w:r>
        <w:rPr>
          <w:spacing w:val="-120"/>
        </w:rPr>
        <w:t>”）</w:t>
      </w:r>
      <w:r>
        <w:rPr/>
        <w:t>，本公司非经常性损益如下：</w:t>
      </w:r>
    </w:p>
    <w:p>
      <w:pPr>
        <w:spacing w:line="240" w:lineRule="auto" w:before="13"/>
        <w:rPr>
          <w:rFonts w:ascii="宋体" w:hAnsi="宋体" w:cs="宋体" w:eastAsia="宋体" w:hint="default"/>
          <w:sz w:val="32"/>
          <w:szCs w:val="32"/>
        </w:rPr>
      </w:pPr>
    </w:p>
    <w:p>
      <w:pPr>
        <w:tabs>
          <w:tab w:pos="1891" w:val="left" w:leader="none"/>
        </w:tabs>
        <w:spacing w:before="0"/>
        <w:ind w:left="0" w:right="1541"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w:t>
        <w:tab/>
      </w:r>
      <w:r>
        <w:rPr>
          <w:rFonts w:ascii="宋体" w:hAnsi="宋体" w:cs="宋体" w:eastAsia="宋体" w:hint="default"/>
          <w:sz w:val="21"/>
          <w:szCs w:val="21"/>
        </w:rPr>
        <w:t>元</w:t>
      </w:r>
    </w:p>
    <w:p>
      <w:pPr>
        <w:spacing w:line="240" w:lineRule="auto" w:before="7"/>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6097"/>
        <w:gridCol w:w="1621"/>
        <w:gridCol w:w="1620"/>
      </w:tblGrid>
      <w:tr>
        <w:trPr>
          <w:trHeight w:val="370" w:hRule="exact"/>
        </w:trPr>
        <w:tc>
          <w:tcPr>
            <w:tcW w:w="60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2"/>
              <w:ind w:left="27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非流动性资产处置损益，包括己计提资产减值准备的冲销部分</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77,564.51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68,510.00</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计入当前损益的政府补助（与公司正常经营业务密切相关，符合</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4,758,000.00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1,993,500.00</w:t>
            </w:r>
          </w:p>
        </w:tc>
      </w:tr>
    </w:tbl>
    <w:p>
      <w:pPr>
        <w:spacing w:after="0" w:line="240" w:lineRule="auto"/>
        <w:jc w:val="right"/>
        <w:rPr>
          <w:rFonts w:ascii="宋体" w:hAnsi="宋体" w:cs="宋体" w:eastAsia="宋体" w:hint="default"/>
          <w:sz w:val="21"/>
          <w:szCs w:val="21"/>
        </w:rPr>
        <w:sectPr>
          <w:pgSz w:w="11910" w:h="16840"/>
          <w:pgMar w:header="816" w:footer="956" w:top="1160" w:bottom="1140" w:left="940" w:right="0"/>
        </w:sectPr>
      </w:pPr>
    </w:p>
    <w:p>
      <w:pPr>
        <w:spacing w:line="240" w:lineRule="auto" w:before="3"/>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6097"/>
        <w:gridCol w:w="1621"/>
        <w:gridCol w:w="1620"/>
      </w:tblGrid>
      <w:tr>
        <w:trPr>
          <w:trHeight w:val="73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8"/>
              <w:jc w:val="left"/>
              <w:rPr>
                <w:rFonts w:ascii="宋体" w:hAnsi="宋体" w:cs="宋体" w:eastAsia="宋体" w:hint="default"/>
                <w:sz w:val="21"/>
                <w:szCs w:val="21"/>
              </w:rPr>
            </w:pPr>
            <w:r>
              <w:rPr>
                <w:rFonts w:ascii="宋体" w:hAnsi="宋体" w:cs="宋体" w:eastAsia="宋体" w:hint="default"/>
                <w:spacing w:val="-2"/>
                <w:sz w:val="21"/>
                <w:szCs w:val="21"/>
              </w:rPr>
              <w:t>国家政府规定，按照一定标准定额或定量持续享受的政府补助除</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外）</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计入当前损益的对非金融企业收取的资金占用费</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98"/>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时应享有被投资单位可辨认净资产公允价值产生的收益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同一控制下企业合并产生的子公司年初至合并日的当期净损益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8"/>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金融资产、交易性金融负债产生的公允价值变动损益，以及处置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交易性金融资产，交易性金融负债和可供出售金融资产取得的投</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资收益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98"/>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采用公允价值模式进行后续计量的投资性房地产公允价值变动产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生的损益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8"/>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根据税收、会计等法律、法规的要求对当前损益进行一次性调整</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对当期损益的影响</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委托经营取得的托管费收入</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除上述各项之外的其它经营外收入和支出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6" w:right="0"/>
              <w:jc w:val="center"/>
              <w:rPr>
                <w:rFonts w:ascii="宋体" w:hAnsi="宋体" w:cs="宋体" w:eastAsia="宋体" w:hint="default"/>
                <w:sz w:val="21"/>
                <w:szCs w:val="21"/>
              </w:rPr>
            </w:pPr>
            <w:r>
              <w:rPr>
                <w:rFonts w:ascii="宋体"/>
                <w:sz w:val="21"/>
              </w:rPr>
              <w:t>-254,816.00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-68,375.28</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其它符合非经常性损益定义的损益项目</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center"/>
              <w:rPr>
                <w:rFonts w:ascii="宋体" w:hAnsi="宋体" w:cs="宋体" w:eastAsia="宋体" w:hint="default"/>
                <w:sz w:val="21"/>
                <w:szCs w:val="21"/>
              </w:rPr>
            </w:pPr>
            <w:r>
              <w:rPr>
                <w:rFonts w:ascii="宋体"/>
                <w:sz w:val="21"/>
              </w:rPr>
              <w:t>4,580,748.51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1,993,634.72</w:t>
            </w:r>
          </w:p>
        </w:tc>
      </w:tr>
      <w:tr>
        <w:trPr>
          <w:trHeight w:val="37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6" w:right="0"/>
              <w:jc w:val="center"/>
              <w:rPr>
                <w:rFonts w:ascii="宋体" w:hAnsi="宋体" w:cs="宋体" w:eastAsia="宋体" w:hint="default"/>
                <w:sz w:val="21"/>
                <w:szCs w:val="21"/>
              </w:rPr>
            </w:pPr>
            <w:r>
              <w:rPr>
                <w:rFonts w:ascii="宋体"/>
                <w:sz w:val="21"/>
              </w:rPr>
              <w:t>-687,112.28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spacing w:val="-1"/>
                <w:sz w:val="21"/>
              </w:rPr>
              <w:t>-299,045.21</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center"/>
              <w:rPr>
                <w:rFonts w:ascii="宋体" w:hAnsi="宋体" w:cs="宋体" w:eastAsia="宋体" w:hint="default"/>
                <w:sz w:val="21"/>
                <w:szCs w:val="21"/>
              </w:rPr>
            </w:pPr>
            <w:r>
              <w:rPr>
                <w:rFonts w:ascii="宋体"/>
                <w:sz w:val="21"/>
              </w:rPr>
              <w:t>3,893,636.23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1,694,589.51</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其中：归属于少数股东损益的非经常性损益</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1" w:right="0"/>
              <w:jc w:val="center"/>
              <w:rPr>
                <w:rFonts w:ascii="宋体" w:hAnsi="宋体" w:cs="宋体" w:eastAsia="宋体" w:hint="default"/>
                <w:sz w:val="21"/>
                <w:szCs w:val="21"/>
              </w:rPr>
            </w:pPr>
            <w:r>
              <w:rPr>
                <w:rFonts w:ascii="宋体"/>
                <w:sz w:val="21"/>
              </w:rPr>
              <w:t>3,893,636.23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21"/>
                <w:szCs w:val="21"/>
              </w:rPr>
            </w:pPr>
            <w:r>
              <w:rPr>
                <w:rFonts w:ascii="宋体"/>
                <w:spacing w:val="-1"/>
                <w:sz w:val="21"/>
              </w:rPr>
              <w:t>1,694,589.51</w:t>
            </w:r>
          </w:p>
        </w:tc>
      </w:tr>
      <w:tr>
        <w:trPr>
          <w:trHeight w:val="370"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 w:right="0"/>
              <w:jc w:val="center"/>
              <w:rPr>
                <w:rFonts w:ascii="宋体" w:hAnsi="宋体" w:cs="宋体" w:eastAsia="宋体" w:hint="default"/>
                <w:sz w:val="21"/>
                <w:szCs w:val="21"/>
              </w:rPr>
            </w:pPr>
            <w:r>
              <w:rPr>
                <w:rFonts w:ascii="宋体"/>
                <w:sz w:val="21"/>
              </w:rPr>
              <w:t>38,841,951.38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36,291,958.57</w:t>
            </w:r>
          </w:p>
        </w:tc>
      </w:tr>
    </w:tbl>
    <w:p>
      <w:pPr>
        <w:pStyle w:val="BodyText"/>
        <w:spacing w:line="274" w:lineRule="exact" w:before="0"/>
        <w:ind w:left="1098" w:right="3968"/>
        <w:jc w:val="left"/>
      </w:pPr>
      <w:r>
        <w:rPr/>
        <w:t>四、净资产收益率和每股收益</w:t>
      </w:r>
    </w:p>
    <w:p>
      <w:pPr>
        <w:pStyle w:val="BodyText"/>
        <w:spacing w:line="357" w:lineRule="auto" w:before="154"/>
        <w:ind w:left="618" w:right="1539" w:firstLine="479"/>
        <w:jc w:val="both"/>
      </w:pPr>
      <w:r>
        <w:rPr/>
        <w:t>本公司按照中国证监会《公开发行证券的公司信息披露编报规则第</w:t>
      </w:r>
      <w:r>
        <w:rPr>
          <w:rFonts w:ascii="宋体" w:hAnsi="宋体" w:cs="宋体" w:eastAsia="宋体" w:hint="default"/>
        </w:rPr>
        <w:t>9</w:t>
      </w:r>
      <w:r>
        <w:rPr/>
        <w:t>号――净</w:t>
      </w:r>
      <w:r>
        <w:rPr>
          <w:spacing w:val="2"/>
        </w:rPr>
        <w:t> </w:t>
      </w:r>
      <w:r>
        <w:rPr>
          <w:spacing w:val="-9"/>
        </w:rPr>
        <w:t>资产收益率和每股收益的计算及披露（</w:t>
      </w:r>
      <w:r>
        <w:rPr>
          <w:rFonts w:ascii="宋体" w:hAnsi="宋体" w:cs="宋体" w:eastAsia="宋体" w:hint="default"/>
          <w:spacing w:val="-9"/>
        </w:rPr>
        <w:t>2010</w:t>
      </w:r>
      <w:r>
        <w:rPr>
          <w:spacing w:val="-9"/>
        </w:rPr>
        <w:t>年修订）》（“中国证券监督管理委员会</w:t>
      </w:r>
      <w:r>
        <w:rPr>
          <w:spacing w:val="-92"/>
        </w:rPr>
        <w:t> </w:t>
      </w:r>
      <w:r>
        <w:rPr>
          <w:spacing w:val="-92"/>
        </w:rPr>
      </w:r>
      <w:r>
        <w:rPr>
          <w:spacing w:val="-3"/>
        </w:rPr>
        <w:t>公告</w:t>
      </w:r>
      <w:r>
        <w:rPr>
          <w:rFonts w:ascii="宋体" w:hAnsi="宋体" w:cs="宋体" w:eastAsia="宋体" w:hint="default"/>
          <w:spacing w:val="-3"/>
        </w:rPr>
        <w:t>[2010]2</w:t>
      </w:r>
      <w:r>
        <w:rPr>
          <w:spacing w:val="-3"/>
        </w:rPr>
        <w:t>号、《公开发行证券的公司信息披露解释性公告第</w:t>
      </w:r>
      <w:r>
        <w:rPr>
          <w:rFonts w:ascii="宋体" w:hAnsi="宋体" w:cs="宋体" w:eastAsia="宋体" w:hint="default"/>
          <w:spacing w:val="-3"/>
        </w:rPr>
        <w:t>1</w:t>
      </w:r>
      <w:r>
        <w:rPr>
          <w:spacing w:val="-3"/>
        </w:rPr>
        <w:t>号――非经常性损</w:t>
      </w:r>
      <w:r>
        <w:rPr>
          <w:spacing w:val="-82"/>
        </w:rPr>
        <w:t> </w:t>
      </w:r>
      <w:r>
        <w:rPr>
          <w:spacing w:val="-82"/>
        </w:rPr>
      </w:r>
      <w:r>
        <w:rPr>
          <w:spacing w:val="-8"/>
        </w:rPr>
        <w:t>益》（“中国证券监督管理委员会公告</w:t>
      </w:r>
      <w:r>
        <w:rPr>
          <w:rFonts w:ascii="宋体" w:hAnsi="宋体" w:cs="宋体" w:eastAsia="宋体" w:hint="default"/>
          <w:spacing w:val="-8"/>
        </w:rPr>
        <w:t>[2008]43</w:t>
      </w:r>
      <w:r>
        <w:rPr>
          <w:spacing w:val="-8"/>
        </w:rPr>
        <w:t>号”）要求计算的净资产收益率和每</w:t>
      </w:r>
    </w:p>
    <w:p>
      <w:pPr>
        <w:spacing w:after="0" w:line="357" w:lineRule="auto"/>
        <w:jc w:val="both"/>
        <w:sectPr>
          <w:pgSz w:w="11910" w:h="16840"/>
          <w:pgMar w:header="816" w:footer="956" w:top="1160" w:bottom="1140" w:left="1180" w:right="0"/>
        </w:sectPr>
      </w:pPr>
    </w:p>
    <w:p>
      <w:pPr>
        <w:spacing w:line="240" w:lineRule="auto" w:before="2"/>
        <w:rPr>
          <w:rFonts w:ascii="宋体" w:hAnsi="宋体" w:cs="宋体" w:eastAsia="宋体" w:hint="default"/>
          <w:sz w:val="10"/>
          <w:szCs w:val="10"/>
        </w:rPr>
      </w:pPr>
    </w:p>
    <w:p>
      <w:pPr>
        <w:pStyle w:val="BodyText"/>
        <w:spacing w:line="240" w:lineRule="auto" w:before="26"/>
        <w:ind w:left="1058" w:right="1289"/>
        <w:jc w:val="left"/>
      </w:pPr>
      <w:r>
        <w:rPr/>
        <w:t>股收益如下：</w:t>
      </w:r>
    </w:p>
    <w:p>
      <w:pPr>
        <w:pStyle w:val="BodyText"/>
        <w:spacing w:line="240" w:lineRule="auto" w:before="154"/>
        <w:ind w:left="1538" w:right="1289"/>
        <w:jc w:val="left"/>
      </w:pPr>
      <w:r>
        <w:rPr>
          <w:rFonts w:ascii="宋体" w:hAnsi="宋体" w:cs="宋体" w:eastAsia="宋体" w:hint="default"/>
        </w:rPr>
        <w:t>1</w:t>
      </w:r>
      <w:r>
        <w:rPr/>
        <w:t>、计算结果</w:t>
      </w:r>
    </w:p>
    <w:p>
      <w:pPr>
        <w:spacing w:line="240" w:lineRule="auto" w:before="4"/>
        <w:rPr>
          <w:rFonts w:ascii="宋体" w:hAnsi="宋体" w:cs="宋体" w:eastAsia="宋体" w:hint="default"/>
          <w:sz w:val="9"/>
          <w:szCs w:val="9"/>
        </w:rPr>
      </w:pPr>
    </w:p>
    <w:p>
      <w:pPr>
        <w:tabs>
          <w:tab w:pos="9161" w:val="left" w:leader="none"/>
        </w:tabs>
        <w:spacing w:before="36"/>
        <w:ind w:left="7359" w:right="1289" w:firstLine="0"/>
        <w:jc w:val="left"/>
        <w:rPr>
          <w:rFonts w:ascii="宋体" w:hAnsi="宋体" w:cs="宋体" w:eastAsia="宋体" w:hint="default"/>
          <w:sz w:val="21"/>
          <w:szCs w:val="21"/>
        </w:rPr>
      </w:pP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92"/>
          <w:w w:val="100"/>
          <w:sz w:val="21"/>
          <w:szCs w:val="21"/>
        </w:rPr>
        <w:t>：</w:t>
      </w:r>
      <w:r>
        <w:rPr>
          <w:rFonts w:ascii="宋体" w:hAnsi="宋体" w:cs="宋体" w:eastAsia="宋体" w:hint="default"/>
          <w:w w:val="100"/>
          <w:sz w:val="21"/>
          <w:szCs w:val="21"/>
        </w:rPr>
        <w:t>人民币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491" w:type="dxa"/>
        <w:tblLayout w:type="fixed"/>
        <w:tblCellMar>
          <w:top w:w="0" w:type="dxa"/>
          <w:left w:w="0" w:type="dxa"/>
          <w:bottom w:w="0" w:type="dxa"/>
          <w:right w:w="0" w:type="dxa"/>
        </w:tblCellMar>
        <w:tblLook w:val="01E0"/>
      </w:tblPr>
      <w:tblGrid>
        <w:gridCol w:w="4859"/>
        <w:gridCol w:w="2057"/>
        <w:gridCol w:w="1261"/>
        <w:gridCol w:w="1260"/>
      </w:tblGrid>
      <w:tr>
        <w:trPr>
          <w:trHeight w:val="408" w:hRule="exact"/>
        </w:trPr>
        <w:tc>
          <w:tcPr>
            <w:tcW w:w="485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5"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57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35"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r>
      <w:tr>
        <w:trPr>
          <w:trHeight w:val="410" w:hRule="exact"/>
        </w:trPr>
        <w:tc>
          <w:tcPr>
            <w:tcW w:w="4859" w:type="dxa"/>
            <w:vMerge/>
            <w:tcBorders>
              <w:left w:val="single" w:sz="4" w:space="0" w:color="000000"/>
              <w:right w:val="single" w:sz="4" w:space="0" w:color="000000"/>
            </w:tcBorders>
            <w:shd w:val="clear" w:color="auto" w:fill="C0C0C0"/>
          </w:tcPr>
          <w:p>
            <w:pPr/>
          </w:p>
        </w:tc>
        <w:tc>
          <w:tcPr>
            <w:tcW w:w="205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5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7" w:lineRule="exact"/>
              <w:ind w:left="3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10" w:hRule="exact"/>
        </w:trPr>
        <w:tc>
          <w:tcPr>
            <w:tcW w:w="4859" w:type="dxa"/>
            <w:vMerge/>
            <w:tcBorders>
              <w:left w:val="single" w:sz="4" w:space="0" w:color="000000"/>
              <w:bottom w:val="single" w:sz="4" w:space="0" w:color="000000"/>
              <w:right w:val="single" w:sz="4" w:space="0" w:color="000000"/>
            </w:tcBorders>
            <w:shd w:val="clear" w:color="auto" w:fill="C0C0C0"/>
          </w:tcPr>
          <w:p>
            <w:pPr/>
          </w:p>
        </w:tc>
        <w:tc>
          <w:tcPr>
            <w:tcW w:w="2057" w:type="dxa"/>
            <w:vMerge/>
            <w:tcBorders>
              <w:left w:val="single" w:sz="4" w:space="0" w:color="000000"/>
              <w:bottom w:val="single" w:sz="4" w:space="0" w:color="000000"/>
              <w:right w:val="single" w:sz="4" w:space="0" w:color="000000"/>
            </w:tcBorders>
            <w:shd w:val="clear" w:color="auto" w:fill="C0C0C0"/>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35"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35"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0" w:hRule="exac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归属于公司普通股股东净利润（Ⅰ）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97" w:right="0"/>
              <w:jc w:val="left"/>
              <w:rPr>
                <w:rFonts w:ascii="宋体" w:hAnsi="宋体" w:cs="宋体" w:eastAsia="宋体" w:hint="default"/>
                <w:sz w:val="18"/>
                <w:szCs w:val="18"/>
              </w:rPr>
            </w:pPr>
            <w:r>
              <w:rPr>
                <w:rFonts w:ascii="宋体"/>
                <w:sz w:val="18"/>
              </w:rPr>
              <w:t>9.08%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0.2590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0.2590</w:t>
            </w:r>
          </w:p>
        </w:tc>
      </w:tr>
      <w:tr>
        <w:trPr>
          <w:trHeight w:val="410" w:hRule="exac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扣除非经常性损益后的归属于公司普通股股东净利润（Ⅱ）</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97" w:right="0"/>
              <w:jc w:val="left"/>
              <w:rPr>
                <w:rFonts w:ascii="宋体" w:hAnsi="宋体" w:cs="宋体" w:eastAsia="宋体" w:hint="default"/>
                <w:sz w:val="18"/>
                <w:szCs w:val="18"/>
              </w:rPr>
            </w:pPr>
            <w:r>
              <w:rPr>
                <w:rFonts w:ascii="宋体"/>
                <w:sz w:val="18"/>
              </w:rPr>
              <w:t>8.25%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0.2354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0.2354</w:t>
            </w:r>
          </w:p>
        </w:tc>
      </w:tr>
      <w:tr>
        <w:trPr>
          <w:trHeight w:val="410" w:hRule="exact"/>
        </w:trPr>
        <w:tc>
          <w:tcPr>
            <w:tcW w:w="485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4578"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35"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r>
      <w:tr>
        <w:trPr>
          <w:trHeight w:val="410" w:hRule="exact"/>
        </w:trPr>
        <w:tc>
          <w:tcPr>
            <w:tcW w:w="4859" w:type="dxa"/>
            <w:vMerge/>
            <w:tcBorders>
              <w:left w:val="single" w:sz="4" w:space="0" w:color="000000"/>
              <w:right w:val="single" w:sz="4" w:space="0" w:color="000000"/>
            </w:tcBorders>
            <w:shd w:val="clear" w:color="auto" w:fill="C0C0C0"/>
          </w:tcPr>
          <w:p>
            <w:pPr/>
          </w:p>
        </w:tc>
        <w:tc>
          <w:tcPr>
            <w:tcW w:w="2057"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5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5" w:lineRule="exact"/>
              <w:ind w:left="38"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9" w:hRule="exact"/>
        </w:trPr>
        <w:tc>
          <w:tcPr>
            <w:tcW w:w="4859" w:type="dxa"/>
            <w:vMerge/>
            <w:tcBorders>
              <w:left w:val="single" w:sz="4" w:space="0" w:color="000000"/>
              <w:bottom w:val="single" w:sz="4" w:space="0" w:color="000000"/>
              <w:right w:val="single" w:sz="4" w:space="0" w:color="000000"/>
            </w:tcBorders>
            <w:shd w:val="clear" w:color="auto" w:fill="C0C0C0"/>
          </w:tcPr>
          <w:p>
            <w:pPr/>
          </w:p>
        </w:tc>
        <w:tc>
          <w:tcPr>
            <w:tcW w:w="2057" w:type="dxa"/>
            <w:vMerge/>
            <w:tcBorders>
              <w:left w:val="single" w:sz="4" w:space="0" w:color="000000"/>
              <w:bottom w:val="single" w:sz="4" w:space="0" w:color="000000"/>
              <w:right w:val="single" w:sz="4" w:space="0" w:color="000000"/>
            </w:tcBorders>
            <w:shd w:val="clear" w:color="auto" w:fill="C0C0C0"/>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6" w:lineRule="exact"/>
              <w:ind w:left="35"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6" w:lineRule="exact"/>
              <w:ind w:left="35"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10" w:hRule="exac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归属于公司普通股股东净利润（Ⅰ）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70" w:right="0"/>
              <w:jc w:val="left"/>
              <w:rPr>
                <w:rFonts w:ascii="宋体" w:hAnsi="宋体" w:cs="宋体" w:eastAsia="宋体" w:hint="default"/>
                <w:sz w:val="18"/>
                <w:szCs w:val="18"/>
              </w:rPr>
            </w:pPr>
            <w:r>
              <w:rPr>
                <w:rFonts w:ascii="宋体"/>
                <w:sz w:val="18"/>
              </w:rPr>
              <w:t>14.99%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8" w:right="0"/>
              <w:jc w:val="center"/>
              <w:rPr>
                <w:rFonts w:ascii="宋体" w:hAnsi="宋体" w:cs="宋体" w:eastAsia="宋体" w:hint="default"/>
                <w:sz w:val="18"/>
                <w:szCs w:val="18"/>
              </w:rPr>
            </w:pPr>
            <w:r>
              <w:rPr>
                <w:rFonts w:ascii="宋体"/>
                <w:sz w:val="18"/>
              </w:rPr>
              <w:t>0.2845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9" w:right="0"/>
              <w:jc w:val="center"/>
              <w:rPr>
                <w:rFonts w:ascii="宋体" w:hAnsi="宋体" w:cs="宋体" w:eastAsia="宋体" w:hint="default"/>
                <w:sz w:val="18"/>
                <w:szCs w:val="18"/>
              </w:rPr>
            </w:pPr>
            <w:r>
              <w:rPr>
                <w:rFonts w:ascii="宋体"/>
                <w:sz w:val="18"/>
              </w:rPr>
              <w:t>0.2845</w:t>
            </w:r>
          </w:p>
        </w:tc>
      </w:tr>
      <w:tr>
        <w:trPr>
          <w:trHeight w:val="410" w:hRule="exact"/>
        </w:trPr>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扣除非经常性损益后的归属于公司普通股股东净利润（Ⅱ）</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770" w:right="0"/>
              <w:jc w:val="left"/>
              <w:rPr>
                <w:rFonts w:ascii="宋体" w:hAnsi="宋体" w:cs="宋体" w:eastAsia="宋体" w:hint="default"/>
                <w:sz w:val="18"/>
                <w:szCs w:val="18"/>
              </w:rPr>
            </w:pPr>
            <w:r>
              <w:rPr>
                <w:rFonts w:ascii="宋体"/>
                <w:sz w:val="18"/>
              </w:rPr>
              <w:t>14.32%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8" w:right="0"/>
              <w:jc w:val="center"/>
              <w:rPr>
                <w:rFonts w:ascii="宋体" w:hAnsi="宋体" w:cs="宋体" w:eastAsia="宋体" w:hint="default"/>
                <w:sz w:val="18"/>
                <w:szCs w:val="18"/>
              </w:rPr>
            </w:pPr>
            <w:r>
              <w:rPr>
                <w:rFonts w:ascii="宋体"/>
                <w:sz w:val="18"/>
              </w:rPr>
              <w:t>0.2718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9" w:right="0"/>
              <w:jc w:val="center"/>
              <w:rPr>
                <w:rFonts w:ascii="宋体" w:hAnsi="宋体" w:cs="宋体" w:eastAsia="宋体" w:hint="default"/>
                <w:sz w:val="18"/>
                <w:szCs w:val="18"/>
              </w:rPr>
            </w:pPr>
            <w:r>
              <w:rPr>
                <w:rFonts w:ascii="宋体"/>
                <w:sz w:val="18"/>
              </w:rPr>
              <w:t>0.2718</w:t>
            </w:r>
          </w:p>
        </w:tc>
      </w:tr>
    </w:tbl>
    <w:p>
      <w:pPr>
        <w:spacing w:line="240" w:lineRule="auto" w:before="11"/>
        <w:rPr>
          <w:rFonts w:ascii="宋体" w:hAnsi="宋体" w:cs="宋体" w:eastAsia="宋体" w:hint="default"/>
          <w:sz w:val="15"/>
          <w:szCs w:val="15"/>
        </w:rPr>
      </w:pPr>
    </w:p>
    <w:p>
      <w:pPr>
        <w:pStyle w:val="BodyText"/>
        <w:spacing w:line="240" w:lineRule="auto" w:before="26"/>
        <w:ind w:left="1538" w:right="1289"/>
        <w:jc w:val="left"/>
      </w:pPr>
      <w:r>
        <w:rPr>
          <w:rFonts w:ascii="宋体" w:hAnsi="宋体" w:cs="宋体" w:eastAsia="宋体" w:hint="default"/>
        </w:rPr>
        <w:t>2</w:t>
      </w:r>
      <w:r>
        <w:rPr/>
        <w:t>、每股收益的计算过程</w:t>
      </w:r>
    </w:p>
    <w:p>
      <w:pPr>
        <w:spacing w:line="240" w:lineRule="auto" w:before="4"/>
        <w:rPr>
          <w:rFonts w:ascii="宋体" w:hAnsi="宋体" w:cs="宋体" w:eastAsia="宋体" w:hint="default"/>
          <w:sz w:val="9"/>
          <w:szCs w:val="9"/>
        </w:rPr>
      </w:pPr>
    </w:p>
    <w:p>
      <w:pPr>
        <w:tabs>
          <w:tab w:pos="9161" w:val="left" w:leader="none"/>
        </w:tabs>
        <w:spacing w:before="36"/>
        <w:ind w:left="7359" w:right="1289" w:firstLine="0"/>
        <w:jc w:val="left"/>
        <w:rPr>
          <w:rFonts w:ascii="宋体" w:hAnsi="宋体" w:cs="宋体" w:eastAsia="宋体" w:hint="default"/>
          <w:sz w:val="21"/>
          <w:szCs w:val="21"/>
        </w:rPr>
      </w:pPr>
      <w:r>
        <w:rPr>
          <w:rFonts w:ascii="宋体" w:hAnsi="宋体" w:cs="宋体" w:eastAsia="宋体" w:hint="default"/>
          <w:w w:val="100"/>
          <w:sz w:val="21"/>
          <w:szCs w:val="21"/>
        </w:rPr>
        <w:t>金额</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92"/>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z w:val="21"/>
          <w:szCs w:val="21"/>
        </w:rPr>
        <w:tab/>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598"/>
        <w:gridCol w:w="1512"/>
        <w:gridCol w:w="1419"/>
        <w:gridCol w:w="1656"/>
      </w:tblGrid>
      <w:tr>
        <w:trPr>
          <w:trHeight w:val="408" w:hRule="exact"/>
        </w:trPr>
        <w:tc>
          <w:tcPr>
            <w:tcW w:w="559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3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451"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5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57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42,735,587.61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37,986,548.08</w:t>
            </w: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扣除所得税影响后归属于母公司普通股股东净利润的非经常性损益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3,893,636.23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1,694,589.51</w:t>
            </w:r>
          </w:p>
        </w:tc>
      </w:tr>
      <w:tr>
        <w:trPr>
          <w:trHeight w:val="351"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扣除非经常性损益后的归属于本公司普通股股东的净利润</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宋体"/>
                <w:sz w:val="18"/>
              </w:rPr>
              <w:t>3=1-2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1"/>
                <w:sz w:val="18"/>
              </w:rPr>
              <w:t>38,841,951.38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36,291,958.57</w:t>
            </w:r>
          </w:p>
        </w:tc>
      </w:tr>
      <w:tr>
        <w:trPr>
          <w:trHeight w:val="478"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110,000,000.0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82,000,000.00</w:t>
            </w:r>
          </w:p>
        </w:tc>
      </w:tr>
      <w:tr>
        <w:trPr>
          <w:trHeight w:val="348"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报告期因公积金转增股本或股票股利分配等增加的股份数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5"/>
              <w:jc w:val="right"/>
              <w:rPr>
                <w:rFonts w:ascii="Arial Narrow" w:hAnsi="Arial Narrow" w:cs="Arial Narrow" w:eastAsia="Arial Narrow" w:hint="default"/>
                <w:sz w:val="20"/>
                <w:szCs w:val="20"/>
              </w:rPr>
            </w:pPr>
            <w:r>
              <w:rPr>
                <w:rFonts w:ascii="宋体" w:hAnsi="宋体" w:cs="宋体" w:eastAsia="宋体" w:hint="default"/>
                <w:spacing w:val="-4"/>
                <w:sz w:val="18"/>
                <w:szCs w:val="18"/>
              </w:rPr>
              <w:t>44,500,000.00</w:t>
            </w:r>
            <w:r>
              <w:rPr>
                <w:rFonts w:ascii="Arial Narrow" w:hAnsi="Arial Narrow" w:cs="Arial Narrow" w:eastAsia="Arial Narrow" w:hint="default"/>
                <w:spacing w:val="-4"/>
                <w:sz w:val="20"/>
                <w:szCs w:val="20"/>
              </w:rPr>
              <w:t>(</w:t>
            </w:r>
            <w:r>
              <w:rPr>
                <w:rFonts w:ascii="宋体" w:hAnsi="宋体" w:cs="宋体" w:eastAsia="宋体" w:hint="default"/>
                <w:spacing w:val="-4"/>
                <w:sz w:val="20"/>
                <w:szCs w:val="20"/>
              </w:rPr>
              <w:t>注</w:t>
            </w:r>
            <w:r>
              <w:rPr>
                <w:rFonts w:ascii="Arial Narrow" w:hAnsi="Arial Narrow" w:cs="Arial Narrow" w:eastAsia="Arial Narrow" w:hint="default"/>
                <w:spacing w:val="-4"/>
                <w:sz w:val="20"/>
                <w:szCs w:val="20"/>
              </w:rPr>
              <w:t>)</w:t>
            </w:r>
          </w:p>
        </w:tc>
      </w:tr>
      <w:tr>
        <w:trPr>
          <w:trHeight w:val="350" w:hRule="exact"/>
        </w:trPr>
        <w:tc>
          <w:tcPr>
            <w:tcW w:w="5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28,000,000.00</w:t>
            </w:r>
          </w:p>
        </w:tc>
      </w:tr>
      <w:tr>
        <w:trPr>
          <w:trHeight w:val="350" w:hRule="exact"/>
        </w:trPr>
        <w:tc>
          <w:tcPr>
            <w:tcW w:w="5598"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发行新股或债转股等增加股份下一月份起至报告期年末的月份数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w:t>
            </w:r>
          </w:p>
        </w:tc>
      </w:tr>
      <w:tr>
        <w:trPr>
          <w:trHeight w:val="350" w:hRule="exact"/>
        </w:trPr>
        <w:tc>
          <w:tcPr>
            <w:tcW w:w="5598" w:type="dxa"/>
            <w:vMerge/>
            <w:tcBorders>
              <w:left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598"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z w:val="18"/>
              </w:rPr>
              <w:t>12</w:t>
            </w:r>
          </w:p>
        </w:tc>
      </w:tr>
      <w:tr>
        <w:trPr>
          <w:trHeight w:val="71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=4+5+6×7</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1-</w:t>
            </w:r>
            <w:r>
              <w:rPr>
                <w:rFonts w:ascii="宋体" w:hAnsi="宋体" w:cs="宋体" w:eastAsia="宋体" w:hint="default"/>
                <w:sz w:val="18"/>
                <w:szCs w:val="18"/>
              </w:rPr>
              <w:t>8×9÷1</w:t>
            </w:r>
            <w:r>
              <w:rPr>
                <w:rFonts w:ascii="宋体" w:hAnsi="宋体" w:cs="宋体" w:eastAsia="宋体" w:hint="default"/>
                <w:sz w:val="18"/>
                <w:szCs w:val="18"/>
              </w:rPr>
              <w:t>1-</w:t>
            </w:r>
          </w:p>
          <w:p>
            <w:pPr>
              <w:pStyle w:val="TableParagraph"/>
              <w:spacing w:line="240" w:lineRule="auto"/>
              <w:ind w:right="0"/>
              <w:jc w:val="center"/>
              <w:rPr>
                <w:rFonts w:ascii="宋体" w:hAnsi="宋体" w:cs="宋体" w:eastAsia="宋体" w:hint="default"/>
                <w:sz w:val="18"/>
                <w:szCs w:val="18"/>
              </w:rPr>
            </w:pPr>
            <w:r>
              <w:rPr>
                <w:rFonts w:ascii="宋体"/>
                <w:sz w:val="18"/>
              </w:rPr>
              <w:t>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2"/>
              <w:jc w:val="right"/>
              <w:rPr>
                <w:rFonts w:ascii="宋体" w:hAnsi="宋体" w:cs="宋体" w:eastAsia="宋体" w:hint="default"/>
                <w:sz w:val="18"/>
                <w:szCs w:val="18"/>
              </w:rPr>
            </w:pPr>
            <w:r>
              <w:rPr>
                <w:rFonts w:ascii="宋体"/>
                <w:spacing w:val="-1"/>
                <w:sz w:val="18"/>
              </w:rPr>
              <w:t>165,000,000.0</w:t>
            </w:r>
          </w:p>
          <w:p>
            <w:pPr>
              <w:pStyle w:val="TableParagraph"/>
              <w:spacing w:line="234" w:lineRule="exact"/>
              <w:ind w:right="104"/>
              <w:jc w:val="right"/>
              <w:rPr>
                <w:rFonts w:ascii="宋体" w:hAnsi="宋体" w:cs="宋体" w:eastAsia="宋体" w:hint="default"/>
                <w:sz w:val="18"/>
                <w:szCs w:val="18"/>
              </w:rPr>
            </w:pPr>
            <w:r>
              <w:rPr>
                <w:rFonts w:ascii="宋体"/>
                <w:sz w:val="18"/>
              </w:rPr>
              <w:t>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133,500,000.00</w:t>
            </w: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因同一控制下企业合并而调整的发行在外的普通股加权平均数（Ⅱ）</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=1÷1</w:t>
            </w:r>
            <w:r>
              <w:rPr>
                <w:rFonts w:ascii="宋体" w:hAnsi="宋体" w:cs="宋体" w:eastAsia="宋体" w:hint="default"/>
                <w:sz w:val="18"/>
                <w:szCs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0.2590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0.2845</w:t>
            </w: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=3÷</w:t>
            </w:r>
            <w:r>
              <w:rPr>
                <w:rFonts w:ascii="宋体" w:hAnsi="宋体" w:cs="宋体" w:eastAsia="宋体" w:hint="default"/>
                <w:sz w:val="18"/>
                <w:szCs w:val="18"/>
              </w:rPr>
              <w:t>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0.2354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0.2718</w:t>
            </w:r>
          </w:p>
        </w:tc>
      </w:tr>
    </w:tbl>
    <w:p>
      <w:pPr>
        <w:spacing w:after="0" w:line="240" w:lineRule="auto"/>
        <w:jc w:val="right"/>
        <w:rPr>
          <w:rFonts w:ascii="宋体" w:hAnsi="宋体" w:cs="宋体" w:eastAsia="宋体" w:hint="default"/>
          <w:sz w:val="18"/>
          <w:szCs w:val="18"/>
        </w:rPr>
        <w:sectPr>
          <w:pgSz w:w="11910" w:h="16840"/>
          <w:pgMar w:header="816" w:footer="956" w:top="1160" w:bottom="1140" w:left="740" w:right="0"/>
        </w:sectPr>
      </w:pPr>
    </w:p>
    <w:p>
      <w:pPr>
        <w:spacing w:line="240" w:lineRule="auto" w:before="3"/>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598"/>
        <w:gridCol w:w="1512"/>
        <w:gridCol w:w="1419"/>
        <w:gridCol w:w="1656"/>
      </w:tblGrid>
      <w:tr>
        <w:trPr>
          <w:trHeight w:val="410" w:hRule="exact"/>
        </w:trPr>
        <w:tc>
          <w:tcPr>
            <w:tcW w:w="559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3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451"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5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57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1"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可转换公司债券、认股权证、股份期权等转换或行权而增加的股份数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120=[1+(16-18)</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(1-17</w:t>
            </w:r>
            <w:r>
              <w:rPr>
                <w:rFonts w:ascii="宋体" w:hAnsi="宋体" w:cs="宋体" w:eastAsia="宋体" w:hint="default"/>
                <w:sz w:val="18"/>
                <w:szCs w:val="18"/>
              </w:rPr>
              <w:t>)]÷(1</w:t>
            </w:r>
            <w:r>
              <w:rPr>
                <w:rFonts w:ascii="宋体" w:hAnsi="宋体" w:cs="宋体" w:eastAsia="宋体" w:hint="default"/>
                <w:sz w:val="18"/>
                <w:szCs w:val="18"/>
              </w:rPr>
              <w:t>2+1</w:t>
            </w:r>
          </w:p>
          <w:p>
            <w:pPr>
              <w:pStyle w:val="TableParagraph"/>
              <w:spacing w:line="234" w:lineRule="exact"/>
              <w:ind w:right="1"/>
              <w:jc w:val="center"/>
              <w:rPr>
                <w:rFonts w:ascii="宋体" w:hAnsi="宋体" w:cs="宋体" w:eastAsia="宋体" w:hint="default"/>
                <w:sz w:val="18"/>
                <w:szCs w:val="18"/>
              </w:rPr>
            </w:pPr>
            <w:r>
              <w:rPr>
                <w:rFonts w:ascii="宋体"/>
                <w:sz w:val="18"/>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0.2590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0.2845</w:t>
            </w:r>
          </w:p>
        </w:tc>
      </w:tr>
      <w:tr>
        <w:trPr>
          <w:trHeight w:val="713" w:hRule="exact"/>
        </w:trPr>
        <w:tc>
          <w:tcPr>
            <w:tcW w:w="5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21=[3+(16</w:t>
            </w:r>
            <w:r>
              <w:rPr>
                <w:rFonts w:ascii="宋体" w:hAnsi="宋体" w:cs="宋体" w:eastAsia="宋体" w:hint="default"/>
                <w:sz w:val="18"/>
                <w:szCs w:val="18"/>
              </w:rPr>
              <w:t>－</w:t>
            </w:r>
            <w:r>
              <w:rPr>
                <w:rFonts w:ascii="宋体" w:hAnsi="宋体" w:cs="宋体" w:eastAsia="宋体" w:hint="default"/>
                <w:sz w:val="18"/>
                <w:szCs w:val="18"/>
              </w:rPr>
              <w:t>18)</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-17</w:t>
            </w:r>
            <w:r>
              <w:rPr>
                <w:rFonts w:ascii="宋体" w:hAnsi="宋体" w:cs="宋体" w:eastAsia="宋体" w:hint="default"/>
                <w:sz w:val="18"/>
                <w:szCs w:val="18"/>
              </w:rPr>
              <w:t>)]÷(1</w:t>
            </w:r>
            <w:r>
              <w:rPr>
                <w:rFonts w:ascii="宋体" w:hAnsi="宋体" w:cs="宋体" w:eastAsia="宋体" w:hint="default"/>
                <w:sz w:val="18"/>
                <w:szCs w:val="18"/>
              </w:rPr>
              <w:t>3</w:t>
            </w:r>
          </w:p>
          <w:p>
            <w:pPr>
              <w:pStyle w:val="TableParagraph"/>
              <w:spacing w:line="234" w:lineRule="exact"/>
              <w:ind w:left="1" w:right="0"/>
              <w:jc w:val="center"/>
              <w:rPr>
                <w:rFonts w:ascii="宋体" w:hAnsi="宋体" w:cs="宋体" w:eastAsia="宋体" w:hint="default"/>
                <w:sz w:val="18"/>
                <w:szCs w:val="18"/>
              </w:rPr>
            </w:pPr>
            <w:r>
              <w:rPr>
                <w:rFonts w:ascii="宋体"/>
                <w:sz w:val="18"/>
              </w:rPr>
              <w:t>+19)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0.2354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0.2718</w:t>
            </w:r>
          </w:p>
        </w:tc>
      </w:tr>
    </w:tbl>
    <w:p>
      <w:pPr>
        <w:spacing w:before="26"/>
        <w:ind w:left="1058" w:right="1289" w:firstLine="0"/>
        <w:jc w:val="left"/>
        <w:rPr>
          <w:rFonts w:ascii="宋体" w:hAnsi="宋体" w:cs="宋体" w:eastAsia="宋体" w:hint="default"/>
          <w:sz w:val="21"/>
          <w:szCs w:val="21"/>
        </w:rPr>
      </w:pPr>
      <w:r>
        <w:rPr>
          <w:rFonts w:ascii="宋体" w:hAnsi="宋体" w:cs="宋体" w:eastAsia="宋体" w:hint="default"/>
          <w:spacing w:val="-5"/>
          <w:sz w:val="21"/>
          <w:szCs w:val="21"/>
        </w:rPr>
        <w:t>注：本年公司以</w:t>
      </w:r>
      <w:r>
        <w:rPr>
          <w:rFonts w:ascii="宋体" w:hAnsi="宋体" w:cs="宋体" w:eastAsia="宋体" w:hint="default"/>
          <w:spacing w:val="-47"/>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年末股本</w:t>
      </w:r>
      <w:r>
        <w:rPr>
          <w:rFonts w:ascii="宋体" w:hAnsi="宋体" w:cs="宋体" w:eastAsia="宋体" w:hint="default"/>
          <w:spacing w:val="-46"/>
          <w:sz w:val="21"/>
          <w:szCs w:val="21"/>
        </w:rPr>
        <w:t> </w:t>
      </w:r>
      <w:r>
        <w:rPr>
          <w:rFonts w:ascii="Arial Narrow" w:hAnsi="Arial Narrow" w:cs="Arial Narrow" w:eastAsia="Arial Narrow" w:hint="default"/>
          <w:spacing w:val="-4"/>
          <w:sz w:val="21"/>
          <w:szCs w:val="21"/>
        </w:rPr>
        <w:t>11000</w:t>
      </w:r>
      <w:r>
        <w:rPr>
          <w:rFonts w:ascii="Arial Narrow" w:hAnsi="Arial Narrow" w:cs="Arial Narrow" w:eastAsia="Arial Narrow" w:hint="default"/>
          <w:spacing w:val="10"/>
          <w:sz w:val="21"/>
          <w:szCs w:val="21"/>
        </w:rPr>
        <w:t> </w:t>
      </w:r>
      <w:r>
        <w:rPr>
          <w:rFonts w:ascii="宋体" w:hAnsi="宋体" w:cs="宋体" w:eastAsia="宋体" w:hint="default"/>
          <w:spacing w:val="-5"/>
          <w:sz w:val="21"/>
          <w:szCs w:val="21"/>
        </w:rPr>
        <w:t>万股为基数，以资本公积转增股本，每</w:t>
      </w:r>
      <w:r>
        <w:rPr>
          <w:rFonts w:ascii="宋体" w:hAnsi="宋体" w:cs="宋体" w:eastAsia="宋体" w:hint="default"/>
          <w:spacing w:val="-47"/>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8"/>
          <w:sz w:val="21"/>
          <w:szCs w:val="21"/>
        </w:rPr>
        <w:t> </w:t>
      </w:r>
      <w:r>
        <w:rPr>
          <w:rFonts w:ascii="宋体" w:hAnsi="宋体" w:cs="宋体" w:eastAsia="宋体" w:hint="default"/>
          <w:sz w:val="21"/>
          <w:szCs w:val="21"/>
        </w:rPr>
        <w:t>股转增</w:t>
      </w:r>
      <w:r>
        <w:rPr>
          <w:rFonts w:ascii="宋体" w:hAnsi="宋体" w:cs="宋体" w:eastAsia="宋体" w:hint="default"/>
          <w:spacing w:val="-47"/>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before="119"/>
        <w:ind w:left="1058" w:right="1289" w:firstLine="0"/>
        <w:jc w:val="left"/>
        <w:rPr>
          <w:rFonts w:ascii="宋体" w:hAnsi="宋体" w:cs="宋体" w:eastAsia="宋体" w:hint="default"/>
          <w:sz w:val="21"/>
          <w:szCs w:val="21"/>
        </w:rPr>
      </w:pPr>
      <w:r>
        <w:rPr>
          <w:rFonts w:ascii="宋体" w:hAnsi="宋体" w:cs="宋体" w:eastAsia="宋体" w:hint="default"/>
          <w:sz w:val="21"/>
          <w:szCs w:val="21"/>
        </w:rPr>
        <w:t>按《企业会计准则第</w:t>
      </w:r>
      <w:r>
        <w:rPr>
          <w:rFonts w:ascii="宋体" w:hAnsi="宋体" w:cs="宋体" w:eastAsia="宋体" w:hint="default"/>
          <w:spacing w:val="-58"/>
          <w:sz w:val="21"/>
          <w:szCs w:val="21"/>
        </w:rPr>
        <w:t> </w:t>
      </w:r>
      <w:r>
        <w:rPr>
          <w:rFonts w:ascii="Arial Narrow" w:hAnsi="Arial Narrow" w:cs="Arial Narrow" w:eastAsia="Arial Narrow" w:hint="default"/>
          <w:sz w:val="21"/>
          <w:szCs w:val="21"/>
        </w:rPr>
        <w:t>34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每股收益》和《公开发行证券的公司信息披露编报规则第</w:t>
      </w:r>
      <w:r>
        <w:rPr>
          <w:rFonts w:ascii="宋体" w:hAnsi="宋体" w:cs="宋体" w:eastAsia="宋体" w:hint="default"/>
          <w:spacing w:val="-57"/>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
          <w:sz w:val="21"/>
          <w:szCs w:val="21"/>
        </w:rPr>
        <w:t> </w:t>
      </w:r>
      <w:r>
        <w:rPr>
          <w:rFonts w:ascii="宋体" w:hAnsi="宋体" w:cs="宋体" w:eastAsia="宋体" w:hint="default"/>
          <w:sz w:val="21"/>
          <w:szCs w:val="21"/>
        </w:rPr>
        <w:t>号—</w:t>
      </w:r>
    </w:p>
    <w:p>
      <w:pPr>
        <w:spacing w:line="338" w:lineRule="auto" w:before="118"/>
        <w:ind w:left="1058" w:right="1289" w:firstLine="0"/>
        <w:jc w:val="left"/>
        <w:rPr>
          <w:rFonts w:ascii="宋体" w:hAnsi="宋体" w:cs="宋体" w:eastAsia="宋体" w:hint="default"/>
          <w:sz w:val="21"/>
          <w:szCs w:val="21"/>
        </w:rPr>
      </w:pPr>
      <w:r>
        <w:rPr>
          <w:rFonts w:ascii="宋体" w:hAnsi="宋体" w:cs="宋体" w:eastAsia="宋体" w:hint="default"/>
          <w:spacing w:val="-2"/>
          <w:w w:val="100"/>
          <w:sz w:val="21"/>
          <w:szCs w:val="21"/>
        </w:rPr>
        <w:t>—净资产收益率和每股收益的计算及披露（</w:t>
      </w:r>
      <w:r>
        <w:rPr>
          <w:rFonts w:ascii="Arial Narrow" w:hAnsi="Arial Narrow" w:cs="Arial Narrow" w:eastAsia="Arial Narrow" w:hint="default"/>
          <w:spacing w:val="-2"/>
          <w:w w:val="100"/>
          <w:sz w:val="21"/>
          <w:szCs w:val="21"/>
        </w:rPr>
        <w:t>2010</w:t>
      </w:r>
      <w:r>
        <w:rPr>
          <w:rFonts w:ascii="Arial Narrow" w:hAnsi="Arial Narrow" w:cs="Arial Narrow" w:eastAsia="Arial Narrow" w:hint="default"/>
          <w:w w:val="100"/>
          <w:sz w:val="21"/>
          <w:szCs w:val="21"/>
        </w:rPr>
        <w:t> </w:t>
      </w:r>
      <w:r>
        <w:rPr>
          <w:rFonts w:ascii="宋体" w:hAnsi="宋体" w:cs="宋体" w:eastAsia="宋体" w:hint="default"/>
          <w:spacing w:val="-18"/>
          <w:w w:val="100"/>
          <w:sz w:val="21"/>
          <w:szCs w:val="21"/>
        </w:rPr>
        <w:t>年修订）》（“中国证券监督管理委员会公告</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Arial Narrow" w:hAnsi="Arial Narrow" w:cs="Arial Narrow" w:eastAsia="Arial Narrow" w:hint="default"/>
          <w:sz w:val="21"/>
          <w:szCs w:val="21"/>
        </w:rPr>
        <w:t>[2010]2</w:t>
      </w:r>
      <w:r>
        <w:rPr>
          <w:rFonts w:ascii="Arial Narrow" w:hAnsi="Arial Narrow" w:cs="Arial Narrow" w:eastAsia="Arial Narrow" w:hint="default"/>
          <w:spacing w:val="13"/>
          <w:sz w:val="21"/>
          <w:szCs w:val="21"/>
        </w:rPr>
        <w:t> </w:t>
      </w:r>
      <w:r>
        <w:rPr>
          <w:rFonts w:ascii="宋体" w:hAnsi="宋体" w:cs="宋体" w:eastAsia="宋体" w:hint="default"/>
          <w:spacing w:val="-4"/>
          <w:sz w:val="21"/>
          <w:szCs w:val="21"/>
        </w:rPr>
        <w:t>号）的要求对比较期加权平均股本进行重新计算，相应</w:t>
      </w:r>
      <w:r>
        <w:rPr>
          <w:rFonts w:ascii="宋体" w:hAnsi="宋体" w:cs="宋体" w:eastAsia="宋体" w:hint="default"/>
          <w:spacing w:val="-41"/>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2"/>
          <w:sz w:val="21"/>
          <w:szCs w:val="21"/>
        </w:rPr>
        <w:t> </w:t>
      </w:r>
      <w:r>
        <w:rPr>
          <w:rFonts w:ascii="宋体" w:hAnsi="宋体" w:cs="宋体" w:eastAsia="宋体" w:hint="default"/>
          <w:sz w:val="21"/>
          <w:szCs w:val="21"/>
        </w:rPr>
        <w:t>年的加权平均股本数为：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Arial Narrow" w:hAnsi="Arial Narrow" w:cs="Arial Narrow" w:eastAsia="Arial Narrow" w:hint="default"/>
          <w:spacing w:val="-1"/>
          <w:sz w:val="21"/>
          <w:szCs w:val="21"/>
        </w:rPr>
        <w:t>82,000,000.00*1.5+28,000,000.00*1.5*3/12=133,500,000.00</w:t>
      </w:r>
      <w:r>
        <w:rPr>
          <w:rFonts w:ascii="Arial Narrow" w:hAnsi="Arial Narrow" w:cs="Arial Narrow" w:eastAsia="Arial Narrow" w:hint="default"/>
          <w:spacing w:val="43"/>
          <w:sz w:val="21"/>
          <w:szCs w:val="21"/>
        </w:rPr>
        <w:t> </w:t>
      </w:r>
      <w:r>
        <w:rPr>
          <w:rFonts w:ascii="宋体" w:hAnsi="宋体" w:cs="宋体" w:eastAsia="宋体" w:hint="default"/>
          <w:sz w:val="21"/>
          <w:szCs w:val="21"/>
        </w:rPr>
        <w:t>股。</w:t>
      </w:r>
    </w:p>
    <w:p>
      <w:pPr>
        <w:spacing w:after="0" w:line="338" w:lineRule="auto"/>
        <w:jc w:val="left"/>
        <w:rPr>
          <w:rFonts w:ascii="宋体" w:hAnsi="宋体" w:cs="宋体" w:eastAsia="宋体" w:hint="default"/>
          <w:sz w:val="21"/>
          <w:szCs w:val="21"/>
        </w:rPr>
        <w:sectPr>
          <w:pgSz w:w="11910" w:h="16840"/>
          <w:pgMar w:header="816" w:footer="956" w:top="1160" w:bottom="1140" w:left="740" w:right="0"/>
        </w:sectPr>
      </w:pPr>
    </w:p>
    <w:p>
      <w:pPr>
        <w:spacing w:line="240" w:lineRule="auto" w:before="8"/>
        <w:rPr>
          <w:rFonts w:ascii="宋体" w:hAnsi="宋体" w:cs="宋体" w:eastAsia="宋体" w:hint="default"/>
          <w:sz w:val="29"/>
          <w:szCs w:val="29"/>
        </w:rPr>
      </w:pPr>
    </w:p>
    <w:p>
      <w:pPr>
        <w:pStyle w:val="Heading1"/>
        <w:spacing w:line="240" w:lineRule="auto"/>
        <w:ind w:left="3406" w:right="0"/>
        <w:jc w:val="left"/>
        <w:rPr>
          <w:b w:val="0"/>
          <w:bCs w:val="0"/>
        </w:rPr>
      </w:pPr>
      <w:bookmarkStart w:name="_TOC_250007" w:id="3"/>
      <w:r>
        <w:rPr/>
        <w:t>第三节</w:t>
      </w:r>
      <w:r>
        <w:rPr>
          <w:spacing w:val="-6"/>
        </w:rPr>
        <w:t> </w:t>
      </w:r>
      <w:r>
        <w:rPr/>
        <w:t>股本变动及股东情况</w:t>
      </w:r>
      <w:bookmarkEnd w:id="3"/>
      <w:r>
        <w:rPr>
          <w:b w:val="0"/>
          <w:bCs w:val="0"/>
        </w:rPr>
      </w:r>
    </w:p>
    <w:p>
      <w:pPr>
        <w:spacing w:line="240" w:lineRule="auto" w:before="8"/>
        <w:rPr>
          <w:rFonts w:ascii="黑体" w:hAnsi="黑体" w:cs="黑体" w:eastAsia="黑体" w:hint="default"/>
          <w:b/>
          <w:bCs/>
          <w:sz w:val="25"/>
          <w:szCs w:val="25"/>
        </w:rPr>
      </w:pPr>
    </w:p>
    <w:p>
      <w:pPr>
        <w:pStyle w:val="BodyText"/>
        <w:spacing w:line="240" w:lineRule="auto" w:before="0"/>
        <w:ind w:left="1738" w:right="0"/>
        <w:jc w:val="left"/>
      </w:pPr>
      <w:r>
        <w:rPr/>
        <w:t>一、股本变动情况</w:t>
      </w:r>
    </w:p>
    <w:p>
      <w:pPr>
        <w:pStyle w:val="BodyText"/>
        <w:spacing w:line="240" w:lineRule="auto" w:before="154"/>
        <w:ind w:left="1738" w:right="0"/>
        <w:jc w:val="left"/>
      </w:pPr>
      <w:r>
        <w:rPr/>
        <w:t>（一</w:t>
      </w:r>
      <w:r>
        <w:rPr>
          <w:spacing w:val="-120"/>
        </w:rPr>
        <w:t>）</w:t>
      </w:r>
      <w:r>
        <w:rPr/>
        <w:t>、股份变动情况表</w:t>
      </w:r>
    </w:p>
    <w:p>
      <w:pPr>
        <w:spacing w:line="240" w:lineRule="auto" w:before="6"/>
        <w:rPr>
          <w:rFonts w:ascii="宋体" w:hAnsi="宋体" w:cs="宋体" w:eastAsia="宋体" w:hint="default"/>
          <w:sz w:val="9"/>
          <w:szCs w:val="9"/>
        </w:rPr>
      </w:pPr>
    </w:p>
    <w:p>
      <w:pPr>
        <w:spacing w:before="36"/>
        <w:ind w:left="0" w:right="153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616"/>
        <w:gridCol w:w="1291"/>
        <w:gridCol w:w="867"/>
        <w:gridCol w:w="706"/>
        <w:gridCol w:w="598"/>
        <w:gridCol w:w="1263"/>
        <w:gridCol w:w="1080"/>
        <w:gridCol w:w="1261"/>
        <w:gridCol w:w="1118"/>
        <w:gridCol w:w="816"/>
      </w:tblGrid>
      <w:tr>
        <w:trPr>
          <w:trHeight w:val="24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0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54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9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2"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291" w:type="dxa"/>
            <w:tcBorders>
              <w:top w:val="single" w:sz="4" w:space="0" w:color="000000"/>
              <w:left w:val="single" w:sz="4" w:space="0" w:color="000000"/>
              <w:bottom w:val="nil" w:sz="6" w:space="0" w:color="auto"/>
              <w:right w:val="single" w:sz="4" w:space="0" w:color="000000"/>
            </w:tcBorders>
            <w:shd w:val="clear" w:color="auto" w:fill="DCDCDC"/>
          </w:tcPr>
          <w:p>
            <w:pPr/>
          </w:p>
        </w:tc>
        <w:tc>
          <w:tcPr>
            <w:tcW w:w="867" w:type="dxa"/>
            <w:tcBorders>
              <w:top w:val="single" w:sz="4" w:space="0" w:color="000000"/>
              <w:left w:val="single" w:sz="4" w:space="0" w:color="000000"/>
              <w:bottom w:val="nil" w:sz="6" w:space="0" w:color="auto"/>
              <w:right w:val="single" w:sz="4" w:space="0" w:color="000000"/>
            </w:tcBorders>
            <w:shd w:val="clear" w:color="auto" w:fill="DCDCDC"/>
          </w:tcPr>
          <w:p>
            <w:pPr/>
          </w:p>
        </w:tc>
        <w:tc>
          <w:tcPr>
            <w:tcW w:w="706"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发行新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8" w:type="dxa"/>
            <w:tcBorders>
              <w:top w:val="single" w:sz="4" w:space="0" w:color="000000"/>
              <w:left w:val="single" w:sz="4" w:space="0" w:color="000000"/>
              <w:bottom w:val="nil" w:sz="6" w:space="0" w:color="auto"/>
              <w:right w:val="single" w:sz="4" w:space="0" w:color="000000"/>
            </w:tcBorders>
            <w:shd w:val="clear" w:color="auto" w:fill="DCDCDC"/>
          </w:tcPr>
          <w:p>
            <w:pPr/>
          </w:p>
        </w:tc>
        <w:tc>
          <w:tcPr>
            <w:tcW w:w="81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3"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29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6" w:type="dxa"/>
            <w:vMerge/>
            <w:tcBorders>
              <w:left w:val="single" w:sz="4" w:space="0" w:color="000000"/>
              <w:right w:val="single" w:sz="4" w:space="0" w:color="000000"/>
            </w:tcBorders>
            <w:shd w:val="clear" w:color="auto" w:fill="DCDCDC"/>
          </w:tcPr>
          <w:p>
            <w:pPr/>
          </w:p>
        </w:tc>
        <w:tc>
          <w:tcPr>
            <w:tcW w:w="59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6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1"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1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42"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1" w:type="dxa"/>
            <w:vMerge/>
            <w:tcBorders>
              <w:left w:val="single" w:sz="4" w:space="0" w:color="000000"/>
              <w:bottom w:val="single" w:sz="4" w:space="0" w:color="000000"/>
              <w:right w:val="single" w:sz="4" w:space="0" w:color="000000"/>
            </w:tcBorders>
            <w:shd w:val="clear" w:color="auto" w:fill="DCDCDC"/>
          </w:tcPr>
          <w:p>
            <w:pPr/>
          </w:p>
        </w:tc>
        <w:tc>
          <w:tcPr>
            <w:tcW w:w="867" w:type="dxa"/>
            <w:vMerge/>
            <w:tcBorders>
              <w:left w:val="single" w:sz="4" w:space="0" w:color="000000"/>
              <w:bottom w:val="single" w:sz="4" w:space="0" w:color="000000"/>
              <w:right w:val="single" w:sz="4" w:space="0" w:color="000000"/>
            </w:tcBorders>
            <w:shd w:val="clear" w:color="auto" w:fill="DCDCDC"/>
          </w:tcPr>
          <w:p>
            <w:pPr/>
          </w:p>
        </w:tc>
        <w:tc>
          <w:tcPr>
            <w:tcW w:w="706" w:type="dxa"/>
            <w:vMerge/>
            <w:tcBorders>
              <w:left w:val="single" w:sz="4" w:space="0" w:color="000000"/>
              <w:bottom w:val="single" w:sz="4" w:space="0" w:color="000000"/>
              <w:right w:val="single" w:sz="4" w:space="0" w:color="000000"/>
            </w:tcBorders>
            <w:shd w:val="clear" w:color="auto" w:fill="DCDCDC"/>
          </w:tcPr>
          <w:p>
            <w:pPr/>
          </w:p>
        </w:tc>
        <w:tc>
          <w:tcPr>
            <w:tcW w:w="598" w:type="dxa"/>
            <w:vMerge/>
            <w:tcBorders>
              <w:left w:val="single" w:sz="4" w:space="0" w:color="000000"/>
              <w:bottom w:val="single" w:sz="4" w:space="0" w:color="000000"/>
              <w:right w:val="single" w:sz="4" w:space="0" w:color="000000"/>
            </w:tcBorders>
            <w:shd w:val="clear" w:color="auto" w:fill="DCDCDC"/>
          </w:tcPr>
          <w:p>
            <w:pPr/>
          </w:p>
        </w:tc>
        <w:tc>
          <w:tcPr>
            <w:tcW w:w="1263"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261" w:type="dxa"/>
            <w:vMerge/>
            <w:tcBorders>
              <w:left w:val="single" w:sz="4" w:space="0" w:color="000000"/>
              <w:bottom w:val="single" w:sz="4" w:space="0" w:color="000000"/>
              <w:right w:val="single" w:sz="4" w:space="0" w:color="000000"/>
            </w:tcBorders>
            <w:shd w:val="clear" w:color="auto" w:fill="DCDCDC"/>
          </w:tcPr>
          <w:p>
            <w:pPr/>
          </w:p>
        </w:tc>
        <w:tc>
          <w:tcPr>
            <w:tcW w:w="1118" w:type="dxa"/>
            <w:vMerge/>
            <w:tcBorders>
              <w:left w:val="single" w:sz="4" w:space="0" w:color="000000"/>
              <w:bottom w:val="single" w:sz="4" w:space="0" w:color="000000"/>
              <w:right w:val="single" w:sz="4" w:space="0" w:color="000000"/>
            </w:tcBorders>
            <w:shd w:val="clear" w:color="auto" w:fill="DCDCDC"/>
          </w:tcPr>
          <w:p>
            <w:pPr/>
          </w:p>
        </w:tc>
        <w:tc>
          <w:tcPr>
            <w:tcW w:w="816" w:type="dxa"/>
            <w:vMerge/>
            <w:tcBorders>
              <w:left w:val="single" w:sz="4" w:space="0" w:color="000000"/>
              <w:bottom w:val="single" w:sz="4" w:space="0" w:color="000000"/>
              <w:right w:val="single" w:sz="4" w:space="0" w:color="000000"/>
            </w:tcBorders>
            <w:shd w:val="clear" w:color="auto" w:fill="DCDCDC"/>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291" w:type="dxa"/>
            <w:tcBorders>
              <w:top w:val="single" w:sz="51" w:space="0" w:color="DCDCDC"/>
              <w:left w:val="single" w:sz="13" w:space="0" w:color="DCDCDC"/>
              <w:bottom w:val="single" w:sz="4" w:space="0" w:color="000000"/>
              <w:right w:val="single" w:sz="4" w:space="0" w:color="000000"/>
            </w:tcBorders>
          </w:tcPr>
          <w:p>
            <w:pPr>
              <w:pStyle w:val="TableParagraph"/>
              <w:spacing w:line="147" w:lineRule="exact"/>
              <w:ind w:right="2"/>
              <w:jc w:val="center"/>
              <w:rPr>
                <w:rFonts w:ascii="宋体" w:hAnsi="宋体" w:cs="宋体" w:eastAsia="宋体" w:hint="default"/>
                <w:sz w:val="18"/>
                <w:szCs w:val="18"/>
              </w:rPr>
            </w:pPr>
            <w:r>
              <w:rPr>
                <w:rFonts w:ascii="宋体"/>
                <w:sz w:val="18"/>
              </w:rPr>
              <w:t>82,000,000</w:t>
            </w:r>
          </w:p>
        </w:tc>
        <w:tc>
          <w:tcPr>
            <w:tcW w:w="867"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8"/>
                <w:szCs w:val="18"/>
              </w:rPr>
            </w:pPr>
            <w:r>
              <w:rPr>
                <w:rFonts w:ascii="宋体"/>
                <w:sz w:val="18"/>
              </w:rPr>
              <w:t>74.55%</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51" w:space="0" w:color="DCDCDC"/>
              <w:left w:val="single" w:sz="4" w:space="0" w:color="000000"/>
              <w:bottom w:val="single" w:sz="4" w:space="0" w:color="000000"/>
              <w:right w:val="single" w:sz="4" w:space="0" w:color="000000"/>
            </w:tcBorders>
          </w:tcPr>
          <w:p>
            <w:pPr/>
          </w:p>
        </w:tc>
        <w:tc>
          <w:tcPr>
            <w:tcW w:w="1263"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8"/>
                <w:szCs w:val="18"/>
              </w:rPr>
            </w:pPr>
            <w:r>
              <w:rPr>
                <w:rFonts w:ascii="宋体"/>
                <w:sz w:val="18"/>
              </w:rPr>
              <w:t>41,000,000</w:t>
            </w:r>
          </w:p>
        </w:tc>
        <w:tc>
          <w:tcPr>
            <w:tcW w:w="1080"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left="2" w:right="0"/>
              <w:jc w:val="center"/>
              <w:rPr>
                <w:rFonts w:ascii="宋体" w:hAnsi="宋体" w:cs="宋体" w:eastAsia="宋体" w:hint="default"/>
                <w:sz w:val="18"/>
                <w:szCs w:val="18"/>
              </w:rPr>
            </w:pPr>
            <w:r>
              <w:rPr>
                <w:rFonts w:ascii="宋体"/>
                <w:sz w:val="18"/>
              </w:rPr>
              <w:t>-35,617,160</w:t>
            </w:r>
          </w:p>
        </w:tc>
        <w:tc>
          <w:tcPr>
            <w:tcW w:w="1261"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left="2" w:right="0"/>
              <w:jc w:val="center"/>
              <w:rPr>
                <w:rFonts w:ascii="宋体" w:hAnsi="宋体" w:cs="宋体" w:eastAsia="宋体" w:hint="default"/>
                <w:sz w:val="18"/>
                <w:szCs w:val="18"/>
              </w:rPr>
            </w:pPr>
            <w:r>
              <w:rPr>
                <w:rFonts w:ascii="宋体"/>
                <w:sz w:val="18"/>
              </w:rPr>
              <w:t>5,382,840</w:t>
            </w:r>
          </w:p>
        </w:tc>
        <w:tc>
          <w:tcPr>
            <w:tcW w:w="1118"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right="100"/>
              <w:jc w:val="right"/>
              <w:rPr>
                <w:rFonts w:ascii="宋体" w:hAnsi="宋体" w:cs="宋体" w:eastAsia="宋体" w:hint="default"/>
                <w:sz w:val="18"/>
                <w:szCs w:val="18"/>
              </w:rPr>
            </w:pPr>
            <w:r>
              <w:rPr>
                <w:rFonts w:ascii="宋体"/>
                <w:spacing w:val="-1"/>
                <w:sz w:val="18"/>
              </w:rPr>
              <w:t>87,382,840</w:t>
            </w:r>
          </w:p>
        </w:tc>
        <w:tc>
          <w:tcPr>
            <w:tcW w:w="816" w:type="dxa"/>
            <w:tcBorders>
              <w:top w:val="single" w:sz="51" w:space="0" w:color="DCDCDC"/>
              <w:left w:val="single" w:sz="4" w:space="0" w:color="000000"/>
              <w:bottom w:val="single" w:sz="4" w:space="0" w:color="000000"/>
              <w:right w:val="single" w:sz="4" w:space="0" w:color="000000"/>
            </w:tcBorders>
          </w:tcPr>
          <w:p>
            <w:pPr>
              <w:pStyle w:val="TableParagraph"/>
              <w:spacing w:line="147" w:lineRule="exact"/>
              <w:ind w:left="129" w:right="0"/>
              <w:jc w:val="left"/>
              <w:rPr>
                <w:rFonts w:ascii="宋体" w:hAnsi="宋体" w:cs="宋体" w:eastAsia="宋体" w:hint="default"/>
                <w:sz w:val="18"/>
                <w:szCs w:val="18"/>
              </w:rPr>
            </w:pPr>
            <w:r>
              <w:rPr>
                <w:rFonts w:ascii="宋体"/>
                <w:sz w:val="18"/>
              </w:rPr>
              <w:t>52.96%</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2,800,000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2.55%</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-4,200,000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-2,800,000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15,274,703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13.89%</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7,637,352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-22,912,055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-15,274,703</w:t>
            </w: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62,788,233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57.08%</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31,394,116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-8,379,105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23,015,011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85,803,244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52.00%</w:t>
            </w: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其中：境内非国有法</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人持股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29,642,513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26.95%</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14,821,256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-7,394,197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sz w:val="18"/>
              </w:rPr>
              <w:t>7,427,059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37,069,572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 w:right="0"/>
              <w:jc w:val="left"/>
              <w:rPr>
                <w:rFonts w:ascii="宋体" w:hAnsi="宋体" w:cs="宋体" w:eastAsia="宋体" w:hint="default"/>
                <w:sz w:val="18"/>
                <w:szCs w:val="18"/>
              </w:rPr>
            </w:pPr>
            <w:r>
              <w:rPr>
                <w:rFonts w:ascii="宋体"/>
                <w:sz w:val="18"/>
              </w:rPr>
              <w:t>22.47%</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境内自然人持股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33,145,720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30.13%</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16,572,860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-984,908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15,587,952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48,733,672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29.53%</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境外自然人持股</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1,137,064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1.03%</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568,532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-126,000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442,532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6"/>
              <w:jc w:val="right"/>
              <w:rPr>
                <w:rFonts w:ascii="宋体" w:hAnsi="宋体" w:cs="宋体" w:eastAsia="宋体" w:hint="default"/>
                <w:sz w:val="18"/>
                <w:szCs w:val="18"/>
              </w:rPr>
            </w:pPr>
            <w:r>
              <w:rPr>
                <w:rFonts w:ascii="宋体"/>
                <w:spacing w:val="-1"/>
                <w:sz w:val="18"/>
              </w:rPr>
              <w:t>1,579,596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0.96%</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28,000,000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25.45%</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35,617,160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49,617,160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77,617,160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9" w:right="0"/>
              <w:jc w:val="left"/>
              <w:rPr>
                <w:rFonts w:ascii="宋体" w:hAnsi="宋体" w:cs="宋体" w:eastAsia="宋体" w:hint="default"/>
                <w:sz w:val="18"/>
                <w:szCs w:val="18"/>
              </w:rPr>
            </w:pPr>
            <w:r>
              <w:rPr>
                <w:rFonts w:ascii="宋体"/>
                <w:sz w:val="18"/>
              </w:rPr>
              <w:t>47.04%</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28,000,000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25.45%</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35,617,160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49,617,160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77,617,160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47.04%</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13" w:space="0" w:color="DCDCDC"/>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三、股份总数</w:t>
            </w:r>
          </w:p>
        </w:tc>
        <w:tc>
          <w:tcPr>
            <w:tcW w:w="1291" w:type="dxa"/>
            <w:tcBorders>
              <w:top w:val="single" w:sz="4" w:space="0" w:color="000000"/>
              <w:left w:val="single" w:sz="13" w:space="0" w:color="DCDCDC"/>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sz w:val="18"/>
              </w:rPr>
              <w:t>110,000,000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55,000,000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55,000,000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5"/>
              <w:jc w:val="right"/>
              <w:rPr>
                <w:rFonts w:ascii="宋体" w:hAnsi="宋体" w:cs="宋体" w:eastAsia="宋体" w:hint="default"/>
                <w:sz w:val="18"/>
                <w:szCs w:val="18"/>
              </w:rPr>
            </w:pPr>
            <w:r>
              <w:rPr>
                <w:rFonts w:ascii="宋体"/>
                <w:spacing w:val="-1"/>
                <w:sz w:val="18"/>
              </w:rPr>
              <w:t>165,000,000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4" w:right="0"/>
              <w:jc w:val="left"/>
              <w:rPr>
                <w:rFonts w:ascii="宋体" w:hAnsi="宋体" w:cs="宋体" w:eastAsia="宋体" w:hint="default"/>
                <w:sz w:val="18"/>
                <w:szCs w:val="18"/>
              </w:rPr>
            </w:pPr>
            <w:r>
              <w:rPr>
                <w:rFonts w:ascii="宋体"/>
                <w:sz w:val="18"/>
              </w:rPr>
              <w:t>100.00%</w:t>
            </w:r>
          </w:p>
        </w:tc>
      </w:tr>
    </w:tbl>
    <w:p>
      <w:pPr>
        <w:pStyle w:val="BodyText"/>
        <w:spacing w:line="274" w:lineRule="exact" w:before="0"/>
        <w:ind w:left="1738" w:right="0"/>
        <w:jc w:val="left"/>
      </w:pPr>
      <w:r>
        <w:rPr/>
        <w:t>（二</w:t>
      </w:r>
      <w:r>
        <w:rPr>
          <w:spacing w:val="-120"/>
        </w:rPr>
        <w:t>）</w:t>
      </w:r>
      <w:r>
        <w:rPr/>
        <w:t>、限售股份变动情况表</w:t>
      </w:r>
    </w:p>
    <w:p>
      <w:pPr>
        <w:spacing w:line="240" w:lineRule="auto" w:before="4"/>
        <w:rPr>
          <w:rFonts w:ascii="宋体" w:hAnsi="宋体" w:cs="宋体" w:eastAsia="宋体" w:hint="default"/>
          <w:sz w:val="9"/>
          <w:szCs w:val="9"/>
        </w:rPr>
      </w:pPr>
    </w:p>
    <w:p>
      <w:pPr>
        <w:spacing w:before="36"/>
        <w:ind w:left="0" w:right="1539" w:firstLine="0"/>
        <w:jc w:val="right"/>
        <w:rPr>
          <w:rFonts w:ascii="宋体" w:hAnsi="宋体" w:cs="宋体" w:eastAsia="宋体" w:hint="default"/>
          <w:sz w:val="21"/>
          <w:szCs w:val="21"/>
        </w:rPr>
      </w:pPr>
      <w:r>
        <w:rPr>
          <w:rFonts w:ascii="宋体" w:hAnsi="宋体" w:cs="宋体" w:eastAsia="宋体" w:hint="default"/>
          <w:spacing w:val="-2"/>
          <w:sz w:val="21"/>
          <w:szCs w:val="21"/>
        </w:rPr>
        <w:t>单位：股</w:t>
      </w:r>
    </w:p>
    <w:p>
      <w:pPr>
        <w:spacing w:line="240" w:lineRule="auto" w:before="11"/>
        <w:rPr>
          <w:rFonts w:ascii="宋体" w:hAnsi="宋体" w:cs="宋体" w:eastAsia="宋体" w:hint="default"/>
          <w:sz w:val="12"/>
          <w:szCs w:val="12"/>
        </w:rPr>
      </w:pPr>
    </w:p>
    <w:tbl>
      <w:tblPr>
        <w:tblW w:w="0" w:type="auto"/>
        <w:jc w:val="left"/>
        <w:tblInd w:w="559" w:type="dxa"/>
        <w:tblLayout w:type="fixed"/>
        <w:tblCellMar>
          <w:top w:w="0" w:type="dxa"/>
          <w:left w:w="0" w:type="dxa"/>
          <w:bottom w:w="0" w:type="dxa"/>
          <w:right w:w="0" w:type="dxa"/>
        </w:tblCellMar>
        <w:tblLook w:val="01E0"/>
      </w:tblPr>
      <w:tblGrid>
        <w:gridCol w:w="2151"/>
        <w:gridCol w:w="1174"/>
        <w:gridCol w:w="1174"/>
        <w:gridCol w:w="1174"/>
        <w:gridCol w:w="1174"/>
        <w:gridCol w:w="1177"/>
        <w:gridCol w:w="1678"/>
      </w:tblGrid>
      <w:tr>
        <w:trPr>
          <w:trHeight w:val="740" w:hRule="exact"/>
        </w:trPr>
        <w:tc>
          <w:tcPr>
            <w:tcW w:w="21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489" w:right="134"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311" w:right="131"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311" w:right="130"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1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0"/>
              <w:ind w:left="492" w:right="131"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1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束龙胜</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sz w:val="18"/>
              </w:rPr>
              <w:t>32,489,115</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16,244,558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48,733,673</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合肥世纪创新投资有限</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12,472,736</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6,236,368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18,709,104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芜湖市鑫诚科技投资有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sz w:val="18"/>
              </w:rPr>
              <w:t>12,240,312</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6,120,156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18,360,468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芜湖市建设投资有限公</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5,554,437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8,331,656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2,777,219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芜湖市鸠江建设投资有</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sz w:val="18"/>
              </w:rPr>
              <w:t>5,554,437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8,331,655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2,777,218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安徽省国有资产运营有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4,165,829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6,248,743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2,082,914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全国社会保障基金理事</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会转持三户</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2,800,000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4,200,000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1,400,000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安徽鑫科新材料股份有</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sz w:val="18"/>
              </w:rPr>
              <w:t>4,929,465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7,394,198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2,464,733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7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张祥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368,067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138,025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184,033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414,075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除限售</w:t>
            </w:r>
          </w:p>
        </w:tc>
      </w:tr>
      <w:tr>
        <w:trPr>
          <w:trHeight w:val="47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唐荣保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368,067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138,025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184,033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414,075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高管持股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每年年初按</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除限售</w:t>
            </w:r>
          </w:p>
        </w:tc>
      </w:tr>
    </w:tbl>
    <w:p>
      <w:pPr>
        <w:spacing w:after="0" w:line="234" w:lineRule="exact"/>
        <w:jc w:val="center"/>
        <w:rPr>
          <w:rFonts w:ascii="宋体" w:hAnsi="宋体" w:cs="宋体" w:eastAsia="宋体" w:hint="default"/>
          <w:sz w:val="18"/>
          <w:szCs w:val="18"/>
        </w:rPr>
        <w:sectPr>
          <w:pgSz w:w="11910" w:h="16840"/>
          <w:pgMar w:header="816" w:footer="956" w:top="1160" w:bottom="1140" w:left="540" w:right="0"/>
        </w:sectPr>
      </w:pPr>
    </w:p>
    <w:p>
      <w:pPr>
        <w:spacing w:line="240" w:lineRule="auto" w:before="3"/>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151"/>
        <w:gridCol w:w="1174"/>
        <w:gridCol w:w="1174"/>
        <w:gridCol w:w="1174"/>
        <w:gridCol w:w="1174"/>
        <w:gridCol w:w="1177"/>
        <w:gridCol w:w="1678"/>
      </w:tblGrid>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胡恒生</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sz w:val="18"/>
              </w:rPr>
              <w:t>368,067</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184,034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552,100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监事换届</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18"/>
                <w:szCs w:val="18"/>
              </w:rPr>
            </w:pPr>
            <w:r>
              <w:rPr>
                <w:rFonts w:ascii="宋体" w:hAnsi="宋体" w:cs="宋体" w:eastAsia="宋体" w:hint="default"/>
                <w:sz w:val="18"/>
                <w:szCs w:val="18"/>
              </w:rPr>
              <w:t>卢旭</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18"/>
                <w:szCs w:val="18"/>
              </w:rPr>
            </w:pPr>
            <w:r>
              <w:rPr>
                <w:rFonts w:ascii="宋体"/>
                <w:sz w:val="18"/>
              </w:rPr>
              <w:t>320,020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480,030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160,010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72"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黄燕华</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sz w:val="18"/>
              </w:rPr>
              <w:t>271,515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407,273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135,758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徐之骞</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32,863</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16,432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49,295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监事换届</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干跃忠</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32,863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49,295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16,432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严根长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sz w:val="18"/>
              </w:rPr>
              <w:t>32,207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48,310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16,103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首发限售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70" w:hRule="exact"/>
        </w:trPr>
        <w:tc>
          <w:tcPr>
            <w:tcW w:w="21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宋体" w:hAnsi="宋体" w:cs="宋体" w:eastAsia="宋体" w:hint="default"/>
                <w:sz w:val="18"/>
                <w:szCs w:val="18"/>
              </w:rPr>
            </w:pPr>
            <w:r>
              <w:rPr>
                <w:rFonts w:ascii="宋体"/>
                <w:sz w:val="18"/>
              </w:rPr>
              <w:t>82,000,000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35,767,210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41,000,000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sz w:val="18"/>
              </w:rPr>
              <w:t>87,232,790</w:t>
            </w:r>
          </w:p>
        </w:tc>
        <w:tc>
          <w:tcPr>
            <w:tcW w:w="1177"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5"/>
          <w:szCs w:val="15"/>
        </w:rPr>
      </w:pPr>
    </w:p>
    <w:p>
      <w:pPr>
        <w:pStyle w:val="BodyText"/>
        <w:spacing w:line="355" w:lineRule="auto" w:before="26"/>
        <w:ind w:left="1298" w:right="1460"/>
        <w:jc w:val="left"/>
      </w:pPr>
      <w:r>
        <w:rPr>
          <w:spacing w:val="-8"/>
        </w:rPr>
        <w:t>（三）、股票发行与股本变动情况</w:t>
      </w:r>
      <w:r>
        <w:rPr/>
        <w:t> </w:t>
      </w:r>
      <w:r>
        <w:rPr>
          <w:rFonts w:ascii="宋体" w:hAnsi="宋体" w:cs="宋体" w:eastAsia="宋体" w:hint="default"/>
        </w:rPr>
        <w:t>1</w:t>
      </w:r>
      <w:r>
        <w:rPr/>
        <w:t>、经中国证监会证监许可</w:t>
      </w:r>
      <w:r>
        <w:rPr>
          <w:rFonts w:ascii="宋体" w:hAnsi="宋体" w:cs="宋体" w:eastAsia="宋体" w:hint="default"/>
        </w:rPr>
        <w:t>[2009]929</w:t>
      </w:r>
      <w:r>
        <w:rPr/>
        <w:t>号文核准，公司于</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18</w:t>
      </w:r>
      <w:r>
        <w:rPr/>
        <w:t>日采用网</w:t>
      </w:r>
    </w:p>
    <w:p>
      <w:pPr>
        <w:pStyle w:val="BodyText"/>
        <w:spacing w:line="357" w:lineRule="auto" w:before="39"/>
        <w:ind w:left="818" w:right="1527"/>
        <w:jc w:val="both"/>
      </w:pPr>
      <w:r>
        <w:rPr>
          <w:spacing w:val="-3"/>
        </w:rPr>
        <w:t>下向询价对象配售（网下发行）和网上向社会公众投资者定价发行（网上发行）的</w:t>
      </w:r>
      <w:r>
        <w:rPr>
          <w:spacing w:val="-92"/>
        </w:rPr>
        <w:t> </w:t>
      </w:r>
      <w:r>
        <w:rPr>
          <w:spacing w:val="-92"/>
        </w:rPr>
      </w:r>
      <w:r>
        <w:rPr/>
        <w:t>方式合计发行人民币普通股（</w:t>
      </w:r>
      <w:r>
        <w:rPr>
          <w:rFonts w:ascii="宋体" w:hAnsi="宋体" w:cs="宋体" w:eastAsia="宋体" w:hint="default"/>
        </w:rPr>
        <w:t>A</w:t>
      </w:r>
      <w:r>
        <w:rPr>
          <w:rFonts w:ascii="宋体" w:hAnsi="宋体" w:cs="宋体" w:eastAsia="宋体" w:hint="default"/>
          <w:spacing w:val="-1"/>
        </w:rPr>
        <w:t> </w:t>
      </w:r>
      <w:r>
        <w:rPr>
          <w:spacing w:val="-3"/>
        </w:rPr>
        <w:t>股）</w:t>
      </w:r>
      <w:r>
        <w:rPr>
          <w:rFonts w:ascii="宋体" w:hAnsi="宋体" w:cs="宋体" w:eastAsia="宋体" w:hint="default"/>
          <w:spacing w:val="-3"/>
        </w:rPr>
        <w:t>2,800</w:t>
      </w:r>
      <w:r>
        <w:rPr>
          <w:spacing w:val="-3"/>
        </w:rPr>
        <w:t>万股，其中网下配售数量为</w:t>
      </w:r>
      <w:r>
        <w:rPr>
          <w:rFonts w:ascii="宋体" w:hAnsi="宋体" w:cs="宋体" w:eastAsia="宋体" w:hint="default"/>
          <w:spacing w:val="-3"/>
        </w:rPr>
        <w:t>560</w:t>
      </w:r>
      <w:r>
        <w:rPr>
          <w:spacing w:val="-3"/>
        </w:rPr>
        <w:t>万股，占</w:t>
      </w:r>
      <w:r>
        <w:rPr/>
        <w:t> 本次发行总量的</w:t>
      </w:r>
      <w:r>
        <w:rPr>
          <w:rFonts w:ascii="宋体" w:hAnsi="宋体" w:cs="宋体" w:eastAsia="宋体" w:hint="default"/>
        </w:rPr>
        <w:t>20%</w:t>
      </w:r>
      <w:r>
        <w:rPr/>
        <w:t>，网上定价发行数量为</w:t>
      </w:r>
      <w:r>
        <w:rPr>
          <w:rFonts w:ascii="宋体" w:hAnsi="宋体" w:cs="宋体" w:eastAsia="宋体" w:hint="default"/>
        </w:rPr>
        <w:t>2,240</w:t>
      </w:r>
      <w:r>
        <w:rPr/>
        <w:t>万股，占本次发行总量的</w:t>
      </w:r>
      <w:r>
        <w:rPr>
          <w:rFonts w:ascii="宋体" w:hAnsi="宋体" w:cs="宋体" w:eastAsia="宋体" w:hint="default"/>
        </w:rPr>
        <w:t>80%</w:t>
      </w:r>
      <w:r>
        <w:rPr/>
        <w:t>。本</w:t>
      </w:r>
      <w:r>
        <w:rPr>
          <w:spacing w:val="-79"/>
        </w:rPr>
        <w:t> </w:t>
      </w:r>
      <w:r>
        <w:rPr>
          <w:spacing w:val="13"/>
        </w:rPr>
        <w:t>次发行，每股面值</w:t>
      </w:r>
      <w:r>
        <w:rPr>
          <w:rFonts w:ascii="宋体" w:hAnsi="宋体" w:cs="宋体" w:eastAsia="宋体" w:hint="default"/>
          <w:spacing w:val="13"/>
        </w:rPr>
        <w:t>1.00</w:t>
      </w:r>
      <w:r>
        <w:rPr>
          <w:spacing w:val="13"/>
        </w:rPr>
        <w:t>元，发行价格为</w:t>
      </w:r>
      <w:r>
        <w:rPr>
          <w:rFonts w:ascii="宋体" w:hAnsi="宋体" w:cs="宋体" w:eastAsia="宋体" w:hint="default"/>
          <w:spacing w:val="13"/>
        </w:rPr>
        <w:t>9.50</w:t>
      </w:r>
      <w:r>
        <w:rPr>
          <w:spacing w:val="13"/>
        </w:rPr>
        <w:t>元</w:t>
      </w:r>
      <w:r>
        <w:rPr>
          <w:rFonts w:ascii="宋体" w:hAnsi="宋体" w:cs="宋体" w:eastAsia="宋体" w:hint="default"/>
          <w:spacing w:val="13"/>
        </w:rPr>
        <w:t>/</w:t>
      </w:r>
      <w:r>
        <w:rPr>
          <w:spacing w:val="13"/>
        </w:rPr>
        <w:t>股。经深圳证券交易所深证上</w:t>
      </w:r>
      <w:r>
        <w:rPr>
          <w:spacing w:val="-101"/>
        </w:rPr>
        <w:t> </w:t>
      </w:r>
      <w:r>
        <w:rPr>
          <w:rFonts w:ascii="宋体" w:hAnsi="宋体" w:cs="宋体" w:eastAsia="宋体" w:hint="default"/>
        </w:rPr>
        <w:t>[2009]99</w:t>
      </w:r>
      <w:r>
        <w:rPr/>
        <w:t>号文批准，本次公开发行的公司股票于</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29</w:t>
      </w:r>
      <w:r>
        <w:rPr/>
        <w:t>日在深圳证券交易所</w:t>
      </w:r>
      <w:r>
        <w:rPr>
          <w:spacing w:val="-82"/>
        </w:rPr>
        <w:t> </w:t>
      </w:r>
      <w:r>
        <w:rPr>
          <w:spacing w:val="-82"/>
        </w:rPr>
      </w:r>
      <w:r>
        <w:rPr/>
        <w:t>挂牌交易，其中网下配售的</w:t>
      </w:r>
      <w:r>
        <w:rPr>
          <w:rFonts w:ascii="宋体" w:hAnsi="宋体" w:cs="宋体" w:eastAsia="宋体" w:hint="default"/>
        </w:rPr>
        <w:t>560</w:t>
      </w:r>
      <w:r>
        <w:rPr/>
        <w:t>万股锁定期为三个月。</w:t>
      </w:r>
    </w:p>
    <w:p>
      <w:pPr>
        <w:pStyle w:val="BodyText"/>
        <w:spacing w:line="357" w:lineRule="auto"/>
        <w:ind w:left="818" w:right="1460" w:firstLine="479"/>
        <w:jc w:val="left"/>
      </w:pPr>
      <w:r>
        <w:rPr>
          <w:rFonts w:ascii="宋体" w:hAnsi="宋体" w:cs="宋体" w:eastAsia="宋体" w:hint="default"/>
          <w:spacing w:val="-5"/>
        </w:rPr>
        <w:t>2</w:t>
      </w:r>
      <w:r>
        <w:rPr>
          <w:spacing w:val="-5"/>
        </w:rPr>
        <w:t>、</w:t>
      </w:r>
      <w:r>
        <w:rPr>
          <w:rFonts w:ascii="宋体" w:hAnsi="宋体" w:cs="宋体" w:eastAsia="宋体" w:hint="default"/>
          <w:spacing w:val="-5"/>
        </w:rPr>
        <w:t>2010</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5</w:t>
      </w:r>
      <w:r>
        <w:rPr>
          <w:spacing w:val="-5"/>
        </w:rPr>
        <w:t>日公司召开了</w:t>
      </w:r>
      <w:r>
        <w:rPr>
          <w:rFonts w:ascii="宋体" w:hAnsi="宋体" w:cs="宋体" w:eastAsia="宋体" w:hint="default"/>
          <w:spacing w:val="-5"/>
        </w:rPr>
        <w:t>2009</w:t>
      </w:r>
      <w:r>
        <w:rPr>
          <w:spacing w:val="-5"/>
        </w:rPr>
        <w:t>年年度股东大会，会议通过了《关于公司</w:t>
      </w:r>
      <w:r>
        <w:rPr>
          <w:rFonts w:ascii="宋体" w:hAnsi="宋体" w:cs="宋体" w:eastAsia="宋体" w:hint="default"/>
          <w:spacing w:val="-5"/>
        </w:rPr>
        <w:t>2009</w:t>
      </w:r>
      <w:r>
        <w:rPr>
          <w:rFonts w:ascii="宋体" w:hAnsi="宋体" w:cs="宋体" w:eastAsia="宋体" w:hint="default"/>
        </w:rPr>
        <w:t> </w:t>
      </w:r>
      <w:r>
        <w:rPr>
          <w:spacing w:val="-5"/>
        </w:rPr>
        <w:t>年度利润分配的议案》，以</w:t>
      </w:r>
      <w:r>
        <w:rPr>
          <w:rFonts w:ascii="宋体" w:hAnsi="宋体" w:cs="宋体" w:eastAsia="宋体" w:hint="default"/>
          <w:spacing w:val="-5"/>
        </w:rPr>
        <w:t>2009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日总股本</w:t>
      </w:r>
      <w:r>
        <w:rPr>
          <w:rFonts w:ascii="宋体" w:hAnsi="宋体" w:cs="宋体" w:eastAsia="宋体" w:hint="default"/>
          <w:spacing w:val="-5"/>
        </w:rPr>
        <w:t>110,000,000</w:t>
      </w:r>
      <w:r>
        <w:rPr>
          <w:spacing w:val="-5"/>
        </w:rPr>
        <w:t>股为基数，向全体股</w:t>
      </w:r>
      <w:r>
        <w:rPr>
          <w:spacing w:val="-88"/>
        </w:rPr>
        <w:t> </w:t>
      </w:r>
      <w:r>
        <w:rPr>
          <w:spacing w:val="-88"/>
        </w:rPr>
      </w:r>
      <w:r>
        <w:rPr>
          <w:spacing w:val="-3"/>
        </w:rPr>
        <w:t>东每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0.60</w:t>
      </w:r>
      <w:r>
        <w:rPr>
          <w:spacing w:val="-3"/>
        </w:rPr>
        <w:t>元（含税），共计派发现金</w:t>
      </w:r>
      <w:r>
        <w:rPr>
          <w:rFonts w:ascii="宋体" w:hAnsi="宋体" w:cs="宋体" w:eastAsia="宋体" w:hint="default"/>
          <w:spacing w:val="-3"/>
        </w:rPr>
        <w:t>6,600,000</w:t>
      </w:r>
      <w:r>
        <w:rPr>
          <w:spacing w:val="-3"/>
        </w:rPr>
        <w:t>元。同时，</w:t>
      </w:r>
      <w:r>
        <w:rPr>
          <w:spacing w:val="-109"/>
        </w:rPr>
        <w:t> </w:t>
      </w:r>
      <w:r>
        <w:rPr>
          <w:spacing w:val="7"/>
        </w:rPr>
        <w:t>以资本公积金向全体股东每</w:t>
      </w:r>
      <w:r>
        <w:rPr>
          <w:rFonts w:ascii="宋体" w:hAnsi="宋体" w:cs="宋体" w:eastAsia="宋体" w:hint="default"/>
          <w:spacing w:val="7"/>
        </w:rPr>
        <w:t>10</w:t>
      </w:r>
      <w:r>
        <w:rPr>
          <w:spacing w:val="7"/>
        </w:rPr>
        <w:t>股转增</w:t>
      </w:r>
      <w:r>
        <w:rPr>
          <w:rFonts w:ascii="宋体" w:hAnsi="宋体" w:cs="宋体" w:eastAsia="宋体" w:hint="default"/>
          <w:spacing w:val="7"/>
        </w:rPr>
        <w:t>5</w:t>
      </w:r>
      <w:r>
        <w:rPr>
          <w:spacing w:val="7"/>
        </w:rPr>
        <w:t>股。通过本次转增股本后，公司总股本由</w:t>
      </w:r>
      <w:r>
        <w:rPr>
          <w:spacing w:val="-118"/>
        </w:rPr>
        <w:t> </w:t>
      </w:r>
      <w:r>
        <w:rPr>
          <w:spacing w:val="-118"/>
        </w:rPr>
      </w:r>
      <w:r>
        <w:rPr>
          <w:rFonts w:ascii="宋体" w:hAnsi="宋体" w:cs="宋体" w:eastAsia="宋体" w:hint="default"/>
        </w:rPr>
        <w:t>110,000,000</w:t>
      </w:r>
      <w:r>
        <w:rPr/>
        <w:t>股，增至</w:t>
      </w:r>
      <w:r>
        <w:rPr>
          <w:rFonts w:ascii="宋体" w:hAnsi="宋体" w:cs="宋体" w:eastAsia="宋体" w:hint="default"/>
        </w:rPr>
        <w:t>165,000,000</w:t>
      </w:r>
      <w:r>
        <w:rPr/>
        <w:t>股。</w:t>
      </w:r>
    </w:p>
    <w:p>
      <w:pPr>
        <w:pStyle w:val="BodyText"/>
        <w:spacing w:line="240" w:lineRule="auto" w:before="36"/>
        <w:ind w:left="1298" w:right="1460"/>
        <w:jc w:val="left"/>
      </w:pPr>
      <w:r>
        <w:rPr/>
        <w:t>截止本报告期末，公司总股本为</w:t>
      </w:r>
      <w:r>
        <w:rPr>
          <w:rFonts w:ascii="宋体" w:hAnsi="宋体" w:cs="宋体" w:eastAsia="宋体" w:hint="default"/>
        </w:rPr>
        <w:t>165,000,000</w:t>
      </w:r>
      <w:r>
        <w:rPr/>
        <w:t>股。</w:t>
      </w:r>
    </w:p>
    <w:p>
      <w:pPr>
        <w:pStyle w:val="BodyText"/>
        <w:spacing w:line="357" w:lineRule="auto" w:before="151"/>
        <w:ind w:left="1298" w:right="1744"/>
        <w:jc w:val="left"/>
      </w:pPr>
      <w:r>
        <w:rPr>
          <w:spacing w:val="-8"/>
        </w:rPr>
        <w:t>（四）、发行前股东所持股份上市情况</w:t>
      </w:r>
      <w:r>
        <w:rPr>
          <w:spacing w:val="-104"/>
        </w:rPr>
        <w:t> </w:t>
      </w:r>
      <w:r>
        <w:rPr>
          <w:spacing w:val="-104"/>
        </w:rPr>
      </w:r>
      <w:r>
        <w:rPr>
          <w:rFonts w:ascii="宋体" w:hAnsi="宋体" w:cs="宋体" w:eastAsia="宋体" w:hint="default"/>
        </w:rPr>
        <w:t>1</w:t>
      </w:r>
      <w:r>
        <w:rPr/>
        <w:t>、发行前股东所持股份限售承诺情况</w:t>
      </w:r>
    </w:p>
    <w:p>
      <w:pPr>
        <w:pStyle w:val="BodyText"/>
        <w:spacing w:line="367" w:lineRule="auto" w:before="178"/>
        <w:ind w:left="818" w:right="1706" w:firstLine="479"/>
        <w:jc w:val="both"/>
      </w:pPr>
      <w:r>
        <w:rPr>
          <w:spacing w:val="-3"/>
        </w:rPr>
        <w:t>本公司控股股东束龙胜先生承诺：自公司股票上市之日起三十六个月内，不</w:t>
      </w:r>
      <w:r>
        <w:rPr/>
        <w:t> </w:t>
      </w:r>
      <w:r>
        <w:rPr>
          <w:spacing w:val="-3"/>
        </w:rPr>
        <w:t>转让或者委托他人管理所直接和间接持有的公司股份，也不由公司收购该部分股</w:t>
      </w:r>
      <w:r>
        <w:rPr>
          <w:spacing w:val="-104"/>
        </w:rPr>
        <w:t> </w:t>
      </w:r>
      <w:r>
        <w:rPr>
          <w:spacing w:val="-104"/>
        </w:rPr>
      </w:r>
      <w:r>
        <w:rPr>
          <w:spacing w:val="-3"/>
        </w:rPr>
        <w:t>份；三十六个月锁定期满后，在任职董事期间每年转让的公司股份不超过其所持</w:t>
      </w:r>
      <w:r>
        <w:rPr>
          <w:spacing w:val="-103"/>
        </w:rPr>
        <w:t> </w:t>
      </w:r>
      <w:r>
        <w:rPr>
          <w:spacing w:val="-103"/>
        </w:rPr>
      </w:r>
      <w:r>
        <w:rPr/>
        <w:t>有公司股份总数的百分之二十五；在离职后半年内，不转让所持有的公司股份。</w:t>
      </w:r>
    </w:p>
    <w:p>
      <w:pPr>
        <w:pStyle w:val="BodyText"/>
        <w:spacing w:line="367" w:lineRule="auto" w:before="38"/>
        <w:ind w:left="818" w:right="1792" w:firstLine="479"/>
        <w:jc w:val="both"/>
      </w:pPr>
      <w:r>
        <w:rPr>
          <w:spacing w:val="-3"/>
        </w:rPr>
        <w:t>束龙胜先生还承诺：自公司股票上市之日起三十六个月内，不转让或者委托</w:t>
      </w:r>
      <w:r>
        <w:rPr/>
        <w:t> </w:t>
      </w:r>
      <w:r>
        <w:rPr>
          <w:spacing w:val="-3"/>
        </w:rPr>
        <w:t>他人管理所持有的鑫诚科技股权；三十六个月锁定期满后，在任职鑫诚科技董事</w:t>
      </w:r>
      <w:r>
        <w:rPr>
          <w:spacing w:val="-103"/>
        </w:rPr>
        <w:t> </w:t>
      </w:r>
      <w:r>
        <w:rPr>
          <w:spacing w:val="-103"/>
        </w:rPr>
      </w:r>
      <w:r>
        <w:rPr>
          <w:spacing w:val="3"/>
        </w:rPr>
        <w:t>期间每年转让的鑫诚科技股权不超过其所持有鑫诚科技股权总数的百分之二十</w:t>
      </w:r>
    </w:p>
    <w:p>
      <w:pPr>
        <w:spacing w:after="0" w:line="367" w:lineRule="auto"/>
        <w:jc w:val="both"/>
        <w:sectPr>
          <w:pgSz w:w="11910" w:h="16840"/>
          <w:pgMar w:header="816" w:footer="956" w:top="1160" w:bottom="1140" w:left="980" w:right="0"/>
        </w:sectPr>
      </w:pPr>
    </w:p>
    <w:p>
      <w:pPr>
        <w:spacing w:line="240" w:lineRule="auto" w:before="3"/>
        <w:rPr>
          <w:rFonts w:ascii="宋体" w:hAnsi="宋体" w:cs="宋体" w:eastAsia="宋体" w:hint="default"/>
          <w:sz w:val="21"/>
          <w:szCs w:val="21"/>
        </w:rPr>
      </w:pPr>
    </w:p>
    <w:p>
      <w:pPr>
        <w:pStyle w:val="BodyText"/>
        <w:spacing w:line="367" w:lineRule="auto" w:before="26"/>
        <w:ind w:left="1278" w:right="0" w:hanging="480"/>
        <w:jc w:val="left"/>
      </w:pPr>
      <w:r>
        <w:rPr/>
        <w:t>五；在离职后半年内，不转让所持有的鑫诚科技股权。 </w:t>
      </w:r>
      <w:r>
        <w:rPr>
          <w:spacing w:val="-7"/>
        </w:rPr>
        <w:t>本公司股东鑫诚科技、合肥创投承诺：自公司股票上市之日起三十六个月内，</w:t>
      </w:r>
    </w:p>
    <w:p>
      <w:pPr>
        <w:pStyle w:val="BodyText"/>
        <w:spacing w:line="367" w:lineRule="auto" w:before="38"/>
        <w:ind w:left="1278" w:right="1787" w:hanging="480"/>
        <w:jc w:val="left"/>
      </w:pPr>
      <w:r>
        <w:rPr/>
        <w:t>不转让或者委托他人管理所持有的公司股份，也不由公司收购该部分股份。 </w:t>
      </w:r>
      <w:r>
        <w:rPr>
          <w:spacing w:val="-3"/>
        </w:rPr>
        <w:t>本公司股东唐荣保先生、张祥先生、胡恒生先生、徐之骞先生承诺：自公司</w:t>
      </w:r>
    </w:p>
    <w:p>
      <w:pPr>
        <w:pStyle w:val="BodyText"/>
        <w:spacing w:line="367" w:lineRule="auto" w:before="38"/>
        <w:ind w:left="798" w:right="1792"/>
        <w:jc w:val="both"/>
      </w:pPr>
      <w:r>
        <w:rPr>
          <w:spacing w:val="-3"/>
        </w:rPr>
        <w:t>股票上市之日起十二个月内，不转让或者委托他人管理所持有的公司股份，也不</w:t>
      </w:r>
      <w:r>
        <w:rPr>
          <w:spacing w:val="-104"/>
        </w:rPr>
        <w:t> </w:t>
      </w:r>
      <w:r>
        <w:rPr>
          <w:spacing w:val="-104"/>
        </w:rPr>
      </w:r>
      <w:r>
        <w:rPr>
          <w:spacing w:val="-3"/>
        </w:rPr>
        <w:t>由公司收购该部分股份；十二个月锁定期满后，在任职董事、监事、高级管理人</w:t>
      </w:r>
      <w:r>
        <w:rPr>
          <w:spacing w:val="-103"/>
        </w:rPr>
        <w:t> </w:t>
      </w:r>
      <w:r>
        <w:rPr>
          <w:spacing w:val="-103"/>
        </w:rPr>
      </w:r>
      <w:r>
        <w:rPr>
          <w:spacing w:val="-3"/>
        </w:rPr>
        <w:t>员期间每年转让的公司股份不超过其所持有公司股份总数的百分之二十五；在离</w:t>
      </w:r>
      <w:r>
        <w:rPr>
          <w:spacing w:val="-105"/>
        </w:rPr>
        <w:t> </w:t>
      </w:r>
      <w:r>
        <w:rPr>
          <w:spacing w:val="-105"/>
        </w:rPr>
      </w:r>
      <w:r>
        <w:rPr/>
        <w:t>职后半年内，不转让所持有的公司股份。</w:t>
      </w:r>
    </w:p>
    <w:p>
      <w:pPr>
        <w:pStyle w:val="BodyText"/>
        <w:spacing w:line="367" w:lineRule="auto" w:before="39"/>
        <w:ind w:left="798" w:right="1688" w:firstLine="479"/>
        <w:jc w:val="left"/>
      </w:pPr>
      <w:r>
        <w:rPr>
          <w:spacing w:val="-3"/>
        </w:rPr>
        <w:t>本公司股东芜湖建投、鸠江建投、安徽国资运营、鑫科材料、卢旭先生、黄</w:t>
      </w:r>
      <w:r>
        <w:rPr/>
        <w:t> 燕华女士、干跃忠先生、严根长先生承诺：自公司股票上市之日起十二个月内， 不转让或者委托他人管理所持有的公司股份，也不由公司收购该部分股份。</w:t>
      </w:r>
    </w:p>
    <w:p>
      <w:pPr>
        <w:pStyle w:val="BodyText"/>
        <w:spacing w:line="348" w:lineRule="auto" w:before="38"/>
        <w:ind w:left="1354" w:right="0" w:hanging="77"/>
        <w:jc w:val="left"/>
      </w:pPr>
      <w:r>
        <w:rPr/>
        <w:t>承诺期限届满后，上述股份可以上市流通和转让。 </w:t>
      </w:r>
      <w:r>
        <w:rPr>
          <w:rFonts w:ascii="宋体" w:hAnsi="宋体" w:cs="宋体" w:eastAsia="宋体" w:hint="default"/>
        </w:rPr>
        <w:t>2</w:t>
      </w:r>
      <w:r>
        <w:rPr/>
        <w:t>、发行前股东所持股份解除限售上市流通情况</w:t>
      </w:r>
    </w:p>
    <w:p>
      <w:pPr>
        <w:pStyle w:val="BodyText"/>
        <w:spacing w:line="357" w:lineRule="auto" w:before="166"/>
        <w:ind w:left="798" w:right="1791" w:firstLine="556"/>
        <w:jc w:val="both"/>
      </w:pPr>
      <w:r>
        <w:rPr/>
        <w:t>报告期内，发行前股东所持股份解除限售的数量为</w:t>
      </w:r>
      <w:r>
        <w:rPr>
          <w:spacing w:val="-68"/>
        </w:rPr>
        <w:t> </w:t>
      </w:r>
      <w:r>
        <w:rPr>
          <w:rFonts w:ascii="宋体" w:hAnsi="宋体" w:cs="宋体" w:eastAsia="宋体" w:hint="default"/>
        </w:rPr>
        <w:t>37,196,755</w:t>
      </w:r>
      <w:r>
        <w:rPr>
          <w:rFonts w:ascii="宋体" w:hAnsi="宋体" w:cs="宋体" w:eastAsia="宋体" w:hint="default"/>
          <w:spacing w:val="-69"/>
        </w:rPr>
        <w:t> </w:t>
      </w:r>
      <w:r>
        <w:rPr>
          <w:spacing w:val="-5"/>
        </w:rPr>
        <w:t>股，占公司</w:t>
      </w:r>
      <w:r>
        <w:rPr/>
        <w:t> 股份总数的</w:t>
      </w:r>
      <w:r>
        <w:rPr>
          <w:spacing w:val="-70"/>
        </w:rPr>
        <w:t> </w:t>
      </w:r>
      <w:r>
        <w:rPr>
          <w:rFonts w:ascii="宋体" w:hAnsi="宋体" w:cs="宋体" w:eastAsia="宋体" w:hint="default"/>
        </w:rPr>
        <w:t>22.54%</w:t>
      </w:r>
      <w:r>
        <w:rPr/>
        <w:t>；实际可上市流通数量为</w:t>
      </w:r>
      <w:r>
        <w:rPr>
          <w:spacing w:val="-70"/>
        </w:rPr>
        <w:t> </w:t>
      </w:r>
      <w:r>
        <w:rPr>
          <w:rFonts w:ascii="宋体" w:hAnsi="宋体" w:cs="宋体" w:eastAsia="宋体" w:hint="default"/>
        </w:rPr>
        <w:t>35,767,210</w:t>
      </w:r>
      <w:r>
        <w:rPr>
          <w:rFonts w:ascii="宋体" w:hAnsi="宋体" w:cs="宋体" w:eastAsia="宋体" w:hint="default"/>
          <w:spacing w:val="-70"/>
        </w:rPr>
        <w:t> </w:t>
      </w:r>
      <w:r>
        <w:rPr/>
        <w:t>股，占公司股份总数的 </w:t>
      </w:r>
      <w:r>
        <w:rPr>
          <w:rFonts w:ascii="宋体" w:hAnsi="宋体" w:cs="宋体" w:eastAsia="宋体" w:hint="default"/>
        </w:rPr>
        <w:t>21.68%</w:t>
      </w:r>
      <w:r>
        <w:rPr/>
        <w:t>。解除限售日期为</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1"/>
        </w:rPr>
        <w:t> </w:t>
      </w:r>
      <w:r>
        <w:rPr>
          <w:rFonts w:ascii="宋体" w:hAnsi="宋体" w:cs="宋体" w:eastAsia="宋体" w:hint="default"/>
        </w:rPr>
        <w:t>29</w:t>
      </w:r>
      <w:r>
        <w:rPr>
          <w:rFonts w:ascii="宋体" w:hAnsi="宋体" w:cs="宋体" w:eastAsia="宋体" w:hint="default"/>
          <w:spacing w:val="-61"/>
        </w:rPr>
        <w:t> </w:t>
      </w:r>
      <w:r>
        <w:rPr/>
        <w:t>日。</w:t>
      </w:r>
    </w:p>
    <w:p>
      <w:pPr>
        <w:pStyle w:val="BodyText"/>
        <w:spacing w:line="357" w:lineRule="auto" w:before="154"/>
        <w:ind w:left="798" w:right="1791" w:firstLine="556"/>
        <w:jc w:val="both"/>
      </w:pPr>
      <w:r>
        <w:rPr>
          <w:spacing w:val="-2"/>
        </w:rPr>
        <w:t>（</w:t>
      </w:r>
      <w:r>
        <w:rPr>
          <w:rFonts w:ascii="宋体" w:hAnsi="宋体" w:cs="宋体" w:eastAsia="宋体" w:hint="default"/>
          <w:spacing w:val="-2"/>
        </w:rPr>
        <w:t>1</w:t>
      </w:r>
      <w:r>
        <w:rPr>
          <w:spacing w:val="-2"/>
        </w:rPr>
        <w:t>）股东唐荣保先生、张祥先生为公司第五届董事和高级管理人员，报告</w:t>
      </w:r>
      <w:r>
        <w:rPr/>
        <w:t> 期内可流通股份数为其持有限售股份总数的</w:t>
      </w:r>
      <w:r>
        <w:rPr>
          <w:spacing w:val="-61"/>
        </w:rPr>
        <w:t> </w:t>
      </w:r>
      <w:r>
        <w:rPr>
          <w:rFonts w:ascii="宋体" w:hAnsi="宋体" w:cs="宋体" w:eastAsia="宋体" w:hint="default"/>
        </w:rPr>
        <w:t>25%</w:t>
      </w:r>
      <w:r>
        <w:rPr/>
        <w:t>。</w:t>
      </w:r>
    </w:p>
    <w:p>
      <w:pPr>
        <w:pStyle w:val="BodyText"/>
        <w:spacing w:line="357" w:lineRule="auto" w:before="154"/>
        <w:ind w:left="798" w:right="1791" w:firstLine="556"/>
        <w:jc w:val="both"/>
      </w:pPr>
      <w:r>
        <w:rPr>
          <w:spacing w:val="-3"/>
        </w:rPr>
        <w:t>（</w:t>
      </w:r>
      <w:r>
        <w:rPr>
          <w:rFonts w:ascii="宋体" w:hAnsi="宋体" w:cs="宋体" w:eastAsia="宋体" w:hint="default"/>
          <w:spacing w:val="-3"/>
        </w:rPr>
        <w:t>2</w:t>
      </w:r>
      <w:r>
        <w:rPr>
          <w:spacing w:val="-3"/>
        </w:rPr>
        <w:t>）公司原监事胡恒生先生、徐之骞先生于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12</w:t>
      </w:r>
      <w:r>
        <w:rPr>
          <w:rFonts w:ascii="宋体" w:hAnsi="宋体" w:cs="宋体" w:eastAsia="宋体" w:hint="default"/>
          <w:spacing w:val="-58"/>
        </w:rPr>
        <w:t> </w:t>
      </w:r>
      <w:r>
        <w:rPr/>
        <w:t>日第四届监事 </w:t>
      </w:r>
      <w:r>
        <w:rPr>
          <w:spacing w:val="-3"/>
        </w:rPr>
        <w:t>会届满，在离职后半年内，不转让所持有的公司股份。报告期内可流通股份数为</w:t>
      </w:r>
      <w:r>
        <w:rPr>
          <w:spacing w:val="-101"/>
        </w:rPr>
        <w:t> </w:t>
      </w:r>
      <w:r>
        <w:rPr>
          <w:spacing w:val="-101"/>
        </w:rPr>
      </w:r>
      <w:r>
        <w:rPr>
          <w:rFonts w:ascii="宋体" w:hAnsi="宋体" w:cs="宋体" w:eastAsia="宋体" w:hint="default"/>
        </w:rPr>
        <w:t>0</w:t>
      </w:r>
      <w:r>
        <w:rPr/>
        <w:t>。</w:t>
      </w:r>
    </w:p>
    <w:p>
      <w:pPr>
        <w:pStyle w:val="BodyText"/>
        <w:spacing w:line="355" w:lineRule="auto" w:before="156"/>
        <w:ind w:left="1278" w:right="4448"/>
        <w:jc w:val="left"/>
      </w:pPr>
      <w:r>
        <w:rPr/>
        <w:t>三、股东情况介绍 </w:t>
      </w:r>
      <w:r>
        <w:rPr>
          <w:rFonts w:ascii="宋体" w:hAnsi="宋体" w:cs="宋体" w:eastAsia="宋体" w:hint="default"/>
        </w:rPr>
        <w:t>1</w:t>
      </w:r>
      <w:r>
        <w:rPr/>
        <w:t>、股东数量和持股情况（截止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82"/>
        <w:gridCol w:w="1082"/>
        <w:gridCol w:w="1505"/>
        <w:gridCol w:w="1080"/>
        <w:gridCol w:w="1303"/>
        <w:gridCol w:w="1397"/>
        <w:gridCol w:w="1346"/>
      </w:tblGrid>
      <w:tr>
        <w:trPr>
          <w:trHeight w:val="410" w:hRule="exact"/>
        </w:trPr>
        <w:tc>
          <w:tcPr>
            <w:tcW w:w="19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64"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7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39"/>
              <w:jc w:val="center"/>
              <w:rPr>
                <w:rFonts w:ascii="宋体" w:hAnsi="宋体" w:cs="宋体" w:eastAsia="宋体" w:hint="default"/>
                <w:sz w:val="21"/>
                <w:szCs w:val="21"/>
              </w:rPr>
            </w:pPr>
            <w:r>
              <w:rPr>
                <w:rFonts w:ascii="宋体"/>
                <w:sz w:val="21"/>
              </w:rPr>
              <w:t>15,083</w:t>
            </w:r>
          </w:p>
        </w:tc>
      </w:tr>
      <w:tr>
        <w:trPr>
          <w:trHeight w:val="410" w:hRule="exact"/>
        </w:trPr>
        <w:tc>
          <w:tcPr>
            <w:tcW w:w="9696"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名股东持股情况</w:t>
            </w:r>
          </w:p>
        </w:tc>
      </w:tr>
      <w:tr>
        <w:trPr>
          <w:trHeight w:val="648" w:hRule="exact"/>
        </w:trPr>
        <w:tc>
          <w:tcPr>
            <w:tcW w:w="306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持股比列</w:t>
            </w:r>
          </w:p>
        </w:tc>
        <w:tc>
          <w:tcPr>
            <w:tcW w:w="13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143" w:right="82"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3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2" w:lineRule="exact" w:before="41"/>
              <w:ind w:left="141" w:right="139"/>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束龙胜</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29.54%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48,733,673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48,733,673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44" w:right="0"/>
              <w:jc w:val="left"/>
              <w:rPr>
                <w:rFonts w:ascii="宋体" w:hAnsi="宋体" w:cs="宋体" w:eastAsia="宋体" w:hint="default"/>
                <w:sz w:val="18"/>
                <w:szCs w:val="18"/>
              </w:rPr>
            </w:pPr>
            <w:r>
              <w:rPr>
                <w:rFonts w:ascii="宋体" w:hAnsi="宋体" w:cs="宋体" w:eastAsia="宋体" w:hint="default"/>
                <w:sz w:val="18"/>
                <w:szCs w:val="18"/>
              </w:rPr>
              <w:t>合肥世纪创新投资有限公司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11.34%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18,709,104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18,709,104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bl>
    <w:p>
      <w:pPr>
        <w:spacing w:after="0" w:line="219" w:lineRule="exact"/>
        <w:jc w:val="center"/>
        <w:rPr>
          <w:rFonts w:ascii="宋体" w:hAnsi="宋体" w:cs="宋体" w:eastAsia="宋体" w:hint="default"/>
          <w:sz w:val="21"/>
          <w:szCs w:val="21"/>
        </w:rPr>
        <w:sectPr>
          <w:pgSz w:w="11910" w:h="16840"/>
          <w:pgMar w:header="816" w:footer="956" w:top="1160" w:bottom="1140" w:left="1000" w:right="0"/>
        </w:sectPr>
      </w:pPr>
    </w:p>
    <w:p>
      <w:pPr>
        <w:spacing w:line="240" w:lineRule="auto" w:before="3"/>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636"/>
        <w:gridCol w:w="1427"/>
        <w:gridCol w:w="1505"/>
        <w:gridCol w:w="1080"/>
        <w:gridCol w:w="1303"/>
        <w:gridCol w:w="1397"/>
        <w:gridCol w:w="1346"/>
      </w:tblGrid>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55"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11.13%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18,360,468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18,360,468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r>
        <w:trPr>
          <w:trHeight w:val="411"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35" w:right="0"/>
              <w:jc w:val="left"/>
              <w:rPr>
                <w:rFonts w:ascii="宋体" w:hAnsi="宋体" w:cs="宋体" w:eastAsia="宋体" w:hint="default"/>
                <w:sz w:val="18"/>
                <w:szCs w:val="18"/>
              </w:rPr>
            </w:pPr>
            <w:r>
              <w:rPr>
                <w:rFonts w:ascii="宋体" w:hAnsi="宋体" w:cs="宋体" w:eastAsia="宋体" w:hint="default"/>
                <w:sz w:val="18"/>
                <w:szCs w:val="18"/>
              </w:rPr>
              <w:t>芜湖市建设投资有限公司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境内国有法人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5.05%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8,331,656</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55" w:right="0"/>
              <w:jc w:val="left"/>
              <w:rPr>
                <w:rFonts w:ascii="宋体" w:hAnsi="宋体" w:cs="宋体" w:eastAsia="宋体" w:hint="default"/>
                <w:sz w:val="18"/>
                <w:szCs w:val="18"/>
              </w:rPr>
            </w:pPr>
            <w:r>
              <w:rPr>
                <w:rFonts w:ascii="宋体" w:hAnsi="宋体" w:cs="宋体" w:eastAsia="宋体" w:hint="default"/>
                <w:sz w:val="18"/>
                <w:szCs w:val="18"/>
              </w:rPr>
              <w:t>芜湖市鸠江建设投资有限公司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境内国有法人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5.05%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8,331,655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r>
        <w:trPr>
          <w:trHeight w:val="408"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55"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4.48%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7,394,198</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55"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境内国有法人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sz w:val="18"/>
              </w:rPr>
              <w:t>3.79%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6,248,743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75"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全国社会保障基金理事会转持三户</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境内国有法人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2.55%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4,200,000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r>
        <w:trPr>
          <w:trHeight w:val="65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535" w:right="176" w:hanging="360"/>
              <w:jc w:val="left"/>
              <w:rPr>
                <w:rFonts w:ascii="宋体" w:hAnsi="宋体" w:cs="宋体" w:eastAsia="宋体" w:hint="default"/>
                <w:sz w:val="18"/>
                <w:szCs w:val="18"/>
              </w:rPr>
            </w:pPr>
            <w:r>
              <w:rPr>
                <w:rFonts w:ascii="宋体" w:hAnsi="宋体" w:cs="宋体" w:eastAsia="宋体" w:hint="default"/>
                <w:sz w:val="18"/>
                <w:szCs w:val="18"/>
              </w:rPr>
              <w:t>兴业银行股份有限公司－万家和谐 增长混合型证券投资基金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475" w:right="119" w:hanging="360"/>
              <w:jc w:val="left"/>
              <w:rPr>
                <w:rFonts w:ascii="宋体" w:hAnsi="宋体" w:cs="宋体" w:eastAsia="宋体" w:hint="default"/>
                <w:sz w:val="18"/>
                <w:szCs w:val="18"/>
              </w:rPr>
            </w:pPr>
            <w:r>
              <w:rPr>
                <w:rFonts w:ascii="宋体" w:hAnsi="宋体" w:cs="宋体" w:eastAsia="宋体" w:hint="default"/>
                <w:sz w:val="18"/>
                <w:szCs w:val="18"/>
              </w:rPr>
              <w:t>基金、理财产品 等其他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sz w:val="18"/>
              </w:rPr>
              <w:t>0.63%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1,046,011</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胡恒生</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0.33%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552,100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552,100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w w:val="100"/>
                <w:sz w:val="21"/>
              </w:rPr>
              <w:t>0</w:t>
            </w:r>
          </w:p>
        </w:tc>
      </w:tr>
      <w:tr>
        <w:trPr>
          <w:trHeight w:val="410" w:hRule="exact"/>
        </w:trPr>
        <w:tc>
          <w:tcPr>
            <w:tcW w:w="96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409"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89" w:right="0"/>
              <w:jc w:val="left"/>
              <w:rPr>
                <w:rFonts w:ascii="宋体" w:hAnsi="宋体" w:cs="宋体" w:eastAsia="宋体" w:hint="default"/>
                <w:sz w:val="18"/>
                <w:szCs w:val="18"/>
              </w:rPr>
            </w:pPr>
            <w:r>
              <w:rPr>
                <w:rFonts w:ascii="宋体" w:hAnsi="宋体" w:cs="宋体" w:eastAsia="宋体" w:hint="default"/>
                <w:sz w:val="18"/>
                <w:szCs w:val="18"/>
              </w:rPr>
              <w:t>芜湖市建设投资有限公司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8,331,656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09" w:right="0"/>
              <w:jc w:val="left"/>
              <w:rPr>
                <w:rFonts w:ascii="宋体" w:hAnsi="宋体" w:cs="宋体" w:eastAsia="宋体" w:hint="default"/>
                <w:sz w:val="18"/>
                <w:szCs w:val="18"/>
              </w:rPr>
            </w:pPr>
            <w:r>
              <w:rPr>
                <w:rFonts w:ascii="宋体" w:hAnsi="宋体" w:cs="宋体" w:eastAsia="宋体" w:hint="default"/>
                <w:sz w:val="18"/>
                <w:szCs w:val="18"/>
              </w:rPr>
              <w:t>芜湖市鸠江建设投资有限公司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8,331,655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09" w:right="0"/>
              <w:jc w:val="left"/>
              <w:rPr>
                <w:rFonts w:ascii="宋体" w:hAnsi="宋体" w:cs="宋体" w:eastAsia="宋体" w:hint="default"/>
                <w:sz w:val="18"/>
                <w:szCs w:val="18"/>
              </w:rPr>
            </w:pPr>
            <w:r>
              <w:rPr>
                <w:rFonts w:ascii="宋体" w:hAnsi="宋体" w:cs="宋体" w:eastAsia="宋体" w:hint="default"/>
                <w:sz w:val="18"/>
                <w:szCs w:val="18"/>
              </w:rPr>
              <w:t>安徽鑫科新材料股份有限公司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7,394,198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09"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6,248,743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29"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全国社会保障基金理事会转持三户</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4,200,000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8"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2098" w:right="120" w:hanging="1981"/>
              <w:jc w:val="left"/>
              <w:rPr>
                <w:rFonts w:ascii="宋体" w:hAnsi="宋体" w:cs="宋体" w:eastAsia="宋体" w:hint="default"/>
                <w:sz w:val="18"/>
                <w:szCs w:val="18"/>
              </w:rPr>
            </w:pPr>
            <w:r>
              <w:rPr>
                <w:rFonts w:ascii="宋体" w:hAnsi="宋体" w:cs="宋体" w:eastAsia="宋体" w:hint="default"/>
                <w:sz w:val="18"/>
                <w:szCs w:val="18"/>
              </w:rPr>
              <w:t>兴业银行股份有限公司－万家和谐增长混合型证券投资 基金</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1,046,011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89" w:right="0"/>
              <w:jc w:val="left"/>
              <w:rPr>
                <w:rFonts w:ascii="宋体" w:hAnsi="宋体" w:cs="宋体" w:eastAsia="宋体" w:hint="default"/>
                <w:sz w:val="18"/>
                <w:szCs w:val="18"/>
              </w:rPr>
            </w:pPr>
            <w:r>
              <w:rPr>
                <w:rFonts w:ascii="宋体" w:hAnsi="宋体" w:cs="宋体" w:eastAsia="宋体" w:hint="default"/>
                <w:sz w:val="18"/>
                <w:szCs w:val="18"/>
              </w:rPr>
              <w:t>广东森泰兴投资有限公司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251</w:t>
            </w:r>
            <w:r>
              <w:rPr>
                <w:rFonts w:ascii="宋体" w:hAnsi="宋体" w:cs="宋体" w:eastAsia="宋体" w:hint="default"/>
                <w:sz w:val="18"/>
                <w:szCs w:val="18"/>
              </w:rPr>
              <w:t>，</w:t>
            </w:r>
            <w:r>
              <w:rPr>
                <w:rFonts w:ascii="宋体" w:hAnsi="宋体" w:cs="宋体" w:eastAsia="宋体" w:hint="default"/>
                <w:sz w:val="18"/>
                <w:szCs w:val="18"/>
              </w:rPr>
              <w:t>998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1"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张世海</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250,000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18" w:right="0"/>
              <w:jc w:val="left"/>
              <w:rPr>
                <w:rFonts w:ascii="宋体" w:hAnsi="宋体" w:cs="宋体" w:eastAsia="宋体" w:hint="default"/>
                <w:sz w:val="18"/>
                <w:szCs w:val="18"/>
              </w:rPr>
            </w:pPr>
            <w:r>
              <w:rPr>
                <w:rFonts w:ascii="宋体" w:hAnsi="宋体" w:cs="宋体" w:eastAsia="宋体" w:hint="default"/>
                <w:sz w:val="18"/>
                <w:szCs w:val="18"/>
              </w:rPr>
              <w:t>上海晓光测绘工程技术有限公司</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225,606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0" w:hRule="exact"/>
        </w:trPr>
        <w:tc>
          <w:tcPr>
            <w:tcW w:w="45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肖兴</w:t>
            </w:r>
          </w:p>
        </w:tc>
        <w:tc>
          <w:tcPr>
            <w:tcW w:w="37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217,306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30" w:hRule="exact"/>
        </w:trPr>
        <w:tc>
          <w:tcPr>
            <w:tcW w:w="16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2" w:lineRule="auto" w:before="101"/>
              <w:ind w:left="182" w:right="181"/>
              <w:jc w:val="center"/>
              <w:rPr>
                <w:rFonts w:ascii="宋体" w:hAnsi="宋体" w:cs="宋体" w:eastAsia="宋体" w:hint="default"/>
                <w:sz w:val="18"/>
                <w:szCs w:val="18"/>
              </w:rPr>
            </w:pPr>
            <w:r>
              <w:rPr>
                <w:rFonts w:ascii="宋体" w:hAnsi="宋体" w:cs="宋体" w:eastAsia="宋体" w:hint="default"/>
                <w:sz w:val="18"/>
                <w:szCs w:val="18"/>
              </w:rPr>
              <w:t>上述股东关联关 系或一致行动的 说明</w:t>
            </w:r>
          </w:p>
        </w:tc>
        <w:tc>
          <w:tcPr>
            <w:tcW w:w="806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98"/>
              <w:jc w:val="left"/>
              <w:rPr>
                <w:rFonts w:ascii="宋体" w:hAnsi="宋体" w:cs="宋体" w:eastAsia="宋体" w:hint="default"/>
                <w:sz w:val="18"/>
                <w:szCs w:val="18"/>
              </w:rPr>
            </w:pPr>
            <w:r>
              <w:rPr>
                <w:rFonts w:ascii="宋体" w:hAnsi="宋体" w:cs="宋体" w:eastAsia="宋体" w:hint="default"/>
                <w:spacing w:val="-2"/>
                <w:sz w:val="18"/>
                <w:szCs w:val="18"/>
              </w:rPr>
              <w:t>上述股东中，束龙胜、合肥世纪创新投资有限公司、芜湖市鑫诚科技投资有限公司、胡恒生均为有限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售条件股东。其中束龙胜持有本公司</w:t>
            </w:r>
            <w:r>
              <w:rPr>
                <w:rFonts w:ascii="宋体" w:hAnsi="宋体" w:cs="宋体" w:eastAsia="宋体" w:hint="default"/>
                <w:spacing w:val="-40"/>
                <w:sz w:val="18"/>
                <w:szCs w:val="18"/>
              </w:rPr>
              <w:t> </w:t>
            </w:r>
            <w:r>
              <w:rPr>
                <w:rFonts w:ascii="宋体" w:hAnsi="宋体" w:cs="宋体" w:eastAsia="宋体" w:hint="default"/>
                <w:sz w:val="18"/>
                <w:szCs w:val="18"/>
              </w:rPr>
              <w:t>29.54%</w:t>
            </w:r>
            <w:r>
              <w:rPr>
                <w:rFonts w:ascii="宋体" w:hAnsi="宋体" w:cs="宋体" w:eastAsia="宋体" w:hint="default"/>
                <w:sz w:val="18"/>
                <w:szCs w:val="18"/>
              </w:rPr>
              <w:t>的股份，通过持有芜湖市鑫诚科技投资有限公司</w:t>
            </w:r>
            <w:r>
              <w:rPr>
                <w:rFonts w:ascii="宋体" w:hAnsi="宋体" w:cs="宋体" w:eastAsia="宋体" w:hint="default"/>
                <w:spacing w:val="-41"/>
                <w:sz w:val="18"/>
                <w:szCs w:val="18"/>
              </w:rPr>
              <w:t> </w:t>
            </w:r>
            <w:r>
              <w:rPr>
                <w:rFonts w:ascii="宋体" w:hAnsi="宋体" w:cs="宋体" w:eastAsia="宋体" w:hint="default"/>
                <w:sz w:val="18"/>
                <w:szCs w:val="18"/>
              </w:rPr>
              <w:t>99.88%</w:t>
            </w:r>
          </w:p>
          <w:p>
            <w:pPr>
              <w:pStyle w:val="TableParagraph"/>
              <w:spacing w:line="238" w:lineRule="exact" w:before="1"/>
              <w:ind w:left="104" w:right="101"/>
              <w:jc w:val="left"/>
              <w:rPr>
                <w:rFonts w:ascii="宋体" w:hAnsi="宋体" w:cs="宋体" w:eastAsia="宋体" w:hint="default"/>
                <w:sz w:val="18"/>
                <w:szCs w:val="18"/>
              </w:rPr>
            </w:pPr>
            <w:r>
              <w:rPr>
                <w:rFonts w:ascii="宋体" w:hAnsi="宋体" w:cs="宋体" w:eastAsia="宋体" w:hint="default"/>
                <w:sz w:val="18"/>
                <w:szCs w:val="18"/>
              </w:rPr>
              <w:t>的股份间接持有本公司</w:t>
            </w:r>
            <w:r>
              <w:rPr>
                <w:rFonts w:ascii="宋体" w:hAnsi="宋体" w:cs="宋体" w:eastAsia="宋体" w:hint="default"/>
                <w:spacing w:val="-42"/>
                <w:sz w:val="18"/>
                <w:szCs w:val="18"/>
              </w:rPr>
              <w:t> </w:t>
            </w:r>
            <w:r>
              <w:rPr>
                <w:rFonts w:ascii="宋体" w:hAnsi="宋体" w:cs="宋体" w:eastAsia="宋体" w:hint="default"/>
                <w:sz w:val="18"/>
                <w:szCs w:val="18"/>
              </w:rPr>
              <w:t>11.13%</w:t>
            </w:r>
            <w:r>
              <w:rPr>
                <w:rFonts w:ascii="宋体" w:hAnsi="宋体" w:cs="宋体" w:eastAsia="宋体" w:hint="default"/>
                <w:sz w:val="18"/>
                <w:szCs w:val="18"/>
              </w:rPr>
              <w:t>的股份，合并持有本公司</w:t>
            </w:r>
            <w:r>
              <w:rPr>
                <w:rFonts w:ascii="宋体" w:hAnsi="宋体" w:cs="宋体" w:eastAsia="宋体" w:hint="default"/>
                <w:spacing w:val="-43"/>
                <w:sz w:val="18"/>
                <w:szCs w:val="18"/>
              </w:rPr>
              <w:t> </w:t>
            </w:r>
            <w:r>
              <w:rPr>
                <w:rFonts w:ascii="宋体" w:hAnsi="宋体" w:cs="宋体" w:eastAsia="宋体" w:hint="default"/>
                <w:sz w:val="18"/>
                <w:szCs w:val="18"/>
              </w:rPr>
              <w:t>40.67%</w:t>
            </w:r>
            <w:r>
              <w:rPr>
                <w:rFonts w:ascii="宋体" w:hAnsi="宋体" w:cs="宋体" w:eastAsia="宋体" w:hint="default"/>
                <w:sz w:val="18"/>
                <w:szCs w:val="18"/>
              </w:rPr>
              <w:t>的股份，为公司第一大股东和实际控 制人。胡恒生为第四届监事会监事。未知公司上述其他无限售条件股东之间是否存在关联关系。</w:t>
            </w:r>
          </w:p>
        </w:tc>
      </w:tr>
    </w:tbl>
    <w:p>
      <w:pPr>
        <w:pStyle w:val="BodyText"/>
        <w:spacing w:line="274" w:lineRule="exact" w:before="0"/>
        <w:ind w:left="1278" w:right="0"/>
        <w:jc w:val="left"/>
      </w:pPr>
      <w:r>
        <w:rPr>
          <w:rFonts w:ascii="宋体" w:hAnsi="宋体" w:cs="宋体" w:eastAsia="宋体" w:hint="default"/>
        </w:rPr>
        <w:t>2</w:t>
      </w:r>
      <w:r>
        <w:rPr/>
        <w:t>、公司第一大股东与实际控制人的情况</w:t>
      </w:r>
    </w:p>
    <w:p>
      <w:pPr>
        <w:pStyle w:val="BodyText"/>
        <w:spacing w:line="357" w:lineRule="auto" w:before="151"/>
        <w:ind w:left="798" w:right="1757" w:firstLine="479"/>
        <w:jc w:val="both"/>
      </w:pPr>
      <w:r>
        <w:rPr>
          <w:spacing w:val="35"/>
        </w:rPr>
        <w:t>束龙胜先生，中国</w:t>
      </w:r>
      <w:r>
        <w:rPr>
          <w:spacing w:val="-78"/>
        </w:rPr>
        <w:t> </w:t>
      </w:r>
      <w:r>
        <w:rPr>
          <w:spacing w:val="35"/>
        </w:rPr>
        <w:t>国籍，未拥有永久</w:t>
      </w:r>
      <w:r>
        <w:rPr>
          <w:spacing w:val="-78"/>
        </w:rPr>
        <w:t> </w:t>
      </w:r>
      <w:r>
        <w:rPr>
          <w:spacing w:val="35"/>
        </w:rPr>
        <w:t>境外居留权，身份</w:t>
      </w:r>
      <w:r>
        <w:rPr>
          <w:spacing w:val="-78"/>
        </w:rPr>
        <w:t> </w:t>
      </w:r>
      <w:r>
        <w:rPr>
          <w:spacing w:val="30"/>
        </w:rPr>
        <w:t>证号码：</w:t>
      </w:r>
      <w:r>
        <w:rPr>
          <w:spacing w:val="-80"/>
        </w:rPr>
        <w:t> </w:t>
      </w:r>
      <w:r>
        <w:rPr>
          <w:rFonts w:ascii="宋体" w:hAnsi="宋体" w:cs="宋体" w:eastAsia="宋体" w:hint="default"/>
        </w:rPr>
        <w:t>340702196305093516</w:t>
      </w:r>
      <w:r>
        <w:rPr/>
        <w:t>，住所：安徽省芜湖市镜湖区九华山路泰华苑</w:t>
      </w:r>
      <w:r>
        <w:rPr>
          <w:rFonts w:ascii="宋体" w:hAnsi="宋体" w:cs="宋体" w:eastAsia="宋体" w:hint="default"/>
        </w:rPr>
        <w:t>B</w:t>
      </w:r>
      <w:r>
        <w:rPr/>
        <w:t>幢</w:t>
      </w:r>
      <w:r>
        <w:rPr>
          <w:rFonts w:ascii="宋体" w:hAnsi="宋体" w:cs="宋体" w:eastAsia="宋体" w:hint="default"/>
        </w:rPr>
        <w:t>1068</w:t>
      </w:r>
      <w:r>
        <w:rPr/>
        <w:t>号。</w:t>
      </w:r>
      <w:r>
        <w:rPr>
          <w:spacing w:val="-89"/>
        </w:rPr>
        <w:t> </w:t>
      </w:r>
      <w:r>
        <w:rPr>
          <w:spacing w:val="-3"/>
        </w:rPr>
        <w:t>束龙胜先生直接持有本公司</w:t>
      </w:r>
      <w:r>
        <w:rPr>
          <w:rFonts w:ascii="宋体" w:hAnsi="宋体" w:cs="宋体" w:eastAsia="宋体" w:hint="default"/>
          <w:spacing w:val="-3"/>
        </w:rPr>
        <w:t>29.54%</w:t>
      </w:r>
      <w:r>
        <w:rPr>
          <w:spacing w:val="-3"/>
        </w:rPr>
        <w:t>股份，通过芜湖市鑫诚科技投资有限公司间接</w:t>
      </w:r>
      <w:r>
        <w:rPr>
          <w:spacing w:val="-96"/>
        </w:rPr>
        <w:t> </w:t>
      </w:r>
      <w:r>
        <w:rPr>
          <w:spacing w:val="-96"/>
        </w:rPr>
      </w:r>
      <w:r>
        <w:rPr>
          <w:spacing w:val="-3"/>
        </w:rPr>
        <w:t>持有本公司</w:t>
      </w:r>
      <w:r>
        <w:rPr>
          <w:rFonts w:ascii="宋体" w:hAnsi="宋体" w:cs="宋体" w:eastAsia="宋体" w:hint="default"/>
          <w:spacing w:val="-3"/>
        </w:rPr>
        <w:t>11.13%</w:t>
      </w:r>
      <w:r>
        <w:rPr>
          <w:spacing w:val="-3"/>
        </w:rPr>
        <w:t>的股份，合并持有本公司</w:t>
      </w:r>
      <w:r>
        <w:rPr>
          <w:rFonts w:ascii="宋体" w:hAnsi="宋体" w:cs="宋体" w:eastAsia="宋体" w:hint="default"/>
          <w:spacing w:val="-3"/>
        </w:rPr>
        <w:t>40.67%</w:t>
      </w:r>
      <w:r>
        <w:rPr>
          <w:spacing w:val="-3"/>
        </w:rPr>
        <w:t>的股份，为公司控股股东、实</w:t>
      </w:r>
      <w:r>
        <w:rPr>
          <w:spacing w:val="-84"/>
        </w:rPr>
        <w:t> </w:t>
      </w:r>
      <w:r>
        <w:rPr>
          <w:spacing w:val="-84"/>
        </w:rPr>
      </w:r>
      <w:r>
        <w:rPr/>
        <w:t>际控制人。除上述投资以外，不存在投资或控制其他企业的情形。</w:t>
      </w:r>
    </w:p>
    <w:p>
      <w:pPr>
        <w:pStyle w:val="BodyText"/>
        <w:spacing w:line="240" w:lineRule="auto" w:before="36"/>
        <w:ind w:left="1278" w:right="0"/>
        <w:jc w:val="left"/>
      </w:pPr>
      <w:r>
        <w:rPr>
          <w:rFonts w:ascii="宋体" w:hAnsi="宋体" w:cs="宋体" w:eastAsia="宋体" w:hint="default"/>
        </w:rPr>
        <w:t>3</w:t>
      </w:r>
      <w:r>
        <w:rPr/>
        <w:t>、公司与实际控制人之间的产权及控制关系的方框图</w:t>
      </w:r>
    </w:p>
    <w:p>
      <w:pPr>
        <w:spacing w:after="0" w:line="240" w:lineRule="auto"/>
        <w:jc w:val="left"/>
        <w:sectPr>
          <w:pgSz w:w="11910" w:h="16840"/>
          <w:pgMar w:header="816" w:footer="956" w:top="1160" w:bottom="1140" w:left="1000" w:right="0"/>
        </w:sectPr>
      </w:pPr>
    </w:p>
    <w:p>
      <w:pPr>
        <w:spacing w:line="240" w:lineRule="auto" w:before="1"/>
        <w:rPr>
          <w:rFonts w:ascii="宋体" w:hAnsi="宋体" w:cs="宋体" w:eastAsia="宋体" w:hint="default"/>
          <w:sz w:val="15"/>
          <w:szCs w:val="15"/>
        </w:rPr>
      </w:pPr>
    </w:p>
    <w:p>
      <w:pPr>
        <w:spacing w:line="6075" w:lineRule="exact"/>
        <w:ind w:left="301"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5054666" cy="3857625"/>
            <wp:effectExtent l="0" t="0" r="0" b="0"/>
            <wp:docPr id="1" name="image8.png" descr=""/>
            <wp:cNvGraphicFramePr>
              <a:graphicFrameLocks noChangeAspect="1"/>
            </wp:cNvGraphicFramePr>
            <a:graphic>
              <a:graphicData uri="http://schemas.openxmlformats.org/drawingml/2006/picture">
                <pic:pic>
                  <pic:nvPicPr>
                    <pic:cNvPr id="2" name="image8.png"/>
                    <pic:cNvPicPr/>
                  </pic:nvPicPr>
                  <pic:blipFill>
                    <a:blip r:embed="rId16" cstate="print"/>
                    <a:stretch>
                      <a:fillRect/>
                    </a:stretch>
                  </pic:blipFill>
                  <pic:spPr>
                    <a:xfrm>
                      <a:off x="0" y="0"/>
                      <a:ext cx="5054666" cy="3857625"/>
                    </a:xfrm>
                    <a:prstGeom prst="rect">
                      <a:avLst/>
                    </a:prstGeom>
                  </pic:spPr>
                </pic:pic>
              </a:graphicData>
            </a:graphic>
          </wp:inline>
        </w:drawing>
      </w:r>
      <w:r>
        <w:rPr>
          <w:rFonts w:ascii="宋体" w:hAnsi="宋体" w:cs="宋体" w:eastAsia="宋体" w:hint="default"/>
          <w:position w:val="-121"/>
          <w:sz w:val="20"/>
          <w:szCs w:val="20"/>
        </w:rPr>
      </w:r>
    </w:p>
    <w:p>
      <w:pPr>
        <w:spacing w:line="240" w:lineRule="auto" w:before="11"/>
        <w:rPr>
          <w:rFonts w:ascii="宋体" w:hAnsi="宋体" w:cs="宋体" w:eastAsia="宋体" w:hint="default"/>
          <w:sz w:val="5"/>
          <w:szCs w:val="5"/>
        </w:rPr>
      </w:pPr>
    </w:p>
    <w:p>
      <w:pPr>
        <w:pStyle w:val="BodyText"/>
        <w:spacing w:line="355" w:lineRule="auto" w:before="26"/>
        <w:ind w:left="618" w:right="1787"/>
        <w:jc w:val="left"/>
      </w:pPr>
      <w:r>
        <w:rPr>
          <w:rFonts w:ascii="宋体" w:hAnsi="宋体" w:cs="宋体" w:eastAsia="宋体" w:hint="default"/>
        </w:rPr>
        <w:t>4</w:t>
      </w:r>
      <w:r>
        <w:rPr/>
        <w:t>、其他持股</w:t>
      </w:r>
      <w:r>
        <w:rPr>
          <w:rFonts w:ascii="宋体" w:hAnsi="宋体" w:cs="宋体" w:eastAsia="宋体" w:hint="default"/>
        </w:rPr>
        <w:t>10%</w:t>
      </w:r>
      <w:r>
        <w:rPr/>
        <w:t>以上的法人股东情况 </w:t>
      </w:r>
      <w:r>
        <w:rPr>
          <w:spacing w:val="-3"/>
        </w:rPr>
        <w:t>公司第二大股东合肥世纪创新投资有限公司，持有公司</w:t>
      </w:r>
      <w:r>
        <w:rPr>
          <w:rFonts w:ascii="宋体" w:hAnsi="宋体" w:cs="宋体" w:eastAsia="宋体" w:hint="default"/>
          <w:spacing w:val="-3"/>
        </w:rPr>
        <w:t>11.34%</w:t>
      </w:r>
      <w:r>
        <w:rPr>
          <w:spacing w:val="-3"/>
        </w:rPr>
        <w:t>的股份，为境</w:t>
      </w:r>
    </w:p>
    <w:p>
      <w:pPr>
        <w:pStyle w:val="BodyText"/>
        <w:spacing w:line="357" w:lineRule="auto" w:before="38"/>
        <w:ind w:right="1791"/>
        <w:jc w:val="both"/>
      </w:pPr>
      <w:r>
        <w:rPr>
          <w:spacing w:val="-3"/>
        </w:rPr>
        <w:t>内法人股。成立时间：</w:t>
      </w:r>
      <w:r>
        <w:rPr>
          <w:rFonts w:ascii="宋体" w:hAnsi="宋体" w:cs="宋体" w:eastAsia="宋体" w:hint="default"/>
          <w:spacing w:val="-3"/>
        </w:rPr>
        <w:t>2002</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11</w:t>
      </w:r>
      <w:r>
        <w:rPr>
          <w:spacing w:val="-3"/>
        </w:rPr>
        <w:t>日。注册资本和实收资本：</w:t>
      </w:r>
      <w:r>
        <w:rPr>
          <w:rFonts w:ascii="宋体" w:hAnsi="宋体" w:cs="宋体" w:eastAsia="宋体" w:hint="default"/>
          <w:spacing w:val="-3"/>
        </w:rPr>
        <w:t>6,000</w:t>
      </w:r>
      <w:r>
        <w:rPr>
          <w:spacing w:val="-3"/>
        </w:rPr>
        <w:t>万元。注册</w:t>
      </w:r>
      <w:r>
        <w:rPr>
          <w:spacing w:val="-84"/>
        </w:rPr>
        <w:t> </w:t>
      </w:r>
      <w:r>
        <w:rPr>
          <w:spacing w:val="-84"/>
        </w:rPr>
      </w:r>
      <w:r>
        <w:rPr>
          <w:spacing w:val="-3"/>
        </w:rPr>
        <w:t>地址：合肥市高新区科学大道</w:t>
      </w:r>
      <w:r>
        <w:rPr>
          <w:rFonts w:ascii="宋体" w:hAnsi="宋体" w:cs="宋体" w:eastAsia="宋体" w:hint="default"/>
          <w:spacing w:val="-3"/>
        </w:rPr>
        <w:t>79</w:t>
      </w:r>
      <w:r>
        <w:rPr>
          <w:spacing w:val="-3"/>
        </w:rPr>
        <w:t>号科创中心</w:t>
      </w:r>
      <w:r>
        <w:rPr>
          <w:rFonts w:ascii="宋体" w:hAnsi="宋体" w:cs="宋体" w:eastAsia="宋体" w:hint="default"/>
          <w:spacing w:val="-3"/>
        </w:rPr>
        <w:t>1</w:t>
      </w:r>
      <w:r>
        <w:rPr>
          <w:spacing w:val="-3"/>
        </w:rPr>
        <w:t>－</w:t>
      </w:r>
      <w:r>
        <w:rPr>
          <w:rFonts w:ascii="宋体" w:hAnsi="宋体" w:cs="宋体" w:eastAsia="宋体" w:hint="default"/>
          <w:spacing w:val="-3"/>
        </w:rPr>
        <w:t>101</w:t>
      </w:r>
      <w:r>
        <w:rPr>
          <w:spacing w:val="-3"/>
        </w:rPr>
        <w:t>室。法定代表人：杨新潮。经</w:t>
      </w:r>
      <w:r>
        <w:rPr>
          <w:spacing w:val="-94"/>
        </w:rPr>
        <w:t> </w:t>
      </w:r>
      <w:r>
        <w:rPr>
          <w:spacing w:val="-94"/>
        </w:rPr>
      </w:r>
      <w:r>
        <w:rPr>
          <w:spacing w:val="-3"/>
        </w:rPr>
        <w:t>营范围：高新技术创业投资；项目、企业和基金的投资；投资管理和投资咨询服</w:t>
      </w:r>
      <w:r>
        <w:rPr>
          <w:spacing w:val="-103"/>
        </w:rPr>
        <w:t> </w:t>
      </w:r>
      <w:r>
        <w:rPr>
          <w:spacing w:val="-103"/>
        </w:rPr>
      </w:r>
      <w:r>
        <w:rPr>
          <w:spacing w:val="-3"/>
        </w:rPr>
        <w:t>务。合肥创投股东为深圳市创新投资集团有限公司、安徽省科技产业投资有限公</w:t>
      </w:r>
      <w:r>
        <w:rPr>
          <w:spacing w:val="-103"/>
        </w:rPr>
        <w:t> </w:t>
      </w:r>
      <w:r>
        <w:rPr>
          <w:spacing w:val="-103"/>
        </w:rPr>
      </w:r>
      <w:r>
        <w:rPr/>
        <w:t>司，分别持有其</w:t>
      </w:r>
      <w:r>
        <w:rPr>
          <w:rFonts w:ascii="宋体" w:hAnsi="宋体" w:cs="宋体" w:eastAsia="宋体" w:hint="default"/>
        </w:rPr>
        <w:t>50%</w:t>
      </w:r>
      <w:r>
        <w:rPr/>
        <w:t>、</w:t>
      </w:r>
      <w:r>
        <w:rPr>
          <w:rFonts w:ascii="宋体" w:hAnsi="宋体" w:cs="宋体" w:eastAsia="宋体" w:hint="default"/>
        </w:rPr>
        <w:t>50%</w:t>
      </w:r>
      <w:r>
        <w:rPr/>
        <w:t>的股权。</w:t>
      </w:r>
    </w:p>
    <w:p>
      <w:pPr>
        <w:pStyle w:val="BodyText"/>
        <w:spacing w:line="357" w:lineRule="auto" w:before="36"/>
        <w:ind w:right="1791" w:firstLine="479"/>
        <w:jc w:val="both"/>
      </w:pPr>
      <w:r>
        <w:rPr>
          <w:spacing w:val="-3"/>
        </w:rPr>
        <w:t>公司第三大股东芜湖市鑫诚科技投资有限公司，持有公司</w:t>
      </w:r>
      <w:r>
        <w:rPr>
          <w:rFonts w:ascii="宋体" w:hAnsi="宋体" w:cs="宋体" w:eastAsia="宋体" w:hint="default"/>
          <w:spacing w:val="-3"/>
        </w:rPr>
        <w:t>11.13%</w:t>
      </w:r>
      <w:r>
        <w:rPr>
          <w:spacing w:val="-3"/>
        </w:rPr>
        <w:t>的股份，为</w:t>
      </w:r>
      <w:r>
        <w:rPr/>
        <w:t> 境内法人股。成立时间：</w:t>
      </w:r>
      <w:r>
        <w:rPr>
          <w:rFonts w:ascii="宋体" w:hAnsi="宋体" w:cs="宋体" w:eastAsia="宋体" w:hint="default"/>
        </w:rPr>
        <w:t>1993</w:t>
      </w:r>
      <w:r>
        <w:rPr/>
        <w:t>年</w:t>
      </w:r>
      <w:r>
        <w:rPr>
          <w:rFonts w:ascii="宋体" w:hAnsi="宋体" w:cs="宋体" w:eastAsia="宋体" w:hint="default"/>
        </w:rPr>
        <w:t>3</w:t>
      </w:r>
      <w:r>
        <w:rPr/>
        <w:t>月</w:t>
      </w:r>
      <w:r>
        <w:rPr>
          <w:rFonts w:ascii="宋体" w:hAnsi="宋体" w:cs="宋体" w:eastAsia="宋体" w:hint="default"/>
        </w:rPr>
        <w:t>9</w:t>
      </w:r>
      <w:r>
        <w:rPr/>
        <w:t>日。注册资本和实收资本：</w:t>
      </w:r>
      <w:r>
        <w:rPr>
          <w:rFonts w:ascii="宋体" w:hAnsi="宋体" w:cs="宋体" w:eastAsia="宋体" w:hint="default"/>
        </w:rPr>
        <w:t>2,108</w:t>
      </w:r>
      <w:r>
        <w:rPr/>
        <w:t>万元。注</w:t>
      </w:r>
      <w:r>
        <w:rPr>
          <w:spacing w:val="-95"/>
        </w:rPr>
        <w:t> </w:t>
      </w:r>
      <w:r>
        <w:rPr>
          <w:spacing w:val="-95"/>
        </w:rPr>
      </w:r>
      <w:r>
        <w:rPr>
          <w:spacing w:val="-3"/>
        </w:rPr>
        <w:t>册地址：芜湖市湾里镇水阳江路</w:t>
      </w:r>
      <w:r>
        <w:rPr>
          <w:rFonts w:ascii="宋体" w:hAnsi="宋体" w:cs="宋体" w:eastAsia="宋体" w:hint="default"/>
          <w:spacing w:val="-3"/>
        </w:rPr>
        <w:t>47</w:t>
      </w:r>
      <w:r>
        <w:rPr>
          <w:spacing w:val="-3"/>
        </w:rPr>
        <w:t>号。法定代表人：束龙胜。经营范围：科技项</w:t>
      </w:r>
      <w:r>
        <w:rPr>
          <w:spacing w:val="-100"/>
        </w:rPr>
        <w:t> </w:t>
      </w:r>
      <w:r>
        <w:rPr>
          <w:spacing w:val="-100"/>
        </w:rPr>
      </w:r>
      <w:r>
        <w:rPr>
          <w:spacing w:val="-3"/>
        </w:rPr>
        <w:t>目及实业投资、项目开发、建筑装饰材料、计算机、制冷设备、生铁、汽车（除</w:t>
      </w:r>
      <w:r>
        <w:rPr>
          <w:spacing w:val="-102"/>
        </w:rPr>
        <w:t> </w:t>
      </w:r>
      <w:r>
        <w:rPr>
          <w:spacing w:val="-102"/>
        </w:rPr>
      </w:r>
      <w:r>
        <w:rPr>
          <w:spacing w:val="-3"/>
        </w:rPr>
        <w:t>小轿车）及配件、一般劳保用品、日用百货、五金、家用电器销售，经济管理人</w:t>
      </w:r>
      <w:r>
        <w:rPr>
          <w:spacing w:val="-105"/>
        </w:rPr>
        <w:t> </w:t>
      </w:r>
      <w:r>
        <w:rPr>
          <w:spacing w:val="-105"/>
        </w:rPr>
      </w:r>
      <w:r>
        <w:rPr>
          <w:spacing w:val="-3"/>
        </w:rPr>
        <w:t>才开发、信息咨询服务。鑫诚科技股东为束龙胜、李广明、李渊江，分别持有其</w:t>
      </w:r>
      <w:r>
        <w:rPr>
          <w:spacing w:val="-103"/>
        </w:rPr>
        <w:t> </w:t>
      </w:r>
      <w:r>
        <w:rPr>
          <w:spacing w:val="-103"/>
        </w:rPr>
      </w:r>
      <w:r>
        <w:rPr>
          <w:rFonts w:ascii="宋体" w:hAnsi="宋体" w:cs="宋体" w:eastAsia="宋体" w:hint="default"/>
        </w:rPr>
        <w:t>99.88%</w:t>
      </w:r>
      <w:r>
        <w:rPr/>
        <w:t>、</w:t>
      </w:r>
      <w:r>
        <w:rPr>
          <w:rFonts w:ascii="宋体" w:hAnsi="宋体" w:cs="宋体" w:eastAsia="宋体" w:hint="default"/>
        </w:rPr>
        <w:t>0.06%</w:t>
      </w:r>
      <w:r>
        <w:rPr/>
        <w:t>、</w:t>
      </w:r>
      <w:r>
        <w:rPr>
          <w:rFonts w:ascii="宋体" w:hAnsi="宋体" w:cs="宋体" w:eastAsia="宋体" w:hint="default"/>
        </w:rPr>
        <w:t>0.06%</w:t>
      </w:r>
      <w:r>
        <w:rPr/>
        <w:t>的股权。</w:t>
      </w:r>
    </w:p>
    <w:p>
      <w:pPr>
        <w:spacing w:after="0" w:line="357" w:lineRule="auto"/>
        <w:jc w:val="both"/>
        <w:sectPr>
          <w:pgSz w:w="11910" w:h="16840"/>
          <w:pgMar w:header="816" w:footer="956" w:top="1160" w:bottom="1140" w:left="1660" w:right="0"/>
        </w:sectPr>
      </w:pPr>
    </w:p>
    <w:p>
      <w:pPr>
        <w:spacing w:line="240" w:lineRule="auto" w:before="8"/>
        <w:rPr>
          <w:rFonts w:ascii="宋体" w:hAnsi="宋体" w:cs="宋体" w:eastAsia="宋体" w:hint="default"/>
          <w:sz w:val="29"/>
          <w:szCs w:val="29"/>
        </w:rPr>
      </w:pPr>
    </w:p>
    <w:p>
      <w:pPr>
        <w:pStyle w:val="Heading1"/>
        <w:spacing w:line="240" w:lineRule="auto"/>
        <w:ind w:left="1839" w:right="1788"/>
        <w:jc w:val="left"/>
        <w:rPr>
          <w:b w:val="0"/>
          <w:bCs w:val="0"/>
        </w:rPr>
      </w:pPr>
      <w:bookmarkStart w:name="_TOC_250006" w:id="4"/>
      <w:r>
        <w:rPr/>
        <w:t>第四节</w:t>
      </w:r>
      <w:r>
        <w:rPr>
          <w:spacing w:val="-8"/>
        </w:rPr>
        <w:t> </w:t>
      </w:r>
      <w:r>
        <w:rPr/>
        <w:t>董事、监事、高级管理人员和员工情况</w:t>
      </w:r>
      <w:bookmarkEnd w:id="4"/>
      <w:r>
        <w:rPr>
          <w:b w:val="0"/>
          <w:bCs w:val="0"/>
        </w:rPr>
      </w:r>
    </w:p>
    <w:p>
      <w:pPr>
        <w:spacing w:line="240" w:lineRule="auto" w:before="8"/>
        <w:rPr>
          <w:rFonts w:ascii="黑体" w:hAnsi="黑体" w:cs="黑体" w:eastAsia="黑体" w:hint="default"/>
          <w:b/>
          <w:bCs/>
          <w:sz w:val="25"/>
          <w:szCs w:val="25"/>
        </w:rPr>
      </w:pPr>
    </w:p>
    <w:p>
      <w:pPr>
        <w:pStyle w:val="BodyText"/>
        <w:spacing w:line="240" w:lineRule="auto" w:before="0"/>
        <w:ind w:left="1458" w:right="1788"/>
        <w:jc w:val="left"/>
      </w:pPr>
      <w:r>
        <w:rPr/>
        <w:t>一、公司现任董事、监事和高级管理人员情况</w:t>
      </w:r>
    </w:p>
    <w:p>
      <w:pPr>
        <w:pStyle w:val="BodyText"/>
        <w:spacing w:line="240" w:lineRule="auto" w:before="154"/>
        <w:ind w:left="1458" w:right="1788"/>
        <w:jc w:val="left"/>
      </w:pPr>
      <w:r>
        <w:rPr/>
        <w:t>（一</w:t>
      </w:r>
      <w:r>
        <w:rPr>
          <w:spacing w:val="-120"/>
        </w:rPr>
        <w:t>）</w:t>
      </w:r>
      <w:r>
        <w:rPr/>
        <w:t>、董事、监事和高级管理人员基本情况</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76"/>
        <w:gridCol w:w="1102"/>
        <w:gridCol w:w="350"/>
        <w:gridCol w:w="526"/>
        <w:gridCol w:w="905"/>
        <w:gridCol w:w="1092"/>
        <w:gridCol w:w="1126"/>
        <w:gridCol w:w="1114"/>
        <w:gridCol w:w="1027"/>
        <w:gridCol w:w="1157"/>
        <w:gridCol w:w="1066"/>
      </w:tblGrid>
      <w:tr>
        <w:trPr>
          <w:trHeight w:val="943" w:hRule="exact"/>
        </w:trPr>
        <w:tc>
          <w:tcPr>
            <w:tcW w:w="5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9" w:right="79"/>
              <w:jc w:val="left"/>
              <w:rPr>
                <w:rFonts w:ascii="宋体" w:hAnsi="宋体" w:cs="宋体" w:eastAsia="宋体" w:hint="default"/>
                <w:sz w:val="18"/>
                <w:szCs w:val="18"/>
              </w:rPr>
            </w:pPr>
            <w:r>
              <w:rPr>
                <w:rFonts w:ascii="宋体" w:hAnsi="宋体" w:cs="宋体" w:eastAsia="宋体" w:hint="default"/>
                <w:sz w:val="18"/>
                <w:szCs w:val="18"/>
              </w:rPr>
              <w:t>性 别</w:t>
            </w:r>
          </w:p>
        </w:tc>
        <w:tc>
          <w:tcPr>
            <w:tcW w:w="5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86" w:right="87" w:firstLine="180"/>
              <w:jc w:val="left"/>
              <w:rPr>
                <w:rFonts w:ascii="宋体" w:hAnsi="宋体" w:cs="宋体" w:eastAsia="宋体" w:hint="default"/>
                <w:sz w:val="18"/>
                <w:szCs w:val="18"/>
              </w:rPr>
            </w:pPr>
            <w:r>
              <w:rPr>
                <w:rFonts w:ascii="宋体" w:hAnsi="宋体" w:cs="宋体" w:eastAsia="宋体" w:hint="default"/>
                <w:sz w:val="18"/>
                <w:szCs w:val="18"/>
              </w:rPr>
              <w:t>任期 起始日期</w:t>
            </w:r>
          </w:p>
        </w:tc>
        <w:tc>
          <w:tcPr>
            <w:tcW w:w="10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0" w:right="180" w:firstLine="180"/>
              <w:jc w:val="left"/>
              <w:rPr>
                <w:rFonts w:ascii="宋体" w:hAnsi="宋体" w:cs="宋体" w:eastAsia="宋体" w:hint="default"/>
                <w:sz w:val="18"/>
                <w:szCs w:val="18"/>
              </w:rPr>
            </w:pPr>
            <w:r>
              <w:rPr>
                <w:rFonts w:ascii="宋体" w:hAnsi="宋体" w:cs="宋体" w:eastAsia="宋体" w:hint="default"/>
                <w:sz w:val="18"/>
                <w:szCs w:val="18"/>
              </w:rPr>
              <w:t>任期 终止日期</w:t>
            </w:r>
          </w:p>
        </w:tc>
        <w:tc>
          <w:tcPr>
            <w:tcW w:w="11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1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0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1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2" w:lineRule="exact" w:before="23"/>
              <w:ind w:left="33" w:right="32"/>
              <w:jc w:val="center"/>
              <w:rPr>
                <w:rFonts w:ascii="宋体" w:hAnsi="宋体" w:cs="宋体" w:eastAsia="宋体" w:hint="default"/>
                <w:sz w:val="18"/>
                <w:szCs w:val="18"/>
              </w:rPr>
            </w:pPr>
            <w:r>
              <w:rPr>
                <w:rFonts w:ascii="宋体" w:hAnsi="宋体" w:cs="宋体" w:eastAsia="宋体" w:hint="default"/>
                <w:sz w:val="18"/>
                <w:szCs w:val="18"/>
              </w:rPr>
              <w:t>司领取的报酬 总额（万元） 税前</w:t>
            </w:r>
          </w:p>
        </w:tc>
        <w:tc>
          <w:tcPr>
            <w:tcW w:w="10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2" w:lineRule="exact" w:before="23"/>
              <w:ind w:left="76" w:right="77"/>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束龙胜</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2"/>
              <w:jc w:val="center"/>
              <w:rPr>
                <w:rFonts w:ascii="宋体" w:hAnsi="宋体" w:cs="宋体" w:eastAsia="宋体" w:hint="default"/>
                <w:sz w:val="18"/>
                <w:szCs w:val="18"/>
              </w:rPr>
            </w:pPr>
            <w:r>
              <w:rPr>
                <w:rFonts w:ascii="宋体"/>
                <w:sz w:val="18"/>
              </w:rPr>
              <w:t>32,489,115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6"/>
              <w:jc w:val="center"/>
              <w:rPr>
                <w:rFonts w:ascii="宋体" w:hAnsi="宋体" w:cs="宋体" w:eastAsia="宋体" w:hint="default"/>
                <w:sz w:val="18"/>
                <w:szCs w:val="18"/>
              </w:rPr>
            </w:pPr>
            <w:r>
              <w:rPr>
                <w:rFonts w:ascii="宋体"/>
                <w:sz w:val="18"/>
              </w:rPr>
              <w:t>48,733,673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36"/>
              <w:jc w:val="right"/>
              <w:rPr>
                <w:rFonts w:ascii="宋体" w:hAnsi="宋体" w:cs="宋体" w:eastAsia="宋体" w:hint="default"/>
                <w:sz w:val="18"/>
                <w:szCs w:val="18"/>
              </w:rPr>
            </w:pPr>
            <w:r>
              <w:rPr>
                <w:rFonts w:ascii="宋体"/>
                <w:sz w:val="18"/>
              </w:rPr>
              <w:t>29.98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唐荣保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sz w:val="18"/>
              </w:rPr>
              <w:t>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2"/>
              <w:jc w:val="center"/>
              <w:rPr>
                <w:rFonts w:ascii="宋体" w:hAnsi="宋体" w:cs="宋体" w:eastAsia="宋体" w:hint="default"/>
                <w:sz w:val="18"/>
                <w:szCs w:val="18"/>
              </w:rPr>
            </w:pPr>
            <w:r>
              <w:rPr>
                <w:rFonts w:ascii="宋体"/>
                <w:sz w:val="18"/>
              </w:rPr>
              <w:t>368,067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6"/>
              <w:jc w:val="center"/>
              <w:rPr>
                <w:rFonts w:ascii="宋体" w:hAnsi="宋体" w:cs="宋体" w:eastAsia="宋体" w:hint="default"/>
                <w:sz w:val="18"/>
                <w:szCs w:val="18"/>
              </w:rPr>
            </w:pPr>
            <w:r>
              <w:rPr>
                <w:rFonts w:ascii="宋体"/>
                <w:sz w:val="18"/>
              </w:rPr>
              <w:t>534,100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115"/>
              <w:jc w:val="center"/>
              <w:rPr>
                <w:rFonts w:ascii="宋体" w:hAnsi="宋体" w:cs="宋体" w:eastAsia="宋体" w:hint="default"/>
                <w:sz w:val="18"/>
                <w:szCs w:val="18"/>
              </w:rPr>
            </w:pPr>
            <w:r>
              <w:rPr>
                <w:rFonts w:ascii="宋体" w:hAnsi="宋体" w:cs="宋体" w:eastAsia="宋体" w:hint="default"/>
                <w:sz w:val="18"/>
                <w:szCs w:val="18"/>
              </w:rPr>
              <w:t>公积金转股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tabs>
                <w:tab w:pos="257" w:val="left" w:leader="none"/>
              </w:tabs>
              <w:spacing w:line="321" w:lineRule="exact"/>
              <w:ind w:left="-128" w:right="436"/>
              <w:jc w:val="righ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张琼</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1"/>
              <w:jc w:val="center"/>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张鲁毅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1"/>
              <w:jc w:val="center"/>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庄明福</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81"/>
              <w:jc w:val="center"/>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李小庆</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firstLine="91"/>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6"/>
              <w:jc w:val="right"/>
              <w:rPr>
                <w:rFonts w:ascii="宋体" w:hAnsi="宋体" w:cs="宋体" w:eastAsia="宋体" w:hint="default"/>
                <w:sz w:val="18"/>
                <w:szCs w:val="18"/>
              </w:rPr>
            </w:pPr>
            <w:r>
              <w:rPr>
                <w:rFonts w:ascii="宋体"/>
                <w:sz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姚禄仕</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81"/>
              <w:jc w:val="right"/>
              <w:rPr>
                <w:rFonts w:ascii="宋体" w:hAnsi="宋体" w:cs="宋体" w:eastAsia="宋体" w:hint="default"/>
                <w:sz w:val="18"/>
                <w:szCs w:val="18"/>
              </w:rPr>
            </w:pPr>
            <w:r>
              <w:rPr>
                <w:rFonts w:ascii="宋体"/>
                <w:sz w:val="18"/>
              </w:rPr>
              <w:t>1.25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汪和俊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81"/>
              <w:jc w:val="right"/>
              <w:rPr>
                <w:rFonts w:ascii="宋体" w:hAnsi="宋体" w:cs="宋体" w:eastAsia="宋体" w:hint="default"/>
                <w:sz w:val="18"/>
                <w:szCs w:val="18"/>
              </w:rPr>
            </w:pPr>
            <w:r>
              <w:rPr>
                <w:rFonts w:ascii="宋体"/>
                <w:sz w:val="18"/>
              </w:rPr>
              <w:t>1.25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肖学东</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68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81"/>
              <w:jc w:val="right"/>
              <w:rPr>
                <w:rFonts w:ascii="宋体" w:hAnsi="宋体" w:cs="宋体" w:eastAsia="宋体" w:hint="default"/>
                <w:sz w:val="18"/>
                <w:szCs w:val="18"/>
              </w:rPr>
            </w:pPr>
            <w:r>
              <w:rPr>
                <w:rFonts w:ascii="宋体"/>
                <w:sz w:val="18"/>
              </w:rPr>
              <w:t>1.25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查秉忠</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49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81"/>
              <w:jc w:val="center"/>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陈邦莲</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1"/>
              <w:jc w:val="right"/>
              <w:rPr>
                <w:rFonts w:ascii="宋体" w:hAnsi="宋体" w:cs="宋体" w:eastAsia="宋体" w:hint="default"/>
                <w:sz w:val="18"/>
                <w:szCs w:val="18"/>
              </w:rPr>
            </w:pPr>
            <w:r>
              <w:rPr>
                <w:rFonts w:ascii="宋体"/>
                <w:sz w:val="18"/>
              </w:rPr>
              <w:t>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梅红艳</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1"/>
              <w:jc w:val="right"/>
              <w:rPr>
                <w:rFonts w:ascii="宋体" w:hAnsi="宋体" w:cs="宋体" w:eastAsia="宋体" w:hint="default"/>
                <w:sz w:val="18"/>
                <w:szCs w:val="18"/>
              </w:rPr>
            </w:pPr>
            <w:r>
              <w:rPr>
                <w:rFonts w:ascii="宋体"/>
                <w:sz w:val="18"/>
              </w:rPr>
              <w:t>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汪 </w:t>
            </w:r>
            <w:r>
              <w:rPr>
                <w:rFonts w:ascii="宋体" w:hAnsi="宋体" w:cs="宋体" w:eastAsia="宋体" w:hint="default"/>
                <w:spacing w:val="2"/>
                <w:sz w:val="18"/>
                <w:szCs w:val="18"/>
              </w:rPr>
              <w:t> </w:t>
            </w:r>
            <w:r>
              <w:rPr>
                <w:rFonts w:ascii="宋体" w:hAnsi="宋体" w:cs="宋体" w:eastAsia="宋体" w:hint="default"/>
                <w:sz w:val="18"/>
                <w:szCs w:val="18"/>
              </w:rPr>
              <w:t>宇</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36"/>
              <w:jc w:val="right"/>
              <w:rPr>
                <w:rFonts w:ascii="宋体" w:hAnsi="宋体" w:cs="宋体" w:eastAsia="宋体" w:hint="default"/>
                <w:sz w:val="18"/>
                <w:szCs w:val="18"/>
              </w:rPr>
            </w:pPr>
            <w:r>
              <w:rPr>
                <w:rFonts w:ascii="宋体"/>
                <w:sz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孙国财</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sz w:val="18"/>
              </w:rPr>
              <w:t>58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436"/>
              <w:jc w:val="right"/>
              <w:rPr>
                <w:rFonts w:ascii="宋体" w:hAnsi="宋体" w:cs="宋体" w:eastAsia="宋体" w:hint="default"/>
                <w:sz w:val="18"/>
                <w:szCs w:val="18"/>
              </w:rPr>
            </w:pPr>
            <w:r>
              <w:rPr>
                <w:rFonts w:ascii="宋体"/>
                <w:sz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付龙胜</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36"/>
              <w:jc w:val="right"/>
              <w:rPr>
                <w:rFonts w:ascii="宋体" w:hAnsi="宋体" w:cs="宋体" w:eastAsia="宋体" w:hint="default"/>
                <w:sz w:val="18"/>
                <w:szCs w:val="18"/>
              </w:rPr>
            </w:pPr>
            <w:r>
              <w:rPr>
                <w:rFonts w:ascii="宋体"/>
                <w:sz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程晓龙</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36"/>
              <w:jc w:val="right"/>
              <w:rPr>
                <w:rFonts w:ascii="宋体" w:hAnsi="宋体" w:cs="宋体" w:eastAsia="宋体" w:hint="default"/>
                <w:sz w:val="18"/>
                <w:szCs w:val="18"/>
              </w:rPr>
            </w:pPr>
            <w:r>
              <w:rPr>
                <w:rFonts w:ascii="宋体"/>
                <w:sz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宛玉超</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36"/>
              <w:jc w:val="right"/>
              <w:rPr>
                <w:rFonts w:ascii="宋体" w:hAnsi="宋体" w:cs="宋体" w:eastAsia="宋体" w:hint="default"/>
                <w:sz w:val="18"/>
                <w:szCs w:val="18"/>
              </w:rPr>
            </w:pPr>
            <w:r>
              <w:rPr>
                <w:rFonts w:ascii="宋体"/>
                <w:sz w:val="18"/>
              </w:rPr>
              <w:t>11.56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2"/>
              <w:jc w:val="center"/>
              <w:rPr>
                <w:rFonts w:ascii="宋体" w:hAnsi="宋体" w:cs="宋体" w:eastAsia="宋体" w:hint="default"/>
                <w:sz w:val="18"/>
                <w:szCs w:val="18"/>
              </w:rPr>
            </w:pPr>
            <w:r>
              <w:rPr>
                <w:rFonts w:ascii="宋体"/>
                <w:sz w:val="18"/>
              </w:rPr>
              <w:t>368,067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6"/>
              <w:jc w:val="center"/>
              <w:rPr>
                <w:rFonts w:ascii="宋体" w:hAnsi="宋体" w:cs="宋体" w:eastAsia="宋体" w:hint="default"/>
                <w:sz w:val="18"/>
                <w:szCs w:val="18"/>
              </w:rPr>
            </w:pPr>
            <w:r>
              <w:rPr>
                <w:rFonts w:ascii="宋体"/>
                <w:sz w:val="18"/>
              </w:rPr>
              <w:t>444,100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15"/>
              <w:jc w:val="center"/>
              <w:rPr>
                <w:rFonts w:ascii="宋体" w:hAnsi="宋体" w:cs="宋体" w:eastAsia="宋体" w:hint="default"/>
                <w:sz w:val="18"/>
                <w:szCs w:val="18"/>
              </w:rPr>
            </w:pPr>
            <w:r>
              <w:rPr>
                <w:rFonts w:ascii="宋体" w:hAnsi="宋体" w:cs="宋体" w:eastAsia="宋体" w:hint="default"/>
                <w:sz w:val="18"/>
                <w:szCs w:val="18"/>
              </w:rPr>
              <w:t>公积金转股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tabs>
                <w:tab w:pos="257" w:val="left" w:leader="none"/>
              </w:tabs>
              <w:spacing w:line="323" w:lineRule="exact"/>
              <w:ind w:left="-128" w:right="436"/>
              <w:jc w:val="righ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10.55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陶黎明</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5" w:right="0" w:hanging="92"/>
              <w:jc w:val="left"/>
              <w:rPr>
                <w:rFonts w:ascii="宋体" w:hAnsi="宋体" w:cs="宋体" w:eastAsia="宋体" w:hint="default"/>
                <w:sz w:val="18"/>
                <w:szCs w:val="18"/>
              </w:rPr>
            </w:pPr>
            <w:r>
              <w:rPr>
                <w:rFonts w:ascii="宋体" w:hAnsi="宋体" w:cs="宋体" w:eastAsia="宋体" w:hint="default"/>
                <w:sz w:val="18"/>
                <w:szCs w:val="18"/>
              </w:rPr>
              <w:t>财务部经理、</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5"/>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7"/>
              <w:jc w:val="center"/>
              <w:rPr>
                <w:rFonts w:ascii="宋体" w:hAnsi="宋体" w:cs="宋体" w:eastAsia="宋体" w:hint="default"/>
                <w:sz w:val="18"/>
                <w:szCs w:val="18"/>
              </w:rPr>
            </w:pPr>
            <w:r>
              <w:rPr>
                <w:rFonts w:ascii="宋体"/>
                <w:sz w:val="18"/>
              </w:rPr>
              <w:t>-</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1"/>
              <w:jc w:val="right"/>
              <w:rPr>
                <w:rFonts w:ascii="宋体" w:hAnsi="宋体" w:cs="宋体" w:eastAsia="宋体" w:hint="default"/>
                <w:sz w:val="18"/>
                <w:szCs w:val="18"/>
              </w:rPr>
            </w:pPr>
            <w:r>
              <w:rPr>
                <w:rFonts w:ascii="宋体"/>
                <w:sz w:val="18"/>
              </w:rPr>
              <w:t>8.98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24" w:right="0"/>
              <w:jc w:val="left"/>
              <w:rPr>
                <w:rFonts w:ascii="宋体" w:hAnsi="宋体" w:cs="宋体" w:eastAsia="宋体" w:hint="default"/>
                <w:sz w:val="18"/>
                <w:szCs w:val="18"/>
              </w:rPr>
            </w:pPr>
            <w:r>
              <w:rPr>
                <w:rFonts w:ascii="宋体"/>
                <w:sz w:val="18"/>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2"/>
              <w:jc w:val="center"/>
              <w:rPr>
                <w:rFonts w:ascii="宋体" w:hAnsi="宋体" w:cs="宋体" w:eastAsia="宋体" w:hint="default"/>
                <w:sz w:val="18"/>
                <w:szCs w:val="18"/>
              </w:rPr>
            </w:pPr>
            <w:r>
              <w:rPr>
                <w:rFonts w:ascii="宋体"/>
                <w:sz w:val="18"/>
              </w:rPr>
              <w:t>33,225,249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76"/>
              <w:jc w:val="center"/>
              <w:rPr>
                <w:rFonts w:ascii="宋体" w:hAnsi="宋体" w:cs="宋体" w:eastAsia="宋体" w:hint="default"/>
                <w:sz w:val="18"/>
                <w:szCs w:val="18"/>
              </w:rPr>
            </w:pPr>
            <w:r>
              <w:rPr>
                <w:rFonts w:ascii="宋体"/>
                <w:sz w:val="18"/>
              </w:rPr>
              <w:t>49,711,873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0"/>
              <w:jc w:val="right"/>
              <w:rPr>
                <w:rFonts w:ascii="宋体" w:hAnsi="宋体" w:cs="宋体" w:eastAsia="宋体" w:hint="default"/>
                <w:sz w:val="18"/>
                <w:szCs w:val="18"/>
              </w:rPr>
            </w:pPr>
            <w:r>
              <w:rPr>
                <w:rFonts w:ascii="宋体"/>
                <w:spacing w:val="-1"/>
                <w:sz w:val="18"/>
              </w:rPr>
              <w:t>134.76</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355" w:lineRule="auto" w:before="26"/>
        <w:ind w:left="978" w:right="1788" w:firstLine="479"/>
        <w:jc w:val="left"/>
      </w:pPr>
      <w:r>
        <w:rPr>
          <w:spacing w:val="-3"/>
        </w:rPr>
        <w:t>（二）、现任董事、监事、高级管理人员主要经历和在股东单位及其他单位</w:t>
      </w:r>
      <w:r>
        <w:rPr/>
        <w:t> 的任职或兼职情况</w:t>
      </w:r>
    </w:p>
    <w:p>
      <w:pPr>
        <w:pStyle w:val="BodyText"/>
        <w:spacing w:line="357" w:lineRule="auto" w:before="38"/>
        <w:ind w:left="1458" w:right="1790"/>
        <w:jc w:val="left"/>
      </w:pPr>
      <w:r>
        <w:rPr>
          <w:rFonts w:ascii="宋体" w:hAnsi="宋体" w:cs="宋体" w:eastAsia="宋体" w:hint="default"/>
        </w:rPr>
        <w:t>1</w:t>
      </w:r>
      <w:r>
        <w:rPr/>
        <w:t>、董事 </w:t>
      </w:r>
      <w:r>
        <w:rPr>
          <w:spacing w:val="-3"/>
        </w:rPr>
        <w:t>束龙胜先生，中国国籍，未拥有永久境外居留权，</w:t>
      </w:r>
      <w:r>
        <w:rPr>
          <w:rFonts w:ascii="宋体" w:hAnsi="宋体" w:cs="宋体" w:eastAsia="宋体" w:hint="default"/>
          <w:spacing w:val="-3"/>
        </w:rPr>
        <w:t>48</w:t>
      </w:r>
      <w:r>
        <w:rPr>
          <w:spacing w:val="-3"/>
        </w:rPr>
        <w:t>岁，研究生学历，高级</w:t>
      </w:r>
    </w:p>
    <w:p>
      <w:pPr>
        <w:pStyle w:val="BodyText"/>
        <w:spacing w:line="357" w:lineRule="auto"/>
        <w:ind w:left="978" w:right="1791"/>
        <w:jc w:val="both"/>
      </w:pPr>
      <w:r>
        <w:rPr>
          <w:spacing w:val="-3"/>
        </w:rPr>
        <w:t>工程师。曾任铜陵市磷铵厂技术员，芜湖市电器设备厂厂长、芜湖市时创信用担</w:t>
      </w:r>
      <w:r>
        <w:rPr>
          <w:spacing w:val="-102"/>
        </w:rPr>
        <w:t> </w:t>
      </w:r>
      <w:r>
        <w:rPr>
          <w:spacing w:val="-102"/>
        </w:rPr>
      </w:r>
      <w:r>
        <w:rPr>
          <w:spacing w:val="-3"/>
        </w:rPr>
        <w:t>保有限公司董事。现任本公司董事长、总经理，鑫诚科技董事长，安徽鑫龙自动</w:t>
      </w:r>
      <w:r>
        <w:rPr>
          <w:spacing w:val="-103"/>
        </w:rPr>
        <w:t> </w:t>
      </w:r>
      <w:r>
        <w:rPr>
          <w:spacing w:val="-103"/>
        </w:rPr>
      </w:r>
      <w:r>
        <w:rPr/>
        <w:t>化有限公司董事长。</w:t>
      </w:r>
    </w:p>
    <w:p>
      <w:pPr>
        <w:pStyle w:val="BodyText"/>
        <w:spacing w:line="240" w:lineRule="auto" w:before="36"/>
        <w:ind w:left="1458" w:right="0"/>
        <w:jc w:val="left"/>
      </w:pPr>
      <w:r>
        <w:rPr>
          <w:spacing w:val="-3"/>
        </w:rPr>
        <w:t>束龙胜先生为中国电工技术学会青年工作委员会委员、安徽省政协委员、芜</w:t>
      </w:r>
    </w:p>
    <w:p>
      <w:pPr>
        <w:spacing w:after="0" w:line="240" w:lineRule="auto"/>
        <w:jc w:val="left"/>
        <w:sectPr>
          <w:pgSz w:w="11910" w:h="16840"/>
          <w:pgMar w:header="816" w:footer="956" w:top="1160" w:bottom="1140" w:left="820" w:right="0"/>
        </w:sectPr>
      </w:pPr>
    </w:p>
    <w:p>
      <w:pPr>
        <w:spacing w:line="240" w:lineRule="auto" w:before="2"/>
        <w:rPr>
          <w:rFonts w:ascii="宋体" w:hAnsi="宋体" w:cs="宋体" w:eastAsia="宋体" w:hint="default"/>
          <w:sz w:val="10"/>
          <w:szCs w:val="10"/>
        </w:rPr>
      </w:pPr>
    </w:p>
    <w:p>
      <w:pPr>
        <w:pStyle w:val="BodyText"/>
        <w:spacing w:line="357" w:lineRule="auto" w:before="26"/>
        <w:ind w:right="1790"/>
        <w:jc w:val="both"/>
      </w:pPr>
      <w:r>
        <w:rPr>
          <w:spacing w:val="-3"/>
        </w:rPr>
        <w:t>湖市政协常委、芜湖市人大代表，并取得安徽省劳动模范、安徽省优秀民营科技</w:t>
      </w:r>
      <w:r>
        <w:rPr>
          <w:spacing w:val="-102"/>
        </w:rPr>
        <w:t> </w:t>
      </w:r>
      <w:r>
        <w:rPr>
          <w:spacing w:val="-102"/>
        </w:rPr>
      </w:r>
      <w:r>
        <w:rPr>
          <w:spacing w:val="3"/>
        </w:rPr>
        <w:t>企业家、安徽省发展乡镇企业先进个人、全国工商业联合会及中华全国总工会</w:t>
      </w:r>
      <w:r>
        <w:rPr>
          <w:spacing w:val="-93"/>
        </w:rPr>
        <w:t> </w:t>
      </w:r>
      <w:r>
        <w:rPr>
          <w:spacing w:val="-93"/>
        </w:rPr>
      </w:r>
      <w:r>
        <w:rPr/>
        <w:t>“关爱员工优秀民营企业家”等荣誉称号。</w:t>
      </w:r>
    </w:p>
    <w:p>
      <w:pPr>
        <w:pStyle w:val="BodyText"/>
        <w:spacing w:line="357" w:lineRule="auto" w:before="36"/>
        <w:ind w:right="1791" w:firstLine="479"/>
        <w:jc w:val="both"/>
      </w:pPr>
      <w:r>
        <w:rPr>
          <w:spacing w:val="-3"/>
        </w:rPr>
        <w:t>唐荣保先生，中国国籍，未拥有永久境外居留权，</w:t>
      </w:r>
      <w:r>
        <w:rPr>
          <w:rFonts w:ascii="宋体" w:hAnsi="宋体" w:cs="宋体" w:eastAsia="宋体" w:hint="default"/>
          <w:spacing w:val="-3"/>
        </w:rPr>
        <w:t>48</w:t>
      </w:r>
      <w:r>
        <w:rPr>
          <w:spacing w:val="-3"/>
        </w:rPr>
        <w:t>岁，本科学历，高级工</w:t>
      </w:r>
      <w:r>
        <w:rPr/>
        <w:t> </w:t>
      </w:r>
      <w:r>
        <w:rPr>
          <w:spacing w:val="-3"/>
        </w:rPr>
        <w:t>程师。曾就职于马鞍山无线电厂，深圳王氏港建集团，芜湖市电器设备厂。现任</w:t>
      </w:r>
      <w:r>
        <w:rPr>
          <w:spacing w:val="-102"/>
        </w:rPr>
        <w:t> </w:t>
      </w:r>
      <w:r>
        <w:rPr>
          <w:spacing w:val="-102"/>
        </w:rPr>
      </w:r>
      <w:r>
        <w:rPr/>
        <w:t>本公司副董事长，安徽森源电器有限公司法定代表人。</w:t>
      </w:r>
    </w:p>
    <w:p>
      <w:pPr>
        <w:pStyle w:val="BodyText"/>
        <w:spacing w:line="357" w:lineRule="auto"/>
        <w:ind w:right="1791" w:firstLine="479"/>
        <w:jc w:val="both"/>
      </w:pPr>
      <w:r>
        <w:rPr>
          <w:spacing w:val="-3"/>
        </w:rPr>
        <w:t>张琼女士，中国国籍，未拥有永久境外居留权，</w:t>
      </w:r>
      <w:r>
        <w:rPr>
          <w:rFonts w:ascii="宋体" w:hAnsi="宋体" w:cs="宋体" w:eastAsia="宋体" w:hint="default"/>
          <w:spacing w:val="-3"/>
        </w:rPr>
        <w:t>53</w:t>
      </w:r>
      <w:r>
        <w:rPr>
          <w:spacing w:val="-3"/>
        </w:rPr>
        <w:t>岁，中共党员，法学硕士</w:t>
      </w:r>
      <w:r>
        <w:rPr/>
        <w:t> </w:t>
      </w:r>
      <w:r>
        <w:rPr>
          <w:spacing w:val="-3"/>
        </w:rPr>
        <w:t>学位，副教授职称，注册企业法律顾问、律师。</w:t>
      </w:r>
      <w:r>
        <w:rPr>
          <w:rFonts w:ascii="宋体" w:hAnsi="宋体" w:cs="宋体" w:eastAsia="宋体" w:hint="default"/>
          <w:spacing w:val="-3"/>
        </w:rPr>
        <w:t>1987</w:t>
      </w:r>
      <w:r>
        <w:rPr>
          <w:spacing w:val="-3"/>
        </w:rPr>
        <w:t>年</w:t>
      </w:r>
      <w:r>
        <w:rPr>
          <w:rFonts w:ascii="宋体" w:hAnsi="宋体" w:cs="宋体" w:eastAsia="宋体" w:hint="default"/>
          <w:spacing w:val="-3"/>
        </w:rPr>
        <w:t>7</w:t>
      </w:r>
      <w:r>
        <w:rPr>
          <w:spacing w:val="-3"/>
        </w:rPr>
        <w:t>月至</w:t>
      </w:r>
      <w:r>
        <w:rPr>
          <w:rFonts w:ascii="宋体" w:hAnsi="宋体" w:cs="宋体" w:eastAsia="宋体" w:hint="default"/>
          <w:spacing w:val="-3"/>
        </w:rPr>
        <w:t>1995</w:t>
      </w:r>
      <w:r>
        <w:rPr>
          <w:spacing w:val="-3"/>
        </w:rPr>
        <w:t>年</w:t>
      </w:r>
      <w:r>
        <w:rPr>
          <w:rFonts w:ascii="宋体" w:hAnsi="宋体" w:cs="宋体" w:eastAsia="宋体" w:hint="default"/>
          <w:spacing w:val="-3"/>
        </w:rPr>
        <w:t>3</w:t>
      </w:r>
      <w:r>
        <w:rPr>
          <w:spacing w:val="-3"/>
        </w:rPr>
        <w:t>月任安徽大</w:t>
      </w:r>
      <w:r>
        <w:rPr>
          <w:spacing w:val="-87"/>
        </w:rPr>
        <w:t> </w:t>
      </w:r>
      <w:r>
        <w:rPr>
          <w:spacing w:val="-3"/>
        </w:rPr>
        <w:t>学法律系讲师、副教授；</w:t>
      </w:r>
      <w:r>
        <w:rPr>
          <w:rFonts w:ascii="宋体" w:hAnsi="宋体" w:cs="宋体" w:eastAsia="宋体" w:hint="default"/>
          <w:spacing w:val="-3"/>
        </w:rPr>
        <w:t>1995</w:t>
      </w:r>
      <w:r>
        <w:rPr>
          <w:spacing w:val="-3"/>
        </w:rPr>
        <w:t>年</w:t>
      </w:r>
      <w:r>
        <w:rPr>
          <w:rFonts w:ascii="宋体" w:hAnsi="宋体" w:cs="宋体" w:eastAsia="宋体" w:hint="default"/>
          <w:spacing w:val="-3"/>
        </w:rPr>
        <w:t>3</w:t>
      </w:r>
      <w:r>
        <w:rPr>
          <w:spacing w:val="-3"/>
        </w:rPr>
        <w:t>月至</w:t>
      </w:r>
      <w:r>
        <w:rPr>
          <w:rFonts w:ascii="宋体" w:hAnsi="宋体" w:cs="宋体" w:eastAsia="宋体" w:hint="default"/>
          <w:spacing w:val="-3"/>
        </w:rPr>
        <w:t>1999</w:t>
      </w:r>
      <w:r>
        <w:rPr>
          <w:spacing w:val="-3"/>
        </w:rPr>
        <w:t>年</w:t>
      </w:r>
      <w:r>
        <w:rPr>
          <w:rFonts w:ascii="宋体" w:hAnsi="宋体" w:cs="宋体" w:eastAsia="宋体" w:hint="default"/>
          <w:spacing w:val="-3"/>
        </w:rPr>
        <w:t>9</w:t>
      </w:r>
      <w:r>
        <w:rPr>
          <w:spacing w:val="-3"/>
        </w:rPr>
        <w:t>月曾任深圳市华为技术有限公司知</w:t>
      </w:r>
      <w:r>
        <w:rPr>
          <w:spacing w:val="-87"/>
        </w:rPr>
        <w:t> </w:t>
      </w:r>
      <w:r>
        <w:rPr>
          <w:spacing w:val="-3"/>
        </w:rPr>
        <w:t>识产权处副处长、法律事务处主任等职务。现任本公司董事、深圳市创新投资集</w:t>
      </w:r>
      <w:r>
        <w:rPr>
          <w:spacing w:val="-102"/>
        </w:rPr>
        <w:t> </w:t>
      </w:r>
      <w:r>
        <w:rPr>
          <w:spacing w:val="-102"/>
        </w:rPr>
      </w:r>
      <w:r>
        <w:rPr>
          <w:spacing w:val="-3"/>
        </w:rPr>
        <w:t>团有限公司风险控制委员会委员、投资决策委员会委员、安徽红土创业投资有限</w:t>
      </w:r>
      <w:r>
        <w:rPr>
          <w:spacing w:val="-102"/>
        </w:rPr>
        <w:t> </w:t>
      </w:r>
      <w:r>
        <w:rPr>
          <w:spacing w:val="-102"/>
        </w:rPr>
      </w:r>
      <w:r>
        <w:rPr>
          <w:spacing w:val="-3"/>
        </w:rPr>
        <w:t>公司董事、总经理、安徽红土创业投资管理有限公司总经理、合肥世纪创新投资</w:t>
      </w:r>
      <w:r>
        <w:rPr>
          <w:spacing w:val="-101"/>
        </w:rPr>
        <w:t> </w:t>
      </w:r>
      <w:r>
        <w:rPr>
          <w:spacing w:val="-101"/>
        </w:rPr>
      </w:r>
      <w:r>
        <w:rPr/>
        <w:t>有限公司董事、总经理。</w:t>
      </w:r>
    </w:p>
    <w:p>
      <w:pPr>
        <w:pStyle w:val="BodyText"/>
        <w:spacing w:line="357" w:lineRule="auto" w:before="36"/>
        <w:ind w:right="1791" w:firstLine="479"/>
        <w:jc w:val="both"/>
      </w:pPr>
      <w:r>
        <w:rPr>
          <w:spacing w:val="-3"/>
        </w:rPr>
        <w:t>张鲁毅先生，中国国籍，未拥有永久境外居留权，</w:t>
      </w:r>
      <w:r>
        <w:rPr>
          <w:rFonts w:ascii="宋体" w:hAnsi="宋体" w:cs="宋体" w:eastAsia="宋体" w:hint="default"/>
          <w:spacing w:val="-3"/>
        </w:rPr>
        <w:t>55</w:t>
      </w:r>
      <w:r>
        <w:rPr>
          <w:spacing w:val="-3"/>
        </w:rPr>
        <w:t>岁，本科学历，高级经</w:t>
      </w:r>
      <w:r>
        <w:rPr/>
        <w:t> </w:t>
      </w:r>
      <w:r>
        <w:rPr>
          <w:spacing w:val="-3"/>
        </w:rPr>
        <w:t>济师。曾任安徽省财政厅副处长、处长。现任本公司董事、安徽国资运营董事长</w:t>
      </w:r>
      <w:r>
        <w:rPr>
          <w:spacing w:val="-103"/>
        </w:rPr>
        <w:t> </w:t>
      </w:r>
      <w:r>
        <w:rPr>
          <w:spacing w:val="-103"/>
        </w:rPr>
      </w:r>
      <w:r>
        <w:rPr/>
        <w:t>兼总经理。</w:t>
      </w:r>
    </w:p>
    <w:p>
      <w:pPr>
        <w:pStyle w:val="BodyText"/>
        <w:spacing w:line="357" w:lineRule="auto" w:before="36"/>
        <w:ind w:right="1659" w:firstLine="479"/>
        <w:jc w:val="left"/>
      </w:pPr>
      <w:r>
        <w:rPr>
          <w:spacing w:val="-6"/>
        </w:rPr>
        <w:t>庄明福先生，中国国籍，未拥有永久境外居留权，</w:t>
      </w:r>
      <w:r>
        <w:rPr>
          <w:rFonts w:ascii="宋体" w:hAnsi="宋体" w:cs="宋体" w:eastAsia="宋体" w:hint="default"/>
          <w:spacing w:val="-6"/>
        </w:rPr>
        <w:t>45</w:t>
      </w:r>
      <w:r>
        <w:rPr>
          <w:spacing w:val="-6"/>
        </w:rPr>
        <w:t>岁，大专学历，会计师。</w:t>
      </w:r>
      <w:r>
        <w:rPr/>
        <w:t> </w:t>
      </w:r>
      <w:r>
        <w:rPr>
          <w:spacing w:val="-3"/>
        </w:rPr>
        <w:t>曾任芜湖恒鑫铜业集团有限公司股改办副主任、财务科长、财务部主任、安徽鑫</w:t>
      </w:r>
      <w:r>
        <w:rPr>
          <w:spacing w:val="-102"/>
        </w:rPr>
        <w:t> </w:t>
      </w:r>
      <w:r>
        <w:rPr>
          <w:spacing w:val="-102"/>
        </w:rPr>
      </w:r>
      <w:r>
        <w:rPr>
          <w:spacing w:val="-3"/>
        </w:rPr>
        <w:t>科新材料股份有限公司财务部主任、财务副总监等职。现任本公司董事、安徽鑫</w:t>
      </w:r>
      <w:r>
        <w:rPr>
          <w:spacing w:val="-102"/>
        </w:rPr>
        <w:t> </w:t>
      </w:r>
      <w:r>
        <w:rPr>
          <w:spacing w:val="-102"/>
        </w:rPr>
      </w:r>
      <w:r>
        <w:rPr/>
        <w:t>科新材料股份有限公司财务总监。</w:t>
      </w:r>
    </w:p>
    <w:p>
      <w:pPr>
        <w:pStyle w:val="BodyText"/>
        <w:spacing w:line="357" w:lineRule="auto" w:before="36"/>
        <w:ind w:right="1791" w:firstLine="479"/>
        <w:jc w:val="both"/>
      </w:pPr>
      <w:r>
        <w:rPr>
          <w:spacing w:val="-3"/>
        </w:rPr>
        <w:t>李小庆先生，中国国籍，未拥有永久境外居留权，</w:t>
      </w:r>
      <w:r>
        <w:rPr>
          <w:rFonts w:ascii="宋体" w:hAnsi="宋体" w:cs="宋体" w:eastAsia="宋体" w:hint="default"/>
          <w:spacing w:val="-3"/>
        </w:rPr>
        <w:t>47</w:t>
      </w:r>
      <w:r>
        <w:rPr>
          <w:spacing w:val="-3"/>
        </w:rPr>
        <w:t>岁，本科学历，高级工</w:t>
      </w:r>
      <w:r>
        <w:rPr/>
        <w:t> </w:t>
      </w:r>
      <w:r>
        <w:rPr>
          <w:spacing w:val="-3"/>
        </w:rPr>
        <w:t>程师。曾任芜湖市粮油食品局科员，芜湖市益新面粉公司科长、副总经理。现任</w:t>
      </w:r>
      <w:r>
        <w:rPr>
          <w:spacing w:val="-103"/>
        </w:rPr>
        <w:t> </w:t>
      </w:r>
      <w:r>
        <w:rPr>
          <w:spacing w:val="-103"/>
        </w:rPr>
      </w:r>
      <w:r>
        <w:rPr/>
        <w:t>本公司董事、副总经理，安徽鑫龙电力工程安装有限公司董事长。</w:t>
      </w:r>
    </w:p>
    <w:p>
      <w:pPr>
        <w:pStyle w:val="BodyText"/>
        <w:spacing w:line="357" w:lineRule="auto" w:before="82"/>
        <w:ind w:right="1688" w:firstLine="479"/>
        <w:jc w:val="left"/>
      </w:pPr>
      <w:r>
        <w:rPr>
          <w:spacing w:val="-3"/>
        </w:rPr>
        <w:t>肖学东先生，中国国籍，未拥有永久境外居留权，</w:t>
      </w:r>
      <w:r>
        <w:rPr>
          <w:rFonts w:ascii="宋体" w:hAnsi="宋体" w:cs="宋体" w:eastAsia="宋体" w:hint="default"/>
          <w:spacing w:val="-3"/>
        </w:rPr>
        <w:t>68</w:t>
      </w:r>
      <w:r>
        <w:rPr>
          <w:spacing w:val="-3"/>
        </w:rPr>
        <w:t>岁，本科学历。曾就职</w:t>
      </w:r>
      <w:r>
        <w:rPr/>
        <w:t> 于安徽机电学院，现已退休。历任安徽机电学院机械科副科长、科长、副处长、 处长、电气系党总支书记、副院长。现任本公司独立董事。</w:t>
      </w:r>
    </w:p>
    <w:p>
      <w:pPr>
        <w:pStyle w:val="BodyText"/>
        <w:spacing w:line="355" w:lineRule="auto" w:before="36"/>
        <w:ind w:right="1659" w:firstLine="479"/>
        <w:jc w:val="left"/>
      </w:pPr>
      <w:r>
        <w:rPr>
          <w:spacing w:val="-6"/>
        </w:rPr>
        <w:t>姚禄仕先生，中国国籍，未拥有永久境外居留权，</w:t>
      </w:r>
      <w:r>
        <w:rPr>
          <w:rFonts w:ascii="宋体" w:hAnsi="宋体" w:cs="宋体" w:eastAsia="宋体" w:hint="default"/>
          <w:spacing w:val="-6"/>
        </w:rPr>
        <w:t>48</w:t>
      </w:r>
      <w:r>
        <w:rPr>
          <w:spacing w:val="-6"/>
        </w:rPr>
        <w:t>岁，管理学博士，教授。</w:t>
      </w:r>
      <w:r>
        <w:rPr/>
        <w:t> </w:t>
      </w:r>
      <w:r>
        <w:rPr>
          <w:rFonts w:ascii="宋体" w:hAnsi="宋体" w:cs="宋体" w:eastAsia="宋体" w:hint="default"/>
        </w:rPr>
        <w:t>1985</w:t>
      </w:r>
      <w:r>
        <w:rPr/>
        <w:t>年</w:t>
      </w:r>
      <w:r>
        <w:rPr>
          <w:rFonts w:ascii="宋体" w:hAnsi="宋体" w:cs="宋体" w:eastAsia="宋体" w:hint="default"/>
        </w:rPr>
        <w:t>7</w:t>
      </w:r>
      <w:r>
        <w:rPr/>
        <w:t>月至今在合肥工业大学管理学院任教。现任本公司独立董事、合肥工业</w:t>
      </w:r>
      <w:r>
        <w:rPr>
          <w:spacing w:val="-92"/>
        </w:rPr>
        <w:t> </w:t>
      </w:r>
      <w:r>
        <w:rPr>
          <w:spacing w:val="-92"/>
        </w:rPr>
      </w:r>
      <w:r>
        <w:rPr>
          <w:spacing w:val="-3"/>
        </w:rPr>
        <w:t>大学管理学院会计系主任、证券期货研究所所长、中国会计学会高等工科院校分</w:t>
      </w:r>
      <w:r>
        <w:rPr>
          <w:spacing w:val="-102"/>
        </w:rPr>
        <w:t> </w:t>
      </w:r>
      <w:r>
        <w:rPr>
          <w:spacing w:val="-102"/>
        </w:rPr>
      </w:r>
      <w:r>
        <w:rPr>
          <w:spacing w:val="-3"/>
        </w:rPr>
        <w:t>会副秘书长、铜陵有色金属集团控股有限公司独立董事，皖通科技股份有限公司</w:t>
      </w:r>
    </w:p>
    <w:p>
      <w:pPr>
        <w:spacing w:after="0" w:line="355"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240" w:lineRule="auto" w:before="26"/>
        <w:ind w:right="1787"/>
        <w:jc w:val="left"/>
      </w:pPr>
      <w:r>
        <w:rPr/>
        <w:t>独立董事。</w:t>
      </w:r>
    </w:p>
    <w:p>
      <w:pPr>
        <w:pStyle w:val="BodyText"/>
        <w:spacing w:line="357" w:lineRule="auto" w:before="154"/>
        <w:ind w:right="1791" w:firstLine="479"/>
        <w:jc w:val="both"/>
      </w:pPr>
      <w:r>
        <w:rPr>
          <w:spacing w:val="-3"/>
        </w:rPr>
        <w:t>汪和俊先生，中国国籍，未拥有永久境外居留权，</w:t>
      </w:r>
      <w:r>
        <w:rPr>
          <w:rFonts w:ascii="宋体" w:hAnsi="宋体" w:cs="宋体" w:eastAsia="宋体" w:hint="default"/>
          <w:spacing w:val="-3"/>
        </w:rPr>
        <w:t>33</w:t>
      </w:r>
      <w:r>
        <w:rPr>
          <w:spacing w:val="-3"/>
        </w:rPr>
        <w:t>岁，大专学历，中国注</w:t>
      </w:r>
      <w:r>
        <w:rPr/>
        <w:t> </w:t>
      </w:r>
      <w:r>
        <w:rPr>
          <w:spacing w:val="-3"/>
        </w:rPr>
        <w:t>册会计师，中国注册税务师。曾就职于安徽无为国家粮食储备库、安徽永诚会计</w:t>
      </w:r>
      <w:r>
        <w:rPr>
          <w:spacing w:val="-102"/>
        </w:rPr>
        <w:t> </w:t>
      </w:r>
      <w:r>
        <w:rPr>
          <w:spacing w:val="-102"/>
        </w:rPr>
      </w:r>
      <w:r>
        <w:rPr>
          <w:spacing w:val="-3"/>
        </w:rPr>
        <w:t>师事务所、安徽新安会计师事务所、开元信德会计师事务所安徽分所。现任本公</w:t>
      </w:r>
      <w:r>
        <w:rPr>
          <w:spacing w:val="-101"/>
        </w:rPr>
        <w:t> </w:t>
      </w:r>
      <w:r>
        <w:rPr>
          <w:spacing w:val="-101"/>
        </w:rPr>
      </w:r>
      <w:r>
        <w:rPr>
          <w:spacing w:val="-3"/>
        </w:rPr>
        <w:t>司独立董事、北京兴华会计师事务所有限责任公司合伙人兼安徽分所所长、安徽</w:t>
      </w:r>
      <w:r>
        <w:rPr>
          <w:spacing w:val="-101"/>
        </w:rPr>
        <w:t> </w:t>
      </w:r>
      <w:r>
        <w:rPr>
          <w:spacing w:val="-101"/>
        </w:rPr>
      </w:r>
      <w:r>
        <w:rPr/>
        <w:t>和讯税务师事务所有限公司董事长。</w:t>
      </w:r>
    </w:p>
    <w:p>
      <w:pPr>
        <w:pStyle w:val="BodyText"/>
        <w:spacing w:line="357" w:lineRule="auto"/>
        <w:ind w:left="618" w:right="1790"/>
        <w:jc w:val="left"/>
      </w:pPr>
      <w:r>
        <w:rPr>
          <w:rFonts w:ascii="宋体" w:hAnsi="宋体" w:cs="宋体" w:eastAsia="宋体" w:hint="default"/>
        </w:rPr>
        <w:t>2</w:t>
      </w:r>
      <w:r>
        <w:rPr/>
        <w:t>、监事 </w:t>
      </w:r>
      <w:r>
        <w:rPr>
          <w:spacing w:val="-3"/>
        </w:rPr>
        <w:t>查秉忠先生，中国国籍，未拥有永久境外居留权，</w:t>
      </w:r>
      <w:r>
        <w:rPr>
          <w:rFonts w:ascii="宋体" w:hAnsi="宋体" w:cs="宋体" w:eastAsia="宋体" w:hint="default"/>
          <w:spacing w:val="-3"/>
        </w:rPr>
        <w:t>49</w:t>
      </w:r>
      <w:r>
        <w:rPr>
          <w:spacing w:val="-3"/>
        </w:rPr>
        <w:t>岁，研究生学历。曾任</w:t>
      </w:r>
    </w:p>
    <w:p>
      <w:pPr>
        <w:pStyle w:val="BodyText"/>
        <w:spacing w:line="357" w:lineRule="auto"/>
        <w:ind w:right="1787"/>
        <w:jc w:val="left"/>
      </w:pPr>
      <w:r>
        <w:rPr>
          <w:spacing w:val="-3"/>
        </w:rPr>
        <w:t>芜湖市环城信用社主任，芜湖市镜湖城市信用社主任，芜湖市商业银行镜湖支行</w:t>
      </w:r>
      <w:r>
        <w:rPr>
          <w:spacing w:val="-103"/>
        </w:rPr>
        <w:t> </w:t>
      </w:r>
      <w:r>
        <w:rPr>
          <w:spacing w:val="-103"/>
        </w:rPr>
      </w:r>
      <w:r>
        <w:rPr/>
        <w:t>行长。现任本公司监事会主席，芜湖市鸠江建设投资有限公司副总经理。</w:t>
      </w:r>
    </w:p>
    <w:p>
      <w:pPr>
        <w:pStyle w:val="BodyText"/>
        <w:spacing w:line="357" w:lineRule="auto"/>
        <w:ind w:right="1791" w:firstLine="479"/>
        <w:jc w:val="both"/>
      </w:pPr>
      <w:r>
        <w:rPr>
          <w:spacing w:val="3"/>
        </w:rPr>
        <w:t>陈邦莲女士，中国国籍，未拥有永久境外居留权，</w:t>
      </w:r>
      <w:r>
        <w:rPr>
          <w:rFonts w:ascii="宋体" w:hAnsi="宋体" w:cs="宋体" w:eastAsia="宋体" w:hint="default"/>
          <w:spacing w:val="3"/>
        </w:rPr>
        <w:t>39</w:t>
      </w:r>
      <w:r>
        <w:rPr>
          <w:spacing w:val="3"/>
        </w:rPr>
        <w:t>岁，中专学历。</w:t>
      </w:r>
      <w:r>
        <w:rPr>
          <w:rFonts w:ascii="宋体" w:hAnsi="宋体" w:cs="宋体" w:eastAsia="宋体" w:hint="default"/>
          <w:spacing w:val="3"/>
        </w:rPr>
        <w:t>1990</w:t>
      </w:r>
      <w:r>
        <w:rPr>
          <w:rFonts w:ascii="宋体" w:hAnsi="宋体" w:cs="宋体" w:eastAsia="宋体" w:hint="default"/>
        </w:rPr>
        <w:t> </w:t>
      </w:r>
      <w:r>
        <w:rPr>
          <w:spacing w:val="-3"/>
        </w:rPr>
        <w:t>年至今工作于安徽鑫龙电器股份有限公司，为公司合同管理部职员，现任本公司</w:t>
      </w:r>
      <w:r>
        <w:rPr>
          <w:spacing w:val="-101"/>
        </w:rPr>
        <w:t> </w:t>
      </w:r>
      <w:r>
        <w:rPr>
          <w:spacing w:val="-101"/>
        </w:rPr>
      </w:r>
      <w:r>
        <w:rPr/>
        <w:t>监事。</w:t>
      </w:r>
    </w:p>
    <w:p>
      <w:pPr>
        <w:pStyle w:val="BodyText"/>
        <w:spacing w:line="357" w:lineRule="auto" w:before="36"/>
        <w:ind w:right="1664" w:firstLine="479"/>
        <w:jc w:val="left"/>
      </w:pPr>
      <w:r>
        <w:rPr/>
        <w:t>梅红艳，中国国籍，未拥有永久境外居留权，</w:t>
      </w:r>
      <w:r>
        <w:rPr>
          <w:rFonts w:ascii="宋体" w:hAnsi="宋体" w:cs="宋体" w:eastAsia="宋体" w:hint="default"/>
        </w:rPr>
        <w:t>30</w:t>
      </w:r>
      <w:r>
        <w:rPr/>
        <w:t>岁，大专学历。</w:t>
      </w:r>
      <w:r>
        <w:rPr>
          <w:rFonts w:ascii="宋体" w:hAnsi="宋体" w:cs="宋体" w:eastAsia="宋体" w:hint="default"/>
        </w:rPr>
        <w:t>2003</w:t>
      </w:r>
      <w:r>
        <w:rPr/>
        <w:t>年</w:t>
      </w:r>
      <w:r>
        <w:rPr>
          <w:rFonts w:ascii="宋体" w:hAnsi="宋体" w:cs="宋体" w:eastAsia="宋体" w:hint="default"/>
        </w:rPr>
        <w:t>2</w:t>
      </w:r>
      <w:r>
        <w:rPr/>
        <w:t>月 </w:t>
      </w:r>
      <w:r>
        <w:rPr>
          <w:spacing w:val="-6"/>
        </w:rPr>
        <w:t>至今工作于安徽鑫龙电器股份公司，先后从事公司机械车间统计员、食堂统计员、</w:t>
      </w:r>
      <w:r>
        <w:rPr>
          <w:spacing w:val="-113"/>
        </w:rPr>
        <w:t> </w:t>
      </w:r>
      <w:r>
        <w:rPr>
          <w:spacing w:val="-113"/>
        </w:rPr>
      </w:r>
      <w:r>
        <w:rPr/>
        <w:t>行政部职员，现任本公司监事。</w:t>
      </w:r>
    </w:p>
    <w:p>
      <w:pPr>
        <w:pStyle w:val="BodyText"/>
        <w:spacing w:line="355" w:lineRule="auto" w:before="36"/>
        <w:ind w:left="618" w:right="1658"/>
        <w:jc w:val="left"/>
      </w:pPr>
      <w:r>
        <w:rPr>
          <w:rFonts w:ascii="宋体" w:hAnsi="宋体" w:cs="宋体" w:eastAsia="宋体" w:hint="default"/>
        </w:rPr>
        <w:t>3</w:t>
      </w:r>
      <w:r>
        <w:rPr/>
        <w:t>、高级管理人员 </w:t>
      </w:r>
      <w:r>
        <w:rPr>
          <w:spacing w:val="-6"/>
        </w:rPr>
        <w:t>汪宇先生，中国国籍，未拥有永久境外居留权，</w:t>
      </w:r>
      <w:r>
        <w:rPr>
          <w:rFonts w:ascii="宋体" w:hAnsi="宋体" w:cs="宋体" w:eastAsia="宋体" w:hint="default"/>
          <w:spacing w:val="-6"/>
        </w:rPr>
        <w:t>41</w:t>
      </w:r>
      <w:r>
        <w:rPr>
          <w:spacing w:val="-6"/>
        </w:rPr>
        <w:t>岁，研究生学历，会计师。</w:t>
      </w:r>
    </w:p>
    <w:p>
      <w:pPr>
        <w:pStyle w:val="BodyText"/>
        <w:spacing w:line="355" w:lineRule="auto" w:before="38"/>
        <w:ind w:right="1688"/>
        <w:jc w:val="left"/>
      </w:pPr>
      <w:r>
        <w:rPr/>
        <w:t>曾任芜湖缝纫机厂财务科副科长、副厂长、厂长，芜湖凯元集团副总裁、总裁， 本公司财务部经理、财务负责人。现任本公司副总经理，董事会秘书。</w:t>
      </w:r>
    </w:p>
    <w:p>
      <w:pPr>
        <w:pStyle w:val="BodyText"/>
        <w:spacing w:line="357" w:lineRule="auto" w:before="38"/>
        <w:ind w:right="1664" w:firstLine="479"/>
        <w:jc w:val="left"/>
      </w:pPr>
      <w:r>
        <w:rPr>
          <w:spacing w:val="-3"/>
        </w:rPr>
        <w:t>宛玉超先生，中国国籍，未拥有永久境外居留权，</w:t>
      </w:r>
      <w:r>
        <w:rPr>
          <w:rFonts w:ascii="宋体" w:hAnsi="宋体" w:cs="宋体" w:eastAsia="宋体" w:hint="default"/>
          <w:spacing w:val="-3"/>
        </w:rPr>
        <w:t>53</w:t>
      </w:r>
      <w:r>
        <w:rPr>
          <w:spacing w:val="-3"/>
        </w:rPr>
        <w:t>岁，本科学历。曾任芜</w:t>
      </w:r>
      <w:r>
        <w:rPr/>
        <w:t> </w:t>
      </w:r>
      <w:r>
        <w:rPr>
          <w:spacing w:val="-6"/>
        </w:rPr>
        <w:t>湖市开关厂试验分厂副厂长，广东东莞基业开关厂技术主管，本公司生产部经理、</w:t>
      </w:r>
      <w:r>
        <w:rPr>
          <w:spacing w:val="-112"/>
        </w:rPr>
        <w:t> </w:t>
      </w:r>
      <w:r>
        <w:rPr>
          <w:spacing w:val="-112"/>
        </w:rPr>
      </w:r>
      <w:r>
        <w:rPr>
          <w:spacing w:val="-3"/>
        </w:rPr>
        <w:t>技术部经理、开发部主任、副总工程师。现任本公司总工程师、安徽鑫龙低压电</w:t>
      </w:r>
      <w:r>
        <w:rPr>
          <w:spacing w:val="-103"/>
        </w:rPr>
        <w:t> </w:t>
      </w:r>
      <w:r>
        <w:rPr>
          <w:spacing w:val="-103"/>
        </w:rPr>
      </w:r>
      <w:r>
        <w:rPr/>
        <w:t>器有限公司总工程师。</w:t>
      </w:r>
    </w:p>
    <w:p>
      <w:pPr>
        <w:pStyle w:val="BodyText"/>
        <w:spacing w:line="357" w:lineRule="auto" w:before="37"/>
        <w:ind w:right="1791" w:firstLine="479"/>
        <w:jc w:val="both"/>
      </w:pPr>
      <w:r>
        <w:rPr>
          <w:spacing w:val="-3"/>
        </w:rPr>
        <w:t>程晓龙先生，中国国籍，未拥有永久境外居留权，</w:t>
      </w:r>
      <w:r>
        <w:rPr>
          <w:rFonts w:ascii="宋体" w:hAnsi="宋体" w:cs="宋体" w:eastAsia="宋体" w:hint="default"/>
          <w:spacing w:val="-3"/>
        </w:rPr>
        <w:t>47</w:t>
      </w:r>
      <w:r>
        <w:rPr>
          <w:spacing w:val="-3"/>
        </w:rPr>
        <w:t>岁，研究生学历。曾任</w:t>
      </w:r>
      <w:r>
        <w:rPr/>
        <w:t> </w:t>
      </w:r>
      <w:r>
        <w:rPr>
          <w:spacing w:val="-3"/>
        </w:rPr>
        <w:t>北京新力医疗设备有限公司副总经理，芜湖消防器材厂总经济师，芜湖工艺美术</w:t>
      </w:r>
      <w:r>
        <w:rPr>
          <w:spacing w:val="-103"/>
        </w:rPr>
        <w:t> </w:t>
      </w:r>
      <w:r>
        <w:rPr>
          <w:spacing w:val="-103"/>
        </w:rPr>
      </w:r>
      <w:r>
        <w:rPr/>
        <w:t>厂副厂长。现任本公司副总经理。</w:t>
      </w:r>
    </w:p>
    <w:p>
      <w:pPr>
        <w:pStyle w:val="BodyText"/>
        <w:spacing w:line="357" w:lineRule="auto"/>
        <w:ind w:right="1792" w:firstLine="479"/>
        <w:jc w:val="both"/>
      </w:pPr>
      <w:r>
        <w:rPr>
          <w:spacing w:val="-3"/>
        </w:rPr>
        <w:t>张祥先生，中国国籍，未拥有永久境外居留权，</w:t>
      </w:r>
      <w:r>
        <w:rPr>
          <w:rFonts w:ascii="宋体" w:hAnsi="宋体" w:cs="宋体" w:eastAsia="宋体" w:hint="default"/>
          <w:spacing w:val="-3"/>
        </w:rPr>
        <w:t>48</w:t>
      </w:r>
      <w:r>
        <w:rPr>
          <w:spacing w:val="-3"/>
        </w:rPr>
        <w:t>岁，本科学历，高级工程</w:t>
      </w:r>
      <w:r>
        <w:rPr/>
        <w:t> </w:t>
      </w:r>
      <w:r>
        <w:rPr>
          <w:spacing w:val="-3"/>
        </w:rPr>
        <w:t>师。曾任蚌埠柠檬酸厂能源办主任。现任本公司副总经理，安徽鑫龙低压电器有</w:t>
      </w:r>
      <w:r>
        <w:rPr>
          <w:spacing w:val="-102"/>
        </w:rPr>
        <w:t> </w:t>
      </w:r>
      <w:r>
        <w:rPr>
          <w:spacing w:val="-102"/>
        </w:rPr>
      </w:r>
      <w:r>
        <w:rPr/>
        <w:t>限公司董事长，安徽鑫龙电器元件销售有限公司董事长。</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218" w:right="1659" w:firstLine="479"/>
        <w:jc w:val="left"/>
      </w:pPr>
      <w:r>
        <w:rPr>
          <w:spacing w:val="-6"/>
        </w:rPr>
        <w:t>付龙胜先生，中国国籍，未拥有永久境外居留权，</w:t>
      </w:r>
      <w:r>
        <w:rPr>
          <w:rFonts w:ascii="宋体" w:hAnsi="宋体" w:cs="宋体" w:eastAsia="宋体" w:hint="default"/>
          <w:spacing w:val="-6"/>
        </w:rPr>
        <w:t>52</w:t>
      </w:r>
      <w:r>
        <w:rPr>
          <w:spacing w:val="-6"/>
        </w:rPr>
        <w:t>岁，中专学历，工程师。</w:t>
      </w:r>
      <w:r>
        <w:rPr/>
        <w:t> 曾任芜湖市开关总厂生产副厂长。现任本公司副总经理。</w:t>
      </w:r>
    </w:p>
    <w:p>
      <w:pPr>
        <w:pStyle w:val="BodyText"/>
        <w:spacing w:line="357" w:lineRule="auto"/>
        <w:ind w:left="218" w:right="1659" w:firstLine="479"/>
        <w:jc w:val="left"/>
      </w:pPr>
      <w:r>
        <w:rPr>
          <w:spacing w:val="-6"/>
        </w:rPr>
        <w:t>孙国财先生，中国国籍，未拥有永久境外居留权，</w:t>
      </w:r>
      <w:r>
        <w:rPr>
          <w:rFonts w:ascii="宋体" w:hAnsi="宋体" w:cs="宋体" w:eastAsia="宋体" w:hint="default"/>
          <w:spacing w:val="-6"/>
        </w:rPr>
        <w:t>58</w:t>
      </w:r>
      <w:r>
        <w:rPr>
          <w:spacing w:val="-6"/>
        </w:rPr>
        <w:t>岁，中专学历，工程师。</w:t>
      </w:r>
      <w:r>
        <w:rPr/>
        <w:t> 曾任芜湖市开关总厂技术副厂长，现任本公司副总经理。</w:t>
      </w:r>
    </w:p>
    <w:p>
      <w:pPr>
        <w:pStyle w:val="BodyText"/>
        <w:spacing w:line="357" w:lineRule="auto"/>
        <w:ind w:left="218" w:right="1791" w:firstLine="479"/>
        <w:jc w:val="both"/>
      </w:pPr>
      <w:r>
        <w:rPr>
          <w:spacing w:val="-3"/>
        </w:rPr>
        <w:t>陶黎明先生，中国国籍，未拥有永久境外居留权，</w:t>
      </w:r>
      <w:r>
        <w:rPr>
          <w:rFonts w:ascii="宋体" w:hAnsi="宋体" w:cs="宋体" w:eastAsia="宋体" w:hint="default"/>
          <w:spacing w:val="-3"/>
        </w:rPr>
        <w:t>36</w:t>
      </w:r>
      <w:r>
        <w:rPr>
          <w:spacing w:val="-3"/>
        </w:rPr>
        <w:t>岁，本科学历，中国注</w:t>
      </w:r>
      <w:r>
        <w:rPr/>
        <w:t> </w:t>
      </w:r>
      <w:r>
        <w:rPr>
          <w:spacing w:val="-3"/>
        </w:rPr>
        <w:t>册会计师。曾就职于芜湖市轻工工艺品进出口公司，南京中达制膜（集团）股份</w:t>
      </w:r>
      <w:r>
        <w:rPr>
          <w:spacing w:val="-102"/>
        </w:rPr>
        <w:t> </w:t>
      </w:r>
      <w:r>
        <w:rPr>
          <w:spacing w:val="-102"/>
        </w:rPr>
      </w:r>
      <w:r>
        <w:rPr/>
        <w:t>有限公司。现任本公司财务负责人。</w:t>
      </w:r>
    </w:p>
    <w:p>
      <w:pPr>
        <w:pStyle w:val="BodyText"/>
        <w:spacing w:line="240" w:lineRule="auto" w:before="36"/>
        <w:ind w:left="698" w:right="1659"/>
        <w:jc w:val="left"/>
      </w:pPr>
      <w:r>
        <w:rPr/>
        <w:t>（三</w:t>
      </w:r>
      <w:r>
        <w:rPr>
          <w:spacing w:val="-120"/>
        </w:rPr>
        <w:t>）</w:t>
      </w:r>
      <w:r>
        <w:rPr/>
        <w:t>、董事、监事、高级管理人员报告期内离任情况</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48"/>
        <w:gridCol w:w="2717"/>
        <w:gridCol w:w="2132"/>
        <w:gridCol w:w="2132"/>
      </w:tblGrid>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曾任本公司职务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
              <w:jc w:val="center"/>
              <w:rPr>
                <w:rFonts w:ascii="宋体" w:hAnsi="宋体" w:cs="宋体" w:eastAsia="宋体" w:hint="default"/>
                <w:sz w:val="24"/>
                <w:szCs w:val="24"/>
              </w:rPr>
            </w:pPr>
            <w:r>
              <w:rPr>
                <w:rFonts w:ascii="宋体" w:hAnsi="宋体" w:cs="宋体" w:eastAsia="宋体" w:hint="default"/>
                <w:sz w:val="24"/>
                <w:szCs w:val="24"/>
              </w:rPr>
              <w:t>离任原因</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80" w:right="0"/>
              <w:jc w:val="left"/>
              <w:rPr>
                <w:rFonts w:ascii="宋体" w:hAnsi="宋体" w:cs="宋体" w:eastAsia="宋体" w:hint="default"/>
                <w:sz w:val="24"/>
                <w:szCs w:val="24"/>
              </w:rPr>
            </w:pPr>
            <w:r>
              <w:rPr>
                <w:rFonts w:ascii="宋体" w:hAnsi="宋体" w:cs="宋体" w:eastAsia="宋体" w:hint="default"/>
                <w:sz w:val="24"/>
                <w:szCs w:val="24"/>
              </w:rPr>
              <w:t>离任时间</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宋志刚</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第四届董事会董事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辞职</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21</w:t>
            </w:r>
            <w:r>
              <w:rPr>
                <w:rFonts w:ascii="宋体" w:hAnsi="宋体" w:cs="宋体" w:eastAsia="宋体" w:hint="default"/>
                <w:sz w:val="24"/>
                <w:szCs w:val="24"/>
              </w:rPr>
              <w:t>日</w:t>
            </w:r>
          </w:p>
        </w:tc>
      </w:tr>
      <w:tr>
        <w:trPr>
          <w:trHeight w:val="47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樊高定</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第四届董事会独立董事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换届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刘玉琛</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第四届董事会独立董事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hAnsi="宋体" w:cs="宋体" w:eastAsia="宋体" w:hint="default"/>
                <w:sz w:val="24"/>
                <w:szCs w:val="24"/>
              </w:rPr>
              <w:t>换届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孙平</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第四届董事会独立董事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换届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胡恒生</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第四届监事会监事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换届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47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徐之骞</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第四届监事会监事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换届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陈士保</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第五届监事会监事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辞职</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张希</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第五届监事会监事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辞职</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w:t>
            </w:r>
          </w:p>
        </w:tc>
      </w:tr>
      <w:tr>
        <w:trPr>
          <w:trHeight w:val="47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李骏</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第五届监事会监事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辞职</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桂召凡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第五届监事会监事</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辞职</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8"/>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pStyle w:val="BodyText"/>
        <w:spacing w:line="355" w:lineRule="auto" w:before="166"/>
        <w:ind w:left="698" w:right="5048"/>
        <w:jc w:val="left"/>
      </w:pPr>
      <w:r>
        <w:rPr/>
        <w:t>二、公司员工情况（截止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 </w:t>
      </w:r>
      <w:r>
        <w:rPr>
          <w:rFonts w:ascii="宋体" w:hAnsi="宋体" w:cs="宋体" w:eastAsia="宋体" w:hint="default"/>
        </w:rPr>
        <w:t>1</w:t>
      </w:r>
      <w:r>
        <w:rPr/>
        <w:t>、按专业划分：</w:t>
      </w:r>
    </w:p>
    <w:p>
      <w:pPr>
        <w:spacing w:line="240" w:lineRule="auto" w:before="1"/>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2830"/>
        <w:gridCol w:w="2830"/>
        <w:gridCol w:w="2830"/>
      </w:tblGrid>
      <w:tr>
        <w:trPr>
          <w:trHeight w:val="3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p>
        </w:tc>
      </w:tr>
      <w:tr>
        <w:trPr>
          <w:trHeight w:val="387"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204</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10.37%</w:t>
            </w:r>
          </w:p>
        </w:tc>
      </w:tr>
      <w:tr>
        <w:trPr>
          <w:trHeight w:val="3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646</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32.84%</w:t>
            </w:r>
          </w:p>
        </w:tc>
      </w:tr>
      <w:tr>
        <w:trPr>
          <w:trHeight w:val="384"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1117</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56.79%</w:t>
            </w:r>
          </w:p>
        </w:tc>
      </w:tr>
      <w:tr>
        <w:trPr>
          <w:trHeight w:val="38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sz w:val="21"/>
              </w:rPr>
              <w:t>1967</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6"/>
          <w:szCs w:val="26"/>
        </w:rPr>
      </w:pPr>
    </w:p>
    <w:p>
      <w:pPr>
        <w:pStyle w:val="BodyText"/>
        <w:spacing w:line="240" w:lineRule="auto" w:before="26"/>
        <w:ind w:left="578" w:right="1659"/>
        <w:jc w:val="left"/>
      </w:pPr>
      <w:r>
        <w:rPr>
          <w:rFonts w:ascii="宋体" w:hAnsi="宋体" w:cs="宋体" w:eastAsia="宋体" w:hint="default"/>
        </w:rPr>
        <w:t>2</w:t>
      </w:r>
      <w:r>
        <w:rPr/>
        <w:t>、按学历划分</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840"/>
        <w:gridCol w:w="2840"/>
        <w:gridCol w:w="2842"/>
      </w:tblGrid>
      <w:tr>
        <w:trPr>
          <w:trHeight w:val="38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
              <w:jc w:val="center"/>
              <w:rPr>
                <w:rFonts w:ascii="宋体" w:hAnsi="宋体" w:cs="宋体" w:eastAsia="宋体" w:hint="default"/>
                <w:sz w:val="21"/>
                <w:szCs w:val="21"/>
              </w:rPr>
            </w:pPr>
            <w:r>
              <w:rPr>
                <w:rFonts w:ascii="宋体" w:hAnsi="宋体" w:cs="宋体" w:eastAsia="宋体" w:hint="default"/>
                <w:sz w:val="21"/>
                <w:szCs w:val="21"/>
              </w:rPr>
              <w:t>学历类别</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p>
        </w:tc>
      </w:tr>
      <w:tr>
        <w:trPr>
          <w:trHeight w:val="38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sz w:val="21"/>
              </w:rPr>
              <w:t>832</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42.30%</w:t>
            </w:r>
          </w:p>
        </w:tc>
      </w:tr>
    </w:tbl>
    <w:p>
      <w:pPr>
        <w:spacing w:after="0" w:line="240" w:lineRule="auto"/>
        <w:jc w:val="center"/>
        <w:rPr>
          <w:rFonts w:ascii="宋体" w:hAnsi="宋体" w:cs="宋体" w:eastAsia="宋体" w:hint="default"/>
          <w:sz w:val="21"/>
          <w:szCs w:val="21"/>
        </w:rPr>
        <w:sectPr>
          <w:pgSz w:w="11910" w:h="16840"/>
          <w:pgMar w:header="816" w:footer="956" w:top="1160" w:bottom="1140" w:left="1580" w:right="0"/>
        </w:sectPr>
      </w:pPr>
    </w:p>
    <w:p>
      <w:pPr>
        <w:spacing w:line="240" w:lineRule="auto" w:before="3"/>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840"/>
        <w:gridCol w:w="2840"/>
        <w:gridCol w:w="2842"/>
      </w:tblGrid>
      <w:tr>
        <w:trPr>
          <w:trHeight w:val="38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中专及高中</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sz w:val="21"/>
              </w:rPr>
              <w:t>977</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49.67%</w:t>
            </w:r>
          </w:p>
        </w:tc>
      </w:tr>
      <w:tr>
        <w:trPr>
          <w:trHeight w:val="38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高中以下</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1"/>
                <w:szCs w:val="21"/>
              </w:rPr>
            </w:pPr>
            <w:r>
              <w:rPr>
                <w:rFonts w:ascii="宋体"/>
                <w:sz w:val="21"/>
              </w:rPr>
              <w:t>158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8.03%</w:t>
            </w:r>
          </w:p>
        </w:tc>
      </w:tr>
      <w:tr>
        <w:trPr>
          <w:trHeight w:val="386"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sz w:val="21"/>
              </w:rPr>
              <w:t>1967</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15"/>
          <w:szCs w:val="15"/>
        </w:rPr>
      </w:pPr>
    </w:p>
    <w:p>
      <w:pPr>
        <w:pStyle w:val="BodyText"/>
        <w:spacing w:line="240" w:lineRule="auto" w:before="26"/>
        <w:ind w:left="578" w:right="1659"/>
        <w:jc w:val="left"/>
      </w:pPr>
      <w:r>
        <w:rPr>
          <w:rFonts w:ascii="宋体" w:hAnsi="宋体" w:cs="宋体" w:eastAsia="宋体" w:hint="default"/>
        </w:rPr>
        <w:t>3</w:t>
      </w:r>
      <w:r>
        <w:rPr/>
        <w:t>、按年龄划分</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847"/>
        <w:gridCol w:w="2847"/>
        <w:gridCol w:w="2845"/>
      </w:tblGrid>
      <w:tr>
        <w:trPr>
          <w:trHeight w:val="38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年龄类别</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6"/>
              <w:ind w:right="3"/>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p>
        </w:tc>
      </w:tr>
      <w:tr>
        <w:trPr>
          <w:trHeight w:val="38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岁以下</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814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41.38%</w:t>
            </w:r>
          </w:p>
        </w:tc>
      </w:tr>
      <w:tr>
        <w:trPr>
          <w:trHeight w:val="38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岁</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713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36.25%</w:t>
            </w:r>
          </w:p>
        </w:tc>
      </w:tr>
      <w:tr>
        <w:trPr>
          <w:trHeight w:val="38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50</w:t>
            </w:r>
            <w:r>
              <w:rPr>
                <w:rFonts w:ascii="宋体" w:hAnsi="宋体" w:cs="宋体" w:eastAsia="宋体" w:hint="default"/>
                <w:spacing w:val="-53"/>
                <w:sz w:val="21"/>
                <w:szCs w:val="21"/>
              </w:rPr>
              <w:t> </w:t>
            </w:r>
            <w:r>
              <w:rPr>
                <w:rFonts w:ascii="宋体" w:hAnsi="宋体" w:cs="宋体" w:eastAsia="宋体" w:hint="default"/>
                <w:sz w:val="21"/>
                <w:szCs w:val="21"/>
              </w:rPr>
              <w:t>岁</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426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21.66%</w:t>
            </w:r>
          </w:p>
        </w:tc>
      </w:tr>
      <w:tr>
        <w:trPr>
          <w:trHeight w:val="38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岁以上</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14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sz w:val="21"/>
              </w:rPr>
              <w:t>0.71%</w:t>
            </w:r>
          </w:p>
        </w:tc>
      </w:tr>
      <w:tr>
        <w:trPr>
          <w:trHeight w:val="385"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1967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100.00%</w:t>
            </w:r>
          </w:p>
        </w:tc>
      </w:tr>
    </w:tbl>
    <w:p>
      <w:pPr>
        <w:spacing w:line="240" w:lineRule="auto" w:before="11"/>
        <w:rPr>
          <w:rFonts w:ascii="宋体" w:hAnsi="宋体" w:cs="宋体" w:eastAsia="宋体" w:hint="default"/>
          <w:sz w:val="15"/>
          <w:szCs w:val="15"/>
        </w:rPr>
      </w:pPr>
    </w:p>
    <w:p>
      <w:pPr>
        <w:pStyle w:val="BodyText"/>
        <w:spacing w:line="240" w:lineRule="auto" w:before="26"/>
        <w:ind w:left="698" w:right="1659"/>
        <w:jc w:val="left"/>
      </w:pPr>
      <w:r>
        <w:rPr>
          <w:rFonts w:ascii="宋体" w:hAnsi="宋体" w:cs="宋体" w:eastAsia="宋体" w:hint="default"/>
        </w:rPr>
        <w:t>4</w:t>
      </w:r>
      <w:r>
        <w:rPr/>
        <w:t>、按职称划分</w:t>
      </w: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835"/>
        <w:gridCol w:w="2840"/>
        <w:gridCol w:w="2837"/>
      </w:tblGrid>
      <w:tr>
        <w:trPr>
          <w:trHeight w:val="38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职称类别</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人</w:t>
              <w:tab/>
              <w:t>数</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r>
              <w:rPr>
                <w:rFonts w:ascii="宋体" w:hAnsi="宋体" w:cs="宋体" w:eastAsia="宋体" w:hint="default"/>
                <w:sz w:val="21"/>
                <w:szCs w:val="21"/>
              </w:rPr>
              <w:t>%</w:t>
            </w:r>
          </w:p>
        </w:tc>
      </w:tr>
      <w:tr>
        <w:trPr>
          <w:trHeight w:val="38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中高级职称</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243</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12.35%</w:t>
            </w:r>
          </w:p>
        </w:tc>
      </w:tr>
      <w:tr>
        <w:trPr>
          <w:trHeight w:val="38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初级职称</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357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
              <w:jc w:val="center"/>
              <w:rPr>
                <w:rFonts w:ascii="宋体" w:hAnsi="宋体" w:cs="宋体" w:eastAsia="宋体" w:hint="default"/>
                <w:sz w:val="21"/>
                <w:szCs w:val="21"/>
              </w:rPr>
            </w:pPr>
            <w:r>
              <w:rPr>
                <w:rFonts w:ascii="宋体"/>
                <w:sz w:val="21"/>
              </w:rPr>
              <w:t>18.15%</w:t>
            </w:r>
          </w:p>
        </w:tc>
      </w:tr>
      <w:tr>
        <w:trPr>
          <w:trHeight w:val="38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1367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center"/>
              <w:rPr>
                <w:rFonts w:ascii="宋体" w:hAnsi="宋体" w:cs="宋体" w:eastAsia="宋体" w:hint="default"/>
                <w:sz w:val="21"/>
                <w:szCs w:val="21"/>
              </w:rPr>
            </w:pPr>
            <w:r>
              <w:rPr>
                <w:rFonts w:ascii="宋体"/>
                <w:sz w:val="21"/>
              </w:rPr>
              <w:t>69.50%</w:t>
            </w:r>
          </w:p>
        </w:tc>
      </w:tr>
      <w:tr>
        <w:trPr>
          <w:trHeight w:val="38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1967</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sz w:val="21"/>
              </w:rPr>
              <w:t>100.00%</w:t>
            </w:r>
          </w:p>
        </w:tc>
      </w:tr>
    </w:tbl>
    <w:p>
      <w:pPr>
        <w:spacing w:line="240" w:lineRule="auto" w:before="11"/>
        <w:rPr>
          <w:rFonts w:ascii="宋体" w:hAnsi="宋体" w:cs="宋体" w:eastAsia="宋体" w:hint="default"/>
          <w:sz w:val="15"/>
          <w:szCs w:val="15"/>
        </w:rPr>
      </w:pPr>
    </w:p>
    <w:p>
      <w:pPr>
        <w:pStyle w:val="BodyText"/>
        <w:spacing w:line="357" w:lineRule="auto" w:before="26"/>
        <w:ind w:left="218" w:right="1672" w:firstLine="479"/>
        <w:jc w:val="both"/>
      </w:pPr>
      <w:r>
        <w:rPr>
          <w:spacing w:val="-7"/>
        </w:rPr>
        <w:t>公司实行劳动合同制度，员工的聘用和解聘均依据《中华人民共和国劳动法》</w:t>
      </w:r>
      <w:r>
        <w:rPr/>
        <w:t> 及其他相关劳动法律法规的规定办理。公司已根据国家和地方政府的有关规定， </w:t>
      </w:r>
      <w:r>
        <w:rPr>
          <w:spacing w:val="-6"/>
        </w:rPr>
        <w:t>执行相应的社会保障制度，按时缴纳基本养老保险金、基本医疗保险、失业保险、</w:t>
      </w:r>
      <w:r>
        <w:rPr>
          <w:spacing w:val="-114"/>
        </w:rPr>
        <w:t> </w:t>
      </w:r>
      <w:r>
        <w:rPr>
          <w:spacing w:val="-114"/>
        </w:rPr>
      </w:r>
      <w:r>
        <w:rPr/>
        <w:t>工伤保险等基本社会保险基金，未发生违法违规行为。公司目前无离退休人员。</w:t>
      </w:r>
    </w:p>
    <w:p>
      <w:pPr>
        <w:spacing w:after="0" w:line="357" w:lineRule="auto"/>
        <w:jc w:val="both"/>
        <w:sectPr>
          <w:pgSz w:w="11910" w:h="16840"/>
          <w:pgMar w:header="816" w:footer="956" w:top="1160" w:bottom="1140" w:left="1580" w:right="0"/>
        </w:sectPr>
      </w:pPr>
    </w:p>
    <w:p>
      <w:pPr>
        <w:spacing w:line="240" w:lineRule="auto" w:before="8"/>
        <w:rPr>
          <w:rFonts w:ascii="宋体" w:hAnsi="宋体" w:cs="宋体" w:eastAsia="宋体" w:hint="default"/>
          <w:sz w:val="29"/>
          <w:szCs w:val="29"/>
        </w:rPr>
      </w:pPr>
    </w:p>
    <w:p>
      <w:pPr>
        <w:pStyle w:val="Heading1"/>
        <w:spacing w:line="240" w:lineRule="auto"/>
        <w:ind w:right="1661"/>
        <w:jc w:val="center"/>
        <w:rPr>
          <w:b w:val="0"/>
          <w:bCs w:val="0"/>
        </w:rPr>
      </w:pPr>
      <w:bookmarkStart w:name="_TOC_250005" w:id="5"/>
      <w:r>
        <w:rPr/>
        <w:t>第五节</w:t>
      </w:r>
      <w:r>
        <w:rPr>
          <w:spacing w:val="-6"/>
        </w:rPr>
        <w:t> </w:t>
      </w:r>
      <w:r>
        <w:rPr/>
        <w:t>公司治理结构</w:t>
      </w:r>
      <w:bookmarkEnd w:id="5"/>
      <w:r>
        <w:rPr>
          <w:b w:val="0"/>
          <w:bCs w:val="0"/>
        </w:rPr>
      </w:r>
    </w:p>
    <w:p>
      <w:pPr>
        <w:spacing w:line="240" w:lineRule="auto" w:before="8"/>
        <w:rPr>
          <w:rFonts w:ascii="黑体" w:hAnsi="黑体" w:cs="黑体" w:eastAsia="黑体" w:hint="default"/>
          <w:b/>
          <w:bCs/>
          <w:sz w:val="25"/>
          <w:szCs w:val="25"/>
        </w:rPr>
      </w:pPr>
    </w:p>
    <w:p>
      <w:pPr>
        <w:pStyle w:val="BodyText"/>
        <w:spacing w:line="357" w:lineRule="auto" w:before="0"/>
        <w:ind w:left="618" w:right="1788"/>
        <w:jc w:val="left"/>
      </w:pPr>
      <w:r>
        <w:rPr/>
        <w:t>一、公司治理结构情况 </w:t>
      </w:r>
      <w:r>
        <w:rPr>
          <w:spacing w:val="-10"/>
        </w:rPr>
        <w:t>公司严格按照《公司法》、《证券法》等法律法规的要求，建立健全了股东大</w:t>
      </w:r>
    </w:p>
    <w:p>
      <w:pPr>
        <w:pStyle w:val="BodyText"/>
        <w:spacing w:line="357" w:lineRule="auto" w:before="36"/>
        <w:ind w:right="1680"/>
        <w:jc w:val="both"/>
      </w:pPr>
      <w:r>
        <w:rPr>
          <w:spacing w:val="-3"/>
        </w:rPr>
        <w:t>会、董事会、监事会等治理结构，并履行了《公司法》和《公司章程》所规定的</w:t>
      </w:r>
      <w:r>
        <w:rPr>
          <w:spacing w:val="-102"/>
        </w:rPr>
        <w:t> </w:t>
      </w:r>
      <w:r>
        <w:rPr>
          <w:spacing w:val="-102"/>
        </w:rPr>
      </w:r>
      <w:r>
        <w:rPr>
          <w:spacing w:val="-22"/>
        </w:rPr>
        <w:t>各项职责。制订了《公司章程》、《股东大会议事规则》、《董事会议事规则》、《监</w:t>
      </w:r>
      <w:r>
        <w:rPr>
          <w:spacing w:val="-92"/>
        </w:rPr>
        <w:t> </w:t>
      </w:r>
      <w:r>
        <w:rPr>
          <w:spacing w:val="-92"/>
        </w:rPr>
      </w:r>
      <w:r>
        <w:rPr>
          <w:spacing w:val="-22"/>
        </w:rPr>
        <w:t>事会议事规则》、《总经理工作细则》、《独立董事制度》、《董事会审计委员会实施</w:t>
      </w:r>
      <w:r>
        <w:rPr>
          <w:spacing w:val="-90"/>
        </w:rPr>
        <w:t> </w:t>
      </w:r>
      <w:r>
        <w:rPr>
          <w:spacing w:val="-90"/>
        </w:rPr>
      </w:r>
      <w:r>
        <w:rPr>
          <w:spacing w:val="-13"/>
        </w:rPr>
        <w:t>细则》、《董事会提名委员会实施细则》、《董事会薪酬与考核委员会实施细则》、</w:t>
      </w:r>
    </w:p>
    <w:p>
      <w:pPr>
        <w:pStyle w:val="BodyText"/>
        <w:spacing w:line="240" w:lineRule="auto" w:before="37"/>
        <w:ind w:right="0"/>
        <w:jc w:val="both"/>
      </w:pPr>
      <w:r>
        <w:rPr>
          <w:spacing w:val="4"/>
        </w:rPr>
        <w:t>《董事会战</w:t>
      </w:r>
      <w:r>
        <w:rPr>
          <w:spacing w:val="2"/>
        </w:rPr>
        <w:t>略</w:t>
      </w:r>
      <w:r>
        <w:rPr>
          <w:spacing w:val="4"/>
        </w:rPr>
        <w:t>委员会</w:t>
      </w:r>
      <w:r>
        <w:rPr>
          <w:spacing w:val="2"/>
        </w:rPr>
        <w:t>实</w:t>
      </w:r>
      <w:r>
        <w:rPr>
          <w:spacing w:val="4"/>
        </w:rPr>
        <w:t>施细则</w:t>
      </w:r>
      <w:r>
        <w:rPr>
          <w:spacing w:val="-116"/>
        </w:rPr>
        <w:t>》、</w:t>
      </w:r>
      <w:r>
        <w:rPr>
          <w:spacing w:val="2"/>
        </w:rPr>
        <w:t>《</w:t>
      </w:r>
      <w:r>
        <w:rPr>
          <w:spacing w:val="4"/>
        </w:rPr>
        <w:t>财务管</w:t>
      </w:r>
      <w:r>
        <w:rPr>
          <w:spacing w:val="2"/>
        </w:rPr>
        <w:t>理制</w:t>
      </w:r>
      <w:r>
        <w:rPr>
          <w:spacing w:val="4"/>
        </w:rPr>
        <w:t>度</w:t>
      </w:r>
      <w:r>
        <w:rPr>
          <w:spacing w:val="-116"/>
        </w:rPr>
        <w:t>》、</w:t>
      </w:r>
      <w:r>
        <w:rPr>
          <w:spacing w:val="4"/>
        </w:rPr>
        <w:t>《资</w:t>
      </w:r>
      <w:r>
        <w:rPr>
          <w:spacing w:val="2"/>
        </w:rPr>
        <w:t>产</w:t>
      </w:r>
      <w:r>
        <w:rPr>
          <w:spacing w:val="4"/>
        </w:rPr>
        <w:t>减值准</w:t>
      </w:r>
      <w:r>
        <w:rPr>
          <w:spacing w:val="2"/>
        </w:rPr>
        <w:t>备管</w:t>
      </w:r>
      <w:r>
        <w:rPr>
          <w:spacing w:val="4"/>
        </w:rPr>
        <w:t>理制度</w:t>
      </w:r>
      <w:r>
        <w:rPr>
          <w:spacing w:val="-116"/>
        </w:rPr>
        <w:t>》</w:t>
      </w:r>
      <w:r>
        <w:rPr/>
        <w:t>、</w:t>
      </w:r>
    </w:p>
    <w:p>
      <w:pPr>
        <w:pStyle w:val="BodyText"/>
        <w:spacing w:line="357" w:lineRule="auto" w:before="151"/>
        <w:ind w:right="1248"/>
        <w:jc w:val="left"/>
      </w:pPr>
      <w:r>
        <w:rPr/>
        <w:t>《高级管理人员薪酬方案</w:t>
      </w:r>
      <w:r>
        <w:rPr>
          <w:spacing w:val="-120"/>
        </w:rPr>
        <w:t>》</w:t>
      </w:r>
      <w:r>
        <w:rPr>
          <w:spacing w:val="-149"/>
        </w:rPr>
        <w:t>、</w:t>
      </w:r>
      <w:r>
        <w:rPr/>
        <w:t>《募集资金管理制度</w:t>
      </w:r>
      <w:r>
        <w:rPr>
          <w:spacing w:val="-120"/>
        </w:rPr>
        <w:t>》</w:t>
      </w:r>
      <w:r>
        <w:rPr>
          <w:spacing w:val="-149"/>
        </w:rPr>
        <w:t>、</w:t>
      </w:r>
      <w:r>
        <w:rPr/>
        <w:t>《信息披露管理制度</w:t>
      </w:r>
      <w:r>
        <w:rPr>
          <w:spacing w:val="-120"/>
        </w:rPr>
        <w:t>》</w:t>
      </w:r>
      <w:r>
        <w:rPr>
          <w:spacing w:val="-149"/>
        </w:rPr>
        <w:t>、</w:t>
      </w:r>
      <w:r>
        <w:rPr/>
        <w:t>《内部</w:t>
      </w:r>
      <w:r>
        <w:rPr/>
        <w:t> </w:t>
      </w:r>
      <w:r>
        <w:rPr>
          <w:spacing w:val="4"/>
        </w:rPr>
        <w:t>审计制度</w:t>
      </w:r>
      <w:r>
        <w:rPr>
          <w:spacing w:val="-118"/>
        </w:rPr>
        <w:t>》</w:t>
      </w:r>
      <w:r>
        <w:rPr>
          <w:spacing w:val="-116"/>
        </w:rPr>
        <w:t>、</w:t>
      </w:r>
      <w:r>
        <w:rPr>
          <w:spacing w:val="4"/>
        </w:rPr>
        <w:t>《</w:t>
      </w:r>
      <w:r>
        <w:rPr>
          <w:spacing w:val="2"/>
        </w:rPr>
        <w:t>关</w:t>
      </w:r>
      <w:r>
        <w:rPr>
          <w:spacing w:val="4"/>
        </w:rPr>
        <w:t>联交</w:t>
      </w:r>
      <w:r>
        <w:rPr>
          <w:spacing w:val="2"/>
        </w:rPr>
        <w:t>易</w:t>
      </w:r>
      <w:r>
        <w:rPr>
          <w:spacing w:val="4"/>
        </w:rPr>
        <w:t>制度</w:t>
      </w:r>
      <w:r>
        <w:rPr>
          <w:spacing w:val="-116"/>
        </w:rPr>
        <w:t>》、</w:t>
      </w:r>
      <w:r>
        <w:rPr>
          <w:spacing w:val="2"/>
        </w:rPr>
        <w:t>《</w:t>
      </w:r>
      <w:r>
        <w:rPr>
          <w:spacing w:val="4"/>
        </w:rPr>
        <w:t>投资</w:t>
      </w:r>
      <w:r>
        <w:rPr>
          <w:spacing w:val="2"/>
        </w:rPr>
        <w:t>者</w:t>
      </w:r>
      <w:r>
        <w:rPr>
          <w:spacing w:val="4"/>
        </w:rPr>
        <w:t>关系</w:t>
      </w:r>
      <w:r>
        <w:rPr>
          <w:spacing w:val="2"/>
        </w:rPr>
        <w:t>管</w:t>
      </w:r>
      <w:r>
        <w:rPr>
          <w:spacing w:val="4"/>
        </w:rPr>
        <w:t>理制度</w:t>
      </w:r>
      <w:r>
        <w:rPr>
          <w:spacing w:val="-116"/>
        </w:rPr>
        <w:t>》</w:t>
      </w:r>
      <w:r>
        <w:rPr>
          <w:spacing w:val="-118"/>
        </w:rPr>
        <w:t>、</w:t>
      </w:r>
      <w:r>
        <w:rPr>
          <w:spacing w:val="4"/>
        </w:rPr>
        <w:t>《对</w:t>
      </w:r>
      <w:r>
        <w:rPr>
          <w:spacing w:val="2"/>
        </w:rPr>
        <w:t>外</w:t>
      </w:r>
      <w:r>
        <w:rPr>
          <w:spacing w:val="4"/>
        </w:rPr>
        <w:t>担保</w:t>
      </w:r>
      <w:r>
        <w:rPr>
          <w:spacing w:val="2"/>
        </w:rPr>
        <w:t>管</w:t>
      </w:r>
      <w:r>
        <w:rPr>
          <w:spacing w:val="4"/>
        </w:rPr>
        <w:t>理制度</w:t>
      </w:r>
      <w:r>
        <w:rPr>
          <w:spacing w:val="-116"/>
        </w:rPr>
        <w:t>》</w:t>
      </w:r>
      <w:r>
        <w:rPr/>
        <w:t>、</w:t>
      </w:r>
    </w:p>
    <w:p>
      <w:pPr>
        <w:pStyle w:val="BodyText"/>
        <w:spacing w:line="357" w:lineRule="auto"/>
        <w:ind w:right="1791"/>
        <w:jc w:val="both"/>
      </w:pPr>
      <w:r>
        <w:rPr>
          <w:spacing w:val="-10"/>
        </w:rPr>
        <w:t>《内幕信息知情人备案制度》、《对外投资管理办法》等制度，并根据公司实际情</w:t>
      </w:r>
      <w:r>
        <w:rPr>
          <w:spacing w:val="-87"/>
        </w:rPr>
        <w:t> </w:t>
      </w:r>
      <w:r>
        <w:rPr>
          <w:spacing w:val="-87"/>
        </w:rPr>
      </w:r>
      <w:r>
        <w:rPr>
          <w:spacing w:val="-10"/>
        </w:rPr>
        <w:t>况不断修改完善《公司章程》、《内幕信息知情人备案制度》等制度，以保证公司</w:t>
      </w:r>
      <w:r>
        <w:rPr>
          <w:spacing w:val="-88"/>
        </w:rPr>
        <w:t> </w:t>
      </w:r>
      <w:r>
        <w:rPr>
          <w:spacing w:val="-88"/>
        </w:rPr>
      </w:r>
      <w:r>
        <w:rPr>
          <w:spacing w:val="-3"/>
        </w:rPr>
        <w:t>规范运作，促进公司健康发展。报告期内，公司新制定了《独立董事年报工作制</w:t>
      </w:r>
      <w:r>
        <w:rPr>
          <w:spacing w:val="-102"/>
        </w:rPr>
        <w:t> </w:t>
      </w:r>
      <w:r>
        <w:rPr>
          <w:spacing w:val="-102"/>
        </w:rPr>
      </w:r>
      <w:r>
        <w:rPr>
          <w:spacing w:val="-22"/>
        </w:rPr>
        <w:t>度》、《年报信息披露重大差错责任追究制度》、《审计委员会年报工作规程》、《外</w:t>
      </w:r>
      <w:r>
        <w:rPr>
          <w:spacing w:val="-91"/>
        </w:rPr>
        <w:t> </w:t>
      </w:r>
      <w:r>
        <w:rPr>
          <w:spacing w:val="-91"/>
        </w:rPr>
      </w:r>
      <w:r>
        <w:rPr>
          <w:spacing w:val="-10"/>
        </w:rPr>
        <w:t>部信息使用人管理制度》、《重大资金往来内部控制制度》等有关规章制度，进一</w:t>
      </w:r>
      <w:r>
        <w:rPr>
          <w:spacing w:val="-86"/>
        </w:rPr>
        <w:t> </w:t>
      </w:r>
      <w:r>
        <w:rPr>
          <w:spacing w:val="-86"/>
        </w:rPr>
      </w:r>
      <w:r>
        <w:rPr/>
        <w:t>步完善了公司法人治理结构。</w:t>
      </w:r>
    </w:p>
    <w:p>
      <w:pPr>
        <w:pStyle w:val="BodyText"/>
        <w:spacing w:line="357" w:lineRule="auto"/>
        <w:ind w:right="1787" w:firstLine="479"/>
        <w:jc w:val="left"/>
      </w:pPr>
      <w:r>
        <w:rPr>
          <w:spacing w:val="4"/>
        </w:rPr>
        <w:t>公司治理的实际情况基本符合中国证监会发布的有关上市公司治理的规范</w:t>
      </w:r>
      <w:r>
        <w:rPr/>
        <w:t> 性文件的要求。</w:t>
      </w:r>
    </w:p>
    <w:p>
      <w:pPr>
        <w:pStyle w:val="BodyText"/>
        <w:spacing w:line="357" w:lineRule="auto"/>
        <w:ind w:left="618" w:right="1248"/>
        <w:jc w:val="left"/>
      </w:pPr>
      <w:r>
        <w:rPr>
          <w:rFonts w:ascii="宋体" w:hAnsi="宋体" w:cs="宋体" w:eastAsia="宋体" w:hint="default"/>
        </w:rPr>
        <w:t>1</w:t>
      </w:r>
      <w:r>
        <w:rPr/>
        <w:t>、关于股东和股东大会 </w:t>
      </w:r>
      <w:r>
        <w:rPr>
          <w:spacing w:val="-20"/>
        </w:rPr>
        <w:t>公司严格按照《公司法》、《公司章程》、《股东大会议事规则》等制度的规定，</w:t>
      </w:r>
    </w:p>
    <w:p>
      <w:pPr>
        <w:pStyle w:val="BodyText"/>
        <w:spacing w:line="357" w:lineRule="auto" w:before="36"/>
        <w:ind w:right="1688"/>
        <w:jc w:val="left"/>
      </w:pPr>
      <w:r>
        <w:rPr>
          <w:spacing w:val="-3"/>
        </w:rPr>
        <w:t>对股东大会的召开和表决程序，包括通知、登记、提案的审议、投票、计票、表</w:t>
      </w:r>
      <w:r>
        <w:rPr>
          <w:spacing w:val="-105"/>
        </w:rPr>
        <w:t> </w:t>
      </w:r>
      <w:r>
        <w:rPr>
          <w:spacing w:val="-105"/>
        </w:rPr>
      </w:r>
      <w:r>
        <w:rPr/>
        <w:t>决结果的宣布、会议决议的形成、会议记录及其签署、公告等事项进行了规范。 </w:t>
      </w:r>
      <w:r>
        <w:rPr>
          <w:spacing w:val="-3"/>
        </w:rPr>
        <w:t>公司能够确保全体股东、特别是中小股东享有平等地位，确保全体股东充分行使</w:t>
      </w:r>
      <w:r>
        <w:rPr>
          <w:spacing w:val="-102"/>
        </w:rPr>
        <w:t> </w:t>
      </w:r>
      <w:r>
        <w:rPr>
          <w:spacing w:val="-102"/>
        </w:rPr>
      </w:r>
      <w:r>
        <w:rPr/>
        <w:t>股东权利。</w:t>
      </w:r>
    </w:p>
    <w:p>
      <w:pPr>
        <w:pStyle w:val="BodyText"/>
        <w:spacing w:line="355" w:lineRule="auto" w:before="36"/>
        <w:ind w:left="618" w:right="1790"/>
        <w:jc w:val="left"/>
      </w:pPr>
      <w:r>
        <w:rPr>
          <w:rFonts w:ascii="宋体" w:hAnsi="宋体" w:cs="宋体" w:eastAsia="宋体" w:hint="default"/>
        </w:rPr>
        <w:t>2</w:t>
      </w:r>
      <w:r>
        <w:rPr/>
        <w:t>、关于董事和董事会 </w:t>
      </w:r>
      <w:r>
        <w:rPr>
          <w:spacing w:val="-3"/>
        </w:rPr>
        <w:t>公司董事会设董事</w:t>
      </w:r>
      <w:r>
        <w:rPr>
          <w:rFonts w:ascii="宋体" w:hAnsi="宋体" w:cs="宋体" w:eastAsia="宋体" w:hint="default"/>
          <w:spacing w:val="-3"/>
        </w:rPr>
        <w:t>9</w:t>
      </w:r>
      <w:r>
        <w:rPr>
          <w:spacing w:val="-3"/>
        </w:rPr>
        <w:t>名，其中独立董事</w:t>
      </w:r>
      <w:r>
        <w:rPr>
          <w:rFonts w:ascii="宋体" w:hAnsi="宋体" w:cs="宋体" w:eastAsia="宋体" w:hint="default"/>
          <w:spacing w:val="-3"/>
        </w:rPr>
        <w:t>3</w:t>
      </w:r>
      <w:r>
        <w:rPr>
          <w:spacing w:val="-3"/>
        </w:rPr>
        <w:t>名，董事会的人数及人员构成符合法</w:t>
      </w:r>
    </w:p>
    <w:p>
      <w:pPr>
        <w:pStyle w:val="BodyText"/>
        <w:spacing w:line="357" w:lineRule="auto" w:before="38"/>
        <w:ind w:right="1791"/>
        <w:jc w:val="both"/>
      </w:pPr>
      <w:r>
        <w:rPr>
          <w:spacing w:val="-3"/>
        </w:rPr>
        <w:t>律法规和《公司法》的要求。公司董事会下设战略委员会、审计委员会、薪酬与</w:t>
      </w:r>
      <w:r>
        <w:rPr>
          <w:spacing w:val="-103"/>
        </w:rPr>
        <w:t> </w:t>
      </w:r>
      <w:r>
        <w:rPr>
          <w:spacing w:val="-103"/>
        </w:rPr>
      </w:r>
      <w:r>
        <w:rPr>
          <w:spacing w:val="-10"/>
        </w:rPr>
        <w:t>考核委员会、提名委员会。各位董事能够依据《董事会议事规则》、《独立董事工</w:t>
      </w:r>
      <w:r>
        <w:rPr>
          <w:spacing w:val="-88"/>
        </w:rPr>
        <w:t> </w:t>
      </w:r>
      <w:r>
        <w:rPr>
          <w:spacing w:val="-88"/>
        </w:rPr>
      </w:r>
      <w:r>
        <w:rPr>
          <w:spacing w:val="-3"/>
        </w:rPr>
        <w:t>作制度》出席董事会和股东大会，勤勉尽责地履行职责和义务。董事会严格按照</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700" w:hanging="480"/>
        <w:jc w:val="left"/>
      </w:pPr>
      <w:r>
        <w:rPr>
          <w:spacing w:val="-7"/>
        </w:rPr>
        <w:t>《公司法》、《董事会议事规则》召开会议，执行股东大会决议并依法行使职权。</w:t>
      </w:r>
      <w:r>
        <w:rPr>
          <w:spacing w:val="-108"/>
        </w:rPr>
        <w:t> </w:t>
      </w:r>
      <w:r>
        <w:rPr>
          <w:spacing w:val="-108"/>
        </w:rPr>
      </w:r>
      <w:r>
        <w:rPr>
          <w:rFonts w:ascii="宋体" w:hAnsi="宋体" w:cs="宋体" w:eastAsia="宋体" w:hint="default"/>
        </w:rPr>
        <w:t>3</w:t>
      </w:r>
      <w:r>
        <w:rPr/>
        <w:t>、关于监事和监事会 </w:t>
      </w:r>
      <w:r>
        <w:rPr>
          <w:spacing w:val="-3"/>
        </w:rPr>
        <w:t>公司监事会设监事</w:t>
      </w:r>
      <w:r>
        <w:rPr>
          <w:rFonts w:ascii="宋体" w:hAnsi="宋体" w:cs="宋体" w:eastAsia="宋体" w:hint="default"/>
          <w:spacing w:val="-3"/>
        </w:rPr>
        <w:t>3</w:t>
      </w:r>
      <w:r>
        <w:rPr>
          <w:spacing w:val="-3"/>
        </w:rPr>
        <w:t>名，其中职工代表监事</w:t>
      </w:r>
      <w:r>
        <w:rPr>
          <w:rFonts w:ascii="宋体" w:hAnsi="宋体" w:cs="宋体" w:eastAsia="宋体" w:hint="default"/>
          <w:spacing w:val="-3"/>
        </w:rPr>
        <w:t>1</w:t>
      </w:r>
      <w:r>
        <w:rPr>
          <w:spacing w:val="-3"/>
        </w:rPr>
        <w:t>名，监事会的人数及构成符合法</w:t>
      </w:r>
    </w:p>
    <w:p>
      <w:pPr>
        <w:pStyle w:val="BodyText"/>
        <w:spacing w:line="357" w:lineRule="auto" w:before="36"/>
        <w:ind w:right="1792"/>
        <w:jc w:val="both"/>
      </w:pPr>
      <w:r>
        <w:rPr>
          <w:spacing w:val="-3"/>
        </w:rPr>
        <w:t>律法规的要求。各位监事能够按照《公司法》和《公司章程》的要求，认真履行</w:t>
      </w:r>
      <w:r>
        <w:rPr>
          <w:spacing w:val="-105"/>
        </w:rPr>
        <w:t> </w:t>
      </w:r>
      <w:r>
        <w:rPr>
          <w:spacing w:val="-105"/>
        </w:rPr>
      </w:r>
      <w:r>
        <w:rPr>
          <w:spacing w:val="-3"/>
        </w:rPr>
        <w:t>自己的职责，对公司重大事项、财务状况以及董事、高管人员履行职责的合法合</w:t>
      </w:r>
      <w:r>
        <w:rPr>
          <w:spacing w:val="-102"/>
        </w:rPr>
        <w:t> </w:t>
      </w:r>
      <w:r>
        <w:rPr>
          <w:spacing w:val="-102"/>
        </w:rPr>
      </w:r>
      <w:r>
        <w:rPr>
          <w:spacing w:val="-3"/>
        </w:rPr>
        <w:t>规性进行监督。监事会根据公司实际情况，定期或不定期地召开监事会会议，会</w:t>
      </w:r>
      <w:r>
        <w:rPr>
          <w:spacing w:val="-102"/>
        </w:rPr>
        <w:t> </w:t>
      </w:r>
      <w:r>
        <w:rPr>
          <w:spacing w:val="-102"/>
        </w:rPr>
      </w:r>
      <w:r>
        <w:rPr/>
        <w:t>议的召开严格按规定程序进行。</w:t>
      </w:r>
    </w:p>
    <w:p>
      <w:pPr>
        <w:pStyle w:val="BodyText"/>
        <w:spacing w:line="355" w:lineRule="auto" w:before="36"/>
        <w:ind w:left="618" w:right="1787"/>
        <w:jc w:val="left"/>
      </w:pPr>
      <w:r>
        <w:rPr>
          <w:rFonts w:ascii="宋体" w:hAnsi="宋体" w:cs="宋体" w:eastAsia="宋体" w:hint="default"/>
        </w:rPr>
        <w:t>4</w:t>
      </w:r>
      <w:r>
        <w:rPr/>
        <w:t>、关于公司与投资者 </w:t>
      </w:r>
      <w:r>
        <w:rPr>
          <w:spacing w:val="-3"/>
        </w:rPr>
        <w:t>公司依据《投资者关系管理制度》加强投资者关系管理，明确公司董事会秘</w:t>
      </w:r>
    </w:p>
    <w:p>
      <w:pPr>
        <w:pStyle w:val="BodyText"/>
        <w:spacing w:line="357" w:lineRule="auto" w:before="39"/>
        <w:ind w:right="1705"/>
        <w:jc w:val="both"/>
      </w:pPr>
      <w:r>
        <w:rPr/>
        <w:t>书为投资者关系管理负责人，组织实施投资者关系的日常管理工作。报告期内， 公司通过年度报告说明会、电话接听、网络互动、接待投资者现场调研等方式， 加强与投资者的沟通。</w:t>
      </w:r>
    </w:p>
    <w:p>
      <w:pPr>
        <w:pStyle w:val="BodyText"/>
        <w:spacing w:line="357" w:lineRule="auto"/>
        <w:ind w:left="618" w:right="1787"/>
        <w:jc w:val="left"/>
      </w:pPr>
      <w:r>
        <w:rPr>
          <w:rFonts w:ascii="宋体" w:hAnsi="宋体" w:cs="宋体" w:eastAsia="宋体" w:hint="default"/>
        </w:rPr>
        <w:t>5</w:t>
      </w:r>
      <w:r>
        <w:rPr/>
        <w:t>、关于信息披露与透明度 </w:t>
      </w:r>
      <w:r>
        <w:rPr>
          <w:spacing w:val="-17"/>
        </w:rPr>
        <w:t>公司严格遵守《信息披露管理制度》、《内幕信息知情人备案制度》、《外部信</w:t>
      </w:r>
    </w:p>
    <w:p>
      <w:pPr>
        <w:pStyle w:val="BodyText"/>
        <w:spacing w:line="357" w:lineRule="auto" w:before="36"/>
        <w:ind w:right="1248"/>
        <w:jc w:val="left"/>
      </w:pPr>
      <w:r>
        <w:rPr>
          <w:spacing w:val="-3"/>
        </w:rPr>
        <w:t>息使用人管理制度》及《投资者关系管理制度》，董事会秘书负责信息披露和投</w:t>
      </w:r>
      <w:r>
        <w:rPr>
          <w:spacing w:val="-110"/>
        </w:rPr>
        <w:t> </w:t>
      </w:r>
      <w:r>
        <w:rPr>
          <w:spacing w:val="-110"/>
        </w:rPr>
      </w:r>
      <w:r>
        <w:rPr>
          <w:spacing w:val="-3"/>
        </w:rPr>
        <w:t>资者关系管理，严格按照法律、法规和公司章程的规定，真实、准确、完整、及</w:t>
      </w:r>
      <w:r>
        <w:rPr>
          <w:spacing w:val="-105"/>
        </w:rPr>
        <w:t> </w:t>
      </w:r>
      <w:r>
        <w:rPr>
          <w:spacing w:val="-105"/>
        </w:rPr>
      </w:r>
      <w:r>
        <w:rPr>
          <w:spacing w:val="-13"/>
        </w:rPr>
        <w:t>时地披露信息；所有信息均在公司指定信息披露媒体《中国证券报》、《证券时报》</w:t>
      </w:r>
      <w:r>
        <w:rPr>
          <w:spacing w:val="-89"/>
        </w:rPr>
        <w:t> </w:t>
      </w:r>
      <w:r>
        <w:rPr>
          <w:spacing w:val="-89"/>
        </w:rPr>
      </w:r>
      <w:r>
        <w:rPr>
          <w:spacing w:val="-2"/>
        </w:rPr>
        <w:t>和巨潮资讯网（</w:t>
      </w:r>
      <w:r>
        <w:rPr>
          <w:rFonts w:ascii="宋体" w:hAnsi="宋体" w:cs="宋体" w:eastAsia="宋体" w:hint="default"/>
          <w:color w:val="0000FF"/>
          <w:spacing w:val="-2"/>
        </w:rPr>
      </w:r>
      <w:hyperlink r:id="rId15">
        <w:r>
          <w:rPr>
            <w:rFonts w:ascii="宋体" w:hAnsi="宋体" w:cs="宋体" w:eastAsia="宋体" w:hint="default"/>
            <w:color w:val="0000FF"/>
            <w:spacing w:val="-2"/>
            <w:u w:val="single" w:color="0000FF"/>
          </w:rPr>
          <w:t>http://www.cninfo.com.cn</w:t>
        </w:r>
        <w:r>
          <w:rPr>
            <w:rFonts w:ascii="宋体" w:hAnsi="宋体" w:cs="宋体" w:eastAsia="宋体" w:hint="default"/>
            <w:color w:val="0000FF"/>
            <w:spacing w:val="-2"/>
          </w:rPr>
        </w:r>
      </w:hyperlink>
      <w:r>
        <w:rPr>
          <w:spacing w:val="-2"/>
        </w:rPr>
        <w:t>）进行公告，确保公司所有股东能够</w:t>
      </w:r>
      <w:r>
        <w:rPr>
          <w:spacing w:val="-113"/>
        </w:rPr>
        <w:t> </w:t>
      </w:r>
      <w:r>
        <w:rPr>
          <w:spacing w:val="-113"/>
        </w:rPr>
      </w:r>
      <w:r>
        <w:rPr/>
        <w:t>以平等的机会获得信息。</w:t>
      </w:r>
    </w:p>
    <w:p>
      <w:pPr>
        <w:pStyle w:val="BodyText"/>
        <w:spacing w:line="357" w:lineRule="auto"/>
        <w:ind w:left="618" w:right="1688"/>
        <w:jc w:val="left"/>
      </w:pPr>
      <w:r>
        <w:rPr>
          <w:rFonts w:ascii="宋体" w:hAnsi="宋体" w:cs="宋体" w:eastAsia="宋体" w:hint="default"/>
        </w:rPr>
        <w:t>6</w:t>
      </w:r>
      <w:r>
        <w:rPr/>
        <w:t>、关于绩效评价与激励约束机制 公司建立了公正透明的董事、监事和高级管理人员的绩效评价标准和程序，</w:t>
      </w:r>
    </w:p>
    <w:p>
      <w:pPr>
        <w:pStyle w:val="BodyText"/>
        <w:spacing w:line="357" w:lineRule="auto"/>
        <w:ind w:right="1790"/>
        <w:jc w:val="both"/>
      </w:pPr>
      <w:r>
        <w:rPr>
          <w:spacing w:val="3"/>
        </w:rPr>
        <w:t>建立了经理人员的薪酬与公司绩效相联系的激励机制，保持了经理人员的稳定</w:t>
      </w:r>
      <w:r>
        <w:rPr>
          <w:spacing w:val="-93"/>
        </w:rPr>
        <w:t> </w:t>
      </w:r>
      <w:r>
        <w:rPr>
          <w:spacing w:val="-93"/>
        </w:rPr>
      </w:r>
      <w:r>
        <w:rPr>
          <w:spacing w:val="-3"/>
        </w:rPr>
        <w:t>性。公司经理人员的任免履行了法定的程序，严格按照有关法律法规和公司章程</w:t>
      </w:r>
      <w:r>
        <w:rPr>
          <w:spacing w:val="-103"/>
        </w:rPr>
        <w:t> </w:t>
      </w:r>
      <w:r>
        <w:rPr>
          <w:spacing w:val="-103"/>
        </w:rPr>
      </w:r>
      <w:r>
        <w:rPr/>
        <w:t>的规定进行。</w:t>
      </w:r>
    </w:p>
    <w:p>
      <w:pPr>
        <w:pStyle w:val="BodyText"/>
        <w:spacing w:line="355" w:lineRule="auto" w:before="37"/>
        <w:ind w:left="618" w:right="1688"/>
        <w:jc w:val="left"/>
      </w:pPr>
      <w:r>
        <w:rPr>
          <w:rFonts w:ascii="宋体" w:hAnsi="宋体" w:cs="宋体" w:eastAsia="宋体" w:hint="default"/>
        </w:rPr>
        <w:t>7</w:t>
      </w:r>
      <w:r>
        <w:rPr/>
        <w:t>、关于相关利益者 公司能够充分尊重和维护相关利益者的合法利益，积极与相关利益者合作，</w:t>
      </w:r>
    </w:p>
    <w:p>
      <w:pPr>
        <w:pStyle w:val="BodyText"/>
        <w:spacing w:line="355" w:lineRule="auto" w:before="38"/>
        <w:ind w:right="1792"/>
        <w:jc w:val="both"/>
      </w:pPr>
      <w:r>
        <w:rPr>
          <w:spacing w:val="-3"/>
        </w:rPr>
        <w:t>加强与各方的沟通和交流，实现股东、员工、社会等各方利益的均衡，共同推进</w:t>
      </w:r>
      <w:r>
        <w:rPr>
          <w:spacing w:val="-103"/>
        </w:rPr>
        <w:t> </w:t>
      </w:r>
      <w:r>
        <w:rPr>
          <w:spacing w:val="-103"/>
        </w:rPr>
      </w:r>
      <w:r>
        <w:rPr/>
        <w:t>公司持续、健康地发展。</w:t>
      </w:r>
    </w:p>
    <w:p>
      <w:pPr>
        <w:pStyle w:val="BodyText"/>
        <w:spacing w:line="355" w:lineRule="auto" w:before="38"/>
        <w:ind w:left="618" w:right="1783"/>
        <w:jc w:val="left"/>
      </w:pPr>
      <w:r>
        <w:rPr/>
        <w:t>二、公司董事长、独立董事及其他董事履行职责情况 </w:t>
      </w:r>
      <w:r>
        <w:rPr>
          <w:rFonts w:ascii="宋体" w:hAnsi="宋体" w:cs="宋体" w:eastAsia="宋体" w:hint="default"/>
          <w:spacing w:val="-13"/>
        </w:rPr>
        <w:t>1</w:t>
      </w:r>
      <w:r>
        <w:rPr>
          <w:spacing w:val="-13"/>
        </w:rPr>
        <w:t>、报告期内，公司全体董事严格按照《公司法》、《证券法》、《深圳证券交</w:t>
      </w:r>
    </w:p>
    <w:p>
      <w:pPr>
        <w:spacing w:after="0" w:line="355"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458" w:right="1664"/>
        <w:jc w:val="left"/>
      </w:pPr>
      <w:r>
        <w:rPr>
          <w:spacing w:val="-16"/>
        </w:rPr>
        <w:t>易所中小企业板块上市公司规范运作指引》、《上市公司治理准则》、《深圳证券交</w:t>
      </w:r>
      <w:r>
        <w:rPr>
          <w:spacing w:val="-96"/>
        </w:rPr>
        <w:t> </w:t>
      </w:r>
      <w:r>
        <w:rPr>
          <w:spacing w:val="-96"/>
        </w:rPr>
      </w:r>
      <w:r>
        <w:rPr>
          <w:spacing w:val="-3"/>
        </w:rPr>
        <w:t>易所股票上市规则》及《公司章程》等法律、法规及规章制度的规定和要求，履</w:t>
      </w:r>
      <w:r>
        <w:rPr>
          <w:spacing w:val="-103"/>
        </w:rPr>
        <w:t> </w:t>
      </w:r>
      <w:r>
        <w:rPr>
          <w:spacing w:val="-103"/>
        </w:rPr>
      </w:r>
      <w:r>
        <w:rPr>
          <w:spacing w:val="-3"/>
        </w:rPr>
        <w:t>行董事职责，遵守董事行为规范，积极参加相关培训，提高规范运作水平，发挥</w:t>
      </w:r>
      <w:r>
        <w:rPr>
          <w:spacing w:val="-103"/>
        </w:rPr>
        <w:t> </w:t>
      </w:r>
      <w:r>
        <w:rPr>
          <w:spacing w:val="-103"/>
        </w:rPr>
      </w:r>
      <w:r>
        <w:rPr>
          <w:spacing w:val="-3"/>
        </w:rPr>
        <w:t>各自的专业特长，积极的履行职责。董事在董事会会议投票表决重大事项或其他</w:t>
      </w:r>
      <w:r>
        <w:rPr>
          <w:spacing w:val="-103"/>
        </w:rPr>
        <w:t> </w:t>
      </w:r>
      <w:r>
        <w:rPr>
          <w:spacing w:val="-103"/>
        </w:rPr>
      </w:r>
      <w:r>
        <w:rPr>
          <w:spacing w:val="-6"/>
        </w:rPr>
        <w:t>对公司有重大影响的事项时，严格遵循公司《董事会议事规则》的有关审议规定，</w:t>
      </w:r>
      <w:r>
        <w:rPr>
          <w:spacing w:val="-114"/>
        </w:rPr>
        <w:t> </w:t>
      </w:r>
      <w:r>
        <w:rPr>
          <w:spacing w:val="-114"/>
        </w:rPr>
      </w:r>
      <w:r>
        <w:rPr/>
        <w:t>审慎决策，切实保护公司和股东特别是社会公众股股东的利益。</w:t>
      </w:r>
    </w:p>
    <w:p>
      <w:pPr>
        <w:pStyle w:val="BodyText"/>
        <w:spacing w:line="357" w:lineRule="auto"/>
        <w:ind w:left="458" w:right="1688" w:firstLine="479"/>
        <w:jc w:val="left"/>
      </w:pPr>
      <w:r>
        <w:rPr>
          <w:rFonts w:ascii="宋体" w:hAnsi="宋体" w:cs="宋体" w:eastAsia="宋体" w:hint="default"/>
          <w:spacing w:val="-13"/>
        </w:rPr>
        <w:t>2</w:t>
      </w:r>
      <w:r>
        <w:rPr>
          <w:spacing w:val="-13"/>
        </w:rPr>
        <w:t>、公司董事长在履行职责时，严格按照《公司法》、《证券法》、《深圳证券</w:t>
      </w:r>
      <w:r>
        <w:rPr/>
        <w:t> </w:t>
      </w:r>
      <w:r>
        <w:rPr>
          <w:spacing w:val="-3"/>
        </w:rPr>
        <w:t>交易所中小企业板块上市公司规范运作指引》和《公司章程》规定，行使董事长</w:t>
      </w:r>
      <w:r>
        <w:rPr>
          <w:spacing w:val="-103"/>
        </w:rPr>
        <w:t> </w:t>
      </w:r>
      <w:r>
        <w:rPr>
          <w:spacing w:val="-103"/>
        </w:rPr>
      </w:r>
      <w:r>
        <w:rPr/>
        <w:t>职权，履行职责。在召集、主持董事会会议时，带头执行董事会集体决策机制， </w:t>
      </w:r>
      <w:r>
        <w:rPr>
          <w:spacing w:val="3"/>
        </w:rPr>
        <w:t>积极推动公司治理工作和内部控制建设、督促执行股东大会和董事会的各项决</w:t>
      </w:r>
      <w:r>
        <w:rPr>
          <w:spacing w:val="-93"/>
        </w:rPr>
        <w:t> </w:t>
      </w:r>
      <w:r>
        <w:rPr>
          <w:spacing w:val="-93"/>
        </w:rPr>
      </w:r>
      <w:r>
        <w:rPr>
          <w:spacing w:val="-3"/>
        </w:rPr>
        <w:t>议，确保董事会依法正常运作。保证独立董事和董事会秘书的知情权，及时将董</w:t>
      </w:r>
      <w:r>
        <w:rPr>
          <w:spacing w:val="-102"/>
        </w:rPr>
        <w:t> </w:t>
      </w:r>
      <w:r>
        <w:rPr>
          <w:spacing w:val="-102"/>
        </w:rPr>
      </w:r>
      <w:r>
        <w:rPr>
          <w:spacing w:val="-3"/>
        </w:rPr>
        <w:t>事会工作运行情况通报其他董事。督促其他董事、监事、高管人员积极参加监管</w:t>
      </w:r>
      <w:r>
        <w:rPr>
          <w:spacing w:val="-101"/>
        </w:rPr>
        <w:t> </w:t>
      </w:r>
      <w:r>
        <w:rPr>
          <w:spacing w:val="-101"/>
        </w:rPr>
      </w:r>
      <w:r>
        <w:rPr>
          <w:spacing w:val="-3"/>
        </w:rPr>
        <w:t>部门组织的培训，并借“三会”召开之际，积极地向公司董事、监事及其他高级</w:t>
      </w:r>
      <w:r>
        <w:rPr>
          <w:spacing w:val="-103"/>
        </w:rPr>
        <w:t> </w:t>
      </w:r>
      <w:r>
        <w:rPr>
          <w:spacing w:val="-103"/>
        </w:rPr>
      </w:r>
      <w:r>
        <w:rPr>
          <w:spacing w:val="-3"/>
        </w:rPr>
        <w:t>管理人员宣传新的法律、法规，提高董事、监事、高管人员的依法履职意识，确</w:t>
      </w:r>
      <w:r>
        <w:rPr>
          <w:spacing w:val="-103"/>
        </w:rPr>
        <w:t> </w:t>
      </w:r>
      <w:r>
        <w:rPr>
          <w:spacing w:val="-103"/>
        </w:rPr>
      </w:r>
      <w:r>
        <w:rPr/>
        <w:t>保公司规范运作。</w:t>
      </w:r>
    </w:p>
    <w:p>
      <w:pPr>
        <w:pStyle w:val="BodyText"/>
        <w:spacing w:line="357" w:lineRule="auto"/>
        <w:ind w:left="458" w:right="1664" w:firstLine="479"/>
        <w:jc w:val="left"/>
      </w:pPr>
      <w:r>
        <w:rPr>
          <w:rFonts w:ascii="宋体" w:hAnsi="宋体" w:cs="宋体" w:eastAsia="宋体" w:hint="default"/>
          <w:spacing w:val="-3"/>
        </w:rPr>
        <w:t>3</w:t>
      </w:r>
      <w:r>
        <w:rPr>
          <w:spacing w:val="-3"/>
        </w:rPr>
        <w:t>、公司独立董事能够严格按照有关法律、法规和《公司独立董事工作制度》</w:t>
      </w:r>
      <w:r>
        <w:rPr/>
        <w:t> </w:t>
      </w:r>
      <w:r>
        <w:rPr>
          <w:spacing w:val="-3"/>
        </w:rPr>
        <w:t>的规定，本着对公司和投资者认真负责的态度，独立公正地履行职责，不受公司</w:t>
      </w:r>
      <w:r>
        <w:rPr>
          <w:spacing w:val="-102"/>
        </w:rPr>
        <w:t> </w:t>
      </w:r>
      <w:r>
        <w:rPr>
          <w:spacing w:val="-102"/>
        </w:rPr>
      </w:r>
      <w:r>
        <w:rPr>
          <w:spacing w:val="-3"/>
        </w:rPr>
        <w:t>主要股东、实际控制人或其他与公司存在利害关系的单位和个人的影响。独立董</w:t>
      </w:r>
      <w:r>
        <w:rPr>
          <w:spacing w:val="-103"/>
        </w:rPr>
        <w:t> </w:t>
      </w:r>
      <w:r>
        <w:rPr>
          <w:spacing w:val="-103"/>
        </w:rPr>
      </w:r>
      <w:r>
        <w:rPr>
          <w:spacing w:val="-3"/>
        </w:rPr>
        <w:t>事能够按时出席公司董事会会议，在深入了解公司生产经营状况和重大事项情况</w:t>
      </w:r>
      <w:r>
        <w:rPr>
          <w:spacing w:val="-104"/>
        </w:rPr>
        <w:t> </w:t>
      </w:r>
      <w:r>
        <w:rPr>
          <w:spacing w:val="-104"/>
        </w:rPr>
      </w:r>
      <w:r>
        <w:rPr>
          <w:spacing w:val="-3"/>
        </w:rPr>
        <w:t>的基础上，认真审议各项议案，对董事会的科学决策及公司的良性发展发挥了积</w:t>
      </w:r>
      <w:r>
        <w:rPr>
          <w:spacing w:val="-103"/>
        </w:rPr>
        <w:t> </w:t>
      </w:r>
      <w:r>
        <w:rPr>
          <w:spacing w:val="-103"/>
        </w:rPr>
      </w:r>
      <w:r>
        <w:rPr>
          <w:spacing w:val="-6"/>
        </w:rPr>
        <w:t>极的作用。报告期内独立董事对公司对外担保、资金往来等有关事项发表了独立、</w:t>
      </w:r>
      <w:r>
        <w:rPr>
          <w:spacing w:val="-112"/>
        </w:rPr>
        <w:t> </w:t>
      </w:r>
      <w:r>
        <w:rPr>
          <w:spacing w:val="-112"/>
        </w:rPr>
      </w:r>
      <w:r>
        <w:rPr>
          <w:spacing w:val="-3"/>
        </w:rPr>
        <w:t>客观、公正的意见，切实维护了公司及股东特别是社会公众股股东的利益。报告</w:t>
      </w:r>
      <w:r>
        <w:rPr>
          <w:spacing w:val="-102"/>
        </w:rPr>
        <w:t> </w:t>
      </w:r>
      <w:r>
        <w:rPr>
          <w:spacing w:val="-102"/>
        </w:rPr>
      </w:r>
      <w:r>
        <w:rPr>
          <w:spacing w:val="-3"/>
        </w:rPr>
        <w:t>期内，独立董事对公司重大事项发表了独立、客观、公正的独立意见，切实维护</w:t>
      </w:r>
      <w:r>
        <w:rPr>
          <w:spacing w:val="-103"/>
        </w:rPr>
        <w:t> </w:t>
      </w:r>
      <w:r>
        <w:rPr>
          <w:spacing w:val="-103"/>
        </w:rPr>
      </w:r>
      <w:r>
        <w:rPr/>
        <w:t>了公司及股东特别是社会公众股股东的利益。</w:t>
      </w:r>
    </w:p>
    <w:p>
      <w:pPr>
        <w:pStyle w:val="BodyText"/>
        <w:spacing w:line="240" w:lineRule="auto" w:before="37"/>
        <w:ind w:left="938" w:right="1664"/>
        <w:jc w:val="left"/>
      </w:pPr>
      <w:r>
        <w:rPr>
          <w:rFonts w:ascii="宋体" w:hAnsi="宋体" w:cs="宋体" w:eastAsia="宋体" w:hint="default"/>
        </w:rPr>
        <w:t>4</w:t>
      </w:r>
      <w:r>
        <w:rPr/>
        <w:t>、报告期内，公司董事出席董事会情况如下：</w:t>
      </w:r>
    </w:p>
    <w:p>
      <w:pPr>
        <w:spacing w:line="240" w:lineRule="auto" w:before="10"/>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86"/>
        <w:gridCol w:w="1635"/>
        <w:gridCol w:w="799"/>
        <w:gridCol w:w="1080"/>
        <w:gridCol w:w="1397"/>
        <w:gridCol w:w="900"/>
        <w:gridCol w:w="721"/>
        <w:gridCol w:w="1591"/>
      </w:tblGrid>
      <w:tr>
        <w:trPr>
          <w:trHeight w:val="649" w:hRule="exact"/>
        </w:trPr>
        <w:tc>
          <w:tcPr>
            <w:tcW w:w="8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256" w:right="168" w:hanging="92"/>
              <w:jc w:val="left"/>
              <w:rPr>
                <w:rFonts w:ascii="宋体" w:hAnsi="宋体" w:cs="宋体" w:eastAsia="宋体" w:hint="default"/>
                <w:sz w:val="18"/>
                <w:szCs w:val="18"/>
              </w:rPr>
            </w:pPr>
            <w:r>
              <w:rPr>
                <w:rFonts w:ascii="宋体" w:hAnsi="宋体" w:cs="宋体" w:eastAsia="宋体" w:hint="default"/>
                <w:sz w:val="18"/>
                <w:szCs w:val="18"/>
              </w:rPr>
              <w:t>董事会 姓名</w:t>
            </w:r>
          </w:p>
        </w:tc>
        <w:tc>
          <w:tcPr>
            <w:tcW w:w="16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453"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7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213" w:right="122" w:hanging="89"/>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82"/>
              <w:ind w:left="355" w:right="173"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242" w:right="153" w:hanging="89"/>
              <w:jc w:val="left"/>
              <w:rPr>
                <w:rFonts w:ascii="宋体" w:hAnsi="宋体" w:cs="宋体" w:eastAsia="宋体" w:hint="default"/>
                <w:sz w:val="18"/>
                <w:szCs w:val="18"/>
              </w:rPr>
            </w:pPr>
            <w:r>
              <w:rPr>
                <w:rFonts w:ascii="宋体" w:hAnsi="宋体" w:cs="宋体" w:eastAsia="宋体" w:hint="default"/>
                <w:sz w:val="18"/>
                <w:szCs w:val="18"/>
              </w:rPr>
              <w:t>以通讯方式参 加会议次数</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172" w:right="175"/>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172" w:right="176"/>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2"/>
              <w:ind w:left="247" w:right="161" w:hanging="89"/>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唐荣保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张琼</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张鲁毅</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15" w:lineRule="exact"/>
        <w:jc w:val="center"/>
        <w:rPr>
          <w:rFonts w:ascii="宋体" w:hAnsi="宋体" w:cs="宋体" w:eastAsia="宋体" w:hint="default"/>
          <w:sz w:val="18"/>
          <w:szCs w:val="18"/>
        </w:rPr>
        <w:sectPr>
          <w:pgSz w:w="11910" w:h="16840"/>
          <w:pgMar w:header="816" w:footer="956" w:top="1160" w:bottom="1140" w:left="1340" w:right="0"/>
        </w:sectPr>
      </w:pPr>
    </w:p>
    <w:p>
      <w:pPr>
        <w:spacing w:line="240" w:lineRule="auto" w:before="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886"/>
        <w:gridCol w:w="1635"/>
        <w:gridCol w:w="799"/>
        <w:gridCol w:w="1080"/>
        <w:gridCol w:w="1397"/>
        <w:gridCol w:w="900"/>
        <w:gridCol w:w="721"/>
        <w:gridCol w:w="1591"/>
      </w:tblGrid>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庄明福</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姚禄仕</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肖学东</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47" w:right="0"/>
              <w:jc w:val="left"/>
              <w:rPr>
                <w:rFonts w:ascii="宋体" w:hAnsi="宋体" w:cs="宋体" w:eastAsia="宋体" w:hint="default"/>
                <w:sz w:val="18"/>
                <w:szCs w:val="18"/>
              </w:rPr>
            </w:pPr>
            <w:r>
              <w:rPr>
                <w:rFonts w:ascii="宋体"/>
                <w:sz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宦忆华</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宋志刚</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刘玉琛</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樊高定</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平</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历任独立董事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47" w:right="0"/>
              <w:jc w:val="left"/>
              <w:rPr>
                <w:rFonts w:ascii="宋体" w:hAnsi="宋体" w:cs="宋体" w:eastAsia="宋体" w:hint="default"/>
                <w:sz w:val="18"/>
                <w:szCs w:val="18"/>
              </w:rPr>
            </w:pPr>
            <w:r>
              <w:rPr>
                <w:rFonts w:ascii="宋体"/>
                <w:sz w:val="18"/>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48" w:right="0"/>
              <w:jc w:val="lef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6"/>
              <w:jc w:val="center"/>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
              <w:jc w:val="center"/>
              <w:rPr>
                <w:rFonts w:ascii="宋体" w:hAnsi="宋体" w:cs="宋体" w:eastAsia="宋体" w:hint="default"/>
                <w:sz w:val="18"/>
                <w:szCs w:val="18"/>
              </w:rPr>
            </w:pPr>
            <w:r>
              <w:rPr>
                <w:rFonts w:ascii="宋体"/>
                <w:sz w:val="18"/>
              </w:rPr>
              <w:t>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74" w:lineRule="exact" w:before="0"/>
        <w:ind w:left="938" w:right="1664"/>
        <w:jc w:val="left"/>
      </w:pPr>
      <w:r>
        <w:rPr/>
        <w:t>连续两次未亲自出席董事会会议的说明</w:t>
      </w:r>
    </w:p>
    <w:p>
      <w:pPr>
        <w:pStyle w:val="BodyText"/>
        <w:spacing w:line="357" w:lineRule="auto" w:before="151"/>
        <w:ind w:left="458" w:right="1788" w:firstLine="479"/>
        <w:jc w:val="left"/>
      </w:pPr>
      <w:r>
        <w:rPr>
          <w:spacing w:val="-3"/>
        </w:rPr>
        <w:t>公司董事宦忆华女士，在召开第四届董事会第十八次会议、第四届董事会第</w:t>
      </w:r>
      <w:r>
        <w:rPr/>
        <w:t> 十九次会议因公出差，未亲自出席董事会会议，均委托其他董事代为表决。</w:t>
      </w:r>
    </w:p>
    <w:p>
      <w:pPr>
        <w:spacing w:line="240" w:lineRule="auto" w:before="9"/>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3419"/>
        <w:gridCol w:w="5517"/>
      </w:tblGrid>
      <w:tr>
        <w:trPr>
          <w:trHeight w:val="410" w:hRule="exact"/>
        </w:trPr>
        <w:tc>
          <w:tcPr>
            <w:tcW w:w="3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1"/>
              <w:jc w:val="center"/>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19" w:right="0"/>
              <w:jc w:val="left"/>
              <w:rPr>
                <w:rFonts w:ascii="宋体" w:hAnsi="宋体" w:cs="宋体" w:eastAsia="宋体" w:hint="default"/>
                <w:sz w:val="18"/>
                <w:szCs w:val="18"/>
              </w:rPr>
            </w:pPr>
            <w:r>
              <w:rPr>
                <w:rFonts w:ascii="宋体"/>
                <w:sz w:val="18"/>
              </w:rPr>
              <w:t>9</w:t>
            </w:r>
          </w:p>
        </w:tc>
      </w:tr>
      <w:tr>
        <w:trPr>
          <w:trHeight w:val="410" w:hRule="exact"/>
        </w:trPr>
        <w:tc>
          <w:tcPr>
            <w:tcW w:w="3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2"/>
              <w:jc w:val="center"/>
              <w:rPr>
                <w:rFonts w:ascii="宋体" w:hAnsi="宋体" w:cs="宋体" w:eastAsia="宋体" w:hint="default"/>
                <w:sz w:val="21"/>
                <w:szCs w:val="21"/>
              </w:rPr>
            </w:pPr>
            <w:r>
              <w:rPr>
                <w:rFonts w:ascii="宋体" w:hAnsi="宋体" w:cs="宋体" w:eastAsia="宋体" w:hint="default"/>
                <w:sz w:val="21"/>
                <w:szCs w:val="21"/>
              </w:rPr>
              <w:t>其中：现场会议次数</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19" w:right="0"/>
              <w:jc w:val="left"/>
              <w:rPr>
                <w:rFonts w:ascii="宋体" w:hAnsi="宋体" w:cs="宋体" w:eastAsia="宋体" w:hint="default"/>
                <w:sz w:val="18"/>
                <w:szCs w:val="18"/>
              </w:rPr>
            </w:pPr>
            <w:r>
              <w:rPr>
                <w:rFonts w:ascii="宋体"/>
                <w:sz w:val="18"/>
              </w:rPr>
              <w:t>9</w:t>
            </w:r>
          </w:p>
        </w:tc>
      </w:tr>
      <w:tr>
        <w:trPr>
          <w:trHeight w:val="410" w:hRule="exact"/>
        </w:trPr>
        <w:tc>
          <w:tcPr>
            <w:tcW w:w="3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1"/>
              <w:jc w:val="center"/>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19" w:right="0"/>
              <w:jc w:val="left"/>
              <w:rPr>
                <w:rFonts w:ascii="宋体" w:hAnsi="宋体" w:cs="宋体" w:eastAsia="宋体" w:hint="default"/>
                <w:sz w:val="18"/>
                <w:szCs w:val="18"/>
              </w:rPr>
            </w:pPr>
            <w:r>
              <w:rPr>
                <w:rFonts w:ascii="宋体"/>
                <w:sz w:val="18"/>
              </w:rPr>
              <w:t>0</w:t>
            </w:r>
          </w:p>
        </w:tc>
      </w:tr>
      <w:tr>
        <w:trPr>
          <w:trHeight w:val="410" w:hRule="exact"/>
        </w:trPr>
        <w:tc>
          <w:tcPr>
            <w:tcW w:w="3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1"/>
              <w:jc w:val="center"/>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19" w:right="0"/>
              <w:jc w:val="left"/>
              <w:rPr>
                <w:rFonts w:ascii="宋体" w:hAnsi="宋体" w:cs="宋体" w:eastAsia="宋体" w:hint="default"/>
                <w:sz w:val="18"/>
                <w:szCs w:val="18"/>
              </w:rPr>
            </w:pPr>
            <w:r>
              <w:rPr>
                <w:rFonts w:ascii="宋体"/>
                <w:sz w:val="18"/>
              </w:rPr>
              <w:t>0</w:t>
            </w:r>
          </w:p>
        </w:tc>
      </w:tr>
    </w:tbl>
    <w:p>
      <w:pPr>
        <w:pStyle w:val="BodyText"/>
        <w:spacing w:line="274" w:lineRule="exact" w:before="0"/>
        <w:ind w:left="938" w:right="1664"/>
        <w:jc w:val="left"/>
      </w:pPr>
      <w:r>
        <w:rPr/>
        <w:t>三、公司与控股股东在业务、人员、资产、机构、财务方面的情况</w:t>
      </w:r>
    </w:p>
    <w:p>
      <w:pPr>
        <w:pStyle w:val="BodyText"/>
        <w:spacing w:line="357" w:lineRule="auto" w:before="152"/>
        <w:ind w:left="458" w:right="1664" w:firstLine="479"/>
        <w:jc w:val="left"/>
      </w:pPr>
      <w:r>
        <w:rPr>
          <w:spacing w:val="-7"/>
        </w:rPr>
        <w:t>公司具有独立的生产经营能力，独立的产供销体系，公司业务、人员、资产、</w:t>
      </w:r>
      <w:r>
        <w:rPr/>
        <w:t> 机构、财务等方面均独立于控股股东及主要股东。</w:t>
      </w:r>
    </w:p>
    <w:p>
      <w:pPr>
        <w:pStyle w:val="BodyText"/>
        <w:spacing w:line="357" w:lineRule="auto"/>
        <w:ind w:left="458" w:right="1688" w:firstLine="479"/>
        <w:jc w:val="left"/>
      </w:pPr>
      <w:r>
        <w:rPr>
          <w:spacing w:val="-3"/>
        </w:rPr>
        <w:t>公司拥有生产经营所需的完整的资产，生产经营所需技术为公司合法独立拥</w:t>
      </w:r>
      <w:r>
        <w:rPr/>
        <w:t> </w:t>
      </w:r>
      <w:r>
        <w:rPr>
          <w:spacing w:val="-3"/>
        </w:rPr>
        <w:t>有，没有产权争议；公司具有完整的业务体系及面向市场独立经营的能力；公司</w:t>
      </w:r>
      <w:r>
        <w:rPr>
          <w:spacing w:val="-102"/>
        </w:rPr>
        <w:t> </w:t>
      </w:r>
      <w:r>
        <w:rPr>
          <w:spacing w:val="-102"/>
        </w:rPr>
      </w:r>
      <w:r>
        <w:rPr/>
        <w:t>的劳动及工资管理独立于控股股东及主要股东；董事、监事以及高级管理人员、 </w:t>
      </w:r>
      <w:r>
        <w:rPr>
          <w:spacing w:val="-3"/>
        </w:rPr>
        <w:t>核心技术人员不存在法律禁止的交叉任职现象；公司设有独立的财务部门，建立</w:t>
      </w:r>
      <w:r>
        <w:rPr>
          <w:spacing w:val="-103"/>
        </w:rPr>
        <w:t> </w:t>
      </w:r>
      <w:r>
        <w:rPr>
          <w:spacing w:val="-103"/>
        </w:rPr>
      </w:r>
      <w:r>
        <w:rPr>
          <w:spacing w:val="-3"/>
        </w:rPr>
        <w:t>了独立的财务核算体系并具有独立的财务会计制度，开立了独立银行账户并依法</w:t>
      </w:r>
      <w:r>
        <w:rPr>
          <w:spacing w:val="-104"/>
        </w:rPr>
        <w:t> </w:t>
      </w:r>
      <w:r>
        <w:rPr>
          <w:spacing w:val="-104"/>
        </w:rPr>
      </w:r>
      <w:r>
        <w:rPr/>
        <w:t>独立纳税。具体的独立运营情况如下：</w:t>
      </w:r>
    </w:p>
    <w:p>
      <w:pPr>
        <w:pStyle w:val="BodyText"/>
        <w:spacing w:line="357" w:lineRule="auto"/>
        <w:ind w:left="938" w:right="1787"/>
        <w:jc w:val="left"/>
      </w:pPr>
      <w:r>
        <w:rPr>
          <w:rFonts w:ascii="宋体" w:hAnsi="宋体" w:cs="宋体" w:eastAsia="宋体" w:hint="default"/>
        </w:rPr>
        <w:t>1</w:t>
      </w:r>
      <w:r>
        <w:rPr/>
        <w:t>、业务独立性 </w:t>
      </w:r>
      <w:r>
        <w:rPr>
          <w:spacing w:val="-3"/>
        </w:rPr>
        <w:t>本公司是独立从事生产经营的企业法人，拥有独立、完整的科研、生产、采</w:t>
      </w:r>
    </w:p>
    <w:p>
      <w:pPr>
        <w:pStyle w:val="BodyText"/>
        <w:spacing w:line="357" w:lineRule="auto" w:before="36"/>
        <w:ind w:left="458" w:right="1791"/>
        <w:jc w:val="both"/>
      </w:pPr>
      <w:r>
        <w:rPr>
          <w:spacing w:val="-3"/>
        </w:rPr>
        <w:t>购、销售体系，具有独立完整的业务体系及面向市场独立经营的能力，不依赖于</w:t>
      </w:r>
      <w:r>
        <w:rPr>
          <w:spacing w:val="-102"/>
        </w:rPr>
        <w:t> </w:t>
      </w:r>
      <w:r>
        <w:rPr>
          <w:spacing w:val="-102"/>
        </w:rPr>
      </w:r>
      <w:r>
        <w:rPr>
          <w:spacing w:val="-3"/>
        </w:rPr>
        <w:t>股东或其他任何关联方，与控股股东之间无同业竞争，控股股东不存在直接或间</w:t>
      </w:r>
      <w:r>
        <w:rPr>
          <w:spacing w:val="-103"/>
        </w:rPr>
        <w:t> </w:t>
      </w:r>
      <w:r>
        <w:rPr>
          <w:spacing w:val="-103"/>
        </w:rPr>
      </w:r>
      <w:r>
        <w:rPr/>
        <w:t>接干预公司经营运作的情形。</w:t>
      </w:r>
    </w:p>
    <w:p>
      <w:pPr>
        <w:pStyle w:val="BodyText"/>
        <w:spacing w:line="240" w:lineRule="auto"/>
        <w:ind w:left="938" w:right="1664"/>
        <w:jc w:val="left"/>
      </w:pPr>
      <w:r>
        <w:rPr>
          <w:rFonts w:ascii="宋体" w:hAnsi="宋体" w:cs="宋体" w:eastAsia="宋体" w:hint="default"/>
        </w:rPr>
        <w:t>2</w:t>
      </w:r>
      <w:r>
        <w:rPr/>
        <w:t>、人员独立性</w:t>
      </w:r>
    </w:p>
    <w:p>
      <w:pPr>
        <w:spacing w:after="0" w:line="240" w:lineRule="auto"/>
        <w:jc w:val="left"/>
        <w:sectPr>
          <w:pgSz w:w="11910" w:h="16840"/>
          <w:pgMar w:header="816" w:footer="956" w:top="1160" w:bottom="1140" w:left="1340" w:right="0"/>
        </w:sectPr>
      </w:pPr>
    </w:p>
    <w:p>
      <w:pPr>
        <w:spacing w:line="240" w:lineRule="auto" w:before="2"/>
        <w:rPr>
          <w:rFonts w:ascii="宋体" w:hAnsi="宋体" w:cs="宋体" w:eastAsia="宋体" w:hint="default"/>
          <w:sz w:val="10"/>
          <w:szCs w:val="10"/>
        </w:rPr>
      </w:pPr>
    </w:p>
    <w:p>
      <w:pPr>
        <w:pStyle w:val="BodyText"/>
        <w:spacing w:line="357" w:lineRule="auto" w:before="26"/>
        <w:ind w:right="1248" w:firstLine="479"/>
        <w:jc w:val="left"/>
      </w:pPr>
      <w:r>
        <w:rPr>
          <w:spacing w:val="-3"/>
        </w:rPr>
        <w:t>本公司总经理、副总经理、董事会秘书、财务负责人等高级管理人员与核心</w:t>
      </w:r>
      <w:r>
        <w:rPr/>
        <w:t> </w:t>
      </w:r>
      <w:r>
        <w:rPr>
          <w:spacing w:val="3"/>
        </w:rPr>
        <w:t>技术人员均专职在本公司工作并领取报酬，没有在股东单位中担任任何行政职</w:t>
      </w:r>
      <w:r>
        <w:rPr>
          <w:spacing w:val="-93"/>
        </w:rPr>
        <w:t> </w:t>
      </w:r>
      <w:r>
        <w:rPr>
          <w:spacing w:val="-93"/>
        </w:rPr>
      </w:r>
      <w:r>
        <w:rPr>
          <w:spacing w:val="-3"/>
        </w:rPr>
        <w:t>务，也没有在股东单位领薪；公司董事、监事及高级管理人员均严格按照《公司</w:t>
      </w:r>
      <w:r>
        <w:rPr>
          <w:spacing w:val="-103"/>
        </w:rPr>
        <w:t> </w:t>
      </w:r>
      <w:r>
        <w:rPr>
          <w:spacing w:val="-103"/>
        </w:rPr>
      </w:r>
      <w:r>
        <w:rPr>
          <w:spacing w:val="-13"/>
        </w:rPr>
        <w:t>法》、《公司章程》的有关规定产生，不存在控股股东越过公司股东大会、董事会、</w:t>
      </w:r>
      <w:r>
        <w:rPr>
          <w:spacing w:val="-89"/>
        </w:rPr>
        <w:t> </w:t>
      </w:r>
      <w:r>
        <w:rPr>
          <w:spacing w:val="-89"/>
        </w:rPr>
      </w:r>
      <w:r>
        <w:rPr>
          <w:spacing w:val="-3"/>
        </w:rPr>
        <w:t>监事会而作出人事任免决定的情况；公司员工独立于股东单位及其关联方，并执</w:t>
      </w:r>
      <w:r>
        <w:rPr>
          <w:spacing w:val="-103"/>
        </w:rPr>
        <w:t> </w:t>
      </w:r>
      <w:r>
        <w:rPr>
          <w:spacing w:val="-103"/>
        </w:rPr>
      </w:r>
      <w:r>
        <w:rPr/>
        <w:t>行独立的劳动、人事及工资管理制度。</w:t>
      </w:r>
    </w:p>
    <w:p>
      <w:pPr>
        <w:pStyle w:val="BodyText"/>
        <w:spacing w:line="357" w:lineRule="auto"/>
        <w:ind w:left="618" w:right="1787"/>
        <w:jc w:val="left"/>
      </w:pPr>
      <w:r>
        <w:rPr>
          <w:rFonts w:ascii="宋体" w:hAnsi="宋体" w:cs="宋体" w:eastAsia="宋体" w:hint="default"/>
        </w:rPr>
        <w:t>3</w:t>
      </w:r>
      <w:r>
        <w:rPr/>
        <w:t>、资产独立性 </w:t>
      </w:r>
      <w:r>
        <w:rPr>
          <w:spacing w:val="-3"/>
        </w:rPr>
        <w:t>本公司与控股股东及主要股东资产权属明确，不存在控股股东及主要股东违</w:t>
      </w:r>
    </w:p>
    <w:p>
      <w:pPr>
        <w:pStyle w:val="BodyText"/>
        <w:spacing w:line="357" w:lineRule="auto"/>
        <w:ind w:right="1791"/>
        <w:jc w:val="both"/>
      </w:pPr>
      <w:r>
        <w:rPr>
          <w:spacing w:val="-3"/>
        </w:rPr>
        <w:t>规占用本公司资金、资产及其他资源情况。本公司的土地使用权、房产、机器设</w:t>
      </w:r>
      <w:r>
        <w:rPr>
          <w:spacing w:val="-102"/>
        </w:rPr>
        <w:t> </w:t>
      </w:r>
      <w:r>
        <w:rPr>
          <w:spacing w:val="-102"/>
        </w:rPr>
      </w:r>
      <w:r>
        <w:rPr>
          <w:spacing w:val="-3"/>
        </w:rPr>
        <w:t>备、商标、专利、专有技术及其他资产的权属完全由公司独立享有，没有依赖股</w:t>
      </w:r>
      <w:r>
        <w:rPr>
          <w:spacing w:val="-102"/>
        </w:rPr>
        <w:t> </w:t>
      </w:r>
      <w:r>
        <w:rPr>
          <w:spacing w:val="-102"/>
        </w:rPr>
      </w:r>
      <w:r>
        <w:rPr/>
        <w:t>东资产进行生产经营的情况。公司对所有资产拥有完全的控制和支配权。</w:t>
      </w:r>
    </w:p>
    <w:p>
      <w:pPr>
        <w:pStyle w:val="BodyText"/>
        <w:spacing w:line="355" w:lineRule="auto" w:before="36"/>
        <w:ind w:left="618" w:right="1787"/>
        <w:jc w:val="left"/>
      </w:pPr>
      <w:r>
        <w:rPr>
          <w:rFonts w:ascii="宋体" w:hAnsi="宋体" w:cs="宋体" w:eastAsia="宋体" w:hint="default"/>
        </w:rPr>
        <w:t>4</w:t>
      </w:r>
      <w:r>
        <w:rPr/>
        <w:t>、机构独立性 </w:t>
      </w:r>
      <w:r>
        <w:rPr>
          <w:spacing w:val="-3"/>
        </w:rPr>
        <w:t>本公司建立健全了股东大会、董事会、监事会、总经理负责的经理层等机构</w:t>
      </w:r>
    </w:p>
    <w:p>
      <w:pPr>
        <w:pStyle w:val="BodyText"/>
        <w:spacing w:line="357" w:lineRule="auto" w:before="38"/>
        <w:ind w:right="1664"/>
        <w:jc w:val="left"/>
      </w:pPr>
      <w:r>
        <w:rPr>
          <w:spacing w:val="-3"/>
        </w:rPr>
        <w:t>及相应的三会议事规则和《总经理工作细则》，形成完善的法人治理结构；公司</w:t>
      </w:r>
      <w:r>
        <w:rPr>
          <w:spacing w:val="-108"/>
        </w:rPr>
        <w:t> </w:t>
      </w:r>
      <w:r>
        <w:rPr>
          <w:spacing w:val="-108"/>
        </w:rPr>
      </w:r>
      <w:r>
        <w:rPr>
          <w:spacing w:val="-3"/>
        </w:rPr>
        <w:t>适应生产经营需要设置了行政部、技术部、证券投资部、审计部、财务部、售后</w:t>
      </w:r>
      <w:r>
        <w:rPr>
          <w:spacing w:val="-106"/>
        </w:rPr>
        <w:t> </w:t>
      </w:r>
      <w:r>
        <w:rPr>
          <w:spacing w:val="-106"/>
        </w:rPr>
      </w:r>
      <w:r>
        <w:rPr>
          <w:spacing w:val="-6"/>
        </w:rPr>
        <w:t>服务部、品质部、设备部、生产部、物流部、合同管理部、市场部、法律事务部、</w:t>
      </w:r>
      <w:r>
        <w:rPr>
          <w:spacing w:val="-116"/>
        </w:rPr>
        <w:t> </w:t>
      </w:r>
      <w:r>
        <w:rPr>
          <w:spacing w:val="-116"/>
        </w:rPr>
      </w:r>
      <w:r>
        <w:rPr>
          <w:spacing w:val="-3"/>
        </w:rPr>
        <w:t>营销中心等职能部门，各职能部门按规定的职责独立运作；公司各职能部门与股</w:t>
      </w:r>
      <w:r>
        <w:rPr>
          <w:spacing w:val="-104"/>
        </w:rPr>
        <w:t> </w:t>
      </w:r>
      <w:r>
        <w:rPr>
          <w:spacing w:val="-104"/>
        </w:rPr>
      </w:r>
      <w:r>
        <w:rPr>
          <w:spacing w:val="-3"/>
        </w:rPr>
        <w:t>东单位及其职能部门之间不存在上下级关系，不存在股东单位干预本公司组织机</w:t>
      </w:r>
      <w:r>
        <w:rPr>
          <w:spacing w:val="-104"/>
        </w:rPr>
        <w:t> </w:t>
      </w:r>
      <w:r>
        <w:rPr>
          <w:spacing w:val="-104"/>
        </w:rPr>
      </w:r>
      <w:r>
        <w:rPr/>
        <w:t>构设立与运作情况。</w:t>
      </w:r>
    </w:p>
    <w:p>
      <w:pPr>
        <w:pStyle w:val="BodyText"/>
        <w:spacing w:line="357" w:lineRule="auto"/>
        <w:ind w:left="618" w:right="1787"/>
        <w:jc w:val="left"/>
      </w:pPr>
      <w:r>
        <w:rPr>
          <w:rFonts w:ascii="宋体" w:hAnsi="宋体" w:cs="宋体" w:eastAsia="宋体" w:hint="default"/>
        </w:rPr>
        <w:t>5</w:t>
      </w:r>
      <w:r>
        <w:rPr/>
        <w:t>、财务独立性 </w:t>
      </w:r>
      <w:r>
        <w:rPr>
          <w:spacing w:val="4"/>
        </w:rPr>
        <w:t>本公司设立了独立的财务部门，建立了独立的会计核算体系和财务管理制</w:t>
      </w:r>
    </w:p>
    <w:p>
      <w:pPr>
        <w:pStyle w:val="BodyText"/>
        <w:spacing w:line="357" w:lineRule="auto"/>
        <w:ind w:right="1704"/>
        <w:jc w:val="both"/>
      </w:pPr>
      <w:r>
        <w:rPr>
          <w:spacing w:val="-3"/>
        </w:rPr>
        <w:t>度，独立进行财务决策；公司独立在银行开设账户，不存在与股东单位共用银行</w:t>
      </w:r>
      <w:r>
        <w:rPr>
          <w:spacing w:val="-102"/>
        </w:rPr>
        <w:t> </w:t>
      </w:r>
      <w:r>
        <w:rPr>
          <w:spacing w:val="-102"/>
        </w:rPr>
      </w:r>
      <w:r>
        <w:rPr>
          <w:spacing w:val="-3"/>
        </w:rPr>
        <w:t>账户的现象，公司依法独立进行纳税申报和履行纳税义务；公司不存在股东单位</w:t>
      </w:r>
      <w:r>
        <w:rPr>
          <w:spacing w:val="-104"/>
        </w:rPr>
        <w:t> </w:t>
      </w:r>
      <w:r>
        <w:rPr>
          <w:spacing w:val="-104"/>
        </w:rPr>
      </w:r>
      <w:r>
        <w:rPr/>
        <w:t>或其他关联方占用本公司货币资金或其他资产的情形；公司独立对外签订合同。</w:t>
      </w:r>
    </w:p>
    <w:p>
      <w:pPr>
        <w:pStyle w:val="BodyText"/>
        <w:spacing w:line="240" w:lineRule="auto" w:before="37"/>
        <w:ind w:left="618" w:right="1787"/>
        <w:jc w:val="left"/>
      </w:pPr>
      <w:r>
        <w:rPr/>
        <w:t>四、公司内部控制制度的建立和健全情况</w:t>
      </w:r>
    </w:p>
    <w:p>
      <w:pPr>
        <w:pStyle w:val="BodyText"/>
        <w:spacing w:line="357" w:lineRule="auto" w:before="151"/>
        <w:ind w:left="618" w:right="7088"/>
        <w:jc w:val="left"/>
      </w:pPr>
      <w:r>
        <w:rPr/>
        <w:t>（一）内部环境 </w:t>
      </w:r>
      <w:r>
        <w:rPr>
          <w:rFonts w:ascii="宋体" w:hAnsi="宋体" w:cs="宋体" w:eastAsia="宋体" w:hint="default"/>
        </w:rPr>
        <w:t>1</w:t>
      </w:r>
      <w:r>
        <w:rPr/>
        <w:t>、管理理念与经营风格</w:t>
      </w:r>
    </w:p>
    <w:p>
      <w:pPr>
        <w:pStyle w:val="BodyText"/>
        <w:spacing w:line="357" w:lineRule="auto"/>
        <w:ind w:right="1792" w:firstLine="479"/>
        <w:jc w:val="both"/>
      </w:pPr>
      <w:r>
        <w:rPr>
          <w:spacing w:val="-3"/>
        </w:rPr>
        <w:t>公司把“诚实守信”作为企业发展之基、员工立身之本，将制度视为公司的</w:t>
      </w:r>
      <w:r>
        <w:rPr/>
        <w:t> </w:t>
      </w:r>
      <w:r>
        <w:rPr>
          <w:spacing w:val="-3"/>
        </w:rPr>
        <w:t>法律、组织的规范，坚持在管理中不断完善和健全制度体系，注重内部控制制度</w:t>
      </w:r>
      <w:r>
        <w:rPr>
          <w:spacing w:val="-102"/>
        </w:rPr>
        <w:t> </w:t>
      </w:r>
      <w:r>
        <w:rPr>
          <w:spacing w:val="-102"/>
        </w:rPr>
      </w:r>
      <w:r>
        <w:rPr>
          <w:spacing w:val="-3"/>
        </w:rPr>
        <w:t>的制定和实施，认为只有建立完善高效的内部控制机制，才能使公司的生产经营</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3368" w:hanging="480"/>
        <w:jc w:val="left"/>
      </w:pPr>
      <w:r>
        <w:rPr/>
        <w:t>有条不紊、规避风险，才能提高工作效率、提升公司治理水平。 </w:t>
      </w:r>
      <w:r>
        <w:rPr>
          <w:rFonts w:ascii="宋体" w:hAnsi="宋体" w:cs="宋体" w:eastAsia="宋体" w:hint="default"/>
        </w:rPr>
        <w:t>2</w:t>
      </w:r>
      <w:r>
        <w:rPr/>
        <w:t>、治理结构</w:t>
      </w:r>
    </w:p>
    <w:p>
      <w:pPr>
        <w:pStyle w:val="BodyText"/>
        <w:spacing w:line="357" w:lineRule="auto"/>
        <w:ind w:right="1664" w:firstLine="479"/>
        <w:jc w:val="left"/>
      </w:pPr>
      <w:r>
        <w:rPr>
          <w:spacing w:val="-10"/>
        </w:rPr>
        <w:t>根据《公司法》、《公司章程》和其他有关法律法规的规定，公司建立了股东</w:t>
      </w:r>
      <w:r>
        <w:rPr/>
        <w:t> </w:t>
      </w:r>
      <w:r>
        <w:rPr>
          <w:spacing w:val="-6"/>
        </w:rPr>
        <w:t>大会、董事会、监事会和经理层“三会一层”的法人治理结构，制定了议事规则，</w:t>
      </w:r>
      <w:r>
        <w:rPr>
          <w:spacing w:val="-115"/>
        </w:rPr>
        <w:t> </w:t>
      </w:r>
      <w:r>
        <w:rPr>
          <w:spacing w:val="-115"/>
        </w:rPr>
      </w:r>
      <w:r>
        <w:rPr>
          <w:spacing w:val="-6"/>
        </w:rPr>
        <w:t>明确决策、执行、监督等方面的职责权限，形成科学有效的职责分工和制衡机制。</w:t>
      </w:r>
      <w:r>
        <w:rPr>
          <w:spacing w:val="-115"/>
        </w:rPr>
        <w:t> </w:t>
      </w:r>
      <w:r>
        <w:rPr>
          <w:spacing w:val="-115"/>
        </w:rPr>
      </w:r>
      <w:r>
        <w:rPr>
          <w:spacing w:val="-3"/>
        </w:rPr>
        <w:t>三会一层各司其职、规范运作。董事会下设战略委员会、审计委员会、提名委员</w:t>
      </w:r>
      <w:r>
        <w:rPr>
          <w:spacing w:val="-103"/>
        </w:rPr>
        <w:t> </w:t>
      </w:r>
      <w:r>
        <w:rPr>
          <w:spacing w:val="-103"/>
        </w:rPr>
      </w:r>
      <w:r>
        <w:rPr>
          <w:spacing w:val="-3"/>
        </w:rPr>
        <w:t>会、薪酬与考核委员会四个专门委员会，以进一步完善治理结构，促进董事会科</w:t>
      </w:r>
      <w:r>
        <w:rPr>
          <w:spacing w:val="-102"/>
        </w:rPr>
        <w:t> </w:t>
      </w:r>
      <w:r>
        <w:rPr>
          <w:spacing w:val="-102"/>
        </w:rPr>
      </w:r>
      <w:r>
        <w:rPr/>
        <w:t>学、高效决策。</w:t>
      </w:r>
    </w:p>
    <w:p>
      <w:pPr>
        <w:pStyle w:val="BodyText"/>
        <w:spacing w:line="357" w:lineRule="auto"/>
        <w:ind w:left="618" w:right="1248"/>
        <w:jc w:val="left"/>
      </w:pPr>
      <w:r>
        <w:rPr>
          <w:rFonts w:ascii="宋体" w:hAnsi="宋体" w:cs="宋体" w:eastAsia="宋体" w:hint="default"/>
        </w:rPr>
        <w:t>3</w:t>
      </w:r>
      <w:r>
        <w:rPr/>
        <w:t>、组织机构 </w:t>
      </w:r>
      <w:r>
        <w:rPr>
          <w:spacing w:val="-7"/>
        </w:rPr>
        <w:t>公司根据职责划分结合公司实际情况，设立了行政部、技术部、证券投资部、</w:t>
      </w:r>
    </w:p>
    <w:p>
      <w:pPr>
        <w:pStyle w:val="BodyText"/>
        <w:spacing w:line="357" w:lineRule="auto"/>
        <w:ind w:right="1664"/>
        <w:jc w:val="left"/>
      </w:pPr>
      <w:r>
        <w:rPr>
          <w:spacing w:val="-6"/>
        </w:rPr>
        <w:t>审计部、财务部、售后服务部、品质部、设备部、生产部、物流部、合同管理部、</w:t>
      </w:r>
      <w:r>
        <w:rPr>
          <w:spacing w:val="-116"/>
        </w:rPr>
        <w:t> </w:t>
      </w:r>
      <w:r>
        <w:rPr>
          <w:spacing w:val="-116"/>
        </w:rPr>
      </w:r>
      <w:r>
        <w:rPr>
          <w:spacing w:val="-3"/>
        </w:rPr>
        <w:t>市场部、法律事务部、营销中心等职能部门并制定了相应的岗位职责。各职能部</w:t>
      </w:r>
      <w:r>
        <w:rPr>
          <w:spacing w:val="-102"/>
        </w:rPr>
        <w:t> </w:t>
      </w:r>
      <w:r>
        <w:rPr>
          <w:spacing w:val="-102"/>
        </w:rPr>
      </w:r>
      <w:r>
        <w:rPr>
          <w:spacing w:val="-3"/>
        </w:rPr>
        <w:t>门分工明确、各负其责，相互协作、相互牵制、相互监督。公司对控股或全资子</w:t>
      </w:r>
      <w:r>
        <w:rPr>
          <w:spacing w:val="-105"/>
        </w:rPr>
        <w:t> </w:t>
      </w:r>
      <w:r>
        <w:rPr>
          <w:spacing w:val="-105"/>
        </w:rPr>
      </w:r>
      <w:r>
        <w:rPr>
          <w:spacing w:val="-6"/>
        </w:rPr>
        <w:t>公司的经营、资金、人员、财务等重大方面，按照法律法规及其公司章程的规定，</w:t>
      </w:r>
      <w:r>
        <w:rPr>
          <w:spacing w:val="-112"/>
        </w:rPr>
        <w:t> </w:t>
      </w:r>
      <w:r>
        <w:rPr>
          <w:spacing w:val="-112"/>
        </w:rPr>
      </w:r>
      <w:r>
        <w:rPr/>
        <w:t>通过严谨的制度安排履行必要的监管。</w:t>
      </w:r>
    </w:p>
    <w:p>
      <w:pPr>
        <w:pStyle w:val="BodyText"/>
        <w:spacing w:line="357" w:lineRule="auto"/>
        <w:ind w:left="618" w:right="1248"/>
        <w:jc w:val="left"/>
      </w:pPr>
      <w:r>
        <w:rPr>
          <w:rFonts w:ascii="宋体" w:hAnsi="宋体" w:cs="宋体" w:eastAsia="宋体" w:hint="default"/>
        </w:rPr>
        <w:t>4</w:t>
      </w:r>
      <w:r>
        <w:rPr/>
        <w:t>、内部审计 </w:t>
      </w:r>
      <w:r>
        <w:rPr>
          <w:spacing w:val="-7"/>
        </w:rPr>
        <w:t>公司审计部直接对董事会负责，在审计委员会的指导下，独立行使审计职权，</w:t>
      </w:r>
    </w:p>
    <w:p>
      <w:pPr>
        <w:pStyle w:val="BodyText"/>
        <w:spacing w:line="357" w:lineRule="auto"/>
        <w:ind w:right="1792"/>
        <w:jc w:val="both"/>
      </w:pPr>
      <w:r>
        <w:rPr>
          <w:spacing w:val="-3"/>
        </w:rPr>
        <w:t>不受其他部门和个人的干涉。审计部负责人由董事会直接聘任，并配备了专职审</w:t>
      </w:r>
      <w:r>
        <w:rPr>
          <w:spacing w:val="-103"/>
        </w:rPr>
        <w:t> </w:t>
      </w:r>
      <w:r>
        <w:rPr>
          <w:spacing w:val="-103"/>
        </w:rPr>
      </w:r>
      <w:r>
        <w:rPr>
          <w:spacing w:val="-3"/>
        </w:rPr>
        <w:t>计人员，对公司及下属子公司所有经营管理、财务状况、内控执行等情况进行内</w:t>
      </w:r>
      <w:r>
        <w:rPr>
          <w:spacing w:val="-102"/>
        </w:rPr>
        <w:t> </w:t>
      </w:r>
      <w:r>
        <w:rPr>
          <w:spacing w:val="-102"/>
        </w:rPr>
      </w:r>
      <w:r>
        <w:rPr/>
        <w:t>部审计，对其经济效益的真实性、合理性、合法性做出合理评价。</w:t>
      </w:r>
    </w:p>
    <w:p>
      <w:pPr>
        <w:pStyle w:val="BodyText"/>
        <w:spacing w:line="355" w:lineRule="auto" w:before="36"/>
        <w:ind w:left="618" w:right="1688"/>
        <w:jc w:val="left"/>
      </w:pPr>
      <w:r>
        <w:rPr>
          <w:rFonts w:ascii="宋体" w:hAnsi="宋体" w:cs="宋体" w:eastAsia="宋体" w:hint="default"/>
        </w:rPr>
        <w:t>5</w:t>
      </w:r>
      <w:r>
        <w:rPr/>
        <w:t>、人力资源政策 公司坚持“德才兼备、岗位成才、用人所长”的人才理念，始终以人为本，</w:t>
      </w:r>
    </w:p>
    <w:p>
      <w:pPr>
        <w:pStyle w:val="BodyText"/>
        <w:spacing w:line="357" w:lineRule="auto" w:before="38"/>
        <w:ind w:right="1664"/>
        <w:jc w:val="left"/>
      </w:pPr>
      <w:r>
        <w:rPr>
          <w:spacing w:val="-3"/>
        </w:rPr>
        <w:t>做到理解人、相信人、尊重人和塑造人。公司实行全员劳动合同制，制定了系统</w:t>
      </w:r>
      <w:r>
        <w:rPr>
          <w:spacing w:val="-103"/>
        </w:rPr>
        <w:t> </w:t>
      </w:r>
      <w:r>
        <w:rPr>
          <w:spacing w:val="-103"/>
        </w:rPr>
      </w:r>
      <w:r>
        <w:rPr>
          <w:spacing w:val="-6"/>
        </w:rPr>
        <w:t>的人力资源管理制度，对人员录用、员工培训、工资薪酬、福利保障、绩效考核、</w:t>
      </w:r>
      <w:r>
        <w:rPr>
          <w:spacing w:val="-112"/>
        </w:rPr>
        <w:t> </w:t>
      </w:r>
      <w:r>
        <w:rPr>
          <w:spacing w:val="-112"/>
        </w:rPr>
      </w:r>
      <w:r>
        <w:rPr/>
        <w:t>内部调动、职务升迁等进行了详细规定，并建立了一套完善的绩效考核体系。</w:t>
      </w:r>
    </w:p>
    <w:p>
      <w:pPr>
        <w:pStyle w:val="BodyText"/>
        <w:spacing w:line="357" w:lineRule="auto"/>
        <w:ind w:left="618" w:right="1787"/>
        <w:jc w:val="left"/>
      </w:pPr>
      <w:r>
        <w:rPr>
          <w:rFonts w:ascii="宋体" w:hAnsi="宋体" w:cs="宋体" w:eastAsia="宋体" w:hint="default"/>
        </w:rPr>
        <w:t>6</w:t>
      </w:r>
      <w:r>
        <w:rPr/>
        <w:t>、企业文化 </w:t>
      </w:r>
      <w:r>
        <w:rPr>
          <w:spacing w:val="-3"/>
        </w:rPr>
        <w:t>企业文化是企业的灵魂和底蕴。公司通过十多年发展的积淀，构建了一套涵</w:t>
      </w:r>
    </w:p>
    <w:p>
      <w:pPr>
        <w:pStyle w:val="BodyText"/>
        <w:spacing w:line="357" w:lineRule="auto"/>
        <w:ind w:right="1792"/>
        <w:jc w:val="both"/>
      </w:pPr>
      <w:r>
        <w:rPr>
          <w:spacing w:val="-3"/>
        </w:rPr>
        <w:t>盖理想、信念、价值观、行为准则和道德规范的企业文化体系，是对鑫龙人传承</w:t>
      </w:r>
      <w:r>
        <w:rPr>
          <w:spacing w:val="-103"/>
        </w:rPr>
        <w:t> </w:t>
      </w:r>
      <w:r>
        <w:rPr>
          <w:spacing w:val="-103"/>
        </w:rPr>
      </w:r>
      <w:r>
        <w:rPr>
          <w:spacing w:val="-3"/>
        </w:rPr>
        <w:t>徽商精神、创新进取的阐释，更是公司战略不断升级，强化核心竞争力的重要支</w:t>
      </w:r>
      <w:r>
        <w:rPr>
          <w:spacing w:val="-102"/>
        </w:rPr>
        <w:t> </w:t>
      </w:r>
      <w:r>
        <w:rPr>
          <w:spacing w:val="-102"/>
        </w:rPr>
      </w:r>
      <w:r>
        <w:rPr/>
        <w:t>柱。</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787"/>
        <w:jc w:val="left"/>
      </w:pPr>
      <w:r>
        <w:rPr/>
        <w:t>（二）风险评估 </w:t>
      </w:r>
      <w:r>
        <w:rPr>
          <w:spacing w:val="-3"/>
        </w:rPr>
        <w:t>公司根据战略目标及发展思路，结合行业特点，建立了较为系统的风险评估</w:t>
      </w:r>
    </w:p>
    <w:p>
      <w:pPr>
        <w:pStyle w:val="BodyText"/>
        <w:spacing w:line="357" w:lineRule="auto"/>
        <w:ind w:right="1688"/>
        <w:jc w:val="left"/>
      </w:pPr>
      <w:r>
        <w:rPr>
          <w:spacing w:val="-3"/>
        </w:rPr>
        <w:t>体系：根据控制目标收集相关信息，及时、准确地识别内部风险和外部风险并进</w:t>
      </w:r>
      <w:r>
        <w:rPr>
          <w:spacing w:val="-102"/>
        </w:rPr>
        <w:t> </w:t>
      </w:r>
      <w:r>
        <w:rPr>
          <w:spacing w:val="-102"/>
        </w:rPr>
      </w:r>
      <w:r>
        <w:rPr/>
        <w:t>行风险评估，做到风险可控。公司还建立了突发安全、卫生等事件的应急机制， </w:t>
      </w:r>
      <w:r>
        <w:rPr>
          <w:spacing w:val="-3"/>
        </w:rPr>
        <w:t>制定了应急预案，明确重大突发事件的监测、报告、处理的程序，建立了督察制</w:t>
      </w:r>
      <w:r>
        <w:rPr>
          <w:spacing w:val="-103"/>
        </w:rPr>
        <w:t> </w:t>
      </w:r>
      <w:r>
        <w:rPr>
          <w:spacing w:val="-103"/>
        </w:rPr>
      </w:r>
      <w:r>
        <w:rPr/>
        <w:t>度和责任追究制度。</w:t>
      </w:r>
    </w:p>
    <w:p>
      <w:pPr>
        <w:pStyle w:val="BodyText"/>
        <w:spacing w:line="357" w:lineRule="auto"/>
        <w:ind w:left="618" w:right="7328"/>
        <w:jc w:val="left"/>
      </w:pPr>
      <w:r>
        <w:rPr/>
        <w:t>（三）控制活动 </w:t>
      </w:r>
      <w:r>
        <w:rPr>
          <w:rFonts w:ascii="宋体" w:hAnsi="宋体" w:cs="宋体" w:eastAsia="宋体" w:hint="default"/>
        </w:rPr>
        <w:t>1</w:t>
      </w:r>
      <w:r>
        <w:rPr/>
        <w:t>、制度的建立和健全</w:t>
      </w:r>
    </w:p>
    <w:p>
      <w:pPr>
        <w:pStyle w:val="BodyText"/>
        <w:spacing w:line="357" w:lineRule="auto"/>
        <w:ind w:right="1672" w:firstLine="479"/>
        <w:jc w:val="both"/>
      </w:pPr>
      <w:r>
        <w:rPr/>
        <w:t>（</w:t>
      </w:r>
      <w:r>
        <w:rPr>
          <w:rFonts w:ascii="宋体" w:hAnsi="宋体" w:cs="宋体" w:eastAsia="宋体" w:hint="default"/>
        </w:rPr>
        <w:t>1</w:t>
      </w:r>
      <w:r>
        <w:rPr>
          <w:spacing w:val="-29"/>
        </w:rPr>
        <w:t>）</w:t>
      </w:r>
      <w:r>
        <w:rPr/>
        <w:t>公司治理方面</w:t>
      </w:r>
      <w:r>
        <w:rPr>
          <w:spacing w:val="-32"/>
        </w:rPr>
        <w:t>：</w:t>
      </w:r>
      <w:r>
        <w:rPr/>
        <w:t>根</w:t>
      </w:r>
      <w:r>
        <w:rPr>
          <w:spacing w:val="-29"/>
        </w:rPr>
        <w:t>据</w:t>
      </w:r>
      <w:r>
        <w:rPr/>
        <w:t>《公司法</w:t>
      </w:r>
      <w:r>
        <w:rPr>
          <w:spacing w:val="-120"/>
        </w:rPr>
        <w:t>》</w:t>
      </w:r>
      <w:r>
        <w:rPr>
          <w:spacing w:val="-149"/>
        </w:rPr>
        <w:t>、</w:t>
      </w:r>
      <w:r>
        <w:rPr/>
        <w:t>《证</w:t>
      </w:r>
      <w:r>
        <w:rPr>
          <w:spacing w:val="-3"/>
        </w:rPr>
        <w:t>券</w:t>
      </w:r>
      <w:r>
        <w:rPr/>
        <w:t>法</w:t>
      </w:r>
      <w:r>
        <w:rPr>
          <w:spacing w:val="-29"/>
        </w:rPr>
        <w:t>》</w:t>
      </w:r>
      <w:r>
        <w:rPr/>
        <w:t>等有关法律法规</w:t>
      </w:r>
      <w:r>
        <w:rPr>
          <w:spacing w:val="-32"/>
        </w:rPr>
        <w:t>，</w:t>
      </w:r>
      <w:r>
        <w:rPr/>
        <w:t>以</w:t>
      </w:r>
      <w:r>
        <w:rPr>
          <w:spacing w:val="-29"/>
        </w:rPr>
        <w:t>及</w:t>
      </w:r>
      <w:r>
        <w:rPr/>
        <w:t>《公</w:t>
      </w:r>
      <w:r>
        <w:rPr/>
        <w:t> 司章程</w:t>
      </w:r>
      <w:r>
        <w:rPr>
          <w:spacing w:val="-17"/>
        </w:rPr>
        <w:t>》</w:t>
      </w:r>
      <w:r>
        <w:rPr/>
        <w:t>的规定</w:t>
      </w:r>
      <w:r>
        <w:rPr>
          <w:spacing w:val="-17"/>
        </w:rPr>
        <w:t>，</w:t>
      </w:r>
      <w:r>
        <w:rPr/>
        <w:t>公</w:t>
      </w:r>
      <w:r>
        <w:rPr>
          <w:spacing w:val="-3"/>
        </w:rPr>
        <w:t>司</w:t>
      </w:r>
      <w:r>
        <w:rPr/>
        <w:t>制订</w:t>
      </w:r>
      <w:r>
        <w:rPr>
          <w:spacing w:val="-17"/>
        </w:rPr>
        <w:t>了</w:t>
      </w:r>
      <w:r>
        <w:rPr/>
        <w:t>《公司章程</w:t>
      </w:r>
      <w:r>
        <w:rPr>
          <w:spacing w:val="-120"/>
        </w:rPr>
        <w:t>》</w:t>
      </w:r>
      <w:r>
        <w:rPr>
          <w:spacing w:val="-137"/>
        </w:rPr>
        <w:t>、</w:t>
      </w:r>
      <w:r>
        <w:rPr>
          <w:spacing w:val="-3"/>
        </w:rPr>
        <w:t>《</w:t>
      </w:r>
      <w:r>
        <w:rPr/>
        <w:t>股东大会议事规则</w:t>
      </w:r>
      <w:r>
        <w:rPr>
          <w:spacing w:val="-120"/>
        </w:rPr>
        <w:t>》</w:t>
      </w:r>
      <w:r>
        <w:rPr>
          <w:spacing w:val="-137"/>
        </w:rPr>
        <w:t>、</w:t>
      </w:r>
      <w:r>
        <w:rPr/>
        <w:t>《董事会议事</w:t>
      </w:r>
      <w:r>
        <w:rPr/>
        <w:t> 规则</w:t>
      </w:r>
      <w:r>
        <w:rPr>
          <w:spacing w:val="-120"/>
        </w:rPr>
        <w:t>》</w:t>
      </w:r>
      <w:r>
        <w:rPr>
          <w:spacing w:val="-142"/>
        </w:rPr>
        <w:t>、</w:t>
      </w:r>
      <w:r>
        <w:rPr/>
        <w:t>《监事会议事规则</w:t>
      </w:r>
      <w:r>
        <w:rPr>
          <w:spacing w:val="-120"/>
        </w:rPr>
        <w:t>》</w:t>
      </w:r>
      <w:r>
        <w:rPr>
          <w:spacing w:val="-142"/>
        </w:rPr>
        <w:t>、</w:t>
      </w:r>
      <w:r>
        <w:rPr/>
        <w:t>《总经理工作细则</w:t>
      </w:r>
      <w:r>
        <w:rPr>
          <w:spacing w:val="-120"/>
        </w:rPr>
        <w:t>》</w:t>
      </w:r>
      <w:r>
        <w:rPr>
          <w:spacing w:val="-142"/>
        </w:rPr>
        <w:t>、</w:t>
      </w:r>
      <w:r>
        <w:rPr/>
        <w:t>《独立董事制度</w:t>
      </w:r>
      <w:r>
        <w:rPr>
          <w:spacing w:val="-120"/>
        </w:rPr>
        <w:t>》</w:t>
      </w:r>
      <w:r>
        <w:rPr>
          <w:spacing w:val="-142"/>
        </w:rPr>
        <w:t>、</w:t>
      </w:r>
      <w:r>
        <w:rPr/>
        <w:t>《董事会审计</w:t>
      </w:r>
      <w:r>
        <w:rPr/>
        <w:t> 委员会实施细则</w:t>
      </w:r>
      <w:r>
        <w:rPr>
          <w:spacing w:val="-120"/>
        </w:rPr>
        <w:t>》</w:t>
      </w:r>
      <w:r>
        <w:rPr>
          <w:spacing w:val="-164"/>
        </w:rPr>
        <w:t>、</w:t>
      </w:r>
      <w:r>
        <w:rPr/>
        <w:t>《董事会提名委员会实施细则</w:t>
      </w:r>
      <w:r>
        <w:rPr>
          <w:spacing w:val="-120"/>
        </w:rPr>
        <w:t>》</w:t>
      </w:r>
      <w:r>
        <w:rPr>
          <w:spacing w:val="-163"/>
        </w:rPr>
        <w:t>、</w:t>
      </w:r>
      <w:r>
        <w:rPr/>
        <w:t>《董事会薪酬与考核委员会实</w:t>
      </w:r>
      <w:r>
        <w:rPr/>
        <w:t> 施细则</w:t>
      </w:r>
      <w:r>
        <w:rPr>
          <w:spacing w:val="-120"/>
        </w:rPr>
        <w:t>》</w:t>
      </w:r>
      <w:r>
        <w:rPr>
          <w:spacing w:val="-149"/>
        </w:rPr>
        <w:t>、</w:t>
      </w:r>
      <w:r>
        <w:rPr/>
        <w:t>《董事会战略委员会实施细则</w:t>
      </w:r>
      <w:r>
        <w:rPr>
          <w:spacing w:val="-120"/>
        </w:rPr>
        <w:t>》</w:t>
      </w:r>
      <w:r>
        <w:rPr>
          <w:spacing w:val="-149"/>
        </w:rPr>
        <w:t>、</w:t>
      </w:r>
      <w:r>
        <w:rPr/>
        <w:t>《财务管理制度</w:t>
      </w:r>
      <w:r>
        <w:rPr>
          <w:spacing w:val="-120"/>
        </w:rPr>
        <w:t>》</w:t>
      </w:r>
      <w:r>
        <w:rPr>
          <w:spacing w:val="-149"/>
        </w:rPr>
        <w:t>、</w:t>
      </w:r>
      <w:r>
        <w:rPr/>
        <w:t>《资产减值准备管理</w:t>
      </w:r>
      <w:r>
        <w:rPr/>
        <w:t> 制度</w:t>
      </w:r>
      <w:r>
        <w:rPr>
          <w:spacing w:val="-120"/>
        </w:rPr>
        <w:t>》</w:t>
      </w:r>
      <w:r>
        <w:rPr>
          <w:spacing w:val="-149"/>
        </w:rPr>
        <w:t>、</w:t>
      </w:r>
      <w:r>
        <w:rPr/>
        <w:t>《高级管理人员薪酬方案</w:t>
      </w:r>
      <w:r>
        <w:rPr>
          <w:spacing w:val="-120"/>
        </w:rPr>
        <w:t>》</w:t>
      </w:r>
      <w:r>
        <w:rPr>
          <w:spacing w:val="-149"/>
        </w:rPr>
        <w:t>、</w:t>
      </w:r>
      <w:r>
        <w:rPr/>
        <w:t>《募集资金管理制度</w:t>
      </w:r>
      <w:r>
        <w:rPr>
          <w:spacing w:val="-120"/>
        </w:rPr>
        <w:t>》</w:t>
      </w:r>
      <w:r>
        <w:rPr>
          <w:spacing w:val="-149"/>
        </w:rPr>
        <w:t>、</w:t>
      </w:r>
      <w:r>
        <w:rPr/>
        <w:t>《信息披露管理制度</w:t>
      </w:r>
      <w:r>
        <w:rPr>
          <w:spacing w:val="-120"/>
        </w:rPr>
        <w:t>》</w:t>
      </w:r>
      <w:r>
        <w:rPr/>
        <w:t>、</w:t>
      </w:r>
    </w:p>
    <w:p>
      <w:pPr>
        <w:pStyle w:val="BodyText"/>
        <w:spacing w:line="357" w:lineRule="auto" w:before="36"/>
        <w:ind w:right="1791"/>
        <w:jc w:val="both"/>
      </w:pPr>
      <w:r>
        <w:rPr>
          <w:spacing w:val="-22"/>
        </w:rPr>
        <w:t>《内部审计制度》、《关联交易制度》、《投资者关系管理制度》、《对外担保管理制</w:t>
      </w:r>
      <w:r>
        <w:rPr>
          <w:spacing w:val="-91"/>
        </w:rPr>
        <w:t> </w:t>
      </w:r>
      <w:r>
        <w:rPr>
          <w:spacing w:val="-91"/>
        </w:rPr>
      </w:r>
      <w:r>
        <w:rPr>
          <w:spacing w:val="-16"/>
        </w:rPr>
        <w:t>度》、《内幕信息知情人备案制度》、《对外投资管理办法》等制度，并根据公司实</w:t>
      </w:r>
      <w:r>
        <w:rPr>
          <w:spacing w:val="-96"/>
        </w:rPr>
        <w:t> </w:t>
      </w:r>
      <w:r>
        <w:rPr>
          <w:spacing w:val="-96"/>
        </w:rPr>
      </w:r>
      <w:r>
        <w:rPr>
          <w:spacing w:val="-16"/>
        </w:rPr>
        <w:t>际情况不断修改完善《公司章程》、《内幕信息知情人备案制度》、《独立董事年报</w:t>
      </w:r>
      <w:r>
        <w:rPr>
          <w:spacing w:val="-95"/>
        </w:rPr>
        <w:t> </w:t>
      </w:r>
      <w:r>
        <w:rPr>
          <w:spacing w:val="-95"/>
        </w:rPr>
      </w:r>
      <w:r>
        <w:rPr>
          <w:spacing w:val="-10"/>
        </w:rPr>
        <w:t>工作制度》、《年报信息披露重大差错责任追究制度》、《审计委员会年报工作规</w:t>
      </w:r>
      <w:r>
        <w:rPr>
          <w:spacing w:val="-113"/>
        </w:rPr>
        <w:t> </w:t>
      </w:r>
      <w:r>
        <w:rPr>
          <w:spacing w:val="-113"/>
        </w:rPr>
      </w:r>
      <w:r>
        <w:rPr>
          <w:spacing w:val="-16"/>
        </w:rPr>
        <w:t>程》、《外部信息使用人管理制度》、《重大资金往来内部控制制度》等重大规章制</w:t>
      </w:r>
      <w:r>
        <w:rPr>
          <w:spacing w:val="-95"/>
        </w:rPr>
        <w:t> </w:t>
      </w:r>
      <w:r>
        <w:rPr>
          <w:spacing w:val="-95"/>
        </w:rPr>
      </w:r>
      <w:r>
        <w:rPr/>
        <w:t>度，以保证公司规范运作，促进公司健康发展。</w:t>
      </w:r>
    </w:p>
    <w:p>
      <w:pPr>
        <w:pStyle w:val="BodyText"/>
        <w:spacing w:line="357" w:lineRule="auto" w:before="36"/>
        <w:ind w:right="1792" w:firstLine="479"/>
        <w:jc w:val="both"/>
      </w:pPr>
      <w:r>
        <w:rPr/>
        <w:t>（</w:t>
      </w:r>
      <w:r>
        <w:rPr>
          <w:rFonts w:ascii="宋体" w:hAnsi="宋体" w:cs="宋体" w:eastAsia="宋体" w:hint="default"/>
        </w:rPr>
        <w:t>2</w:t>
      </w:r>
      <w:r>
        <w:rPr/>
        <w:t>）日常经营管理：以公司基本制度为基础，制定了涵盖日常经营、项目 </w:t>
      </w:r>
      <w:r>
        <w:rPr>
          <w:spacing w:val="-3"/>
        </w:rPr>
        <w:t>合作、财务管理等整个生产经营过程的一系列具体的规章制度，确保各项工作都</w:t>
      </w:r>
      <w:r>
        <w:rPr>
          <w:spacing w:val="-103"/>
        </w:rPr>
        <w:t> </w:t>
      </w:r>
      <w:r>
        <w:rPr>
          <w:spacing w:val="-103"/>
        </w:rPr>
      </w:r>
      <w:r>
        <w:rPr/>
        <w:t>有章可循，形成了规范的管理体系。</w:t>
      </w:r>
    </w:p>
    <w:p>
      <w:pPr>
        <w:pStyle w:val="BodyText"/>
        <w:spacing w:line="357" w:lineRule="auto"/>
        <w:ind w:left="618" w:right="1787"/>
        <w:jc w:val="left"/>
      </w:pPr>
      <w:r>
        <w:rPr/>
        <w:t>（</w:t>
      </w:r>
      <w:r>
        <w:rPr>
          <w:rFonts w:ascii="宋体" w:hAnsi="宋体" w:cs="宋体" w:eastAsia="宋体" w:hint="default"/>
        </w:rPr>
        <w:t>3</w:t>
      </w:r>
      <w:r>
        <w:rPr/>
        <w:t>）会计系统方面： </w:t>
      </w:r>
      <w:r>
        <w:rPr>
          <w:spacing w:val="-3"/>
        </w:rPr>
        <w:t>会计机构的职责和权限：公司设置财务部，负责编制公司年度计划预算、会</w:t>
      </w:r>
    </w:p>
    <w:p>
      <w:pPr>
        <w:pStyle w:val="BodyText"/>
        <w:spacing w:line="357" w:lineRule="auto"/>
        <w:ind w:right="1792"/>
        <w:jc w:val="both"/>
      </w:pPr>
      <w:r>
        <w:rPr>
          <w:spacing w:val="-3"/>
        </w:rPr>
        <w:t>计核算、会计监督、资金管理等工作，同时负责实施对各分支机构、下属子公司</w:t>
      </w:r>
      <w:r>
        <w:rPr>
          <w:spacing w:val="-103"/>
        </w:rPr>
        <w:t> </w:t>
      </w:r>
      <w:r>
        <w:rPr>
          <w:spacing w:val="-103"/>
        </w:rPr>
      </w:r>
      <w:r>
        <w:rPr>
          <w:spacing w:val="-3"/>
        </w:rPr>
        <w:t>财务部门的指导和监督。财务部在财务负责人领导下开展工作，岗位设置贯彻了</w:t>
      </w:r>
      <w:r>
        <w:rPr>
          <w:spacing w:val="-103"/>
        </w:rPr>
        <w:t> </w:t>
      </w:r>
      <w:r>
        <w:rPr>
          <w:spacing w:val="-103"/>
        </w:rPr>
      </w:r>
      <w:r>
        <w:rPr>
          <w:spacing w:val="-3"/>
        </w:rPr>
        <w:t>“责任分离、相互制约”的原则，由财务部经理、会计、出纳等人员组成，均具</w:t>
      </w:r>
      <w:r>
        <w:rPr>
          <w:spacing w:val="-105"/>
        </w:rPr>
        <w:t> </w:t>
      </w:r>
      <w:r>
        <w:rPr>
          <w:spacing w:val="-105"/>
        </w:rPr>
      </w:r>
      <w:r>
        <w:rPr>
          <w:spacing w:val="-3"/>
        </w:rPr>
        <w:t>备相关专业素质，分别负责会计管理、销售核算、财产清查、税务、总账、出纳</w:t>
      </w:r>
      <w:r>
        <w:rPr>
          <w:spacing w:val="-105"/>
        </w:rPr>
        <w:t> </w:t>
      </w:r>
      <w:r>
        <w:rPr>
          <w:spacing w:val="-105"/>
        </w:rPr>
      </w:r>
      <w:r>
        <w:rPr/>
        <w:t>等职能。</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88" w:firstLine="479"/>
        <w:jc w:val="left"/>
      </w:pPr>
      <w:r>
        <w:rPr>
          <w:spacing w:val="-3"/>
        </w:rPr>
        <w:t>会计核算和管理：公司按照财政部发布的《企业会计准则》及其有关的补充</w:t>
      </w:r>
      <w:r>
        <w:rPr/>
        <w:t> </w:t>
      </w:r>
      <w:r>
        <w:rPr>
          <w:spacing w:val="-3"/>
        </w:rPr>
        <w:t>规定，制定了包含财务核算、会计政策、财务管理等内容的《财务管理制度》和</w:t>
      </w:r>
    </w:p>
    <w:p>
      <w:pPr>
        <w:pStyle w:val="BodyText"/>
        <w:spacing w:line="357" w:lineRule="auto"/>
        <w:ind w:right="1664"/>
        <w:jc w:val="left"/>
      </w:pPr>
      <w:r>
        <w:rPr>
          <w:spacing w:val="-3"/>
        </w:rPr>
        <w:t>《会计制度》等专门的会计核算和管理制度，会计核算和管理的内部控制具备完</w:t>
      </w:r>
      <w:r>
        <w:rPr>
          <w:spacing w:val="-103"/>
        </w:rPr>
        <w:t> </w:t>
      </w:r>
      <w:r>
        <w:rPr>
          <w:spacing w:val="-103"/>
        </w:rPr>
      </w:r>
      <w:r>
        <w:rPr>
          <w:spacing w:val="-6"/>
        </w:rPr>
        <w:t>整性、合理性、有效性。会计制度主要包括会计基本原则、会计政策与会计估计、</w:t>
      </w:r>
      <w:r>
        <w:rPr>
          <w:spacing w:val="-114"/>
        </w:rPr>
        <w:t> </w:t>
      </w:r>
      <w:r>
        <w:rPr>
          <w:spacing w:val="-114"/>
        </w:rPr>
      </w:r>
      <w:r>
        <w:rPr>
          <w:spacing w:val="-3"/>
        </w:rPr>
        <w:t>会计核算的基本规定、财务会计报告和财务分析等方面的内容。财务管理制度主</w:t>
      </w:r>
      <w:r>
        <w:rPr>
          <w:spacing w:val="-103"/>
        </w:rPr>
        <w:t> </w:t>
      </w:r>
      <w:r>
        <w:rPr>
          <w:spacing w:val="-103"/>
        </w:rPr>
      </w:r>
      <w:r>
        <w:rPr>
          <w:spacing w:val="-3"/>
        </w:rPr>
        <w:t>要包括会计机构设置、货币资金管理、财产清查、固定资产管理、存货管理、会</w:t>
      </w:r>
      <w:r>
        <w:rPr>
          <w:spacing w:val="-103"/>
        </w:rPr>
        <w:t> </w:t>
      </w:r>
      <w:r>
        <w:rPr>
          <w:spacing w:val="-103"/>
        </w:rPr>
      </w:r>
      <w:r>
        <w:rPr/>
        <w:t>计档案管理以及会计电算化管理等方面的内容。</w:t>
      </w:r>
    </w:p>
    <w:p>
      <w:pPr>
        <w:pStyle w:val="BodyText"/>
        <w:spacing w:line="240" w:lineRule="auto" w:before="36"/>
        <w:ind w:left="618" w:right="1787"/>
        <w:jc w:val="left"/>
      </w:pPr>
      <w:r>
        <w:rPr>
          <w:rFonts w:ascii="宋体" w:hAnsi="宋体" w:cs="宋体" w:eastAsia="宋体" w:hint="default"/>
        </w:rPr>
        <w:t>2</w:t>
      </w:r>
      <w:r>
        <w:rPr/>
        <w:t>、重点控制</w:t>
      </w:r>
    </w:p>
    <w:p>
      <w:pPr>
        <w:pStyle w:val="BodyText"/>
        <w:spacing w:line="357" w:lineRule="auto" w:before="151"/>
        <w:ind w:left="618" w:right="1787"/>
        <w:jc w:val="left"/>
      </w:pPr>
      <w:r>
        <w:rPr/>
        <w:t>（</w:t>
      </w:r>
      <w:r>
        <w:rPr>
          <w:rFonts w:ascii="宋体" w:hAnsi="宋体" w:cs="宋体" w:eastAsia="宋体" w:hint="default"/>
        </w:rPr>
        <w:t>1</w:t>
      </w:r>
      <w:r>
        <w:rPr/>
        <w:t>）对全资及控股子公司的管理控制 </w:t>
      </w:r>
      <w:r>
        <w:rPr>
          <w:spacing w:val="-3"/>
        </w:rPr>
        <w:t>公司通过向全资及控股子公司委派董事、监事及重要高级管理人员加强对其</w:t>
      </w:r>
    </w:p>
    <w:p>
      <w:pPr>
        <w:pStyle w:val="BodyText"/>
        <w:spacing w:line="357" w:lineRule="auto"/>
        <w:ind w:right="1706"/>
        <w:jc w:val="both"/>
      </w:pPr>
      <w:r>
        <w:rPr/>
        <w:t>的管理，对控股子公司的运作、人事、财务、资金、担保、投资、信息、奖惩、 内审等作了明确的规定和权限范围。</w:t>
      </w:r>
    </w:p>
    <w:p>
      <w:pPr>
        <w:pStyle w:val="BodyText"/>
        <w:spacing w:line="357" w:lineRule="auto"/>
        <w:ind w:left="618" w:right="1787"/>
        <w:jc w:val="left"/>
      </w:pPr>
      <w:r>
        <w:rPr/>
        <w:t>（</w:t>
      </w:r>
      <w:r>
        <w:rPr>
          <w:rFonts w:ascii="宋体" w:hAnsi="宋体" w:cs="宋体" w:eastAsia="宋体" w:hint="default"/>
        </w:rPr>
        <w:t>2</w:t>
      </w:r>
      <w:r>
        <w:rPr/>
        <w:t>）关联交易的内部控制 </w:t>
      </w:r>
      <w:r>
        <w:rPr>
          <w:spacing w:val="-3"/>
        </w:rPr>
        <w:t>公司制定了《关联交易制度》，对关联方和关联交易、关联交易的审批权限</w:t>
      </w:r>
    </w:p>
    <w:p>
      <w:pPr>
        <w:pStyle w:val="BodyText"/>
        <w:spacing w:line="355" w:lineRule="auto" w:before="36"/>
        <w:ind w:right="1706"/>
        <w:jc w:val="both"/>
      </w:pPr>
      <w:r>
        <w:rPr/>
        <w:t>和决策程序等作了明确的规定，规范与关联方的交易行为，力求遵循诚实信用、 公正、公平、公开的原则，保护公司及中小股东的利益。</w:t>
      </w:r>
    </w:p>
    <w:p>
      <w:pPr>
        <w:pStyle w:val="BodyText"/>
        <w:spacing w:line="355" w:lineRule="auto" w:before="39"/>
        <w:ind w:left="618" w:right="1787"/>
        <w:jc w:val="left"/>
      </w:pPr>
      <w:r>
        <w:rPr/>
        <w:t>（</w:t>
      </w:r>
      <w:r>
        <w:rPr>
          <w:rFonts w:ascii="宋体" w:hAnsi="宋体" w:cs="宋体" w:eastAsia="宋体" w:hint="default"/>
        </w:rPr>
        <w:t>3</w:t>
      </w:r>
      <w:r>
        <w:rPr/>
        <w:t>）对外担保的内部控制 </w:t>
      </w:r>
      <w:r>
        <w:rPr>
          <w:spacing w:val="-3"/>
        </w:rPr>
        <w:t>公司《对外担保管理制度》对公司发生对外担保行为时的对担保对象、审批</w:t>
      </w:r>
    </w:p>
    <w:p>
      <w:pPr>
        <w:pStyle w:val="BodyText"/>
        <w:spacing w:line="357" w:lineRule="auto" w:before="38"/>
        <w:ind w:right="1792"/>
        <w:jc w:val="both"/>
      </w:pPr>
      <w:r>
        <w:rPr>
          <w:spacing w:val="-3"/>
        </w:rPr>
        <w:t>权限和决策程序、安全措施等作了详细规定，并明确规定：公司对外担保应当取</w:t>
      </w:r>
      <w:r>
        <w:rPr>
          <w:spacing w:val="-102"/>
        </w:rPr>
        <w:t> </w:t>
      </w:r>
      <w:r>
        <w:rPr>
          <w:spacing w:val="-102"/>
        </w:rPr>
      </w:r>
      <w:r>
        <w:rPr/>
        <w:t>得出席董事会会议的</w:t>
      </w:r>
      <w:r>
        <w:rPr>
          <w:rFonts w:ascii="宋体" w:hAnsi="宋体" w:cs="宋体" w:eastAsia="宋体" w:hint="default"/>
        </w:rPr>
        <w:t>2/3 </w:t>
      </w:r>
      <w:r>
        <w:rPr/>
        <w:t>以上董事同意并经全体独立董事</w:t>
      </w:r>
      <w:r>
        <w:rPr>
          <w:rFonts w:ascii="宋体" w:hAnsi="宋体" w:cs="宋体" w:eastAsia="宋体" w:hint="default"/>
        </w:rPr>
        <w:t>2/3</w:t>
      </w:r>
      <w:r>
        <w:rPr>
          <w:rFonts w:ascii="宋体" w:hAnsi="宋体" w:cs="宋体" w:eastAsia="宋体" w:hint="default"/>
          <w:spacing w:val="6"/>
        </w:rPr>
        <w:t> </w:t>
      </w:r>
      <w:r>
        <w:rPr>
          <w:spacing w:val="-12"/>
        </w:rPr>
        <w:t>以上同意，或者经</w:t>
      </w:r>
      <w:r>
        <w:rPr/>
        <w:t> 股东大会批准。未经董事会或股东大会批准，公司不得对外提供担保。</w:t>
      </w:r>
    </w:p>
    <w:p>
      <w:pPr>
        <w:pStyle w:val="BodyText"/>
        <w:spacing w:line="357" w:lineRule="auto"/>
        <w:ind w:left="618" w:right="1248"/>
        <w:jc w:val="left"/>
      </w:pPr>
      <w:r>
        <w:rPr/>
        <w:t>（</w:t>
      </w:r>
      <w:r>
        <w:rPr>
          <w:rFonts w:ascii="宋体" w:hAnsi="宋体" w:cs="宋体" w:eastAsia="宋体" w:hint="default"/>
        </w:rPr>
        <w:t>4</w:t>
      </w:r>
      <w:r>
        <w:rPr/>
        <w:t>）募集资金的内部控制 </w:t>
      </w:r>
      <w:r>
        <w:rPr>
          <w:spacing w:val="-7"/>
        </w:rPr>
        <w:t>公司制定了《募集资金管理制度》，对募集资金专户存储、使用及审批程序、</w:t>
      </w:r>
    </w:p>
    <w:p>
      <w:pPr>
        <w:pStyle w:val="BodyText"/>
        <w:spacing w:line="357" w:lineRule="auto"/>
        <w:ind w:right="1792"/>
        <w:jc w:val="both"/>
      </w:pPr>
      <w:r>
        <w:rPr>
          <w:spacing w:val="-3"/>
        </w:rPr>
        <w:t>用途调整与变更、管理监督和责任追究等方面进行明确规定，以保证募集资金专</w:t>
      </w:r>
      <w:r>
        <w:rPr>
          <w:spacing w:val="-103"/>
        </w:rPr>
        <w:t> </w:t>
      </w:r>
      <w:r>
        <w:rPr>
          <w:spacing w:val="-103"/>
        </w:rPr>
      </w:r>
      <w:r>
        <w:rPr/>
        <w:t>款专用。</w:t>
      </w:r>
    </w:p>
    <w:p>
      <w:pPr>
        <w:pStyle w:val="BodyText"/>
        <w:spacing w:line="357" w:lineRule="auto"/>
        <w:ind w:left="618" w:right="1787"/>
        <w:jc w:val="left"/>
      </w:pPr>
      <w:r>
        <w:rPr/>
        <w:t>（</w:t>
      </w:r>
      <w:r>
        <w:rPr>
          <w:rFonts w:ascii="宋体" w:hAnsi="宋体" w:cs="宋体" w:eastAsia="宋体" w:hint="default"/>
        </w:rPr>
        <w:t>5</w:t>
      </w:r>
      <w:r>
        <w:rPr/>
        <w:t>）重大投资的内部控制 </w:t>
      </w:r>
      <w:r>
        <w:rPr>
          <w:spacing w:val="-3"/>
        </w:rPr>
        <w:t>公司《重大投资决策程序》对公司对外投资的投资类别、投资对象以及相应</w:t>
      </w:r>
    </w:p>
    <w:p>
      <w:pPr>
        <w:pStyle w:val="BodyText"/>
        <w:spacing w:line="357" w:lineRule="auto"/>
        <w:ind w:right="1792"/>
        <w:jc w:val="both"/>
      </w:pPr>
      <w:r>
        <w:rPr>
          <w:spacing w:val="-3"/>
        </w:rPr>
        <w:t>的决策程序、决策权限等方面作了明确规定，规定在进行重大投资决策时，需聘</w:t>
      </w:r>
      <w:r>
        <w:rPr>
          <w:spacing w:val="-102"/>
        </w:rPr>
        <w:t> </w:t>
      </w:r>
      <w:r>
        <w:rPr>
          <w:spacing w:val="-102"/>
        </w:rPr>
      </w:r>
      <w:r>
        <w:rPr>
          <w:spacing w:val="-3"/>
        </w:rPr>
        <w:t>请技术、经济、法律等有关机构和专家进行咨询；决策投资项目不能仅考虑项目</w:t>
      </w:r>
      <w:r>
        <w:rPr>
          <w:spacing w:val="-102"/>
        </w:rPr>
        <w:t> </w:t>
      </w:r>
      <w:r>
        <w:rPr>
          <w:spacing w:val="-102"/>
        </w:rPr>
      </w:r>
      <w:r>
        <w:rPr>
          <w:spacing w:val="-3"/>
        </w:rPr>
        <w:t>的报酬率，更要关注投资风险的分析与防范，对投资项目的决策要采取谨慎的原</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240" w:lineRule="auto" w:before="26"/>
        <w:ind w:right="0"/>
        <w:jc w:val="both"/>
      </w:pPr>
      <w:r>
        <w:rPr/>
        <w:t>则。</w:t>
      </w:r>
    </w:p>
    <w:p>
      <w:pPr>
        <w:pStyle w:val="BodyText"/>
        <w:spacing w:line="355" w:lineRule="auto" w:before="154"/>
        <w:ind w:left="618" w:right="1787"/>
        <w:jc w:val="left"/>
      </w:pPr>
      <w:r>
        <w:rPr/>
        <w:t>（</w:t>
      </w:r>
      <w:r>
        <w:rPr>
          <w:rFonts w:ascii="宋体" w:hAnsi="宋体" w:cs="宋体" w:eastAsia="宋体" w:hint="default"/>
        </w:rPr>
        <w:t>6</w:t>
      </w:r>
      <w:r>
        <w:rPr/>
        <w:t>）信息披露的内部控制 </w:t>
      </w:r>
      <w:r>
        <w:rPr>
          <w:spacing w:val="-3"/>
        </w:rPr>
        <w:t>公司建立了《信息披露管理制度》，从信息披露机构和人员、信披文件、事</w:t>
      </w:r>
    </w:p>
    <w:p>
      <w:pPr>
        <w:pStyle w:val="BodyText"/>
        <w:spacing w:line="355" w:lineRule="auto" w:before="38"/>
        <w:ind w:right="1795"/>
        <w:jc w:val="both"/>
      </w:pPr>
      <w:r>
        <w:rPr>
          <w:spacing w:val="-3"/>
        </w:rPr>
        <w:t>务管理、披露程序、信息报告、保密措施、档案管理、责任追究等方面作了详细</w:t>
      </w:r>
      <w:r>
        <w:rPr>
          <w:spacing w:val="-106"/>
        </w:rPr>
        <w:t> </w:t>
      </w:r>
      <w:r>
        <w:rPr>
          <w:spacing w:val="-106"/>
        </w:rPr>
      </w:r>
      <w:r>
        <w:rPr/>
        <w:t>规定。</w:t>
      </w:r>
    </w:p>
    <w:p>
      <w:pPr>
        <w:pStyle w:val="BodyText"/>
        <w:spacing w:line="355" w:lineRule="auto" w:before="38"/>
        <w:ind w:left="618" w:right="1248"/>
        <w:jc w:val="left"/>
      </w:pPr>
      <w:r>
        <w:rPr/>
        <w:t>（四）信息与沟通 </w:t>
      </w:r>
      <w:r>
        <w:rPr>
          <w:spacing w:val="-20"/>
        </w:rPr>
        <w:t>外部信息沟通方面：公司制定《投资者关系管理制度》、《信息披露管理制度》、</w:t>
      </w:r>
    </w:p>
    <w:p>
      <w:pPr>
        <w:pStyle w:val="BodyText"/>
        <w:spacing w:line="357" w:lineRule="auto" w:before="38"/>
        <w:ind w:right="1792"/>
        <w:jc w:val="both"/>
      </w:pPr>
      <w:r>
        <w:rPr>
          <w:spacing w:val="-3"/>
        </w:rPr>
        <w:t>《危机事件应急预案》等制度，保证信息的及时、有效和顺畅。同时，公司重视</w:t>
      </w:r>
      <w:r>
        <w:rPr>
          <w:spacing w:val="-103"/>
        </w:rPr>
        <w:t> </w:t>
      </w:r>
      <w:r>
        <w:rPr>
          <w:spacing w:val="-103"/>
        </w:rPr>
      </w:r>
      <w:r>
        <w:rPr>
          <w:spacing w:val="-3"/>
        </w:rPr>
        <w:t>与行业协会、中介机构、业务往来单位以及相关监管部门等进行信息的沟通和反</w:t>
      </w:r>
      <w:r>
        <w:rPr>
          <w:spacing w:val="-103"/>
        </w:rPr>
        <w:t> </w:t>
      </w:r>
      <w:r>
        <w:rPr>
          <w:spacing w:val="-103"/>
        </w:rPr>
      </w:r>
      <w:r>
        <w:rPr>
          <w:spacing w:val="-3"/>
        </w:rPr>
        <w:t>馈，以及通过市场调查、网络传媒等渠道，及时获取外部信息的工作。内部信息</w:t>
      </w:r>
      <w:r>
        <w:rPr>
          <w:spacing w:val="-103"/>
        </w:rPr>
        <w:t> </w:t>
      </w:r>
      <w:r>
        <w:rPr>
          <w:spacing w:val="-103"/>
        </w:rPr>
      </w:r>
      <w:r>
        <w:rPr>
          <w:spacing w:val="-3"/>
        </w:rPr>
        <w:t>沟通方面：公司内部定期召开例会，对会议期间的营运、管理问题集中讨论并落</w:t>
      </w:r>
      <w:r>
        <w:rPr>
          <w:spacing w:val="-102"/>
        </w:rPr>
        <w:t> </w:t>
      </w:r>
      <w:r>
        <w:rPr>
          <w:spacing w:val="-102"/>
        </w:rPr>
      </w:r>
      <w:r>
        <w:rPr/>
        <w:t>实整改方案。</w:t>
      </w:r>
    </w:p>
    <w:p>
      <w:pPr>
        <w:pStyle w:val="BodyText"/>
        <w:spacing w:line="357" w:lineRule="auto"/>
        <w:ind w:left="618" w:right="1787"/>
        <w:jc w:val="left"/>
      </w:pPr>
      <w:r>
        <w:rPr/>
        <w:t>（五）内控监督 </w:t>
      </w:r>
      <w:r>
        <w:rPr>
          <w:spacing w:val="-3"/>
        </w:rPr>
        <w:t>为完善公司治理结构，规范公司经济行为，维护股东合法权益，公司按《公</w:t>
      </w:r>
    </w:p>
    <w:p>
      <w:pPr>
        <w:pStyle w:val="BodyText"/>
        <w:spacing w:line="357" w:lineRule="auto" w:before="36"/>
        <w:ind w:right="1792"/>
        <w:jc w:val="both"/>
      </w:pPr>
      <w:r>
        <w:rPr>
          <w:spacing w:val="-3"/>
        </w:rPr>
        <w:t>司章程》的规定设立了内部审计机构，公司内部审计机构在审计委员会的直接领</w:t>
      </w:r>
      <w:r>
        <w:rPr>
          <w:spacing w:val="-103"/>
        </w:rPr>
        <w:t> </w:t>
      </w:r>
      <w:r>
        <w:rPr>
          <w:spacing w:val="-103"/>
        </w:rPr>
      </w:r>
      <w:r>
        <w:rPr>
          <w:spacing w:val="-3"/>
        </w:rPr>
        <w:t>导下依法独立开展公司内部审计、核查工作。公司制定了《内部审计制度》，内</w:t>
      </w:r>
      <w:r>
        <w:rPr>
          <w:spacing w:val="-107"/>
        </w:rPr>
        <w:t> </w:t>
      </w:r>
      <w:r>
        <w:rPr>
          <w:spacing w:val="-107"/>
        </w:rPr>
      </w:r>
      <w:r>
        <w:rPr>
          <w:spacing w:val="-3"/>
        </w:rPr>
        <w:t>部审计机构向董事会审计委员会报告工作，在董事会的领导下负责审核公司的经</w:t>
      </w:r>
      <w:r>
        <w:rPr>
          <w:spacing w:val="-104"/>
        </w:rPr>
        <w:t> </w:t>
      </w:r>
      <w:r>
        <w:rPr>
          <w:spacing w:val="-104"/>
        </w:rPr>
      </w:r>
      <w:r>
        <w:rPr>
          <w:spacing w:val="-3"/>
        </w:rPr>
        <w:t>营、财务状况、税收缴纳及对外披露的财务信息、审查内部控制的执行情况和外</w:t>
      </w:r>
      <w:r>
        <w:rPr>
          <w:spacing w:val="-102"/>
        </w:rPr>
        <w:t> </w:t>
      </w:r>
      <w:r>
        <w:rPr>
          <w:spacing w:val="-102"/>
        </w:rPr>
      </w:r>
      <w:r>
        <w:rPr/>
        <w:t>部审计的沟通、监督和核查工作。</w:t>
      </w:r>
    </w:p>
    <w:p>
      <w:pPr>
        <w:pStyle w:val="BodyText"/>
        <w:spacing w:line="357" w:lineRule="auto"/>
        <w:ind w:left="618" w:right="1787"/>
        <w:jc w:val="left"/>
      </w:pPr>
      <w:r>
        <w:rPr>
          <w:spacing w:val="-5"/>
        </w:rPr>
        <w:t>（六）、董事会对公司</w:t>
      </w:r>
      <w:r>
        <w:rPr>
          <w:rFonts w:ascii="宋体" w:hAnsi="宋体" w:cs="宋体" w:eastAsia="宋体" w:hint="default"/>
          <w:spacing w:val="-5"/>
        </w:rPr>
        <w:t>2010</w:t>
      </w:r>
      <w:r>
        <w:rPr>
          <w:spacing w:val="-5"/>
        </w:rPr>
        <w:t>年度内部控制的自我评价</w:t>
      </w:r>
      <w:r>
        <w:rPr>
          <w:spacing w:val="-115"/>
        </w:rPr>
        <w:t> </w:t>
      </w:r>
      <w:r>
        <w:rPr>
          <w:spacing w:val="-3"/>
        </w:rPr>
        <w:t>董事会对公司内部控制进行了认真的自查和分析，认为公司现行的内部控制</w:t>
      </w:r>
    </w:p>
    <w:p>
      <w:pPr>
        <w:pStyle w:val="BodyText"/>
        <w:spacing w:line="357" w:lineRule="auto"/>
        <w:ind w:right="1688"/>
        <w:jc w:val="left"/>
      </w:pPr>
      <w:r>
        <w:rPr/>
        <w:t>制度较为完整、合理、有效，内控制度能够随着企业发展的要求不断进行完善， </w:t>
      </w:r>
      <w:r>
        <w:rPr>
          <w:spacing w:val="-3"/>
        </w:rPr>
        <w:t>内控制度能够得到有效的执行，能够适应公司现行管理的要求和发展的需要，能</w:t>
      </w:r>
      <w:r>
        <w:rPr>
          <w:spacing w:val="-103"/>
        </w:rPr>
        <w:t> </w:t>
      </w:r>
      <w:r>
        <w:rPr>
          <w:spacing w:val="-103"/>
        </w:rPr>
      </w:r>
      <w:r>
        <w:rPr>
          <w:spacing w:val="-3"/>
        </w:rPr>
        <w:t>够保证公司经营活动的有序开展和公司发展战略和经营目标的全面实施，在公司</w:t>
      </w:r>
      <w:r>
        <w:rPr>
          <w:spacing w:val="-103"/>
        </w:rPr>
        <w:t> </w:t>
      </w:r>
      <w:r>
        <w:rPr>
          <w:spacing w:val="-103"/>
        </w:rPr>
      </w:r>
      <w:r>
        <w:rPr>
          <w:spacing w:val="-3"/>
        </w:rPr>
        <w:t>管理的关键环节和重大事项如关联交易、对外担保、重大投资、信息披露等方面</w:t>
      </w:r>
      <w:r>
        <w:rPr>
          <w:spacing w:val="-102"/>
        </w:rPr>
        <w:t> </w:t>
      </w:r>
      <w:r>
        <w:rPr>
          <w:spacing w:val="-102"/>
        </w:rPr>
      </w:r>
      <w:r>
        <w:rPr>
          <w:spacing w:val="-3"/>
        </w:rPr>
        <w:t>较好地发挥了管理控制作用。随着国家法律法规体系的逐步完善，内外部环境的</w:t>
      </w:r>
      <w:r>
        <w:rPr>
          <w:spacing w:val="-103"/>
        </w:rPr>
        <w:t> </w:t>
      </w:r>
      <w:r>
        <w:rPr>
          <w:spacing w:val="-103"/>
        </w:rPr>
      </w:r>
      <w:r>
        <w:rPr/>
        <w:t>变化和公司持续快速发展的需要，公司的内部控制制度还需进一步健全和完善， 并在实际中得以有效的执行和实施。</w:t>
      </w:r>
    </w:p>
    <w:p>
      <w:pPr>
        <w:pStyle w:val="BodyText"/>
        <w:spacing w:line="355" w:lineRule="auto" w:before="36"/>
        <w:ind w:left="618" w:right="1787"/>
        <w:jc w:val="left"/>
      </w:pPr>
      <w:r>
        <w:rPr>
          <w:spacing w:val="-4"/>
        </w:rPr>
        <w:t>（七）、监事会对公司</w:t>
      </w:r>
      <w:r>
        <w:rPr>
          <w:rFonts w:ascii="宋体" w:hAnsi="宋体" w:cs="宋体" w:eastAsia="宋体" w:hint="default"/>
          <w:spacing w:val="-4"/>
        </w:rPr>
        <w:t>2010</w:t>
      </w:r>
      <w:r>
        <w:rPr>
          <w:spacing w:val="-4"/>
        </w:rPr>
        <w:t>年度内部控制的自我评价报告的审核意见</w:t>
      </w:r>
      <w:r>
        <w:rPr>
          <w:spacing w:val="-112"/>
        </w:rPr>
        <w:t> </w:t>
      </w:r>
      <w:r>
        <w:rPr>
          <w:spacing w:val="-3"/>
        </w:rPr>
        <w:t>公司监事会认为，公司已经建立了较为完善的法人治理结构，制定了较为完</w:t>
      </w:r>
    </w:p>
    <w:p>
      <w:pPr>
        <w:spacing w:after="0" w:line="355"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718" w:right="1674"/>
        <w:jc w:val="both"/>
      </w:pPr>
      <w:r>
        <w:rPr>
          <w:spacing w:val="-3"/>
        </w:rPr>
        <w:t>备的有关公司治理及内部控制的各项管理制度，并能根据企业实际情况和监管要</w:t>
      </w:r>
      <w:r>
        <w:rPr>
          <w:spacing w:val="-104"/>
        </w:rPr>
        <w:t> </w:t>
      </w:r>
      <w:r>
        <w:rPr>
          <w:spacing w:val="-104"/>
        </w:rPr>
      </w:r>
      <w:r>
        <w:rPr>
          <w:spacing w:val="-3"/>
        </w:rPr>
        <w:t>求不断完善，公司内部控制制度执行情况良好，符合有关法律法规和证券监管部</w:t>
      </w:r>
      <w:r>
        <w:rPr>
          <w:spacing w:val="-102"/>
        </w:rPr>
        <w:t> </w:t>
      </w:r>
      <w:r>
        <w:rPr>
          <w:spacing w:val="-102"/>
        </w:rPr>
      </w:r>
      <w:r>
        <w:rPr>
          <w:spacing w:val="-3"/>
        </w:rPr>
        <w:t>门对上市公司内控制度管理的规范要求，公司董事会编写的《</w:t>
      </w:r>
      <w:r>
        <w:rPr>
          <w:rFonts w:ascii="宋体" w:hAnsi="宋体" w:cs="宋体" w:eastAsia="宋体" w:hint="default"/>
          <w:spacing w:val="-3"/>
        </w:rPr>
        <w:t>2010</w:t>
      </w:r>
      <w:r>
        <w:rPr>
          <w:spacing w:val="-3"/>
        </w:rPr>
        <w:t>年度内部控制</w:t>
      </w:r>
      <w:r>
        <w:rPr>
          <w:spacing w:val="-97"/>
        </w:rPr>
        <w:t> </w:t>
      </w:r>
      <w:r>
        <w:rPr>
          <w:spacing w:val="-6"/>
        </w:rPr>
        <w:t>自我评价报告》全面、真实、客观地反映了公司内部控制制度的建设及运行情况。</w:t>
      </w:r>
    </w:p>
    <w:p>
      <w:pPr>
        <w:pStyle w:val="BodyText"/>
        <w:spacing w:line="357" w:lineRule="auto"/>
        <w:ind w:left="1198" w:right="1787"/>
        <w:jc w:val="left"/>
      </w:pPr>
      <w:r>
        <w:rPr>
          <w:spacing w:val="-4"/>
        </w:rPr>
        <w:t>（八）、独立董事对公司</w:t>
      </w:r>
      <w:r>
        <w:rPr>
          <w:rFonts w:ascii="宋体" w:hAnsi="宋体" w:cs="宋体" w:eastAsia="宋体" w:hint="default"/>
          <w:spacing w:val="-4"/>
        </w:rPr>
        <w:t>2010</w:t>
      </w:r>
      <w:r>
        <w:rPr>
          <w:spacing w:val="-4"/>
        </w:rPr>
        <w:t>年度内部控制自我评价报告的意见</w:t>
      </w:r>
      <w:r>
        <w:rPr/>
        <w:t> </w:t>
      </w:r>
      <w:r>
        <w:rPr>
          <w:spacing w:val="-3"/>
        </w:rPr>
        <w:t>公司已经建立较为健全和完善的内部控制制度与体系，各项内部控制制度符</w:t>
      </w:r>
    </w:p>
    <w:p>
      <w:pPr>
        <w:pStyle w:val="BodyText"/>
        <w:spacing w:line="357" w:lineRule="auto"/>
        <w:ind w:left="718" w:right="1791"/>
        <w:jc w:val="both"/>
      </w:pPr>
      <w:r>
        <w:rPr>
          <w:spacing w:val="-3"/>
        </w:rPr>
        <w:t>合我国有关法律法规以及监管部门有关上市公司治理的规范性文件要求，公司各</w:t>
      </w:r>
      <w:r>
        <w:rPr>
          <w:spacing w:val="-104"/>
        </w:rPr>
        <w:t> </w:t>
      </w:r>
      <w:r>
        <w:rPr>
          <w:spacing w:val="-104"/>
        </w:rPr>
      </w:r>
      <w:r>
        <w:rPr>
          <w:spacing w:val="-3"/>
        </w:rPr>
        <w:t>项内部控制制度能够得到有效的执行，保证公司的规范运作。公司</w:t>
      </w:r>
      <w:r>
        <w:rPr>
          <w:rFonts w:ascii="宋体" w:hAnsi="宋体" w:cs="宋体" w:eastAsia="宋体" w:hint="default"/>
          <w:spacing w:val="-3"/>
        </w:rPr>
        <w:t>2010</w:t>
      </w:r>
      <w:r>
        <w:rPr>
          <w:spacing w:val="-3"/>
        </w:rPr>
        <w:t>年度内部</w:t>
      </w:r>
      <w:r>
        <w:rPr>
          <w:spacing w:val="-97"/>
        </w:rPr>
        <w:t> </w:t>
      </w:r>
      <w:r>
        <w:rPr/>
        <w:t>控制自我评价报告真实、客观地反映了公司内部控制的建设及运行情况。</w:t>
      </w:r>
    </w:p>
    <w:p>
      <w:pPr>
        <w:pStyle w:val="BodyText"/>
        <w:spacing w:line="355" w:lineRule="auto" w:before="37"/>
        <w:ind w:left="1198" w:right="1787"/>
        <w:jc w:val="left"/>
      </w:pPr>
      <w:r>
        <w:rPr>
          <w:spacing w:val="-5"/>
        </w:rPr>
        <w:t>（九）、保荐机构对内控制度自我评价报告的核查意见</w:t>
      </w:r>
      <w:r>
        <w:rPr/>
        <w:t> 国元证券股份有限公司出具了《关于安徽鑫龙电器股份有限公司</w:t>
      </w:r>
      <w:r>
        <w:rPr>
          <w:rFonts w:ascii="宋体" w:hAnsi="宋体" w:cs="宋体" w:eastAsia="宋体" w:hint="default"/>
        </w:rPr>
        <w:t>&lt;</w:t>
      </w:r>
      <w:r>
        <w:rPr/>
        <w:t>内部控制</w:t>
      </w:r>
    </w:p>
    <w:p>
      <w:pPr>
        <w:pStyle w:val="BodyText"/>
        <w:spacing w:line="357" w:lineRule="auto" w:before="38"/>
        <w:ind w:left="718" w:right="1790"/>
        <w:jc w:val="both"/>
      </w:pPr>
      <w:r>
        <w:rPr>
          <w:spacing w:val="-6"/>
        </w:rPr>
        <w:t>自我评价报告</w:t>
      </w:r>
      <w:r>
        <w:rPr>
          <w:rFonts w:ascii="宋体" w:hAnsi="宋体" w:cs="宋体" w:eastAsia="宋体" w:hint="default"/>
          <w:spacing w:val="-6"/>
        </w:rPr>
        <w:t>&gt;</w:t>
      </w:r>
      <w:r>
        <w:rPr>
          <w:spacing w:val="-6"/>
        </w:rPr>
        <w:t>的核查意见》：公司建立了较为完善的法人治理结构，内部控制体</w:t>
      </w:r>
      <w:r>
        <w:rPr>
          <w:spacing w:val="-113"/>
        </w:rPr>
        <w:t> </w:t>
      </w:r>
      <w:r>
        <w:rPr>
          <w:spacing w:val="-113"/>
        </w:rPr>
      </w:r>
      <w:r>
        <w:rPr>
          <w:spacing w:val="-3"/>
        </w:rPr>
        <w:t>系较为健全，符合有关法律法规和证券监管部门的要求。公司内部控制制度能得</w:t>
      </w:r>
      <w:r>
        <w:rPr>
          <w:spacing w:val="-103"/>
        </w:rPr>
        <w:t> </w:t>
      </w:r>
      <w:r>
        <w:rPr>
          <w:spacing w:val="-103"/>
        </w:rPr>
      </w:r>
      <w:r>
        <w:rPr>
          <w:spacing w:val="-3"/>
        </w:rPr>
        <w:t>到一贯、有效的执行，对控制和防范经营管理风险、保护投资者的合法权益、促</w:t>
      </w:r>
      <w:r>
        <w:rPr>
          <w:spacing w:val="-103"/>
        </w:rPr>
        <w:t> </w:t>
      </w:r>
      <w:r>
        <w:rPr>
          <w:spacing w:val="-103"/>
        </w:rPr>
      </w:r>
      <w:r>
        <w:rPr>
          <w:spacing w:val="-3"/>
        </w:rPr>
        <w:t>使公司规范运作和健康发展起到了积极的促进作用。公司内部控制是有效的。随</w:t>
      </w:r>
      <w:r>
        <w:rPr>
          <w:spacing w:val="-101"/>
        </w:rPr>
        <w:t> </w:t>
      </w:r>
      <w:r>
        <w:rPr>
          <w:spacing w:val="-101"/>
        </w:rPr>
      </w:r>
      <w:r>
        <w:rPr>
          <w:spacing w:val="3"/>
        </w:rPr>
        <w:t>着国家法律法规体系的逐步完善，内外部环境的变化和公司持续快速发展的需</w:t>
      </w:r>
      <w:r>
        <w:rPr>
          <w:spacing w:val="-93"/>
        </w:rPr>
        <w:t> </w:t>
      </w:r>
      <w:r>
        <w:rPr>
          <w:spacing w:val="-93"/>
        </w:rPr>
      </w:r>
      <w:r>
        <w:rPr>
          <w:spacing w:val="-3"/>
        </w:rPr>
        <w:t>要，公司还需进一步的完善法人治理结构，健全内部管理和控制体系，同时加强</w:t>
      </w:r>
      <w:r>
        <w:rPr>
          <w:spacing w:val="-101"/>
        </w:rPr>
        <w:t> </w:t>
      </w:r>
      <w:r>
        <w:rPr>
          <w:spacing w:val="-101"/>
        </w:rPr>
      </w:r>
      <w:r>
        <w:rPr>
          <w:spacing w:val="-3"/>
        </w:rPr>
        <w:t>人员培训和思想品德教育，强化制度的执行和监督检查，杜绝因为管理不到位等</w:t>
      </w:r>
      <w:r>
        <w:rPr>
          <w:spacing w:val="-103"/>
        </w:rPr>
        <w:t> </w:t>
      </w:r>
      <w:r>
        <w:rPr>
          <w:spacing w:val="-103"/>
        </w:rPr>
      </w:r>
      <w:r>
        <w:rPr/>
        <w:t>原因造成损失，防范风险，促进公司更快更好的发展。</w:t>
      </w:r>
    </w:p>
    <w:p>
      <w:pPr>
        <w:pStyle w:val="BodyText"/>
        <w:spacing w:line="357" w:lineRule="auto"/>
        <w:ind w:left="1198" w:right="1787"/>
        <w:jc w:val="left"/>
      </w:pPr>
      <w:r>
        <w:rPr>
          <w:spacing w:val="-4"/>
        </w:rPr>
        <w:t>（十）、会计师事务所对公司</w:t>
      </w:r>
      <w:r>
        <w:rPr>
          <w:rFonts w:ascii="宋体" w:hAnsi="宋体" w:cs="宋体" w:eastAsia="宋体" w:hint="default"/>
          <w:spacing w:val="-4"/>
        </w:rPr>
        <w:t>2010</w:t>
      </w:r>
      <w:r>
        <w:rPr>
          <w:spacing w:val="-4"/>
        </w:rPr>
        <w:t>年度内部控制自我评价报告的鉴证意见</w:t>
      </w:r>
      <w:r>
        <w:rPr>
          <w:spacing w:val="-104"/>
        </w:rPr>
        <w:t> </w:t>
      </w:r>
      <w:r>
        <w:rPr>
          <w:spacing w:val="-3"/>
        </w:rPr>
        <w:t>经天健正信会计师事务所有限公司审计，认为：公司在所有重大方面保持了</w:t>
      </w:r>
    </w:p>
    <w:p>
      <w:pPr>
        <w:pStyle w:val="BodyText"/>
        <w:spacing w:line="357" w:lineRule="auto"/>
        <w:ind w:left="718" w:right="1791"/>
        <w:jc w:val="both"/>
      </w:pPr>
      <w:r>
        <w:rPr>
          <w:spacing w:val="-3"/>
        </w:rPr>
        <w:t>与财务报表相关的有效的内部控制，并出具了《安徽鑫龙电器股份有限公司截至</w:t>
      </w:r>
      <w:r>
        <w:rPr>
          <w:spacing w:val="-103"/>
        </w:rPr>
        <w:t> </w:t>
      </w:r>
      <w:r>
        <w:rPr>
          <w:spacing w:val="-103"/>
        </w:rPr>
      </w:r>
      <w:r>
        <w:rPr>
          <w:rFonts w:ascii="宋体" w:hAnsi="宋体" w:cs="宋体" w:eastAsia="宋体" w:hint="default"/>
          <w:spacing w:val="-9"/>
        </w:rPr>
        <w:t>2010</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31</w:t>
      </w:r>
      <w:r>
        <w:rPr>
          <w:spacing w:val="-9"/>
        </w:rPr>
        <w:t>日止内部控制审计报告》（天健正信审（</w:t>
      </w:r>
      <w:r>
        <w:rPr>
          <w:rFonts w:ascii="宋体" w:hAnsi="宋体" w:cs="宋体" w:eastAsia="宋体" w:hint="default"/>
          <w:spacing w:val="-9"/>
        </w:rPr>
        <w:t>2011</w:t>
      </w:r>
      <w:r>
        <w:rPr>
          <w:spacing w:val="-9"/>
        </w:rPr>
        <w:t>）专字第</w:t>
      </w:r>
      <w:r>
        <w:rPr>
          <w:rFonts w:ascii="宋体" w:hAnsi="宋体" w:cs="宋体" w:eastAsia="宋体" w:hint="default"/>
          <w:spacing w:val="-9"/>
        </w:rPr>
        <w:t>100041</w:t>
      </w:r>
      <w:r>
        <w:rPr>
          <w:spacing w:val="-9"/>
        </w:rPr>
        <w:t>号）。</w:t>
      </w:r>
      <w:r>
        <w:rPr/>
      </w:r>
    </w:p>
    <w:p>
      <w:pPr>
        <w:pStyle w:val="BodyText"/>
        <w:spacing w:line="240" w:lineRule="auto"/>
        <w:ind w:left="1198" w:right="1787"/>
        <w:jc w:val="left"/>
      </w:pPr>
      <w:r>
        <w:rPr/>
        <w:t>五、内部控制的建立和执行情况</w:t>
      </w:r>
    </w:p>
    <w:p>
      <w:pPr>
        <w:spacing w:line="240" w:lineRule="auto" w:before="12"/>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287"/>
        <w:gridCol w:w="1342"/>
        <w:gridCol w:w="1899"/>
      </w:tblGrid>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41"/>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w:t>
            </w:r>
            <w:r>
              <w:rPr>
                <w:rFonts w:ascii="宋体" w:hAnsi="宋体" w:cs="宋体" w:eastAsia="宋体" w:hint="default"/>
                <w:sz w:val="18"/>
                <w:szCs w:val="18"/>
              </w:rPr>
              <w:t>否</w:t>
            </w:r>
            <w:r>
              <w:rPr>
                <w:rFonts w:ascii="宋体" w:hAnsi="宋体" w:cs="宋体" w:eastAsia="宋体" w:hint="default"/>
                <w:sz w:val="18"/>
                <w:szCs w:val="18"/>
              </w:rPr>
              <w:t>/</w:t>
            </w:r>
            <w:r>
              <w:rPr>
                <w:rFonts w:ascii="宋体" w:hAnsi="宋体" w:cs="宋体" w:eastAsia="宋体" w:hint="default"/>
                <w:sz w:val="18"/>
                <w:szCs w:val="18"/>
              </w:rPr>
              <w:t>不适用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537" w:right="0"/>
              <w:jc w:val="left"/>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说明</w:t>
            </w: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．内部审计制度建立</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
              <w:ind w:left="103" w:right="104"/>
              <w:jc w:val="left"/>
              <w:rPr>
                <w:rFonts w:ascii="宋体" w:hAnsi="宋体" w:cs="宋体" w:eastAsia="宋体" w:hint="default"/>
                <w:sz w:val="18"/>
                <w:szCs w:val="18"/>
              </w:rPr>
            </w:pPr>
            <w:r>
              <w:rPr>
                <w:rFonts w:ascii="宋体" w:hAnsi="宋体" w:cs="宋体" w:eastAsia="宋体" w:hint="default"/>
                <w:spacing w:val="-2"/>
                <w:sz w:val="18"/>
                <w:szCs w:val="18"/>
              </w:rPr>
              <w:t>公司是否在股票上市后六个月内建立内部审计制度，内部审计制度是否经公司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董事会审议通过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．机构设置</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公司董事会是否设立审计委员会，公司在股票上市后六个月内是否设立独立于</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16" w:footer="956" w:top="1160" w:bottom="1140" w:left="1080" w:right="0"/>
        </w:sectPr>
      </w:pPr>
    </w:p>
    <w:p>
      <w:pPr>
        <w:spacing w:line="240" w:lineRule="auto" w:before="4"/>
        <w:rPr>
          <w:rFonts w:ascii="Times New Roman" w:hAnsi="Times New Roman" w:cs="Times New Roman" w:eastAsia="Times New Roman"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6287"/>
        <w:gridCol w:w="1342"/>
        <w:gridCol w:w="1899"/>
      </w:tblGrid>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财务部门的内部审计部门，内部审计部门是否对审计委员会负责</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．人员安排</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）审计委员会成员是否全部由董事组成，独立董事占半数以上并担任召集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人，且至少有一名独立董事为会计专业人士</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）内部审计部门负责人是否专职，由审计委员会提名，董事会任免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42"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．审计委员会是否根据内部审计部门出具的评价报告及相关资料，对与财务</w:t>
            </w:r>
          </w:p>
          <w:p>
            <w:pPr>
              <w:pStyle w:val="TableParagraph"/>
              <w:spacing w:line="242" w:lineRule="auto" w:before="4"/>
              <w:ind w:left="103" w:right="104"/>
              <w:jc w:val="left"/>
              <w:rPr>
                <w:rFonts w:ascii="宋体" w:hAnsi="宋体" w:cs="宋体" w:eastAsia="宋体" w:hint="default"/>
                <w:sz w:val="18"/>
                <w:szCs w:val="18"/>
              </w:rPr>
            </w:pPr>
            <w:r>
              <w:rPr>
                <w:rFonts w:ascii="宋体" w:hAnsi="宋体" w:cs="宋体" w:eastAsia="宋体" w:hint="default"/>
                <w:spacing w:val="3"/>
                <w:sz w:val="18"/>
                <w:szCs w:val="18"/>
              </w:rPr>
              <w:t>报告和信息披露事务相关的内部控制制度的建立和实施情况出具年度内部控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制自我评价报告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1529"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．本年度内部控制自我评价报告是否包括以下内容：</w:t>
            </w: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w:t>
            </w:r>
            <w:r>
              <w:rPr>
                <w:rFonts w:ascii="宋体" w:hAnsi="宋体" w:cs="宋体" w:eastAsia="宋体" w:hint="default"/>
                <w:spacing w:val="2"/>
                <w:sz w:val="18"/>
                <w:szCs w:val="18"/>
              </w:rPr>
              <w:t>内</w:t>
            </w:r>
            <w:r>
              <w:rPr>
                <w:rFonts w:ascii="宋体" w:hAnsi="宋体" w:cs="宋体" w:eastAsia="宋体" w:hint="default"/>
                <w:sz w:val="18"/>
                <w:szCs w:val="18"/>
              </w:rPr>
              <w:t>部</w:t>
            </w:r>
            <w:r>
              <w:rPr>
                <w:rFonts w:ascii="宋体" w:hAnsi="宋体" w:cs="宋体" w:eastAsia="宋体" w:hint="default"/>
                <w:spacing w:val="2"/>
                <w:sz w:val="18"/>
                <w:szCs w:val="18"/>
              </w:rPr>
              <w:t>控</w:t>
            </w:r>
            <w:r>
              <w:rPr>
                <w:rFonts w:ascii="宋体" w:hAnsi="宋体" w:cs="宋体" w:eastAsia="宋体" w:hint="default"/>
                <w:sz w:val="18"/>
                <w:szCs w:val="18"/>
              </w:rPr>
              <w:t>制</w:t>
            </w:r>
            <w:r>
              <w:rPr>
                <w:rFonts w:ascii="宋体" w:hAnsi="宋体" w:cs="宋体" w:eastAsia="宋体" w:hint="default"/>
                <w:spacing w:val="2"/>
                <w:sz w:val="18"/>
                <w:szCs w:val="18"/>
              </w:rPr>
              <w:t>制</w:t>
            </w:r>
            <w:r>
              <w:rPr>
                <w:rFonts w:ascii="宋体" w:hAnsi="宋体" w:cs="宋体" w:eastAsia="宋体" w:hint="default"/>
                <w:sz w:val="18"/>
                <w:szCs w:val="18"/>
              </w:rPr>
              <w:t>度</w:t>
            </w:r>
            <w:r>
              <w:rPr>
                <w:rFonts w:ascii="宋体" w:hAnsi="宋体" w:cs="宋体" w:eastAsia="宋体" w:hint="default"/>
                <w:spacing w:val="2"/>
                <w:sz w:val="18"/>
                <w:szCs w:val="18"/>
              </w:rPr>
              <w:t>是</w:t>
            </w:r>
            <w:r>
              <w:rPr>
                <w:rFonts w:ascii="宋体" w:hAnsi="宋体" w:cs="宋体" w:eastAsia="宋体" w:hint="default"/>
                <w:sz w:val="18"/>
                <w:szCs w:val="18"/>
              </w:rPr>
              <w:t>否</w:t>
            </w:r>
            <w:r>
              <w:rPr>
                <w:rFonts w:ascii="宋体" w:hAnsi="宋体" w:cs="宋体" w:eastAsia="宋体" w:hint="default"/>
                <w:spacing w:val="2"/>
                <w:sz w:val="18"/>
                <w:szCs w:val="18"/>
              </w:rPr>
              <w:t>建</w:t>
            </w:r>
            <w:r>
              <w:rPr>
                <w:rFonts w:ascii="宋体" w:hAnsi="宋体" w:cs="宋体" w:eastAsia="宋体" w:hint="default"/>
                <w:sz w:val="18"/>
                <w:szCs w:val="18"/>
              </w:rPr>
              <w:t>立</w:t>
            </w:r>
            <w:r>
              <w:rPr>
                <w:rFonts w:ascii="宋体" w:hAnsi="宋体" w:cs="宋体" w:eastAsia="宋体" w:hint="default"/>
                <w:spacing w:val="2"/>
                <w:sz w:val="18"/>
                <w:szCs w:val="18"/>
              </w:rPr>
              <w:t>健</w:t>
            </w:r>
            <w:r>
              <w:rPr>
                <w:rFonts w:ascii="宋体" w:hAnsi="宋体" w:cs="宋体" w:eastAsia="宋体" w:hint="default"/>
                <w:sz w:val="18"/>
                <w:szCs w:val="18"/>
              </w:rPr>
              <w:t>全和</w:t>
            </w:r>
            <w:r>
              <w:rPr>
                <w:rFonts w:ascii="宋体" w:hAnsi="宋体" w:cs="宋体" w:eastAsia="宋体" w:hint="default"/>
                <w:spacing w:val="2"/>
                <w:sz w:val="18"/>
                <w:szCs w:val="18"/>
              </w:rPr>
              <w:t>有</w:t>
            </w:r>
            <w:r>
              <w:rPr>
                <w:rFonts w:ascii="宋体" w:hAnsi="宋体" w:cs="宋体" w:eastAsia="宋体" w:hint="default"/>
                <w:sz w:val="18"/>
                <w:szCs w:val="18"/>
              </w:rPr>
              <w:t>效</w:t>
            </w:r>
            <w:r>
              <w:rPr>
                <w:rFonts w:ascii="宋体" w:hAnsi="宋体" w:cs="宋体" w:eastAsia="宋体" w:hint="default"/>
                <w:spacing w:val="2"/>
                <w:sz w:val="18"/>
                <w:szCs w:val="18"/>
              </w:rPr>
              <w:t>实</w:t>
            </w:r>
            <w:r>
              <w:rPr>
                <w:rFonts w:ascii="宋体" w:hAnsi="宋体" w:cs="宋体" w:eastAsia="宋体" w:hint="default"/>
                <w:sz w:val="18"/>
                <w:szCs w:val="18"/>
              </w:rPr>
              <w:t>施</w:t>
            </w:r>
            <w:r>
              <w:rPr>
                <w:rFonts w:ascii="宋体" w:hAnsi="宋体" w:cs="宋体" w:eastAsia="宋体" w:hint="default"/>
                <w:spacing w:val="-89"/>
                <w:sz w:val="18"/>
                <w:szCs w:val="18"/>
              </w:rPr>
              <w:t>；</w:t>
            </w:r>
            <w:r>
              <w:rPr>
                <w:rFonts w:ascii="宋体" w:hAnsi="宋体" w:cs="宋体" w:eastAsia="宋体" w:hint="default"/>
                <w:spacing w:val="2"/>
                <w:sz w:val="18"/>
                <w:szCs w:val="18"/>
              </w:rPr>
              <w:t>（</w:t>
            </w:r>
            <w:r>
              <w:rPr>
                <w:rFonts w:ascii="宋体" w:hAnsi="宋体" w:cs="宋体" w:eastAsia="宋体" w:hint="default"/>
                <w:spacing w:val="3"/>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内</w:t>
            </w:r>
            <w:r>
              <w:rPr>
                <w:rFonts w:ascii="宋体" w:hAnsi="宋体" w:cs="宋体" w:eastAsia="宋体" w:hint="default"/>
                <w:sz w:val="18"/>
                <w:szCs w:val="18"/>
              </w:rPr>
              <w:t>部</w:t>
            </w:r>
            <w:r>
              <w:rPr>
                <w:rFonts w:ascii="宋体" w:hAnsi="宋体" w:cs="宋体" w:eastAsia="宋体" w:hint="default"/>
                <w:spacing w:val="2"/>
                <w:sz w:val="18"/>
                <w:szCs w:val="18"/>
              </w:rPr>
              <w:t>控制</w:t>
            </w:r>
            <w:r>
              <w:rPr>
                <w:rFonts w:ascii="宋体" w:hAnsi="宋体" w:cs="宋体" w:eastAsia="宋体" w:hint="default"/>
                <w:sz w:val="18"/>
                <w:szCs w:val="18"/>
              </w:rPr>
              <w:t>存在</w:t>
            </w:r>
            <w:r>
              <w:rPr>
                <w:rFonts w:ascii="宋体" w:hAnsi="宋体" w:cs="宋体" w:eastAsia="宋体" w:hint="default"/>
                <w:spacing w:val="2"/>
                <w:sz w:val="18"/>
                <w:szCs w:val="18"/>
              </w:rPr>
              <w:t>的</w:t>
            </w:r>
            <w:r>
              <w:rPr>
                <w:rFonts w:ascii="宋体" w:hAnsi="宋体" w:cs="宋体" w:eastAsia="宋体" w:hint="default"/>
                <w:sz w:val="18"/>
                <w:szCs w:val="18"/>
              </w:rPr>
              <w:t>缺</w:t>
            </w:r>
            <w:r>
              <w:rPr>
                <w:rFonts w:ascii="宋体" w:hAnsi="宋体" w:cs="宋体" w:eastAsia="宋体" w:hint="default"/>
                <w:spacing w:val="2"/>
                <w:sz w:val="18"/>
                <w:szCs w:val="18"/>
              </w:rPr>
              <w:t>陷</w:t>
            </w:r>
            <w:r>
              <w:rPr>
                <w:rFonts w:ascii="宋体" w:hAnsi="宋体" w:cs="宋体" w:eastAsia="宋体" w:hint="default"/>
                <w:sz w:val="18"/>
                <w:szCs w:val="18"/>
              </w:rPr>
              <w:t>和异</w:t>
            </w:r>
            <w:r>
              <w:rPr>
                <w:rFonts w:ascii="宋体" w:hAnsi="宋体" w:cs="宋体" w:eastAsia="宋体" w:hint="default"/>
                <w:sz w:val="18"/>
                <w:szCs w:val="18"/>
              </w:rPr>
              <w:t> 常事</w:t>
            </w:r>
            <w:r>
              <w:rPr>
                <w:rFonts w:ascii="宋体" w:hAnsi="宋体" w:cs="宋体" w:eastAsia="宋体" w:hint="default"/>
                <w:spacing w:val="2"/>
                <w:sz w:val="18"/>
                <w:szCs w:val="18"/>
              </w:rPr>
              <w:t>项</w:t>
            </w:r>
            <w:r>
              <w:rPr>
                <w:rFonts w:ascii="宋体" w:hAnsi="宋体" w:cs="宋体" w:eastAsia="宋体" w:hint="default"/>
                <w:sz w:val="18"/>
                <w:szCs w:val="18"/>
              </w:rPr>
              <w:t>及</w:t>
            </w:r>
            <w:r>
              <w:rPr>
                <w:rFonts w:ascii="宋体" w:hAnsi="宋体" w:cs="宋体" w:eastAsia="宋体" w:hint="default"/>
                <w:spacing w:val="2"/>
                <w:sz w:val="18"/>
                <w:szCs w:val="18"/>
              </w:rPr>
              <w:t>其</w:t>
            </w:r>
            <w:r>
              <w:rPr>
                <w:rFonts w:ascii="宋体" w:hAnsi="宋体" w:cs="宋体" w:eastAsia="宋体" w:hint="default"/>
                <w:sz w:val="18"/>
                <w:szCs w:val="18"/>
              </w:rPr>
              <w:t>处</w:t>
            </w:r>
            <w:r>
              <w:rPr>
                <w:rFonts w:ascii="宋体" w:hAnsi="宋体" w:cs="宋体" w:eastAsia="宋体" w:hint="default"/>
                <w:spacing w:val="2"/>
                <w:sz w:val="18"/>
                <w:szCs w:val="18"/>
              </w:rPr>
              <w:t>理</w:t>
            </w:r>
            <w:r>
              <w:rPr>
                <w:rFonts w:ascii="宋体" w:hAnsi="宋体" w:cs="宋体" w:eastAsia="宋体" w:hint="default"/>
                <w:sz w:val="18"/>
                <w:szCs w:val="18"/>
              </w:rPr>
              <w:t>情</w:t>
            </w:r>
            <w:r>
              <w:rPr>
                <w:rFonts w:ascii="宋体" w:hAnsi="宋体" w:cs="宋体" w:eastAsia="宋体" w:hint="default"/>
                <w:spacing w:val="2"/>
                <w:sz w:val="18"/>
                <w:szCs w:val="18"/>
              </w:rPr>
              <w:t>况</w:t>
            </w:r>
            <w:r>
              <w:rPr>
                <w:rFonts w:ascii="宋体" w:hAnsi="宋体" w:cs="宋体" w:eastAsia="宋体" w:hint="default"/>
                <w:sz w:val="18"/>
                <w:szCs w:val="18"/>
              </w:rPr>
              <w:t>（</w:t>
            </w:r>
            <w:r>
              <w:rPr>
                <w:rFonts w:ascii="宋体" w:hAnsi="宋体" w:cs="宋体" w:eastAsia="宋体" w:hint="default"/>
                <w:spacing w:val="2"/>
                <w:sz w:val="18"/>
                <w:szCs w:val="18"/>
              </w:rPr>
              <w:t>如</w:t>
            </w:r>
            <w:r>
              <w:rPr>
                <w:rFonts w:ascii="宋体" w:hAnsi="宋体" w:cs="宋体" w:eastAsia="宋体" w:hint="default"/>
                <w:sz w:val="18"/>
                <w:szCs w:val="18"/>
              </w:rPr>
              <w:t>适用</w:t>
            </w:r>
            <w:r>
              <w:rPr>
                <w:rFonts w:ascii="宋体" w:hAnsi="宋体" w:cs="宋体" w:eastAsia="宋体" w:hint="default"/>
                <w:spacing w:val="-87"/>
                <w:sz w:val="18"/>
                <w:szCs w:val="18"/>
              </w:rPr>
              <w:t>）</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w:t>
            </w:r>
            <w:r>
              <w:rPr>
                <w:rFonts w:ascii="宋体" w:hAnsi="宋体" w:cs="宋体" w:eastAsia="宋体" w:hint="default"/>
                <w:spacing w:val="2"/>
                <w:sz w:val="18"/>
                <w:szCs w:val="18"/>
              </w:rPr>
              <w:t>改</w:t>
            </w:r>
            <w:r>
              <w:rPr>
                <w:rFonts w:ascii="宋体" w:hAnsi="宋体" w:cs="宋体" w:eastAsia="宋体" w:hint="default"/>
                <w:sz w:val="18"/>
                <w:szCs w:val="18"/>
              </w:rPr>
              <w:t>进</w:t>
            </w:r>
            <w:r>
              <w:rPr>
                <w:rFonts w:ascii="宋体" w:hAnsi="宋体" w:cs="宋体" w:eastAsia="宋体" w:hint="default"/>
                <w:spacing w:val="2"/>
                <w:sz w:val="18"/>
                <w:szCs w:val="18"/>
              </w:rPr>
              <w:t>和</w:t>
            </w:r>
            <w:r>
              <w:rPr>
                <w:rFonts w:ascii="宋体" w:hAnsi="宋体" w:cs="宋体" w:eastAsia="宋体" w:hint="default"/>
                <w:sz w:val="18"/>
                <w:szCs w:val="18"/>
              </w:rPr>
              <w:t>完</w:t>
            </w:r>
            <w:r>
              <w:rPr>
                <w:rFonts w:ascii="宋体" w:hAnsi="宋体" w:cs="宋体" w:eastAsia="宋体" w:hint="default"/>
                <w:spacing w:val="2"/>
                <w:sz w:val="18"/>
                <w:szCs w:val="18"/>
              </w:rPr>
              <w:t>善</w:t>
            </w:r>
            <w:r>
              <w:rPr>
                <w:rFonts w:ascii="宋体" w:hAnsi="宋体" w:cs="宋体" w:eastAsia="宋体" w:hint="default"/>
                <w:sz w:val="18"/>
                <w:szCs w:val="18"/>
              </w:rPr>
              <w:t>内</w:t>
            </w:r>
            <w:r>
              <w:rPr>
                <w:rFonts w:ascii="宋体" w:hAnsi="宋体" w:cs="宋体" w:eastAsia="宋体" w:hint="default"/>
                <w:spacing w:val="2"/>
                <w:sz w:val="18"/>
                <w:szCs w:val="18"/>
              </w:rPr>
              <w:t>部</w:t>
            </w:r>
            <w:r>
              <w:rPr>
                <w:rFonts w:ascii="宋体" w:hAnsi="宋体" w:cs="宋体" w:eastAsia="宋体" w:hint="default"/>
                <w:sz w:val="18"/>
                <w:szCs w:val="18"/>
              </w:rPr>
              <w:t>控</w:t>
            </w:r>
            <w:r>
              <w:rPr>
                <w:rFonts w:ascii="宋体" w:hAnsi="宋体" w:cs="宋体" w:eastAsia="宋体" w:hint="default"/>
                <w:spacing w:val="2"/>
                <w:sz w:val="18"/>
                <w:szCs w:val="18"/>
              </w:rPr>
              <w:t>制制</w:t>
            </w:r>
            <w:r>
              <w:rPr>
                <w:rFonts w:ascii="宋体" w:hAnsi="宋体" w:cs="宋体" w:eastAsia="宋体" w:hint="default"/>
                <w:sz w:val="18"/>
                <w:szCs w:val="18"/>
              </w:rPr>
              <w:t>度建</w:t>
            </w:r>
            <w:r>
              <w:rPr>
                <w:rFonts w:ascii="宋体" w:hAnsi="宋体" w:cs="宋体" w:eastAsia="宋体" w:hint="default"/>
                <w:spacing w:val="2"/>
                <w:sz w:val="18"/>
                <w:szCs w:val="18"/>
              </w:rPr>
              <w:t>立</w:t>
            </w:r>
            <w:r>
              <w:rPr>
                <w:rFonts w:ascii="宋体" w:hAnsi="宋体" w:cs="宋体" w:eastAsia="宋体" w:hint="default"/>
                <w:sz w:val="18"/>
                <w:szCs w:val="18"/>
              </w:rPr>
              <w:t>及</w:t>
            </w:r>
            <w:r>
              <w:rPr>
                <w:rFonts w:ascii="宋体" w:hAnsi="宋体" w:cs="宋体" w:eastAsia="宋体" w:hint="default"/>
                <w:spacing w:val="2"/>
                <w:sz w:val="18"/>
                <w:szCs w:val="18"/>
              </w:rPr>
              <w:t>其</w:t>
            </w:r>
            <w:r>
              <w:rPr>
                <w:rFonts w:ascii="宋体" w:hAnsi="宋体" w:cs="宋体" w:eastAsia="宋体" w:hint="default"/>
                <w:sz w:val="18"/>
                <w:szCs w:val="18"/>
              </w:rPr>
              <w:t>实施</w:t>
            </w:r>
            <w:r>
              <w:rPr>
                <w:rFonts w:ascii="宋体" w:hAnsi="宋体" w:cs="宋体" w:eastAsia="宋体" w:hint="default"/>
                <w:sz w:val="18"/>
                <w:szCs w:val="18"/>
              </w:rPr>
              <w:t> 的有关措施</w:t>
            </w:r>
            <w:r>
              <w:rPr>
                <w:rFonts w:ascii="宋体" w:hAnsi="宋体" w:cs="宋体" w:eastAsia="宋体" w:hint="default"/>
                <w:spacing w:val="-108"/>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4</w:t>
            </w:r>
            <w:r>
              <w:rPr>
                <w:rFonts w:ascii="宋体" w:hAnsi="宋体" w:cs="宋体" w:eastAsia="宋体" w:hint="default"/>
                <w:spacing w:val="-17"/>
                <w:sz w:val="18"/>
                <w:szCs w:val="18"/>
              </w:rPr>
              <w:t>）</w:t>
            </w:r>
            <w:r>
              <w:rPr>
                <w:rFonts w:ascii="宋体" w:hAnsi="宋体" w:cs="宋体" w:eastAsia="宋体" w:hint="default"/>
                <w:sz w:val="18"/>
                <w:szCs w:val="18"/>
              </w:rPr>
              <w:t>上一年度内部控制存在的缺陷和异常事项的改进情</w:t>
            </w:r>
            <w:r>
              <w:rPr>
                <w:rFonts w:ascii="宋体" w:hAnsi="宋体" w:cs="宋体" w:eastAsia="宋体" w:hint="default"/>
                <w:spacing w:val="-17"/>
                <w:sz w:val="18"/>
                <w:szCs w:val="18"/>
              </w:rPr>
              <w:t>况</w:t>
            </w:r>
            <w:r>
              <w:rPr>
                <w:rFonts w:ascii="宋体" w:hAnsi="宋体" w:cs="宋体" w:eastAsia="宋体" w:hint="default"/>
                <w:sz w:val="18"/>
                <w:szCs w:val="18"/>
              </w:rPr>
              <w:t>（如适</w:t>
            </w:r>
            <w:r>
              <w:rPr>
                <w:rFonts w:ascii="宋体" w:hAnsi="宋体" w:cs="宋体" w:eastAsia="宋体" w:hint="default"/>
                <w:sz w:val="18"/>
                <w:szCs w:val="18"/>
              </w:rPr>
              <w:t> 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t>）本年度内部控制审</w:t>
            </w:r>
            <w:r>
              <w:rPr>
                <w:rFonts w:ascii="宋体" w:hAnsi="宋体" w:cs="宋体" w:eastAsia="宋体" w:hint="default"/>
                <w:spacing w:val="2"/>
                <w:sz w:val="18"/>
                <w:szCs w:val="18"/>
              </w:rPr>
              <w:t>查</w:t>
            </w:r>
            <w:r>
              <w:rPr>
                <w:rFonts w:ascii="宋体" w:hAnsi="宋体" w:cs="宋体" w:eastAsia="宋体" w:hint="default"/>
                <w:sz w:val="18"/>
                <w:szCs w:val="18"/>
              </w:rPr>
              <w:t>与评价工作完成情况的说明。</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
              <w:ind w:left="103" w:right="11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．内部控制自我评价报告结论是否为内部控制有效。如为内部控制无效，请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说明内部控制存在的重大缺陷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．本年度是否聘请会计师事务所对内部控制有效性出具鉴证报告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．会计师事务所对公司内部控制有效性是否出具非无保留结论鉴证报告。如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是，公司董事会、监事会是否针对鉴证结论涉及事项做出专项说明</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75"/>
              <w:jc w:val="right"/>
              <w:rPr>
                <w:rFonts w:ascii="宋体" w:hAnsi="宋体" w:cs="宋体" w:eastAsia="宋体" w:hint="default"/>
                <w:sz w:val="18"/>
                <w:szCs w:val="18"/>
              </w:rPr>
            </w:pPr>
            <w:r>
              <w:rPr>
                <w:rFonts w:ascii="宋体" w:hAnsi="宋体" w:cs="宋体" w:eastAsia="宋体" w:hint="default"/>
                <w:sz w:val="18"/>
                <w:szCs w:val="18"/>
              </w:rPr>
              <w:t>否</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．独立董事、监事会是否出具明确同意意见（如为异议意见，请说明）</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．保荐机构和保荐代表人是否出具明确同意的核查意见（如适用）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575"/>
              <w:jc w:val="right"/>
              <w:rPr>
                <w:rFonts w:ascii="宋体" w:hAnsi="宋体" w:cs="宋体" w:eastAsia="宋体" w:hint="default"/>
                <w:sz w:val="18"/>
                <w:szCs w:val="18"/>
              </w:rPr>
            </w:pPr>
            <w:r>
              <w:rPr>
                <w:rFonts w:ascii="宋体" w:hAnsi="宋体" w:cs="宋体" w:eastAsia="宋体" w:hint="default"/>
                <w:sz w:val="18"/>
                <w:szCs w:val="18"/>
              </w:rPr>
              <w:t>是</w:t>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．审计委员会的主要工作内容与工作成效</w:t>
            </w:r>
          </w:p>
        </w:tc>
        <w:tc>
          <w:tcPr>
            <w:tcW w:w="3241" w:type="dxa"/>
            <w:gridSpan w:val="2"/>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）说明审计委员会每季度召开会议审议内部审计部门提交的工作计划和报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告的具体情况</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一至四季度，均召开会议审议了公司的</w:t>
            </w:r>
          </w:p>
          <w:p>
            <w:pPr>
              <w:pStyle w:val="TableParagraph"/>
              <w:spacing w:line="242" w:lineRule="auto" w:before="4"/>
              <w:ind w:left="103" w:right="92"/>
              <w:jc w:val="left"/>
              <w:rPr>
                <w:rFonts w:ascii="宋体" w:hAnsi="宋体" w:cs="宋体" w:eastAsia="宋体" w:hint="default"/>
                <w:sz w:val="18"/>
                <w:szCs w:val="18"/>
              </w:rPr>
            </w:pPr>
            <w:r>
              <w:rPr>
                <w:rFonts w:ascii="宋体" w:hAnsi="宋体" w:cs="宋体" w:eastAsia="宋体" w:hint="default"/>
                <w:spacing w:val="9"/>
                <w:sz w:val="18"/>
                <w:szCs w:val="18"/>
              </w:rPr>
              <w:t>财务报告及内部审计部门提交的工作 </w:t>
            </w:r>
            <w:r>
              <w:rPr>
                <w:rFonts w:ascii="宋体" w:hAnsi="宋体" w:cs="宋体" w:eastAsia="宋体" w:hint="default"/>
                <w:sz w:val="18"/>
                <w:szCs w:val="18"/>
              </w:rPr>
              <w:t>计划和内部审计报告。</w:t>
            </w:r>
          </w:p>
        </w:tc>
      </w:tr>
      <w:tr>
        <w:trPr>
          <w:trHeight w:val="89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）说明审计委员会每季度向董事会报告内部审计工作的具体情况</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会议结束后向董事会汇报内部审计工</w:t>
            </w:r>
            <w:r>
              <w:rPr>
                <w:rFonts w:ascii="宋体" w:hAnsi="宋体" w:cs="宋体" w:eastAsia="宋体" w:hint="default"/>
                <w:sz w:val="18"/>
                <w:szCs w:val="18"/>
              </w:rPr>
            </w:r>
          </w:p>
          <w:p>
            <w:pPr>
              <w:pStyle w:val="TableParagraph"/>
              <w:spacing w:line="242" w:lineRule="auto" w:before="4"/>
              <w:ind w:left="103" w:right="101"/>
              <w:jc w:val="left"/>
              <w:rPr>
                <w:rFonts w:ascii="宋体" w:hAnsi="宋体" w:cs="宋体" w:eastAsia="宋体" w:hint="default"/>
                <w:sz w:val="18"/>
                <w:szCs w:val="18"/>
              </w:rPr>
            </w:pPr>
            <w:r>
              <w:rPr>
                <w:rFonts w:ascii="宋体" w:hAnsi="宋体" w:cs="宋体" w:eastAsia="宋体" w:hint="default"/>
                <w:spacing w:val="-3"/>
                <w:sz w:val="18"/>
                <w:szCs w:val="18"/>
              </w:rPr>
              <w:t>作的进展和执行情况，以及专项审计结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果。</w:t>
            </w:r>
          </w:p>
        </w:tc>
      </w:tr>
      <w:tr>
        <w:trPr>
          <w:trHeight w:val="891"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）审计委员会认为公司内部控制存在重大缺陷或重大风险的，说明内部控</w:t>
            </w:r>
          </w:p>
          <w:p>
            <w:pPr>
              <w:pStyle w:val="TableParagraph"/>
              <w:spacing w:line="242" w:lineRule="auto" w:before="4"/>
              <w:ind w:left="103" w:right="104"/>
              <w:jc w:val="left"/>
              <w:rPr>
                <w:rFonts w:ascii="宋体" w:hAnsi="宋体" w:cs="宋体" w:eastAsia="宋体" w:hint="default"/>
                <w:sz w:val="18"/>
                <w:szCs w:val="18"/>
              </w:rPr>
            </w:pPr>
            <w:r>
              <w:rPr>
                <w:rFonts w:ascii="宋体" w:hAnsi="宋体" w:cs="宋体" w:eastAsia="宋体" w:hint="default"/>
                <w:spacing w:val="-2"/>
                <w:sz w:val="18"/>
                <w:szCs w:val="18"/>
              </w:rPr>
              <w:t>制存在的重大缺陷或重大风险，并说明是否及时向董事会报告，并提请董事会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及时向证券交易所报告并予以披露（如适用）</w:t>
            </w:r>
          </w:p>
        </w:tc>
        <w:tc>
          <w:tcPr>
            <w:tcW w:w="3241" w:type="dxa"/>
            <w:gridSpan w:val="2"/>
            <w:tcBorders>
              <w:top w:val="single" w:sz="4" w:space="0" w:color="000000"/>
              <w:left w:val="single" w:sz="4" w:space="0" w:color="000000"/>
              <w:bottom w:val="single" w:sz="4" w:space="0" w:color="000000"/>
              <w:right w:val="single" w:sz="4" w:space="0" w:color="000000"/>
            </w:tcBorders>
          </w:tcPr>
          <w:p>
            <w:pPr/>
          </w:p>
        </w:tc>
      </w:tr>
      <w:tr>
        <w:trPr>
          <w:trHeight w:val="28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）说明审计委员会所做的其他工作</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18"/>
                <w:szCs w:val="18"/>
              </w:rPr>
            </w:pPr>
            <w:r>
              <w:rPr>
                <w:rFonts w:ascii="宋体" w:hAnsi="宋体" w:cs="宋体" w:eastAsia="宋体" w:hint="default"/>
                <w:spacing w:val="-3"/>
                <w:sz w:val="18"/>
                <w:szCs w:val="18"/>
              </w:rPr>
              <w:t>按照公司审计委员会工作规程，审计委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员会配合做好公司年报编制及披露等</w:t>
            </w:r>
            <w:r>
              <w:rPr>
                <w:rFonts w:ascii="宋体" w:hAnsi="宋体" w:cs="宋体" w:eastAsia="宋体" w:hint="default"/>
                <w:spacing w:val="9"/>
                <w:sz w:val="18"/>
                <w:szCs w:val="18"/>
              </w:rPr>
              <w:t> </w:t>
            </w:r>
            <w:r>
              <w:rPr>
                <w:rFonts w:ascii="宋体" w:hAnsi="宋体" w:cs="宋体" w:eastAsia="宋体" w:hint="default"/>
                <w:spacing w:val="-7"/>
                <w:sz w:val="18"/>
                <w:szCs w:val="18"/>
              </w:rPr>
              <w:t>工作，具体工作为：审阅年度审计计划；</w:t>
            </w:r>
            <w:r>
              <w:rPr>
                <w:rFonts w:ascii="宋体" w:hAnsi="宋体" w:cs="宋体" w:eastAsia="宋体" w:hint="default"/>
                <w:sz w:val="18"/>
                <w:szCs w:val="18"/>
              </w:rPr>
              <w:t> </w:t>
            </w:r>
            <w:r>
              <w:rPr>
                <w:rFonts w:ascii="宋体" w:hAnsi="宋体" w:cs="宋体" w:eastAsia="宋体" w:hint="default"/>
                <w:spacing w:val="9"/>
                <w:sz w:val="18"/>
                <w:szCs w:val="18"/>
              </w:rPr>
              <w:t>在年审会计师进场前审阅财务会计报</w:t>
            </w:r>
            <w:r>
              <w:rPr>
                <w:rFonts w:ascii="宋体" w:hAnsi="宋体" w:cs="宋体" w:eastAsia="宋体" w:hint="default"/>
                <w:spacing w:val="9"/>
                <w:sz w:val="18"/>
                <w:szCs w:val="18"/>
              </w:rPr>
              <w:t> </w:t>
            </w:r>
            <w:r>
              <w:rPr>
                <w:rFonts w:ascii="宋体" w:hAnsi="宋体" w:cs="宋体" w:eastAsia="宋体" w:hint="default"/>
                <w:spacing w:val="-3"/>
                <w:sz w:val="18"/>
                <w:szCs w:val="18"/>
              </w:rPr>
              <w:t>表；听取管理层及财务总监关于年度公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司生产经营情况、财务状况等工作汇</w:t>
            </w:r>
            <w:r>
              <w:rPr>
                <w:rFonts w:ascii="宋体" w:hAnsi="宋体" w:cs="宋体" w:eastAsia="宋体" w:hint="default"/>
                <w:spacing w:val="9"/>
                <w:sz w:val="18"/>
                <w:szCs w:val="18"/>
              </w:rPr>
              <w:t> </w:t>
            </w:r>
            <w:r>
              <w:rPr>
                <w:rFonts w:ascii="宋体" w:hAnsi="宋体" w:cs="宋体" w:eastAsia="宋体" w:hint="default"/>
                <w:spacing w:val="-3"/>
                <w:sz w:val="18"/>
                <w:szCs w:val="18"/>
              </w:rPr>
              <w:t>报；在会计师出具初步审计意见后，再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次审阅公司财务会计报告；总结评价审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计机构的审计工作并提出续聘建议，提</w:t>
            </w:r>
          </w:p>
          <w:p>
            <w:pPr>
              <w:pStyle w:val="TableParagraph"/>
              <w:spacing w:line="238" w:lineRule="exact" w:before="1"/>
              <w:ind w:left="103" w:right="101"/>
              <w:jc w:val="left"/>
              <w:rPr>
                <w:rFonts w:ascii="宋体" w:hAnsi="宋体" w:cs="宋体" w:eastAsia="宋体" w:hint="default"/>
                <w:sz w:val="18"/>
                <w:szCs w:val="18"/>
              </w:rPr>
            </w:pPr>
            <w:r>
              <w:rPr>
                <w:rFonts w:ascii="宋体" w:hAnsi="宋体" w:cs="宋体" w:eastAsia="宋体" w:hint="default"/>
                <w:spacing w:val="-3"/>
                <w:sz w:val="18"/>
                <w:szCs w:val="18"/>
              </w:rPr>
              <w:t>交董事会审议；负责内部审计与外部审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计之间的沟通等。</w:t>
            </w:r>
          </w:p>
        </w:tc>
      </w:tr>
    </w:tbl>
    <w:p>
      <w:pPr>
        <w:spacing w:after="0" w:line="238" w:lineRule="exact"/>
        <w:jc w:val="left"/>
        <w:rPr>
          <w:rFonts w:ascii="宋体" w:hAnsi="宋体" w:cs="宋体" w:eastAsia="宋体" w:hint="default"/>
          <w:sz w:val="18"/>
          <w:szCs w:val="18"/>
        </w:rPr>
        <w:sectPr>
          <w:pgSz w:w="11910" w:h="16840"/>
          <w:pgMar w:header="816" w:footer="956" w:top="1160" w:bottom="1140" w:left="1080" w:right="0"/>
        </w:sectPr>
      </w:pPr>
    </w:p>
    <w:p>
      <w:pPr>
        <w:spacing w:line="240" w:lineRule="auto" w:before="4"/>
        <w:rPr>
          <w:rFonts w:ascii="Times New Roman" w:hAnsi="Times New Roman" w:cs="Times New Roman" w:eastAsia="Times New Roman"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6287"/>
        <w:gridCol w:w="3241"/>
      </w:tblGrid>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．内部审计部门的主要工作内容与工作成效</w:t>
            </w:r>
          </w:p>
        </w:tc>
        <w:tc>
          <w:tcPr>
            <w:tcW w:w="3241" w:type="dxa"/>
            <w:tcBorders>
              <w:top w:val="single" w:sz="4" w:space="0" w:color="000000"/>
              <w:left w:val="single" w:sz="4" w:space="0" w:color="000000"/>
              <w:bottom w:val="single" w:sz="4" w:space="0" w:color="000000"/>
              <w:right w:val="single" w:sz="4" w:space="0" w:color="000000"/>
            </w:tcBorders>
          </w:tcPr>
          <w:p>
            <w:pPr/>
          </w:p>
        </w:tc>
      </w:tr>
      <w:tr>
        <w:trPr>
          <w:trHeight w:val="1131"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2" w:lineRule="auto"/>
              <w:ind w:left="103" w:right="11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）说明内部审计部门每季度向审计委员会报告内部审计计划的执行情况以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及内部审计工作中发现的问题的具体情况</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5"/>
              <w:jc w:val="left"/>
              <w:rPr>
                <w:rFonts w:ascii="宋体" w:hAnsi="宋体" w:cs="宋体" w:eastAsia="宋体" w:hint="default"/>
                <w:sz w:val="18"/>
                <w:szCs w:val="18"/>
              </w:rPr>
            </w:pPr>
            <w:r>
              <w:rPr>
                <w:rFonts w:ascii="宋体" w:hAnsi="宋体" w:cs="宋体" w:eastAsia="宋体" w:hint="default"/>
                <w:spacing w:val="9"/>
                <w:sz w:val="18"/>
                <w:szCs w:val="18"/>
              </w:rPr>
              <w:t>审计部门能按照审计计划有序的开展 </w:t>
            </w:r>
            <w:r>
              <w:rPr>
                <w:rFonts w:ascii="宋体" w:hAnsi="宋体" w:cs="宋体" w:eastAsia="宋体" w:hint="default"/>
                <w:sz w:val="18"/>
                <w:szCs w:val="18"/>
              </w:rPr>
              <w:t>工作，在每季度的审计委员会会议上，</w:t>
            </w:r>
          </w:p>
          <w:p>
            <w:pPr>
              <w:pStyle w:val="TableParagraph"/>
              <w:spacing w:line="238" w:lineRule="exact" w:before="1"/>
              <w:ind w:left="103" w:right="92"/>
              <w:jc w:val="left"/>
              <w:rPr>
                <w:rFonts w:ascii="宋体" w:hAnsi="宋体" w:cs="宋体" w:eastAsia="宋体" w:hint="default"/>
                <w:sz w:val="18"/>
                <w:szCs w:val="18"/>
              </w:rPr>
            </w:pPr>
            <w:r>
              <w:rPr>
                <w:rFonts w:ascii="宋体" w:hAnsi="宋体" w:cs="宋体" w:eastAsia="宋体" w:hint="default"/>
                <w:spacing w:val="9"/>
                <w:sz w:val="18"/>
                <w:szCs w:val="18"/>
              </w:rPr>
              <w:t>汇报审计工作进度及内部控制制度的 </w:t>
            </w:r>
            <w:r>
              <w:rPr>
                <w:rFonts w:ascii="宋体" w:hAnsi="宋体" w:cs="宋体" w:eastAsia="宋体" w:hint="default"/>
                <w:sz w:val="18"/>
                <w:szCs w:val="18"/>
              </w:rPr>
              <w:t>执行情况。</w:t>
            </w:r>
          </w:p>
        </w:tc>
      </w:tr>
      <w:tr>
        <w:trPr>
          <w:trHeight w:val="16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34"/>
              <w:ind w:left="103" w:right="104"/>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）说明内部审计部门本年度按照内审指引及相关规定要求对重要的对外投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资、购买和出售资产、对外担保、关联交易、募集资金使用和信息披露事务管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理等事项进行审计并出具内部审计报告的具体情况</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2"/>
              <w:jc w:val="both"/>
              <w:rPr>
                <w:rFonts w:ascii="宋体" w:hAnsi="宋体" w:cs="宋体" w:eastAsia="宋体" w:hint="default"/>
                <w:sz w:val="18"/>
                <w:szCs w:val="18"/>
              </w:rPr>
            </w:pPr>
            <w:r>
              <w:rPr>
                <w:rFonts w:ascii="宋体" w:hAnsi="宋体" w:cs="宋体" w:eastAsia="宋体" w:hint="default"/>
                <w:spacing w:val="9"/>
                <w:sz w:val="18"/>
                <w:szCs w:val="18"/>
              </w:rPr>
              <w:t>定期审查公司是否存在重要的对外投 </w:t>
            </w:r>
            <w:r>
              <w:rPr>
                <w:rFonts w:ascii="宋体" w:hAnsi="宋体" w:cs="宋体" w:eastAsia="宋体" w:hint="default"/>
                <w:spacing w:val="-3"/>
                <w:sz w:val="18"/>
                <w:szCs w:val="18"/>
              </w:rPr>
              <w:t>资、购买和出售资产、对外担保、关联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交易、募集资金使用和信息披露事务管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理等事项，形成内部审计总结；定期出</w:t>
            </w:r>
          </w:p>
          <w:p>
            <w:pPr>
              <w:pStyle w:val="TableParagraph"/>
              <w:spacing w:line="238" w:lineRule="exact" w:before="1"/>
              <w:ind w:left="103" w:right="101"/>
              <w:jc w:val="both"/>
              <w:rPr>
                <w:rFonts w:ascii="宋体" w:hAnsi="宋体" w:cs="宋体" w:eastAsia="宋体" w:hint="default"/>
                <w:sz w:val="18"/>
                <w:szCs w:val="18"/>
              </w:rPr>
            </w:pPr>
            <w:r>
              <w:rPr>
                <w:rFonts w:ascii="宋体" w:hAnsi="宋体" w:cs="宋体" w:eastAsia="宋体" w:hint="default"/>
                <w:spacing w:val="-3"/>
                <w:sz w:val="18"/>
                <w:szCs w:val="18"/>
              </w:rPr>
              <w:t>具《募集资金存放与使用的专项审计报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8"/>
                <w:sz w:val="18"/>
                <w:szCs w:val="18"/>
              </w:rPr>
              <w:t>告》，并提交审计委员会。</w:t>
            </w:r>
          </w:p>
        </w:tc>
      </w:tr>
      <w:tr>
        <w:trPr>
          <w:trHeight w:val="889"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54"/>
                <w:sz w:val="18"/>
                <w:szCs w:val="18"/>
              </w:rPr>
              <w:t> </w:t>
            </w:r>
            <w:r>
              <w:rPr>
                <w:rFonts w:ascii="宋体" w:hAnsi="宋体" w:cs="宋体" w:eastAsia="宋体" w:hint="default"/>
                <w:sz w:val="18"/>
                <w:szCs w:val="18"/>
              </w:rPr>
              <w:t>内部审计部门在对内部控制审查过程中发现内部控制存在重大缺陷或重</w:t>
            </w:r>
          </w:p>
          <w:p>
            <w:pPr>
              <w:pStyle w:val="TableParagraph"/>
              <w:spacing w:line="242" w:lineRule="auto" w:before="4"/>
              <w:ind w:left="103" w:right="104"/>
              <w:jc w:val="left"/>
              <w:rPr>
                <w:rFonts w:ascii="宋体" w:hAnsi="宋体" w:cs="宋体" w:eastAsia="宋体" w:hint="default"/>
                <w:sz w:val="18"/>
                <w:szCs w:val="18"/>
              </w:rPr>
            </w:pPr>
            <w:r>
              <w:rPr>
                <w:rFonts w:ascii="宋体" w:hAnsi="宋体" w:cs="宋体" w:eastAsia="宋体" w:hint="default"/>
                <w:spacing w:val="-2"/>
                <w:sz w:val="18"/>
                <w:szCs w:val="18"/>
              </w:rPr>
              <w:t>大风险的，说明内部控制存在的重大缺陷或重大风险，并说明是否向审计委员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会报告（如适用）</w:t>
            </w:r>
          </w:p>
        </w:tc>
        <w:tc>
          <w:tcPr>
            <w:tcW w:w="3241" w:type="dxa"/>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）说明内部审计部门是否按照有关规定评价公司与财务报告和信息披露事</w:t>
            </w:r>
          </w:p>
          <w:p>
            <w:pPr>
              <w:pStyle w:val="TableParagraph"/>
              <w:spacing w:line="242" w:lineRule="auto" w:before="4"/>
              <w:ind w:left="103" w:right="104"/>
              <w:jc w:val="left"/>
              <w:rPr>
                <w:rFonts w:ascii="宋体" w:hAnsi="宋体" w:cs="宋体" w:eastAsia="宋体" w:hint="default"/>
                <w:sz w:val="18"/>
                <w:szCs w:val="18"/>
              </w:rPr>
            </w:pPr>
            <w:r>
              <w:rPr>
                <w:rFonts w:ascii="宋体" w:hAnsi="宋体" w:cs="宋体" w:eastAsia="宋体" w:hint="default"/>
                <w:spacing w:val="-2"/>
                <w:sz w:val="18"/>
                <w:szCs w:val="18"/>
              </w:rPr>
              <w:t>务相关的内部控制制度建立和实施的有效性，并向审计委员会提交内部控制评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价报告</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03" w:right="10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）说明内部审计部门向审计委员会提交下一年度内部审计工作计划和本年</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度内部审计工作报告的具体情况</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已提交 </w:t>
            </w:r>
            <w:r>
              <w:rPr>
                <w:rFonts w:ascii="宋体" w:hAnsi="宋体" w:cs="宋体" w:eastAsia="宋体" w:hint="default"/>
                <w:sz w:val="18"/>
                <w:szCs w:val="18"/>
              </w:rPr>
              <w:t>2010</w:t>
            </w:r>
            <w:r>
              <w:rPr>
                <w:rFonts w:ascii="宋体" w:hAnsi="宋体" w:cs="宋体" w:eastAsia="宋体" w:hint="default"/>
                <w:spacing w:val="13"/>
                <w:sz w:val="18"/>
                <w:szCs w:val="18"/>
              </w:rPr>
              <w:t> </w:t>
            </w:r>
            <w:r>
              <w:rPr>
                <w:rFonts w:ascii="宋体" w:hAnsi="宋体" w:cs="宋体" w:eastAsia="宋体" w:hint="default"/>
                <w:spacing w:val="9"/>
                <w:sz w:val="18"/>
                <w:szCs w:val="18"/>
              </w:rPr>
              <w:t>年内部审计工作总结和</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年度审计工作计划</w:t>
            </w: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）说明内部审计工作底稿和内部审计报告的编制和归档是否符合相关规定</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）说明内部审计部门所做的其他工作</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对下属子公司的不定期检查</w:t>
            </w:r>
          </w:p>
        </w:tc>
      </w:tr>
      <w:tr>
        <w:trPr>
          <w:trHeight w:val="410" w:hRule="exact"/>
        </w:trPr>
        <w:tc>
          <w:tcPr>
            <w:tcW w:w="62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2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before="0"/>
        <w:ind w:left="1198" w:right="1787"/>
        <w:jc w:val="left"/>
      </w:pPr>
      <w:r>
        <w:rPr/>
        <w:t>六、高级管理人员的考评及激励情况</w:t>
      </w:r>
    </w:p>
    <w:p>
      <w:pPr>
        <w:pStyle w:val="BodyText"/>
        <w:spacing w:line="357" w:lineRule="auto" w:before="151"/>
        <w:ind w:left="718" w:right="1791" w:firstLine="479"/>
        <w:jc w:val="both"/>
      </w:pPr>
      <w:r>
        <w:rPr>
          <w:spacing w:val="-3"/>
        </w:rPr>
        <w:t>报告期内，公司已通过和实施《高级管理人员薪酬考核管理办法》，建立了</w:t>
      </w:r>
      <w:r>
        <w:rPr/>
        <w:t> </w:t>
      </w:r>
      <w:r>
        <w:rPr>
          <w:spacing w:val="-3"/>
        </w:rPr>
        <w:t>高级管理人员的绩效评价体系和与之相联系的相关考核机制，依据公司年度经营</w:t>
      </w:r>
      <w:r>
        <w:rPr>
          <w:spacing w:val="-104"/>
        </w:rPr>
        <w:t> </w:t>
      </w:r>
      <w:r>
        <w:rPr>
          <w:spacing w:val="-104"/>
        </w:rPr>
      </w:r>
      <w:r>
        <w:rPr>
          <w:spacing w:val="-3"/>
        </w:rPr>
        <w:t>计划目标和实际完成情况，对公司高级管理人员进行绩效指标的考核，并以此作</w:t>
      </w:r>
      <w:r>
        <w:rPr>
          <w:spacing w:val="-103"/>
        </w:rPr>
        <w:t> </w:t>
      </w:r>
      <w:r>
        <w:rPr>
          <w:spacing w:val="-103"/>
        </w:rPr>
      </w:r>
      <w:r>
        <w:rPr/>
        <w:t>为奖惩依据。</w:t>
      </w:r>
    </w:p>
    <w:p>
      <w:pPr>
        <w:spacing w:after="0" w:line="357" w:lineRule="auto"/>
        <w:jc w:val="both"/>
        <w:sectPr>
          <w:pgSz w:w="11910" w:h="16840"/>
          <w:pgMar w:header="816" w:footer="956" w:top="1160" w:bottom="1140" w:left="1080" w:right="0"/>
        </w:sectPr>
      </w:pPr>
    </w:p>
    <w:p>
      <w:pPr>
        <w:spacing w:line="240" w:lineRule="auto" w:before="8"/>
        <w:rPr>
          <w:rFonts w:ascii="宋体" w:hAnsi="宋体" w:cs="宋体" w:eastAsia="宋体" w:hint="default"/>
          <w:sz w:val="29"/>
          <w:szCs w:val="29"/>
        </w:rPr>
      </w:pPr>
    </w:p>
    <w:p>
      <w:pPr>
        <w:pStyle w:val="Heading1"/>
        <w:spacing w:line="240" w:lineRule="auto"/>
        <w:ind w:right="1658"/>
        <w:jc w:val="center"/>
        <w:rPr>
          <w:b w:val="0"/>
          <w:bCs w:val="0"/>
        </w:rPr>
      </w:pPr>
      <w:bookmarkStart w:name="_TOC_250004" w:id="6"/>
      <w:r>
        <w:rPr/>
        <w:t>第六节</w:t>
      </w:r>
      <w:r>
        <w:rPr>
          <w:spacing w:val="-6"/>
        </w:rPr>
        <w:t> </w:t>
      </w:r>
      <w:r>
        <w:rPr/>
        <w:t>股东大会情况简介</w:t>
      </w:r>
      <w:bookmarkEnd w:id="6"/>
      <w:r>
        <w:rPr>
          <w:b w:val="0"/>
          <w:bCs w:val="0"/>
        </w:rPr>
      </w:r>
    </w:p>
    <w:p>
      <w:pPr>
        <w:spacing w:line="240" w:lineRule="auto" w:before="8"/>
        <w:rPr>
          <w:rFonts w:ascii="黑体" w:hAnsi="黑体" w:cs="黑体" w:eastAsia="黑体" w:hint="default"/>
          <w:b/>
          <w:bCs/>
          <w:sz w:val="25"/>
          <w:szCs w:val="25"/>
        </w:rPr>
      </w:pPr>
    </w:p>
    <w:p>
      <w:pPr>
        <w:pStyle w:val="BodyText"/>
        <w:spacing w:line="357" w:lineRule="auto" w:before="0"/>
        <w:ind w:right="1792" w:firstLine="479"/>
        <w:jc w:val="both"/>
      </w:pPr>
      <w:r>
        <w:rPr>
          <w:spacing w:val="-3"/>
        </w:rPr>
        <w:t>报告期内，公司共召开了五次股东大会，一次年度股东大会和四次临时股东</w:t>
      </w:r>
      <w:r>
        <w:rPr/>
        <w:t> </w:t>
      </w:r>
      <w:r>
        <w:rPr>
          <w:spacing w:val="-10"/>
        </w:rPr>
        <w:t>大会，股东大会的通知、召开、出席人员的资格、表决程序符合《公司法》、《公</w:t>
      </w:r>
      <w:r>
        <w:rPr>
          <w:spacing w:val="-90"/>
        </w:rPr>
        <w:t> </w:t>
      </w:r>
      <w:r>
        <w:rPr>
          <w:spacing w:val="-90"/>
        </w:rPr>
      </w:r>
      <w:r>
        <w:rPr/>
        <w:t>司章程》等有关规定。</w:t>
      </w:r>
    </w:p>
    <w:p>
      <w:pPr>
        <w:pStyle w:val="BodyText"/>
        <w:spacing w:line="357" w:lineRule="auto"/>
        <w:ind w:left="618" w:right="1787"/>
        <w:jc w:val="left"/>
      </w:pPr>
      <w:r>
        <w:rPr/>
        <w:t>一、</w:t>
      </w:r>
      <w:r>
        <w:rPr>
          <w:rFonts w:ascii="宋体" w:hAnsi="宋体" w:cs="宋体" w:eastAsia="宋体" w:hint="default"/>
        </w:rPr>
        <w:t>2009</w:t>
      </w:r>
      <w:r>
        <w:rPr/>
        <w:t>年年度股东大会 </w:t>
      </w:r>
      <w:r>
        <w:rPr>
          <w:spacing w:val="-3"/>
        </w:rPr>
        <w:t>公司于</w:t>
      </w:r>
      <w:r>
        <w:rPr>
          <w:rFonts w:ascii="宋体" w:hAnsi="宋体" w:cs="宋体" w:eastAsia="宋体" w:hint="default"/>
          <w:spacing w:val="-3"/>
        </w:rPr>
        <w:t>2010</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5</w:t>
      </w:r>
      <w:r>
        <w:rPr>
          <w:spacing w:val="-3"/>
        </w:rPr>
        <w:t>日在公司四楼会议室召开了</w:t>
      </w:r>
      <w:r>
        <w:rPr>
          <w:rFonts w:ascii="宋体" w:hAnsi="宋体" w:cs="宋体" w:eastAsia="宋体" w:hint="default"/>
          <w:spacing w:val="-3"/>
        </w:rPr>
        <w:t>2009</w:t>
      </w:r>
      <w:r>
        <w:rPr>
          <w:spacing w:val="-3"/>
        </w:rPr>
        <w:t>年年度股东大会，会议采</w:t>
      </w:r>
    </w:p>
    <w:p>
      <w:pPr>
        <w:pStyle w:val="BodyText"/>
        <w:spacing w:line="357" w:lineRule="auto"/>
        <w:ind w:right="1791"/>
        <w:jc w:val="both"/>
      </w:pPr>
      <w:r>
        <w:rPr>
          <w:spacing w:val="7"/>
        </w:rPr>
        <w:t>取现场投票方式。出席本次会议的股东及股东代表</w:t>
      </w:r>
      <w:r>
        <w:rPr>
          <w:rFonts w:ascii="宋体" w:hAnsi="宋体" w:cs="宋体" w:eastAsia="宋体" w:hint="default"/>
          <w:spacing w:val="7"/>
        </w:rPr>
        <w:t>9</w:t>
      </w:r>
      <w:r>
        <w:rPr>
          <w:spacing w:val="7"/>
        </w:rPr>
        <w:t>名，代表有表决权的股份</w:t>
      </w:r>
      <w:r>
        <w:rPr>
          <w:spacing w:val="-115"/>
        </w:rPr>
        <w:t> </w:t>
      </w:r>
      <w:r>
        <w:rPr>
          <w:spacing w:val="-115"/>
        </w:rPr>
      </w:r>
      <w:r>
        <w:rPr>
          <w:rFonts w:ascii="宋体" w:hAnsi="宋体" w:cs="宋体" w:eastAsia="宋体" w:hint="default"/>
          <w:spacing w:val="-3"/>
        </w:rPr>
        <w:t>56,997,602</w:t>
      </w:r>
      <w:r>
        <w:rPr>
          <w:spacing w:val="-3"/>
        </w:rPr>
        <w:t>股，占公司总股本的</w:t>
      </w:r>
      <w:r>
        <w:rPr>
          <w:rFonts w:ascii="宋体" w:hAnsi="宋体" w:cs="宋体" w:eastAsia="宋体" w:hint="default"/>
          <w:spacing w:val="-3"/>
        </w:rPr>
        <w:t>51.81%</w:t>
      </w:r>
      <w:r>
        <w:rPr>
          <w:spacing w:val="-3"/>
        </w:rPr>
        <w:t>。会议由董事长束龙胜先生主持，公司部</w:t>
      </w:r>
      <w:r>
        <w:rPr>
          <w:spacing w:val="-78"/>
        </w:rPr>
        <w:t> </w:t>
      </w:r>
      <w:r>
        <w:rPr>
          <w:spacing w:val="-78"/>
        </w:rPr>
      </w:r>
      <w:r>
        <w:rPr>
          <w:spacing w:val="-3"/>
        </w:rPr>
        <w:t>分董事、监事出席了本次会议，其他部分高级管理人员、见证律师列席了本次会</w:t>
      </w:r>
      <w:r>
        <w:rPr>
          <w:spacing w:val="-102"/>
        </w:rPr>
        <w:t> </w:t>
      </w:r>
      <w:r>
        <w:rPr>
          <w:spacing w:val="-102"/>
        </w:rPr>
      </w:r>
      <w:r>
        <w:rPr>
          <w:spacing w:val="-3"/>
        </w:rPr>
        <w:t>议。会议的召集、召开符合有关法规及《公司章程》的规定。会议审议并通过了</w:t>
      </w:r>
      <w:r>
        <w:rPr>
          <w:spacing w:val="-105"/>
        </w:rPr>
        <w:t> </w:t>
      </w:r>
      <w:r>
        <w:rPr>
          <w:spacing w:val="-105"/>
        </w:rPr>
      </w:r>
      <w:r>
        <w:rPr/>
        <w:t>以下决议：</w:t>
      </w:r>
    </w:p>
    <w:p>
      <w:pPr>
        <w:pStyle w:val="BodyText"/>
        <w:spacing w:line="240" w:lineRule="auto" w:before="36"/>
        <w:ind w:left="618" w:right="1787"/>
        <w:jc w:val="left"/>
      </w:pPr>
      <w:r>
        <w:rPr>
          <w:rFonts w:ascii="宋体" w:hAnsi="宋体" w:cs="宋体" w:eastAsia="宋体" w:hint="default"/>
        </w:rPr>
        <w:t>1</w:t>
      </w:r>
      <w:r>
        <w:rPr>
          <w:spacing w:val="-120"/>
        </w:rPr>
        <w:t>、</w:t>
      </w:r>
      <w:r>
        <w:rPr/>
        <w:t>《</w:t>
      </w:r>
      <w:r>
        <w:rPr>
          <w:rFonts w:ascii="宋体" w:hAnsi="宋体" w:cs="宋体" w:eastAsia="宋体" w:hint="default"/>
        </w:rPr>
        <w:t>2009</w:t>
      </w:r>
      <w:r>
        <w:rPr/>
        <w:t>年度董事会工作报告</w:t>
      </w:r>
      <w:r>
        <w:rPr>
          <w:spacing w:val="-120"/>
        </w:rPr>
        <w:t>》</w:t>
      </w:r>
      <w:r>
        <w:rPr/>
        <w:t>；</w:t>
      </w:r>
    </w:p>
    <w:p>
      <w:pPr>
        <w:pStyle w:val="BodyText"/>
        <w:spacing w:line="240" w:lineRule="auto" w:before="151"/>
        <w:ind w:left="618" w:right="1787"/>
        <w:jc w:val="left"/>
      </w:pPr>
      <w:r>
        <w:rPr>
          <w:rFonts w:ascii="宋体" w:hAnsi="宋体" w:cs="宋体" w:eastAsia="宋体" w:hint="default"/>
        </w:rPr>
        <w:t>2</w:t>
      </w:r>
      <w:r>
        <w:rPr>
          <w:spacing w:val="-120"/>
        </w:rPr>
        <w:t>、</w:t>
      </w:r>
      <w:r>
        <w:rPr/>
        <w:t>《</w:t>
      </w:r>
      <w:r>
        <w:rPr>
          <w:rFonts w:ascii="宋体" w:hAnsi="宋体" w:cs="宋体" w:eastAsia="宋体" w:hint="default"/>
        </w:rPr>
        <w:t>2009</w:t>
      </w:r>
      <w:r>
        <w:rPr/>
        <w:t>年度监事会工作报告</w:t>
      </w:r>
      <w:r>
        <w:rPr>
          <w:spacing w:val="-120"/>
        </w:rPr>
        <w:t>》</w:t>
      </w:r>
      <w:r>
        <w:rPr/>
        <w:t>；</w:t>
      </w:r>
    </w:p>
    <w:p>
      <w:pPr>
        <w:pStyle w:val="BodyText"/>
        <w:spacing w:line="240" w:lineRule="auto" w:before="154"/>
        <w:ind w:left="618" w:right="1787"/>
        <w:jc w:val="left"/>
      </w:pPr>
      <w:r>
        <w:rPr>
          <w:rFonts w:ascii="宋体" w:hAnsi="宋体" w:cs="宋体" w:eastAsia="宋体" w:hint="default"/>
        </w:rPr>
        <w:t>3</w:t>
      </w:r>
      <w:r>
        <w:rPr>
          <w:spacing w:val="-120"/>
        </w:rPr>
        <w:t>、</w:t>
      </w:r>
      <w:r>
        <w:rPr/>
        <w:t>《</w:t>
      </w:r>
      <w:r>
        <w:rPr>
          <w:rFonts w:ascii="宋体" w:hAnsi="宋体" w:cs="宋体" w:eastAsia="宋体" w:hint="default"/>
        </w:rPr>
        <w:t>2009</w:t>
      </w:r>
      <w:r>
        <w:rPr/>
        <w:t>年度财务决算报告</w:t>
      </w:r>
      <w:r>
        <w:rPr>
          <w:spacing w:val="-120"/>
        </w:rPr>
        <w:t>》</w:t>
      </w:r>
      <w:r>
        <w:rPr/>
        <w:t>；</w:t>
      </w:r>
    </w:p>
    <w:p>
      <w:pPr>
        <w:pStyle w:val="BodyText"/>
        <w:spacing w:line="240" w:lineRule="auto" w:before="151"/>
        <w:ind w:left="618" w:right="1787"/>
        <w:jc w:val="left"/>
      </w:pPr>
      <w:r>
        <w:rPr>
          <w:rFonts w:ascii="宋体" w:hAnsi="宋体" w:cs="宋体" w:eastAsia="宋体" w:hint="default"/>
        </w:rPr>
        <w:t>4</w:t>
      </w:r>
      <w:r>
        <w:rPr>
          <w:spacing w:val="-120"/>
        </w:rPr>
        <w:t>、</w:t>
      </w:r>
      <w:r>
        <w:rPr/>
        <w:t>《关于公司</w:t>
      </w:r>
      <w:r>
        <w:rPr>
          <w:rFonts w:ascii="宋体" w:hAnsi="宋体" w:cs="宋体" w:eastAsia="宋体" w:hint="default"/>
        </w:rPr>
        <w:t>2009</w:t>
      </w:r>
      <w:r>
        <w:rPr/>
        <w:t>年度利润分配的预案</w:t>
      </w:r>
      <w:r>
        <w:rPr>
          <w:spacing w:val="-120"/>
        </w:rPr>
        <w:t>》</w:t>
      </w:r>
      <w:r>
        <w:rPr/>
        <w:t>；</w:t>
      </w:r>
    </w:p>
    <w:p>
      <w:pPr>
        <w:pStyle w:val="BodyText"/>
        <w:spacing w:line="240" w:lineRule="auto" w:before="154"/>
        <w:ind w:left="618" w:right="1787"/>
        <w:jc w:val="left"/>
      </w:pPr>
      <w:r>
        <w:rPr>
          <w:rFonts w:ascii="宋体" w:hAnsi="宋体" w:cs="宋体" w:eastAsia="宋体" w:hint="default"/>
        </w:rPr>
        <w:t>5</w:t>
      </w:r>
      <w:r>
        <w:rPr>
          <w:spacing w:val="-120"/>
        </w:rPr>
        <w:t>、</w:t>
      </w:r>
      <w:r>
        <w:rPr/>
        <w:t>《</w:t>
      </w:r>
      <w:r>
        <w:rPr>
          <w:rFonts w:ascii="宋体" w:hAnsi="宋体" w:cs="宋体" w:eastAsia="宋体" w:hint="default"/>
        </w:rPr>
        <w:t>2009</w:t>
      </w:r>
      <w:r>
        <w:rPr/>
        <w:t>年度内部控制自我评价报告</w:t>
      </w:r>
      <w:r>
        <w:rPr>
          <w:spacing w:val="-120"/>
        </w:rPr>
        <w:t>》</w:t>
      </w:r>
      <w:r>
        <w:rPr/>
        <w:t>；</w:t>
      </w:r>
    </w:p>
    <w:p>
      <w:pPr>
        <w:pStyle w:val="BodyText"/>
        <w:spacing w:line="240" w:lineRule="auto" w:before="151"/>
        <w:ind w:left="618" w:right="1787"/>
        <w:jc w:val="left"/>
      </w:pPr>
      <w:r>
        <w:rPr>
          <w:rFonts w:ascii="宋体" w:hAnsi="宋体" w:cs="宋体" w:eastAsia="宋体" w:hint="default"/>
        </w:rPr>
        <w:t>6</w:t>
      </w:r>
      <w:r>
        <w:rPr>
          <w:spacing w:val="-120"/>
        </w:rPr>
        <w:t>、</w:t>
      </w:r>
      <w:r>
        <w:rPr/>
        <w:t>《</w:t>
      </w:r>
      <w:r>
        <w:rPr>
          <w:rFonts w:ascii="宋体" w:hAnsi="宋体" w:cs="宋体" w:eastAsia="宋体" w:hint="default"/>
        </w:rPr>
        <w:t>2009</w:t>
      </w:r>
      <w:r>
        <w:rPr/>
        <w:t>年年度报告及摘要</w:t>
      </w:r>
      <w:r>
        <w:rPr>
          <w:spacing w:val="-120"/>
        </w:rPr>
        <w:t>》</w:t>
      </w:r>
      <w:r>
        <w:rPr/>
        <w:t>；</w:t>
      </w:r>
    </w:p>
    <w:p>
      <w:pPr>
        <w:pStyle w:val="BodyText"/>
        <w:spacing w:line="240" w:lineRule="auto" w:before="154"/>
        <w:ind w:left="618" w:right="1787"/>
        <w:jc w:val="left"/>
      </w:pPr>
      <w:r>
        <w:rPr>
          <w:rFonts w:ascii="宋体" w:hAnsi="宋体" w:cs="宋体" w:eastAsia="宋体" w:hint="default"/>
        </w:rPr>
        <w:t>7</w:t>
      </w:r>
      <w:r>
        <w:rPr>
          <w:spacing w:val="-120"/>
        </w:rPr>
        <w:t>、</w:t>
      </w:r>
      <w:r>
        <w:rPr/>
        <w:t>《募集资金年度使用情况专项报告</w:t>
      </w:r>
      <w:r>
        <w:rPr>
          <w:spacing w:val="-120"/>
        </w:rPr>
        <w:t>》</w:t>
      </w:r>
      <w:r>
        <w:rPr/>
        <w:t>；</w:t>
      </w:r>
    </w:p>
    <w:p>
      <w:pPr>
        <w:pStyle w:val="BodyText"/>
        <w:spacing w:line="448" w:lineRule="auto" w:before="151"/>
        <w:ind w:left="618" w:right="1787"/>
        <w:jc w:val="left"/>
      </w:pPr>
      <w:r>
        <w:rPr>
          <w:rFonts w:ascii="宋体" w:hAnsi="宋体" w:cs="宋体" w:eastAsia="宋体" w:hint="default"/>
          <w:spacing w:val="-10"/>
        </w:rPr>
        <w:t>8</w:t>
      </w:r>
      <w:r>
        <w:rPr>
          <w:spacing w:val="-10"/>
        </w:rPr>
        <w:t>、《关于续聘公司</w:t>
      </w:r>
      <w:r>
        <w:rPr>
          <w:rFonts w:ascii="宋体" w:hAnsi="宋体" w:cs="宋体" w:eastAsia="宋体" w:hint="default"/>
          <w:spacing w:val="-10"/>
        </w:rPr>
        <w:t>2010</w:t>
      </w:r>
      <w:r>
        <w:rPr>
          <w:spacing w:val="-10"/>
        </w:rPr>
        <w:t>年财务审计机构的议案》。</w:t>
      </w:r>
      <w:r>
        <w:rPr>
          <w:spacing w:val="-110"/>
        </w:rPr>
        <w:t> </w:t>
      </w:r>
      <w:r>
        <w:rPr>
          <w:spacing w:val="-110"/>
        </w:rPr>
      </w:r>
      <w:r>
        <w:rPr>
          <w:spacing w:val="-3"/>
        </w:rPr>
        <w:t>本次股东大会由北京市天银律师事务所指派律师出席了见证，并出具了《法</w:t>
      </w:r>
    </w:p>
    <w:p>
      <w:pPr>
        <w:pStyle w:val="BodyText"/>
        <w:spacing w:line="259" w:lineRule="exact" w:before="0"/>
        <w:ind w:right="0"/>
        <w:jc w:val="both"/>
      </w:pPr>
      <w:r>
        <w:rPr/>
        <w:t>律意</w:t>
      </w:r>
      <w:r>
        <w:rPr>
          <w:spacing w:val="2"/>
        </w:rPr>
        <w:t>见</w:t>
      </w:r>
      <w:r>
        <w:rPr/>
        <w:t>书</w:t>
      </w:r>
      <w:r>
        <w:rPr>
          <w:spacing w:val="-120"/>
        </w:rPr>
        <w:t>》</w:t>
      </w:r>
      <w:r>
        <w:rPr>
          <w:spacing w:val="2"/>
        </w:rPr>
        <w:t>，</w:t>
      </w:r>
      <w:r>
        <w:rPr/>
        <w:t>认</w:t>
      </w:r>
      <w:r>
        <w:rPr>
          <w:spacing w:val="2"/>
        </w:rPr>
        <w:t>为</w:t>
      </w:r>
      <w:r>
        <w:rPr>
          <w:spacing w:val="1"/>
        </w:rPr>
        <w:t>：</w:t>
      </w:r>
      <w:r>
        <w:rPr>
          <w:spacing w:val="2"/>
        </w:rPr>
        <w:t>公</w:t>
      </w:r>
      <w:r>
        <w:rPr/>
        <w:t>司本</w:t>
      </w:r>
      <w:r>
        <w:rPr>
          <w:spacing w:val="2"/>
        </w:rPr>
        <w:t>次</w:t>
      </w:r>
      <w:r>
        <w:rPr/>
        <w:t>股东</w:t>
      </w:r>
      <w:r>
        <w:rPr>
          <w:spacing w:val="2"/>
        </w:rPr>
        <w:t>大</w:t>
      </w:r>
      <w:r>
        <w:rPr/>
        <w:t>会的</w:t>
      </w:r>
      <w:r>
        <w:rPr>
          <w:spacing w:val="2"/>
        </w:rPr>
        <w:t>召集</w:t>
      </w:r>
      <w:r>
        <w:rPr/>
        <w:t>、召</w:t>
      </w:r>
      <w:r>
        <w:rPr>
          <w:spacing w:val="2"/>
        </w:rPr>
        <w:t>开</w:t>
      </w:r>
      <w:r>
        <w:rPr/>
        <w:t>程序</w:t>
      </w:r>
      <w:r>
        <w:rPr>
          <w:spacing w:val="2"/>
        </w:rPr>
        <w:t>符</w:t>
      </w:r>
      <w:r>
        <w:rPr/>
        <w:t>合《</w:t>
      </w:r>
      <w:r>
        <w:rPr>
          <w:spacing w:val="2"/>
        </w:rPr>
        <w:t>公司</w:t>
      </w:r>
      <w:r>
        <w:rPr/>
        <w:t>法</w:t>
      </w:r>
      <w:r>
        <w:rPr>
          <w:spacing w:val="-120"/>
        </w:rPr>
        <w:t>》</w:t>
      </w:r>
      <w:r>
        <w:rPr>
          <w:spacing w:val="-118"/>
        </w:rPr>
        <w:t>、</w:t>
      </w:r>
      <w:r>
        <w:rPr/>
        <w:t>《股东</w:t>
      </w:r>
    </w:p>
    <w:p>
      <w:pPr>
        <w:pStyle w:val="BodyText"/>
        <w:spacing w:line="357" w:lineRule="auto" w:before="151"/>
        <w:ind w:right="1792"/>
        <w:jc w:val="both"/>
      </w:pPr>
      <w:r>
        <w:rPr>
          <w:spacing w:val="-3"/>
        </w:rPr>
        <w:t>大会规则》等法律、法规、规范性文件及《公司章程》的有关规定，出席本次股</w:t>
      </w:r>
      <w:r>
        <w:rPr>
          <w:spacing w:val="-105"/>
        </w:rPr>
        <w:t> </w:t>
      </w:r>
      <w:r>
        <w:rPr>
          <w:spacing w:val="-105"/>
        </w:rPr>
      </w:r>
      <w:r>
        <w:rPr>
          <w:spacing w:val="-3"/>
        </w:rPr>
        <w:t>东大会的人员资格、召集人资格合法、有效，本次股东大会的表决方式、表决程</w:t>
      </w:r>
      <w:r>
        <w:rPr>
          <w:spacing w:val="-103"/>
        </w:rPr>
        <w:t> </w:t>
      </w:r>
      <w:r>
        <w:rPr>
          <w:spacing w:val="-103"/>
        </w:rPr>
      </w:r>
      <w:r>
        <w:rPr/>
        <w:t>序及表决结果均合法、有效。</w:t>
      </w:r>
    </w:p>
    <w:p>
      <w:pPr>
        <w:pStyle w:val="BodyText"/>
        <w:spacing w:line="240" w:lineRule="auto" w:before="156"/>
        <w:ind w:left="618" w:right="1248"/>
        <w:jc w:val="left"/>
      </w:pPr>
      <w:r>
        <w:rPr/>
        <w:t>公司</w:t>
      </w:r>
      <w:r>
        <w:rPr>
          <w:spacing w:val="-87"/>
        </w:rPr>
        <w:t> </w:t>
      </w:r>
      <w:r>
        <w:rPr>
          <w:rFonts w:ascii="宋体" w:hAnsi="宋体" w:cs="宋体" w:eastAsia="宋体" w:hint="default"/>
        </w:rPr>
        <w:t>2009</w:t>
      </w:r>
      <w:r>
        <w:rPr>
          <w:rFonts w:ascii="宋体" w:hAnsi="宋体" w:cs="宋体" w:eastAsia="宋体" w:hint="default"/>
          <w:spacing w:val="-87"/>
        </w:rPr>
        <w:t> </w:t>
      </w:r>
      <w:r>
        <w:rPr/>
        <w:t>年年度股东大会决议公告刊登在</w:t>
      </w:r>
      <w:r>
        <w:rPr>
          <w:spacing w:val="-86"/>
        </w:rPr>
        <w:t> </w:t>
      </w:r>
      <w:r>
        <w:rPr>
          <w:rFonts w:ascii="宋体" w:hAnsi="宋体" w:cs="宋体" w:eastAsia="宋体" w:hint="default"/>
        </w:rPr>
        <w:t>2010</w:t>
      </w:r>
      <w:r>
        <w:rPr>
          <w:rFonts w:ascii="宋体" w:hAnsi="宋体" w:cs="宋体" w:eastAsia="宋体" w:hint="default"/>
          <w:spacing w:val="-87"/>
        </w:rPr>
        <w:t> </w:t>
      </w:r>
      <w:r>
        <w:rPr/>
        <w:t>年</w:t>
      </w:r>
      <w:r>
        <w:rPr>
          <w:spacing w:val="-87"/>
        </w:rPr>
        <w:t> </w:t>
      </w:r>
      <w:r>
        <w:rPr>
          <w:rFonts w:ascii="宋体" w:hAnsi="宋体" w:cs="宋体" w:eastAsia="宋体" w:hint="default"/>
        </w:rPr>
        <w:t>5</w:t>
      </w:r>
      <w:r>
        <w:rPr>
          <w:rFonts w:ascii="宋体" w:hAnsi="宋体" w:cs="宋体" w:eastAsia="宋体" w:hint="default"/>
          <w:spacing w:val="-87"/>
        </w:rPr>
        <w:t> </w:t>
      </w:r>
      <w:r>
        <w:rPr/>
        <w:t>月</w:t>
      </w:r>
      <w:r>
        <w:rPr>
          <w:spacing w:val="-87"/>
        </w:rPr>
        <w:t> </w:t>
      </w:r>
      <w:r>
        <w:rPr>
          <w:rFonts w:ascii="宋体" w:hAnsi="宋体" w:cs="宋体" w:eastAsia="宋体" w:hint="default"/>
        </w:rPr>
        <w:t>6</w:t>
      </w:r>
      <w:r>
        <w:rPr>
          <w:rFonts w:ascii="宋体" w:hAnsi="宋体" w:cs="宋体" w:eastAsia="宋体" w:hint="default"/>
          <w:spacing w:val="-87"/>
        </w:rPr>
        <w:t> </w:t>
      </w:r>
      <w:r>
        <w:rPr/>
        <w:t>日</w:t>
      </w:r>
      <w:r>
        <w:rPr>
          <w:spacing w:val="-120"/>
        </w:rPr>
        <w:t>的</w:t>
      </w:r>
      <w:r>
        <w:rPr/>
        <w:t>《中国</w:t>
      </w:r>
      <w:r>
        <w:rPr>
          <w:spacing w:val="2"/>
        </w:rPr>
        <w:t>证</w:t>
      </w:r>
      <w:r>
        <w:rPr/>
        <w:t>券报</w:t>
      </w:r>
      <w:r>
        <w:rPr>
          <w:spacing w:val="-120"/>
        </w:rPr>
        <w:t>》</w:t>
      </w:r>
      <w:r>
        <w:rPr/>
        <w:t>、</w:t>
      </w:r>
    </w:p>
    <w:p>
      <w:pPr>
        <w:pStyle w:val="BodyText"/>
        <w:spacing w:line="448" w:lineRule="auto" w:before="151"/>
        <w:ind w:left="618" w:right="3128" w:hanging="480"/>
        <w:jc w:val="left"/>
      </w:pPr>
      <w:r>
        <w:rPr/>
        <w:t>《证券时报》以及巨潮资讯网（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 二、</w:t>
      </w:r>
      <w:r>
        <w:rPr>
          <w:rFonts w:ascii="宋体" w:hAnsi="宋体" w:cs="宋体" w:eastAsia="宋体" w:hint="default"/>
        </w:rPr>
        <w:t>2010</w:t>
      </w:r>
      <w:r>
        <w:rPr>
          <w:rFonts w:ascii="宋体" w:hAnsi="宋体" w:cs="宋体" w:eastAsia="宋体" w:hint="default"/>
          <w:spacing w:val="-60"/>
        </w:rPr>
        <w:t> </w:t>
      </w:r>
      <w:r>
        <w:rPr/>
        <w:t>年第一次临时股东大会</w:t>
      </w:r>
    </w:p>
    <w:p>
      <w:pPr>
        <w:pStyle w:val="BodyText"/>
        <w:spacing w:line="240" w:lineRule="auto" w:before="62"/>
        <w:ind w:left="618" w:right="1248"/>
        <w:jc w:val="left"/>
      </w:pPr>
      <w:r>
        <w:rPr/>
        <w:t>公司于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5</w:t>
      </w:r>
      <w:r>
        <w:rPr>
          <w:rFonts w:ascii="宋体" w:hAnsi="宋体" w:cs="宋体" w:eastAsia="宋体" w:hint="default"/>
          <w:spacing w:val="-53"/>
        </w:rPr>
        <w:t> </w:t>
      </w:r>
      <w:r>
        <w:rPr/>
        <w:t>日在公司四楼会议室召开，会议采取现场投票方式。</w:t>
      </w:r>
    </w:p>
    <w:p>
      <w:pPr>
        <w:spacing w:after="0" w:line="240"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05"/>
        <w:jc w:val="both"/>
      </w:pPr>
      <w:r>
        <w:rPr/>
        <w:t>出席本次会议的股东及股东代表</w:t>
      </w:r>
      <w:r>
        <w:rPr>
          <w:spacing w:val="-53"/>
        </w:rPr>
        <w:t> </w:t>
      </w:r>
      <w:r>
        <w:rPr>
          <w:rFonts w:ascii="宋体" w:hAnsi="宋体" w:cs="宋体" w:eastAsia="宋体" w:hint="default"/>
        </w:rPr>
        <w:t>4</w:t>
      </w:r>
      <w:r>
        <w:rPr>
          <w:rFonts w:ascii="宋体" w:hAnsi="宋体" w:cs="宋体" w:eastAsia="宋体" w:hint="default"/>
          <w:spacing w:val="-53"/>
        </w:rPr>
        <w:t> </w:t>
      </w:r>
      <w:r>
        <w:rPr/>
        <w:t>名，代表有表决权的股份</w:t>
      </w:r>
      <w:r>
        <w:rPr>
          <w:spacing w:val="-53"/>
        </w:rPr>
        <w:t> </w:t>
      </w:r>
      <w:r>
        <w:rPr>
          <w:rFonts w:ascii="宋体" w:hAnsi="宋体" w:cs="宋体" w:eastAsia="宋体" w:hint="default"/>
        </w:rPr>
        <w:t>45,465,561</w:t>
      </w:r>
      <w:r>
        <w:rPr>
          <w:rFonts w:ascii="宋体" w:hAnsi="宋体" w:cs="宋体" w:eastAsia="宋体" w:hint="default"/>
          <w:spacing w:val="-53"/>
        </w:rPr>
        <w:t> </w:t>
      </w:r>
      <w:r>
        <w:rPr/>
        <w:t>股，占 公司总股本的 </w:t>
      </w:r>
      <w:r>
        <w:rPr>
          <w:rFonts w:ascii="宋体" w:hAnsi="宋体" w:cs="宋体" w:eastAsia="宋体" w:hint="default"/>
        </w:rPr>
        <w:t>41.33%</w:t>
      </w:r>
      <w:r>
        <w:rPr/>
        <w:t>。会议由董事长束龙胜先生主持，公司部分董事、监事出</w:t>
      </w:r>
      <w:r>
        <w:rPr>
          <w:spacing w:val="-95"/>
        </w:rPr>
        <w:t> </w:t>
      </w:r>
      <w:r>
        <w:rPr>
          <w:spacing w:val="-95"/>
        </w:rPr>
      </w:r>
      <w:r>
        <w:rPr>
          <w:spacing w:val="-3"/>
        </w:rPr>
        <w:t>席了本次会议，其他部分高级管理人员、见证律师列席了本次会议。本次会议的</w:t>
      </w:r>
      <w:r>
        <w:rPr>
          <w:spacing w:val="-101"/>
        </w:rPr>
        <w:t> </w:t>
      </w:r>
      <w:r>
        <w:rPr>
          <w:spacing w:val="-101"/>
        </w:rPr>
      </w:r>
      <w:r>
        <w:rPr/>
        <w:t>召集、召开符合有关法规及《公司章程》的规定。会议审议并通过了以下决议：</w:t>
      </w:r>
    </w:p>
    <w:p>
      <w:pPr>
        <w:pStyle w:val="BodyText"/>
        <w:spacing w:line="448" w:lineRule="auto" w:before="154"/>
        <w:ind w:left="618" w:right="1787"/>
        <w:jc w:val="left"/>
      </w:pPr>
      <w:r>
        <w:rPr/>
        <w:t>《关于变更公司</w:t>
      </w:r>
      <w:r>
        <w:rPr>
          <w:spacing w:val="-60"/>
        </w:rPr>
        <w:t> </w:t>
      </w:r>
      <w:r>
        <w:rPr>
          <w:rFonts w:ascii="宋体" w:hAnsi="宋体" w:cs="宋体" w:eastAsia="宋体" w:hint="default"/>
        </w:rPr>
        <w:t>2009</w:t>
      </w:r>
      <w:r>
        <w:rPr>
          <w:rFonts w:ascii="宋体" w:hAnsi="宋体" w:cs="宋体" w:eastAsia="宋体" w:hint="default"/>
          <w:spacing w:val="-60"/>
        </w:rPr>
        <w:t> </w:t>
      </w:r>
      <w:r>
        <w:rPr>
          <w:spacing w:val="-11"/>
        </w:rPr>
        <w:t>年度审计机构的议案》。</w:t>
      </w:r>
      <w:r>
        <w:rPr/>
        <w:t> </w:t>
      </w:r>
      <w:r>
        <w:rPr>
          <w:spacing w:val="-3"/>
        </w:rPr>
        <w:t>本次股东大会由北京市天银律师事务所指派律师出席了见证，并出具了《法</w:t>
      </w:r>
    </w:p>
    <w:p>
      <w:pPr>
        <w:pStyle w:val="BodyText"/>
        <w:spacing w:line="257" w:lineRule="exact" w:before="0"/>
        <w:ind w:right="0"/>
        <w:jc w:val="both"/>
      </w:pPr>
      <w:r>
        <w:rPr/>
        <w:t>律意</w:t>
      </w:r>
      <w:r>
        <w:rPr>
          <w:spacing w:val="2"/>
        </w:rPr>
        <w:t>见</w:t>
      </w:r>
      <w:r>
        <w:rPr/>
        <w:t>书</w:t>
      </w:r>
      <w:r>
        <w:rPr>
          <w:spacing w:val="-120"/>
        </w:rPr>
        <w:t>》</w:t>
      </w:r>
      <w:r>
        <w:rPr>
          <w:spacing w:val="2"/>
        </w:rPr>
        <w:t>，</w:t>
      </w:r>
      <w:r>
        <w:rPr/>
        <w:t>认</w:t>
      </w:r>
      <w:r>
        <w:rPr>
          <w:spacing w:val="2"/>
        </w:rPr>
        <w:t>为</w:t>
      </w:r>
      <w:r>
        <w:rPr>
          <w:spacing w:val="1"/>
        </w:rPr>
        <w:t>：</w:t>
      </w:r>
      <w:r>
        <w:rPr>
          <w:spacing w:val="2"/>
        </w:rPr>
        <w:t>公</w:t>
      </w:r>
      <w:r>
        <w:rPr/>
        <w:t>司本</w:t>
      </w:r>
      <w:r>
        <w:rPr>
          <w:spacing w:val="2"/>
        </w:rPr>
        <w:t>次</w:t>
      </w:r>
      <w:r>
        <w:rPr/>
        <w:t>股东</w:t>
      </w:r>
      <w:r>
        <w:rPr>
          <w:spacing w:val="2"/>
        </w:rPr>
        <w:t>大</w:t>
      </w:r>
      <w:r>
        <w:rPr/>
        <w:t>会的</w:t>
      </w:r>
      <w:r>
        <w:rPr>
          <w:spacing w:val="2"/>
        </w:rPr>
        <w:t>召集</w:t>
      </w:r>
      <w:r>
        <w:rPr/>
        <w:t>、召</w:t>
      </w:r>
      <w:r>
        <w:rPr>
          <w:spacing w:val="2"/>
        </w:rPr>
        <w:t>开</w:t>
      </w:r>
      <w:r>
        <w:rPr/>
        <w:t>程序</w:t>
      </w:r>
      <w:r>
        <w:rPr>
          <w:spacing w:val="2"/>
        </w:rPr>
        <w:t>符</w:t>
      </w:r>
      <w:r>
        <w:rPr/>
        <w:t>合《</w:t>
      </w:r>
      <w:r>
        <w:rPr>
          <w:spacing w:val="2"/>
        </w:rPr>
        <w:t>公司</w:t>
      </w:r>
      <w:r>
        <w:rPr/>
        <w:t>法</w:t>
      </w:r>
      <w:r>
        <w:rPr>
          <w:spacing w:val="-120"/>
        </w:rPr>
        <w:t>》</w:t>
      </w:r>
      <w:r>
        <w:rPr>
          <w:spacing w:val="-118"/>
        </w:rPr>
        <w:t>、</w:t>
      </w:r>
      <w:r>
        <w:rPr/>
        <w:t>《股东</w:t>
      </w:r>
    </w:p>
    <w:p>
      <w:pPr>
        <w:pStyle w:val="BodyText"/>
        <w:spacing w:line="357" w:lineRule="auto" w:before="154"/>
        <w:ind w:right="1792"/>
        <w:jc w:val="both"/>
      </w:pPr>
      <w:r>
        <w:rPr>
          <w:spacing w:val="-3"/>
        </w:rPr>
        <w:t>大会规则》等法律、法规、规范性文件及《公司章程》的有关规定，出席本次股</w:t>
      </w:r>
      <w:r>
        <w:rPr>
          <w:spacing w:val="-105"/>
        </w:rPr>
        <w:t> </w:t>
      </w:r>
      <w:r>
        <w:rPr>
          <w:spacing w:val="-105"/>
        </w:rPr>
      </w:r>
      <w:r>
        <w:rPr>
          <w:spacing w:val="-3"/>
        </w:rPr>
        <w:t>东大会的人员资格、召集人资格合法、有效，本次股东大会的表决方式、表决程</w:t>
      </w:r>
      <w:r>
        <w:rPr>
          <w:spacing w:val="-103"/>
        </w:rPr>
        <w:t> </w:t>
      </w:r>
      <w:r>
        <w:rPr>
          <w:spacing w:val="-103"/>
        </w:rPr>
      </w:r>
      <w:r>
        <w:rPr/>
        <w:t>序及表决结果均合法、有效。</w:t>
      </w:r>
    </w:p>
    <w:p>
      <w:pPr>
        <w:pStyle w:val="BodyText"/>
        <w:spacing w:line="357" w:lineRule="auto" w:before="154"/>
        <w:ind w:right="1778" w:firstLine="479"/>
        <w:jc w:val="left"/>
      </w:pP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年第一次临时股东大会决议公告刊登在</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spacing w:val="-18"/>
        </w:rPr>
        <w:t>日的《中国</w:t>
      </w:r>
      <w:r>
        <w:rPr/>
        <w:t> </w:t>
      </w:r>
      <w:r>
        <w:rPr>
          <w:spacing w:val="-6"/>
        </w:rPr>
        <w:t>证券报》、《证券时报》以及巨潮资讯网（</w:t>
      </w:r>
      <w:r>
        <w:rPr>
          <w:rFonts w:ascii="宋体" w:hAnsi="宋体" w:cs="宋体" w:eastAsia="宋体" w:hint="default"/>
          <w:color w:val="0000FF"/>
          <w:spacing w:val="-6"/>
        </w:rPr>
      </w:r>
      <w:hyperlink r:id="rId15">
        <w:r>
          <w:rPr>
            <w:rFonts w:ascii="宋体" w:hAnsi="宋体" w:cs="宋体" w:eastAsia="宋体" w:hint="default"/>
            <w:color w:val="0000FF"/>
            <w:spacing w:val="-6"/>
            <w:u w:val="single" w:color="0000FF"/>
          </w:rPr>
          <w:t>http://www.cninfo.com.cn</w:t>
        </w:r>
        <w:r>
          <w:rPr>
            <w:rFonts w:ascii="宋体" w:hAnsi="宋体" w:cs="宋体" w:eastAsia="宋体" w:hint="default"/>
            <w:color w:val="0000FF"/>
            <w:spacing w:val="-6"/>
          </w:rPr>
        </w:r>
      </w:hyperlink>
      <w:r>
        <w:rPr>
          <w:spacing w:val="-6"/>
        </w:rPr>
        <w:t>）上。</w:t>
      </w:r>
    </w:p>
    <w:p>
      <w:pPr>
        <w:pStyle w:val="BodyText"/>
        <w:spacing w:line="240" w:lineRule="auto" w:before="154"/>
        <w:ind w:left="618" w:right="1787"/>
        <w:jc w:val="left"/>
      </w:pPr>
      <w:r>
        <w:rPr/>
        <w:t>三、</w:t>
      </w:r>
      <w:r>
        <w:rPr>
          <w:rFonts w:ascii="宋体" w:hAnsi="宋体" w:cs="宋体" w:eastAsia="宋体" w:hint="default"/>
        </w:rPr>
        <w:t>2010</w:t>
      </w:r>
      <w:r>
        <w:rPr>
          <w:rFonts w:ascii="宋体" w:hAnsi="宋体" w:cs="宋体" w:eastAsia="宋体" w:hint="default"/>
          <w:spacing w:val="-60"/>
        </w:rPr>
        <w:t> </w:t>
      </w:r>
      <w:r>
        <w:rPr/>
        <w:t>年第二次临时股东大会</w:t>
      </w:r>
    </w:p>
    <w:p>
      <w:pPr>
        <w:spacing w:line="240" w:lineRule="auto" w:before="12"/>
        <w:rPr>
          <w:rFonts w:ascii="宋体" w:hAnsi="宋体" w:cs="宋体" w:eastAsia="宋体" w:hint="default"/>
          <w:sz w:val="20"/>
          <w:szCs w:val="20"/>
        </w:rPr>
      </w:pPr>
    </w:p>
    <w:p>
      <w:pPr>
        <w:pStyle w:val="BodyText"/>
        <w:spacing w:line="240" w:lineRule="auto" w:before="0"/>
        <w:ind w:left="618" w:right="1248"/>
        <w:jc w:val="left"/>
      </w:pPr>
      <w:r>
        <w:rPr/>
        <w:t>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4"/>
        </w:rPr>
        <w:t>日在公司四楼会议室召开，会议采取现场投票和网络</w:t>
      </w:r>
    </w:p>
    <w:p>
      <w:pPr>
        <w:pStyle w:val="BodyText"/>
        <w:spacing w:line="240" w:lineRule="auto" w:before="154"/>
        <w:ind w:right="0"/>
        <w:jc w:val="both"/>
      </w:pPr>
      <w:r>
        <w:rPr/>
        <w:t>投票相结合的方式。出席本次会议的股东及股东代表 </w:t>
      </w:r>
      <w:r>
        <w:rPr>
          <w:rFonts w:ascii="宋体" w:hAnsi="宋体" w:cs="宋体" w:eastAsia="宋体" w:hint="default"/>
        </w:rPr>
        <w:t>18</w:t>
      </w:r>
      <w:r>
        <w:rPr>
          <w:rFonts w:ascii="宋体" w:hAnsi="宋体" w:cs="宋体" w:eastAsia="宋体" w:hint="default"/>
          <w:spacing w:val="-90"/>
        </w:rPr>
        <w:t> </w:t>
      </w:r>
      <w:r>
        <w:rPr/>
        <w:t>名，代表有表决权的股</w:t>
      </w:r>
    </w:p>
    <w:p>
      <w:pPr>
        <w:pStyle w:val="BodyText"/>
        <w:spacing w:line="357" w:lineRule="auto" w:before="152"/>
        <w:ind w:right="1764"/>
        <w:jc w:val="both"/>
      </w:pPr>
      <w:r>
        <w:rPr/>
        <w:t>份</w:t>
      </w:r>
      <w:r>
        <w:rPr>
          <w:spacing w:val="-61"/>
        </w:rPr>
        <w:t> </w:t>
      </w:r>
      <w:r>
        <w:rPr>
          <w:rFonts w:ascii="宋体" w:hAnsi="宋体" w:cs="宋体" w:eastAsia="宋体" w:hint="default"/>
        </w:rPr>
        <w:t>45,870,030</w:t>
      </w:r>
      <w:r>
        <w:rPr>
          <w:rFonts w:ascii="宋体" w:hAnsi="宋体" w:cs="宋体" w:eastAsia="宋体" w:hint="default"/>
          <w:spacing w:val="-60"/>
        </w:rPr>
        <w:t> </w:t>
      </w:r>
      <w:r>
        <w:rPr/>
        <w:t>股，占公司总股本的</w:t>
      </w:r>
      <w:r>
        <w:rPr>
          <w:spacing w:val="-60"/>
        </w:rPr>
        <w:t> </w:t>
      </w:r>
      <w:r>
        <w:rPr>
          <w:rFonts w:ascii="宋体" w:hAnsi="宋体" w:cs="宋体" w:eastAsia="宋体" w:hint="default"/>
        </w:rPr>
        <w:t>41.69%</w:t>
      </w:r>
      <w:r>
        <w:rPr/>
        <w:t>，其中：出席现场投票的股东</w:t>
      </w:r>
      <w:r>
        <w:rPr>
          <w:spacing w:val="-59"/>
        </w:rPr>
        <w:t> </w:t>
      </w:r>
      <w:r>
        <w:rPr>
          <w:rFonts w:ascii="宋体" w:hAnsi="宋体" w:cs="宋体" w:eastAsia="宋体" w:hint="default"/>
        </w:rPr>
        <w:t>5</w:t>
      </w:r>
      <w:r>
        <w:rPr>
          <w:rFonts w:ascii="宋体" w:hAnsi="宋体" w:cs="宋体" w:eastAsia="宋体" w:hint="default"/>
          <w:spacing w:val="-60"/>
        </w:rPr>
        <w:t> </w:t>
      </w:r>
      <w:r>
        <w:rPr/>
        <w:t>人， 代表有表决权的股份</w:t>
      </w:r>
      <w:r>
        <w:rPr>
          <w:spacing w:val="-69"/>
        </w:rPr>
        <w:t> </w:t>
      </w:r>
      <w:r>
        <w:rPr>
          <w:rFonts w:ascii="宋体" w:hAnsi="宋体" w:cs="宋体" w:eastAsia="宋体" w:hint="default"/>
        </w:rPr>
        <w:t>45,833,628</w:t>
      </w:r>
      <w:r>
        <w:rPr>
          <w:rFonts w:ascii="宋体" w:hAnsi="宋体" w:cs="宋体" w:eastAsia="宋体" w:hint="default"/>
          <w:spacing w:val="-69"/>
        </w:rPr>
        <w:t> </w:t>
      </w:r>
      <w:r>
        <w:rPr/>
        <w:t>股，占公司总股本的</w:t>
      </w:r>
      <w:r>
        <w:rPr>
          <w:spacing w:val="-69"/>
        </w:rPr>
        <w:t> </w:t>
      </w:r>
      <w:r>
        <w:rPr>
          <w:rFonts w:ascii="宋体" w:hAnsi="宋体" w:cs="宋体" w:eastAsia="宋体" w:hint="default"/>
        </w:rPr>
        <w:t>41.66%</w:t>
      </w:r>
      <w:r>
        <w:rPr/>
        <w:t>；通过网络投票的 股东</w:t>
      </w:r>
      <w:r>
        <w:rPr>
          <w:spacing w:val="-67"/>
        </w:rPr>
        <w:t> </w:t>
      </w:r>
      <w:r>
        <w:rPr>
          <w:rFonts w:ascii="宋体" w:hAnsi="宋体" w:cs="宋体" w:eastAsia="宋体" w:hint="default"/>
        </w:rPr>
        <w:t>13</w:t>
      </w:r>
      <w:r>
        <w:rPr>
          <w:rFonts w:ascii="宋体" w:hAnsi="宋体" w:cs="宋体" w:eastAsia="宋体" w:hint="default"/>
          <w:spacing w:val="-66"/>
        </w:rPr>
        <w:t> </w:t>
      </w:r>
      <w:r>
        <w:rPr/>
        <w:t>人，代表有表决权的股份</w:t>
      </w:r>
      <w:r>
        <w:rPr>
          <w:spacing w:val="-66"/>
        </w:rPr>
        <w:t> </w:t>
      </w:r>
      <w:r>
        <w:rPr>
          <w:rFonts w:ascii="宋体" w:hAnsi="宋体" w:cs="宋体" w:eastAsia="宋体" w:hint="default"/>
        </w:rPr>
        <w:t>36,402</w:t>
      </w:r>
      <w:r>
        <w:rPr>
          <w:rFonts w:ascii="宋体" w:hAnsi="宋体" w:cs="宋体" w:eastAsia="宋体" w:hint="default"/>
          <w:spacing w:val="-66"/>
        </w:rPr>
        <w:t> </w:t>
      </w:r>
      <w:r>
        <w:rPr/>
        <w:t>股，占公司总股本的</w:t>
      </w:r>
      <w:r>
        <w:rPr>
          <w:spacing w:val="-66"/>
        </w:rPr>
        <w:t> </w:t>
      </w:r>
      <w:r>
        <w:rPr>
          <w:rFonts w:ascii="宋体" w:hAnsi="宋体" w:cs="宋体" w:eastAsia="宋体" w:hint="default"/>
        </w:rPr>
        <w:t>0.03%</w:t>
      </w:r>
      <w:r>
        <w:rPr/>
        <w:t>。会议由董 </w:t>
      </w:r>
      <w:r>
        <w:rPr>
          <w:spacing w:val="-3"/>
        </w:rPr>
        <w:t>事长束龙胜先生主持，公司部分董事、监事出席了本次会议，其他部分高级管理</w:t>
      </w:r>
      <w:r>
        <w:rPr>
          <w:spacing w:val="-102"/>
        </w:rPr>
        <w:t> </w:t>
      </w:r>
      <w:r>
        <w:rPr>
          <w:spacing w:val="-102"/>
        </w:rPr>
      </w:r>
      <w:r>
        <w:rPr>
          <w:spacing w:val="-3"/>
        </w:rPr>
        <w:t>人员、见证律师列席了本次会议。本次会议的召集、召开符合有关法规及《公司</w:t>
      </w:r>
      <w:r>
        <w:rPr>
          <w:spacing w:val="-103"/>
        </w:rPr>
        <w:t> </w:t>
      </w:r>
      <w:r>
        <w:rPr>
          <w:spacing w:val="-103"/>
        </w:rPr>
      </w:r>
      <w:r>
        <w:rPr/>
        <w:t>章程》的规定。会议审议并通过以下决议：</w:t>
      </w:r>
    </w:p>
    <w:p>
      <w:pPr>
        <w:pStyle w:val="BodyText"/>
        <w:spacing w:line="240" w:lineRule="auto" w:before="154"/>
        <w:ind w:left="618" w:right="1787"/>
        <w:jc w:val="left"/>
      </w:pPr>
      <w:r>
        <w:rPr>
          <w:rFonts w:ascii="宋体" w:hAnsi="宋体" w:cs="宋体" w:eastAsia="宋体" w:hint="default"/>
        </w:rPr>
        <w:t>1</w:t>
      </w:r>
      <w:r>
        <w:rPr>
          <w:spacing w:val="-120"/>
        </w:rPr>
        <w:t>、</w:t>
      </w:r>
      <w:r>
        <w:rPr/>
        <w:t>《关于继续使用部分闲置募集资金暂时补充流动资金的议</w:t>
      </w:r>
      <w:r>
        <w:rPr>
          <w:spacing w:val="1"/>
        </w:rPr>
        <w:t>案</w:t>
      </w:r>
      <w:r>
        <w:rPr/>
        <w:t>》</w:t>
      </w:r>
    </w:p>
    <w:p>
      <w:pPr>
        <w:spacing w:line="240" w:lineRule="auto" w:before="13"/>
        <w:rPr>
          <w:rFonts w:ascii="宋体" w:hAnsi="宋体" w:cs="宋体" w:eastAsia="宋体" w:hint="default"/>
          <w:sz w:val="20"/>
          <w:szCs w:val="20"/>
        </w:rPr>
      </w:pPr>
    </w:p>
    <w:p>
      <w:pPr>
        <w:pStyle w:val="BodyText"/>
        <w:spacing w:line="446" w:lineRule="auto" w:before="0"/>
        <w:ind w:left="618" w:right="1787"/>
        <w:jc w:val="left"/>
      </w:pPr>
      <w:r>
        <w:rPr>
          <w:rFonts w:ascii="宋体" w:hAnsi="宋体" w:cs="宋体" w:eastAsia="宋体" w:hint="default"/>
          <w:spacing w:val="-6"/>
        </w:rPr>
        <w:t>2</w:t>
      </w:r>
      <w:r>
        <w:rPr>
          <w:spacing w:val="-6"/>
        </w:rPr>
        <w:t>、《关于为全资子公司提供担保额度的议案》</w:t>
      </w:r>
      <w:r>
        <w:rPr>
          <w:spacing w:val="-113"/>
        </w:rPr>
        <w:t> </w:t>
      </w:r>
      <w:r>
        <w:rPr>
          <w:spacing w:val="-113"/>
        </w:rPr>
      </w:r>
      <w:r>
        <w:rPr>
          <w:spacing w:val="-3"/>
        </w:rPr>
        <w:t>本次股东大会由北京市天银律师事务所指派律师出席了见证，并出具了《法</w:t>
      </w:r>
    </w:p>
    <w:p>
      <w:pPr>
        <w:pStyle w:val="BodyText"/>
        <w:spacing w:line="262" w:lineRule="exact" w:before="0"/>
        <w:ind w:right="0"/>
        <w:jc w:val="both"/>
      </w:pPr>
      <w:r>
        <w:rPr/>
        <w:t>律意</w:t>
      </w:r>
      <w:r>
        <w:rPr>
          <w:spacing w:val="2"/>
        </w:rPr>
        <w:t>见</w:t>
      </w:r>
      <w:r>
        <w:rPr/>
        <w:t>书</w:t>
      </w:r>
      <w:r>
        <w:rPr>
          <w:spacing w:val="-120"/>
        </w:rPr>
        <w:t>》</w:t>
      </w:r>
      <w:r>
        <w:rPr>
          <w:spacing w:val="2"/>
        </w:rPr>
        <w:t>，</w:t>
      </w:r>
      <w:r>
        <w:rPr/>
        <w:t>认</w:t>
      </w:r>
      <w:r>
        <w:rPr>
          <w:spacing w:val="2"/>
        </w:rPr>
        <w:t>为</w:t>
      </w:r>
      <w:r>
        <w:rPr>
          <w:spacing w:val="1"/>
        </w:rPr>
        <w:t>：</w:t>
      </w:r>
      <w:r>
        <w:rPr>
          <w:spacing w:val="2"/>
        </w:rPr>
        <w:t>公</w:t>
      </w:r>
      <w:r>
        <w:rPr/>
        <w:t>司本</w:t>
      </w:r>
      <w:r>
        <w:rPr>
          <w:spacing w:val="2"/>
        </w:rPr>
        <w:t>次</w:t>
      </w:r>
      <w:r>
        <w:rPr/>
        <w:t>股东</w:t>
      </w:r>
      <w:r>
        <w:rPr>
          <w:spacing w:val="2"/>
        </w:rPr>
        <w:t>大</w:t>
      </w:r>
      <w:r>
        <w:rPr/>
        <w:t>会的</w:t>
      </w:r>
      <w:r>
        <w:rPr>
          <w:spacing w:val="2"/>
        </w:rPr>
        <w:t>召集</w:t>
      </w:r>
      <w:r>
        <w:rPr/>
        <w:t>、召</w:t>
      </w:r>
      <w:r>
        <w:rPr>
          <w:spacing w:val="2"/>
        </w:rPr>
        <w:t>开</w:t>
      </w:r>
      <w:r>
        <w:rPr/>
        <w:t>程序</w:t>
      </w:r>
      <w:r>
        <w:rPr>
          <w:spacing w:val="2"/>
        </w:rPr>
        <w:t>符</w:t>
      </w:r>
      <w:r>
        <w:rPr/>
        <w:t>合《</w:t>
      </w:r>
      <w:r>
        <w:rPr>
          <w:spacing w:val="2"/>
        </w:rPr>
        <w:t>公司</w:t>
      </w:r>
      <w:r>
        <w:rPr/>
        <w:t>法</w:t>
      </w:r>
      <w:r>
        <w:rPr>
          <w:spacing w:val="-120"/>
        </w:rPr>
        <w:t>》</w:t>
      </w:r>
      <w:r>
        <w:rPr>
          <w:spacing w:val="-118"/>
        </w:rPr>
        <w:t>、</w:t>
      </w:r>
      <w:r>
        <w:rPr/>
        <w:t>《股东</w:t>
      </w:r>
    </w:p>
    <w:p>
      <w:pPr>
        <w:pStyle w:val="BodyText"/>
        <w:spacing w:line="357" w:lineRule="auto" w:before="151"/>
        <w:ind w:right="1792"/>
        <w:jc w:val="both"/>
      </w:pPr>
      <w:r>
        <w:rPr>
          <w:spacing w:val="-3"/>
        </w:rPr>
        <w:t>大会规则》等法律、法规、规范性文件及《公司章程》的有关规定，出席本次股</w:t>
      </w:r>
      <w:r>
        <w:rPr>
          <w:spacing w:val="-105"/>
        </w:rPr>
        <w:t> </w:t>
      </w:r>
      <w:r>
        <w:rPr>
          <w:spacing w:val="-105"/>
        </w:rPr>
      </w:r>
      <w:r>
        <w:rPr>
          <w:spacing w:val="-3"/>
        </w:rPr>
        <w:t>东大会的人员资格、召集人资格合法、有效，本次股东大会的表决方式、表决程</w:t>
      </w:r>
      <w:r>
        <w:rPr>
          <w:spacing w:val="-103"/>
        </w:rPr>
        <w:t> </w:t>
      </w:r>
      <w:r>
        <w:rPr>
          <w:spacing w:val="-103"/>
        </w:rPr>
      </w:r>
      <w:r>
        <w:rPr/>
        <w:t>序及表决结果均合法、有效。</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85" w:firstLine="479"/>
        <w:jc w:val="left"/>
      </w:pPr>
      <w:r>
        <w:rPr/>
        <w:t>公司</w:t>
      </w:r>
      <w:r>
        <w:rPr>
          <w:spacing w:val="-57"/>
        </w:rPr>
        <w:t> </w:t>
      </w:r>
      <w:r>
        <w:rPr>
          <w:rFonts w:ascii="宋体" w:hAnsi="宋体" w:cs="宋体" w:eastAsia="宋体" w:hint="default"/>
        </w:rPr>
        <w:t>2010</w:t>
      </w:r>
      <w:r>
        <w:rPr>
          <w:rFonts w:ascii="宋体" w:hAnsi="宋体" w:cs="宋体" w:eastAsia="宋体" w:hint="default"/>
          <w:spacing w:val="-57"/>
        </w:rPr>
        <w:t> </w:t>
      </w:r>
      <w:r>
        <w:rPr/>
        <w:t>年第二次临时股东大会决议公告刊登在</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9"/>
        </w:rPr>
        <w:t> </w:t>
      </w:r>
      <w:r>
        <w:rPr/>
        <w:t>月</w:t>
      </w:r>
      <w:r>
        <w:rPr>
          <w:spacing w:val="-56"/>
        </w:rPr>
        <w:t> </w:t>
      </w:r>
      <w:r>
        <w:rPr>
          <w:rFonts w:ascii="宋体" w:hAnsi="宋体" w:cs="宋体" w:eastAsia="宋体" w:hint="default"/>
        </w:rPr>
        <w:t>19</w:t>
      </w:r>
      <w:r>
        <w:rPr>
          <w:rFonts w:ascii="宋体" w:hAnsi="宋体" w:cs="宋体" w:eastAsia="宋体" w:hint="default"/>
          <w:spacing w:val="-57"/>
        </w:rPr>
        <w:t> </w:t>
      </w:r>
      <w:r>
        <w:rPr/>
        <w:t>日的《中 </w:t>
      </w:r>
      <w:r>
        <w:rPr>
          <w:spacing w:val="-6"/>
        </w:rPr>
        <w:t>国证券报》、《证券时报》以及巨潮资讯网（</w:t>
      </w:r>
      <w:r>
        <w:rPr>
          <w:rFonts w:ascii="宋体" w:hAnsi="宋体" w:cs="宋体" w:eastAsia="宋体" w:hint="default"/>
          <w:color w:val="0000FF"/>
          <w:spacing w:val="-6"/>
        </w:rPr>
      </w:r>
      <w:hyperlink r:id="rId15">
        <w:r>
          <w:rPr>
            <w:rFonts w:ascii="宋体" w:hAnsi="宋体" w:cs="宋体" w:eastAsia="宋体" w:hint="default"/>
            <w:color w:val="0000FF"/>
            <w:spacing w:val="-6"/>
            <w:u w:val="single" w:color="0000FF"/>
          </w:rPr>
          <w:t>http://www.cninfo.com.cn</w:t>
        </w:r>
        <w:r>
          <w:rPr>
            <w:rFonts w:ascii="宋体" w:hAnsi="宋体" w:cs="宋体" w:eastAsia="宋体" w:hint="default"/>
            <w:color w:val="0000FF"/>
            <w:spacing w:val="-6"/>
          </w:rPr>
        </w:r>
      </w:hyperlink>
      <w:r>
        <w:rPr>
          <w:spacing w:val="-6"/>
        </w:rPr>
        <w:t>）上。</w:t>
      </w:r>
    </w:p>
    <w:p>
      <w:pPr>
        <w:pStyle w:val="BodyText"/>
        <w:spacing w:line="240" w:lineRule="auto" w:before="154"/>
        <w:ind w:left="618" w:right="1787"/>
        <w:jc w:val="left"/>
      </w:pPr>
      <w:r>
        <w:rPr/>
        <w:t>四、</w:t>
      </w:r>
      <w:r>
        <w:rPr>
          <w:rFonts w:ascii="宋体" w:hAnsi="宋体" w:cs="宋体" w:eastAsia="宋体" w:hint="default"/>
        </w:rPr>
        <w:t>2010</w:t>
      </w:r>
      <w:r>
        <w:rPr>
          <w:rFonts w:ascii="宋体" w:hAnsi="宋体" w:cs="宋体" w:eastAsia="宋体" w:hint="default"/>
          <w:spacing w:val="-60"/>
        </w:rPr>
        <w:t> </w:t>
      </w:r>
      <w:r>
        <w:rPr/>
        <w:t>年第三次临时股东大会</w:t>
      </w:r>
    </w:p>
    <w:p>
      <w:pPr>
        <w:spacing w:line="240" w:lineRule="auto" w:before="12"/>
        <w:rPr>
          <w:rFonts w:ascii="宋体" w:hAnsi="宋体" w:cs="宋体" w:eastAsia="宋体" w:hint="default"/>
          <w:sz w:val="20"/>
          <w:szCs w:val="20"/>
        </w:rPr>
      </w:pPr>
    </w:p>
    <w:p>
      <w:pPr>
        <w:pStyle w:val="BodyText"/>
        <w:spacing w:line="240" w:lineRule="auto" w:before="0"/>
        <w:ind w:left="618" w:right="1248"/>
        <w:jc w:val="left"/>
      </w:pPr>
      <w:r>
        <w:rPr/>
        <w:t>公司于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日在公司四楼会议室召开，会议采取现场投票方式。</w:t>
      </w:r>
    </w:p>
    <w:p>
      <w:pPr>
        <w:pStyle w:val="BodyText"/>
        <w:spacing w:line="357" w:lineRule="auto" w:before="151"/>
        <w:ind w:right="1664"/>
        <w:jc w:val="left"/>
      </w:pPr>
      <w:r>
        <w:rPr/>
        <w:t>出席本次会议的股东及股东代表</w:t>
      </w:r>
      <w:r>
        <w:rPr>
          <w:spacing w:val="-53"/>
        </w:rPr>
        <w:t> </w:t>
      </w:r>
      <w:r>
        <w:rPr>
          <w:rFonts w:ascii="宋体" w:hAnsi="宋体" w:cs="宋体" w:eastAsia="宋体" w:hint="default"/>
        </w:rPr>
        <w:t>8</w:t>
      </w:r>
      <w:r>
        <w:rPr>
          <w:rFonts w:ascii="宋体" w:hAnsi="宋体" w:cs="宋体" w:eastAsia="宋体" w:hint="default"/>
          <w:spacing w:val="-53"/>
        </w:rPr>
        <w:t> </w:t>
      </w:r>
      <w:r>
        <w:rPr/>
        <w:t>名，代表有表决权的股份</w:t>
      </w:r>
      <w:r>
        <w:rPr>
          <w:spacing w:val="-53"/>
        </w:rPr>
        <w:t> </w:t>
      </w:r>
      <w:r>
        <w:rPr>
          <w:rFonts w:ascii="宋体" w:hAnsi="宋体" w:cs="宋体" w:eastAsia="宋体" w:hint="default"/>
        </w:rPr>
        <w:t>83,810,869</w:t>
      </w:r>
      <w:r>
        <w:rPr>
          <w:rFonts w:ascii="宋体" w:hAnsi="宋体" w:cs="宋体" w:eastAsia="宋体" w:hint="default"/>
          <w:spacing w:val="-53"/>
        </w:rPr>
        <w:t> </w:t>
      </w:r>
      <w:r>
        <w:rPr/>
        <w:t>股，占 公司总股本的 </w:t>
      </w:r>
      <w:r>
        <w:rPr>
          <w:rFonts w:ascii="宋体" w:hAnsi="宋体" w:cs="宋体" w:eastAsia="宋体" w:hint="default"/>
        </w:rPr>
        <w:t>50.79%</w:t>
      </w:r>
      <w:r>
        <w:rPr/>
        <w:t>。会议由董事长束龙胜先生主持，公司部分董事、监事出</w:t>
      </w:r>
      <w:r>
        <w:rPr>
          <w:spacing w:val="-95"/>
        </w:rPr>
        <w:t> </w:t>
      </w:r>
      <w:r>
        <w:rPr>
          <w:spacing w:val="-95"/>
        </w:rPr>
      </w:r>
      <w:r>
        <w:rPr>
          <w:spacing w:val="-6"/>
        </w:rPr>
        <w:t>席了本次会议，其他部分高级管理人员、见证律师、保荐代表人列席了本次会议。</w:t>
      </w:r>
      <w:r>
        <w:rPr>
          <w:spacing w:val="-114"/>
        </w:rPr>
        <w:t> </w:t>
      </w:r>
      <w:r>
        <w:rPr>
          <w:spacing w:val="-114"/>
        </w:rPr>
      </w:r>
      <w:r>
        <w:rPr>
          <w:spacing w:val="-3"/>
        </w:rPr>
        <w:t>本次会议的召集、召开符合有关法规及《公司章程》的规定。会议审议并通过以</w:t>
      </w:r>
      <w:r>
        <w:rPr>
          <w:spacing w:val="-102"/>
        </w:rPr>
        <w:t> </w:t>
      </w:r>
      <w:r>
        <w:rPr>
          <w:spacing w:val="-102"/>
        </w:rPr>
      </w:r>
      <w:r>
        <w:rPr/>
        <w:t>下决议：</w:t>
      </w:r>
    </w:p>
    <w:p>
      <w:pPr>
        <w:pStyle w:val="BodyText"/>
        <w:spacing w:line="240" w:lineRule="auto" w:before="156"/>
        <w:ind w:left="618" w:right="1787"/>
        <w:jc w:val="left"/>
      </w:pPr>
      <w:r>
        <w:rPr>
          <w:rFonts w:ascii="宋体" w:hAnsi="宋体" w:cs="宋体" w:eastAsia="宋体" w:hint="default"/>
        </w:rPr>
        <w:t>1</w:t>
      </w:r>
      <w:r>
        <w:rPr>
          <w:spacing w:val="-120"/>
        </w:rPr>
        <w:t>、</w:t>
      </w:r>
      <w:r>
        <w:rPr/>
        <w:t>《关于公司董事会换届选举的议案》之非独立董事选</w:t>
      </w:r>
      <w:r>
        <w:rPr>
          <w:spacing w:val="1"/>
        </w:rPr>
        <w:t>举</w:t>
      </w:r>
      <w:r>
        <w:rPr/>
        <w:t>；</w:t>
      </w:r>
    </w:p>
    <w:p>
      <w:pPr>
        <w:spacing w:line="240" w:lineRule="auto" w:before="10"/>
        <w:rPr>
          <w:rFonts w:ascii="宋体" w:hAnsi="宋体" w:cs="宋体" w:eastAsia="宋体" w:hint="default"/>
          <w:sz w:val="20"/>
          <w:szCs w:val="20"/>
        </w:rPr>
      </w:pPr>
    </w:p>
    <w:p>
      <w:pPr>
        <w:pStyle w:val="BodyText"/>
        <w:spacing w:line="240" w:lineRule="auto" w:before="0"/>
        <w:ind w:left="618" w:right="1787"/>
        <w:jc w:val="left"/>
      </w:pPr>
      <w:r>
        <w:rPr>
          <w:rFonts w:ascii="宋体" w:hAnsi="宋体" w:cs="宋体" w:eastAsia="宋体" w:hint="default"/>
        </w:rPr>
        <w:t>2</w:t>
      </w:r>
      <w:r>
        <w:rPr>
          <w:spacing w:val="-120"/>
        </w:rPr>
        <w:t>、</w:t>
      </w:r>
      <w:r>
        <w:rPr/>
        <w:t>《关于公司董事会换届选举的议案》之独立董事选</w:t>
      </w:r>
      <w:r>
        <w:rPr>
          <w:spacing w:val="1"/>
        </w:rPr>
        <w:t>举</w:t>
      </w:r>
      <w:r>
        <w:rPr/>
        <w:t>；</w:t>
      </w:r>
    </w:p>
    <w:p>
      <w:pPr>
        <w:spacing w:line="240" w:lineRule="auto" w:before="12"/>
        <w:rPr>
          <w:rFonts w:ascii="宋体" w:hAnsi="宋体" w:cs="宋体" w:eastAsia="宋体" w:hint="default"/>
          <w:sz w:val="20"/>
          <w:szCs w:val="20"/>
        </w:rPr>
      </w:pPr>
    </w:p>
    <w:p>
      <w:pPr>
        <w:pStyle w:val="BodyText"/>
        <w:spacing w:line="446" w:lineRule="auto" w:before="0"/>
        <w:ind w:left="618" w:right="1787"/>
        <w:jc w:val="left"/>
      </w:pPr>
      <w:r>
        <w:rPr>
          <w:rFonts w:ascii="宋体" w:hAnsi="宋体" w:cs="宋体" w:eastAsia="宋体" w:hint="default"/>
          <w:spacing w:val="-13"/>
        </w:rPr>
        <w:t>3</w:t>
      </w:r>
      <w:r>
        <w:rPr>
          <w:spacing w:val="-13"/>
        </w:rPr>
        <w:t>、《关于公司监事会换届选举的议案》。</w:t>
      </w:r>
      <w:r>
        <w:rPr>
          <w:spacing w:val="-113"/>
        </w:rPr>
        <w:t> </w:t>
      </w:r>
      <w:r>
        <w:rPr>
          <w:spacing w:val="-113"/>
        </w:rPr>
      </w:r>
      <w:r>
        <w:rPr>
          <w:spacing w:val="-3"/>
        </w:rPr>
        <w:t>本次股东大会由北京市天银律师事务所指派律师出席了见证，并出具了《法</w:t>
      </w:r>
    </w:p>
    <w:p>
      <w:pPr>
        <w:pStyle w:val="BodyText"/>
        <w:spacing w:line="262" w:lineRule="exact" w:before="0"/>
        <w:ind w:right="0"/>
        <w:jc w:val="both"/>
      </w:pPr>
      <w:r>
        <w:rPr/>
        <w:t>律意</w:t>
      </w:r>
      <w:r>
        <w:rPr>
          <w:spacing w:val="2"/>
        </w:rPr>
        <w:t>见</w:t>
      </w:r>
      <w:r>
        <w:rPr/>
        <w:t>书</w:t>
      </w:r>
      <w:r>
        <w:rPr>
          <w:spacing w:val="-120"/>
        </w:rPr>
        <w:t>》</w:t>
      </w:r>
      <w:r>
        <w:rPr>
          <w:spacing w:val="2"/>
        </w:rPr>
        <w:t>，</w:t>
      </w:r>
      <w:r>
        <w:rPr/>
        <w:t>认</w:t>
      </w:r>
      <w:r>
        <w:rPr>
          <w:spacing w:val="2"/>
        </w:rPr>
        <w:t>为</w:t>
      </w:r>
      <w:r>
        <w:rPr>
          <w:spacing w:val="1"/>
        </w:rPr>
        <w:t>：</w:t>
      </w:r>
      <w:r>
        <w:rPr>
          <w:spacing w:val="2"/>
        </w:rPr>
        <w:t>公</w:t>
      </w:r>
      <w:r>
        <w:rPr/>
        <w:t>司本</w:t>
      </w:r>
      <w:r>
        <w:rPr>
          <w:spacing w:val="2"/>
        </w:rPr>
        <w:t>次</w:t>
      </w:r>
      <w:r>
        <w:rPr/>
        <w:t>股东</w:t>
      </w:r>
      <w:r>
        <w:rPr>
          <w:spacing w:val="2"/>
        </w:rPr>
        <w:t>大</w:t>
      </w:r>
      <w:r>
        <w:rPr/>
        <w:t>会的</w:t>
      </w:r>
      <w:r>
        <w:rPr>
          <w:spacing w:val="2"/>
        </w:rPr>
        <w:t>召集</w:t>
      </w:r>
      <w:r>
        <w:rPr/>
        <w:t>、召</w:t>
      </w:r>
      <w:r>
        <w:rPr>
          <w:spacing w:val="2"/>
        </w:rPr>
        <w:t>开</w:t>
      </w:r>
      <w:r>
        <w:rPr/>
        <w:t>程序</w:t>
      </w:r>
      <w:r>
        <w:rPr>
          <w:spacing w:val="2"/>
        </w:rPr>
        <w:t>符</w:t>
      </w:r>
      <w:r>
        <w:rPr/>
        <w:t>合《</w:t>
      </w:r>
      <w:r>
        <w:rPr>
          <w:spacing w:val="2"/>
        </w:rPr>
        <w:t>公司</w:t>
      </w:r>
      <w:r>
        <w:rPr/>
        <w:t>法</w:t>
      </w:r>
      <w:r>
        <w:rPr>
          <w:spacing w:val="-120"/>
        </w:rPr>
        <w:t>》</w:t>
      </w:r>
      <w:r>
        <w:rPr>
          <w:spacing w:val="-118"/>
        </w:rPr>
        <w:t>、</w:t>
      </w:r>
      <w:r>
        <w:rPr/>
        <w:t>《股东</w:t>
      </w:r>
    </w:p>
    <w:p>
      <w:pPr>
        <w:pStyle w:val="BodyText"/>
        <w:spacing w:line="357" w:lineRule="auto" w:before="154"/>
        <w:ind w:right="1791"/>
        <w:jc w:val="both"/>
      </w:pPr>
      <w:r>
        <w:rPr>
          <w:spacing w:val="-3"/>
        </w:rPr>
        <w:t>大会规则》等法律、法规、规范性文件及《公司章程》的有关规定，出席本次股</w:t>
      </w:r>
      <w:r>
        <w:rPr>
          <w:spacing w:val="-105"/>
        </w:rPr>
        <w:t> </w:t>
      </w:r>
      <w:r>
        <w:rPr>
          <w:spacing w:val="-105"/>
        </w:rPr>
      </w:r>
      <w:r>
        <w:rPr>
          <w:spacing w:val="-3"/>
        </w:rPr>
        <w:t>东大会的人员资格、召集人资格合法、有效，本次股东大会的表决方式、表决程</w:t>
      </w:r>
      <w:r>
        <w:rPr>
          <w:spacing w:val="-102"/>
        </w:rPr>
        <w:t> </w:t>
      </w:r>
      <w:r>
        <w:rPr>
          <w:spacing w:val="-102"/>
        </w:rPr>
      </w:r>
      <w:r>
        <w:rPr/>
        <w:t>序及表决结果均合法、有效。</w:t>
      </w:r>
    </w:p>
    <w:p>
      <w:pPr>
        <w:pStyle w:val="BodyText"/>
        <w:spacing w:line="357" w:lineRule="auto" w:before="154"/>
        <w:ind w:right="1785" w:firstLine="479"/>
        <w:jc w:val="left"/>
      </w:pPr>
      <w:r>
        <w:rPr/>
        <w:t>公司</w:t>
      </w:r>
      <w:r>
        <w:rPr>
          <w:spacing w:val="-57"/>
        </w:rPr>
        <w:t> </w:t>
      </w:r>
      <w:r>
        <w:rPr>
          <w:rFonts w:ascii="宋体" w:hAnsi="宋体" w:cs="宋体" w:eastAsia="宋体" w:hint="default"/>
        </w:rPr>
        <w:t>2010</w:t>
      </w:r>
      <w:r>
        <w:rPr>
          <w:rFonts w:ascii="宋体" w:hAnsi="宋体" w:cs="宋体" w:eastAsia="宋体" w:hint="default"/>
          <w:spacing w:val="-57"/>
        </w:rPr>
        <w:t> </w:t>
      </w:r>
      <w:r>
        <w:rPr/>
        <w:t>年第三次临时股东大会决议公告刊登在</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9"/>
        </w:rPr>
        <w:t> </w:t>
      </w:r>
      <w:r>
        <w:rPr/>
        <w:t>月</w:t>
      </w:r>
      <w:r>
        <w:rPr>
          <w:spacing w:val="-56"/>
        </w:rPr>
        <w:t> </w:t>
      </w:r>
      <w:r>
        <w:rPr>
          <w:rFonts w:ascii="宋体" w:hAnsi="宋体" w:cs="宋体" w:eastAsia="宋体" w:hint="default"/>
        </w:rPr>
        <w:t>13</w:t>
      </w:r>
      <w:r>
        <w:rPr>
          <w:rFonts w:ascii="宋体" w:hAnsi="宋体" w:cs="宋体" w:eastAsia="宋体" w:hint="default"/>
          <w:spacing w:val="-57"/>
        </w:rPr>
        <w:t> </w:t>
      </w:r>
      <w:r>
        <w:rPr/>
        <w:t>日的《中 </w:t>
      </w:r>
      <w:r>
        <w:rPr>
          <w:spacing w:val="-6"/>
        </w:rPr>
        <w:t>国证券报》、《证券时报》以及巨潮资讯网（</w:t>
      </w:r>
      <w:r>
        <w:rPr>
          <w:rFonts w:ascii="宋体" w:hAnsi="宋体" w:cs="宋体" w:eastAsia="宋体" w:hint="default"/>
          <w:color w:val="0000FF"/>
          <w:spacing w:val="-6"/>
        </w:rPr>
      </w:r>
      <w:hyperlink r:id="rId15">
        <w:r>
          <w:rPr>
            <w:rFonts w:ascii="宋体" w:hAnsi="宋体" w:cs="宋体" w:eastAsia="宋体" w:hint="default"/>
            <w:color w:val="0000FF"/>
            <w:spacing w:val="-6"/>
            <w:u w:val="single" w:color="0000FF"/>
          </w:rPr>
          <w:t>http://www.cninfo.com.cn</w:t>
        </w:r>
        <w:r>
          <w:rPr>
            <w:rFonts w:ascii="宋体" w:hAnsi="宋体" w:cs="宋体" w:eastAsia="宋体" w:hint="default"/>
            <w:color w:val="0000FF"/>
            <w:spacing w:val="-6"/>
          </w:rPr>
        </w:r>
      </w:hyperlink>
      <w:r>
        <w:rPr>
          <w:spacing w:val="-6"/>
        </w:rPr>
        <w:t>）上。</w:t>
      </w:r>
    </w:p>
    <w:p>
      <w:pPr>
        <w:pStyle w:val="BodyText"/>
        <w:spacing w:line="240" w:lineRule="auto" w:before="154"/>
        <w:ind w:left="618" w:right="1787"/>
        <w:jc w:val="left"/>
      </w:pPr>
      <w:r>
        <w:rPr/>
        <w:t>五、</w:t>
      </w:r>
      <w:r>
        <w:rPr>
          <w:rFonts w:ascii="宋体" w:hAnsi="宋体" w:cs="宋体" w:eastAsia="宋体" w:hint="default"/>
        </w:rPr>
        <w:t>2010</w:t>
      </w:r>
      <w:r>
        <w:rPr>
          <w:rFonts w:ascii="宋体" w:hAnsi="宋体" w:cs="宋体" w:eastAsia="宋体" w:hint="default"/>
          <w:spacing w:val="-60"/>
        </w:rPr>
        <w:t> </w:t>
      </w:r>
      <w:r>
        <w:rPr/>
        <w:t>年第四次临时股东大会</w:t>
      </w:r>
    </w:p>
    <w:p>
      <w:pPr>
        <w:spacing w:line="240" w:lineRule="auto" w:before="12"/>
        <w:rPr>
          <w:rFonts w:ascii="宋体" w:hAnsi="宋体" w:cs="宋体" w:eastAsia="宋体" w:hint="default"/>
          <w:sz w:val="20"/>
          <w:szCs w:val="20"/>
        </w:rPr>
      </w:pPr>
    </w:p>
    <w:p>
      <w:pPr>
        <w:pStyle w:val="BodyText"/>
        <w:spacing w:line="240" w:lineRule="auto" w:before="0"/>
        <w:ind w:left="618" w:right="1248"/>
        <w:jc w:val="left"/>
      </w:pPr>
      <w:r>
        <w:rPr/>
        <w:t>公司于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t>日在公司四楼会议室召开，会议采取现场投票和网</w:t>
      </w:r>
    </w:p>
    <w:p>
      <w:pPr>
        <w:pStyle w:val="BodyText"/>
        <w:spacing w:line="240" w:lineRule="auto" w:before="152"/>
        <w:ind w:right="0"/>
        <w:jc w:val="both"/>
      </w:pPr>
      <w:r>
        <w:rPr/>
        <w:t>络投票相结合的方式。出席本次会议的股东及股东代表 </w:t>
      </w:r>
      <w:r>
        <w:rPr>
          <w:rFonts w:ascii="宋体" w:hAnsi="宋体" w:cs="宋体" w:eastAsia="宋体" w:hint="default"/>
        </w:rPr>
        <w:t>20</w:t>
      </w:r>
      <w:r>
        <w:rPr>
          <w:rFonts w:ascii="宋体" w:hAnsi="宋体" w:cs="宋体" w:eastAsia="宋体" w:hint="default"/>
          <w:spacing w:val="-90"/>
        </w:rPr>
        <w:t> </w:t>
      </w:r>
      <w:r>
        <w:rPr/>
        <w:t>名，代表有表决权的</w:t>
      </w:r>
    </w:p>
    <w:p>
      <w:pPr>
        <w:pStyle w:val="BodyText"/>
        <w:spacing w:line="357" w:lineRule="auto" w:before="154"/>
        <w:ind w:right="1764"/>
        <w:jc w:val="both"/>
      </w:pPr>
      <w:r>
        <w:rPr/>
        <w:t>股份</w:t>
      </w:r>
      <w:r>
        <w:rPr>
          <w:spacing w:val="-53"/>
        </w:rPr>
        <w:t> </w:t>
      </w:r>
      <w:r>
        <w:rPr>
          <w:rFonts w:ascii="宋体" w:hAnsi="宋体" w:cs="宋体" w:eastAsia="宋体" w:hint="default"/>
        </w:rPr>
        <w:t>68,219,741</w:t>
      </w:r>
      <w:r>
        <w:rPr>
          <w:rFonts w:ascii="宋体" w:hAnsi="宋体" w:cs="宋体" w:eastAsia="宋体" w:hint="default"/>
          <w:spacing w:val="-53"/>
        </w:rPr>
        <w:t> </w:t>
      </w:r>
      <w:r>
        <w:rPr/>
        <w:t>股，占公司总股本的</w:t>
      </w:r>
      <w:r>
        <w:rPr>
          <w:spacing w:val="-52"/>
        </w:rPr>
        <w:t> </w:t>
      </w:r>
      <w:r>
        <w:rPr>
          <w:rFonts w:ascii="宋体" w:hAnsi="宋体" w:cs="宋体" w:eastAsia="宋体" w:hint="default"/>
        </w:rPr>
        <w:t>41.3453%</w:t>
      </w:r>
      <w:r>
        <w:rPr/>
        <w:t>，其中：出席现场投票的股东</w:t>
      </w:r>
      <w:r>
        <w:rPr>
          <w:spacing w:val="-53"/>
        </w:rPr>
        <w:t> </w:t>
      </w:r>
      <w:r>
        <w:rPr>
          <w:rFonts w:ascii="宋体" w:hAnsi="宋体" w:cs="宋体" w:eastAsia="宋体" w:hint="default"/>
        </w:rPr>
        <w:t>5 </w:t>
      </w:r>
      <w:r>
        <w:rPr/>
        <w:t>人，代表有表决权的股份</w:t>
      </w:r>
      <w:r>
        <w:rPr>
          <w:spacing w:val="-69"/>
        </w:rPr>
        <w:t> </w:t>
      </w:r>
      <w:r>
        <w:rPr>
          <w:rFonts w:ascii="宋体" w:hAnsi="宋体" w:cs="宋体" w:eastAsia="宋体" w:hint="default"/>
        </w:rPr>
        <w:t>68,162,341</w:t>
      </w:r>
      <w:r>
        <w:rPr>
          <w:rFonts w:ascii="宋体" w:hAnsi="宋体" w:cs="宋体" w:eastAsia="宋体" w:hint="default"/>
          <w:spacing w:val="-69"/>
        </w:rPr>
        <w:t> </w:t>
      </w:r>
      <w:r>
        <w:rPr/>
        <w:t>股，占公司总股本的</w:t>
      </w:r>
      <w:r>
        <w:rPr>
          <w:spacing w:val="-69"/>
        </w:rPr>
        <w:t> </w:t>
      </w:r>
      <w:r>
        <w:rPr>
          <w:rFonts w:ascii="宋体" w:hAnsi="宋体" w:cs="宋体" w:eastAsia="宋体" w:hint="default"/>
        </w:rPr>
        <w:t>41.3105%</w:t>
      </w:r>
      <w:r>
        <w:rPr/>
        <w:t>；通过网络 投票的股东</w:t>
      </w:r>
      <w:r>
        <w:rPr>
          <w:spacing w:val="-61"/>
        </w:rPr>
        <w:t> </w:t>
      </w:r>
      <w:r>
        <w:rPr>
          <w:rFonts w:ascii="宋体" w:hAnsi="宋体" w:cs="宋体" w:eastAsia="宋体" w:hint="default"/>
        </w:rPr>
        <w:t>15</w:t>
      </w:r>
      <w:r>
        <w:rPr>
          <w:rFonts w:ascii="宋体" w:hAnsi="宋体" w:cs="宋体" w:eastAsia="宋体" w:hint="default"/>
          <w:spacing w:val="-60"/>
        </w:rPr>
        <w:t> </w:t>
      </w:r>
      <w:r>
        <w:rPr/>
        <w:t>人，代表有表决权的股份</w:t>
      </w:r>
      <w:r>
        <w:rPr>
          <w:spacing w:val="-60"/>
        </w:rPr>
        <w:t> </w:t>
      </w:r>
      <w:r>
        <w:rPr>
          <w:rFonts w:ascii="宋体" w:hAnsi="宋体" w:cs="宋体" w:eastAsia="宋体" w:hint="default"/>
        </w:rPr>
        <w:t>57,400</w:t>
      </w:r>
      <w:r>
        <w:rPr>
          <w:rFonts w:ascii="宋体" w:hAnsi="宋体" w:cs="宋体" w:eastAsia="宋体" w:hint="default"/>
          <w:spacing w:val="-60"/>
        </w:rPr>
        <w:t> </w:t>
      </w:r>
      <w:r>
        <w:rPr/>
        <w:t>股，占公司总股本的</w:t>
      </w:r>
      <w:r>
        <w:rPr>
          <w:spacing w:val="-60"/>
        </w:rPr>
        <w:t> </w:t>
      </w:r>
      <w:r>
        <w:rPr>
          <w:rFonts w:ascii="宋体" w:hAnsi="宋体" w:cs="宋体" w:eastAsia="宋体" w:hint="default"/>
        </w:rPr>
        <w:t>0.0348%</w:t>
      </w:r>
      <w:r>
        <w:rPr/>
        <w:t>。 </w:t>
      </w:r>
      <w:r>
        <w:rPr>
          <w:spacing w:val="-3"/>
        </w:rPr>
        <w:t>会议由董事长束龙胜先生主持，公司部分董事、监事出席了本次会议，其他部分</w:t>
      </w:r>
      <w:r>
        <w:rPr>
          <w:spacing w:val="-102"/>
        </w:rPr>
        <w:t> </w:t>
      </w:r>
      <w:r>
        <w:rPr>
          <w:spacing w:val="-102"/>
        </w:rPr>
      </w:r>
      <w:r>
        <w:rPr>
          <w:spacing w:val="-3"/>
        </w:rPr>
        <w:t>高级管理人员、见证律师列席了本次会议。本次会议的召集、召开符合有关法规</w:t>
      </w:r>
      <w:r>
        <w:rPr>
          <w:spacing w:val="-101"/>
        </w:rPr>
        <w:t> </w:t>
      </w:r>
      <w:r>
        <w:rPr>
          <w:spacing w:val="-101"/>
        </w:rPr>
      </w:r>
      <w:r>
        <w:rPr/>
        <w:t>及《公司章程》的规定。会议审议并通过以下决议：</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240" w:lineRule="auto" w:before="26"/>
        <w:ind w:left="618" w:right="1787"/>
        <w:jc w:val="left"/>
      </w:pPr>
      <w:r>
        <w:rPr>
          <w:rFonts w:ascii="宋体" w:hAnsi="宋体" w:cs="宋体" w:eastAsia="宋体" w:hint="default"/>
        </w:rPr>
        <w:t>1</w:t>
      </w:r>
      <w:r>
        <w:rPr>
          <w:spacing w:val="-120"/>
        </w:rPr>
        <w:t>、</w:t>
      </w:r>
      <w:r>
        <w:rPr/>
        <w:t>《关于继续使用部分闲置募集资金暂时补充流动资金的议</w:t>
      </w:r>
      <w:r>
        <w:rPr>
          <w:spacing w:val="1"/>
        </w:rPr>
        <w:t>案</w:t>
      </w:r>
      <w:r>
        <w:rPr>
          <w:spacing w:val="-120"/>
        </w:rPr>
        <w:t>》</w:t>
      </w:r>
      <w:r>
        <w:rPr/>
        <w:t>；</w:t>
      </w:r>
    </w:p>
    <w:p>
      <w:pPr>
        <w:spacing w:line="240" w:lineRule="auto" w:before="13"/>
        <w:rPr>
          <w:rFonts w:ascii="宋体" w:hAnsi="宋体" w:cs="宋体" w:eastAsia="宋体" w:hint="default"/>
          <w:sz w:val="20"/>
          <w:szCs w:val="20"/>
        </w:rPr>
      </w:pPr>
    </w:p>
    <w:p>
      <w:pPr>
        <w:pStyle w:val="BodyText"/>
        <w:spacing w:line="240" w:lineRule="auto" w:before="0"/>
        <w:ind w:left="618" w:right="1787"/>
        <w:jc w:val="left"/>
      </w:pPr>
      <w:r>
        <w:rPr>
          <w:rFonts w:ascii="宋体" w:hAnsi="宋体" w:cs="宋体" w:eastAsia="宋体" w:hint="default"/>
        </w:rPr>
        <w:t>2</w:t>
      </w:r>
      <w:r>
        <w:rPr>
          <w:spacing w:val="-120"/>
        </w:rPr>
        <w:t>、</w:t>
      </w:r>
      <w:r>
        <w:rPr/>
        <w:t>《关于修改公司章程的议案</w:t>
      </w:r>
      <w:r>
        <w:rPr>
          <w:spacing w:val="-120"/>
        </w:rPr>
        <w:t>》</w:t>
      </w:r>
      <w:r>
        <w:rPr/>
        <w:t>；</w:t>
      </w:r>
    </w:p>
    <w:p>
      <w:pPr>
        <w:spacing w:line="240" w:lineRule="auto" w:before="10"/>
        <w:rPr>
          <w:rFonts w:ascii="宋体" w:hAnsi="宋体" w:cs="宋体" w:eastAsia="宋体" w:hint="default"/>
          <w:sz w:val="20"/>
          <w:szCs w:val="20"/>
        </w:rPr>
      </w:pPr>
    </w:p>
    <w:p>
      <w:pPr>
        <w:pStyle w:val="BodyText"/>
        <w:spacing w:line="240" w:lineRule="auto" w:before="0"/>
        <w:ind w:left="618" w:right="1787"/>
        <w:jc w:val="left"/>
      </w:pPr>
      <w:r>
        <w:rPr>
          <w:rFonts w:ascii="宋体" w:hAnsi="宋体" w:cs="宋体" w:eastAsia="宋体" w:hint="default"/>
        </w:rPr>
        <w:t>3</w:t>
      </w:r>
      <w:r>
        <w:rPr/>
        <w:t>、《关于变动公司监事的议案》；</w:t>
      </w:r>
    </w:p>
    <w:p>
      <w:pPr>
        <w:spacing w:line="240" w:lineRule="auto" w:before="12"/>
        <w:rPr>
          <w:rFonts w:ascii="宋体" w:hAnsi="宋体" w:cs="宋体" w:eastAsia="宋体" w:hint="default"/>
          <w:sz w:val="20"/>
          <w:szCs w:val="20"/>
        </w:rPr>
      </w:pPr>
    </w:p>
    <w:p>
      <w:pPr>
        <w:pStyle w:val="BodyText"/>
        <w:spacing w:line="240" w:lineRule="auto" w:before="0"/>
        <w:ind w:left="618" w:right="1787"/>
        <w:jc w:val="left"/>
      </w:pPr>
      <w:r>
        <w:rPr>
          <w:rFonts w:ascii="宋体" w:hAnsi="宋体" w:cs="宋体" w:eastAsia="宋体" w:hint="default"/>
        </w:rPr>
        <w:t>4</w:t>
      </w:r>
      <w:r>
        <w:rPr>
          <w:spacing w:val="-120"/>
        </w:rPr>
        <w:t>、</w:t>
      </w:r>
      <w:r>
        <w:rPr/>
        <w:t>《关于修改</w:t>
      </w:r>
      <w:r>
        <w:rPr>
          <w:rFonts w:ascii="宋体" w:hAnsi="宋体" w:cs="宋体" w:eastAsia="宋体" w:hint="default"/>
        </w:rPr>
        <w:t>&lt;</w:t>
      </w:r>
      <w:r>
        <w:rPr/>
        <w:t>监事会议事规则</w:t>
      </w:r>
      <w:r>
        <w:rPr>
          <w:rFonts w:ascii="宋体" w:hAnsi="宋体" w:cs="宋体" w:eastAsia="宋体" w:hint="default"/>
        </w:rPr>
        <w:t>&gt;</w:t>
      </w:r>
      <w:r>
        <w:rPr/>
        <w:t>》的议案；</w:t>
      </w:r>
    </w:p>
    <w:p>
      <w:pPr>
        <w:spacing w:line="240" w:lineRule="auto" w:before="10"/>
        <w:rPr>
          <w:rFonts w:ascii="宋体" w:hAnsi="宋体" w:cs="宋体" w:eastAsia="宋体" w:hint="default"/>
          <w:sz w:val="20"/>
          <w:szCs w:val="20"/>
        </w:rPr>
      </w:pPr>
    </w:p>
    <w:p>
      <w:pPr>
        <w:pStyle w:val="BodyText"/>
        <w:spacing w:line="448" w:lineRule="auto" w:before="0"/>
        <w:ind w:left="618" w:right="1787"/>
        <w:jc w:val="left"/>
      </w:pPr>
      <w:r>
        <w:rPr>
          <w:rFonts w:ascii="宋体" w:hAnsi="宋体" w:cs="宋体" w:eastAsia="宋体" w:hint="default"/>
        </w:rPr>
        <w:t>5</w:t>
      </w:r>
      <w:r>
        <w:rPr/>
        <w:t>、《关于调整公司独立董事津贴》的议案。 </w:t>
      </w:r>
      <w:r>
        <w:rPr>
          <w:spacing w:val="-3"/>
        </w:rPr>
        <w:t>本次股东大会由北京市天银律师事务所指派律师出席了见证，并出具了《法</w:t>
      </w:r>
    </w:p>
    <w:p>
      <w:pPr>
        <w:pStyle w:val="BodyText"/>
        <w:spacing w:line="257" w:lineRule="exact" w:before="0"/>
        <w:ind w:right="0"/>
        <w:jc w:val="both"/>
      </w:pPr>
      <w:r>
        <w:rPr/>
        <w:t>律意</w:t>
      </w:r>
      <w:r>
        <w:rPr>
          <w:spacing w:val="2"/>
        </w:rPr>
        <w:t>见</w:t>
      </w:r>
      <w:r>
        <w:rPr/>
        <w:t>书</w:t>
      </w:r>
      <w:r>
        <w:rPr>
          <w:spacing w:val="-120"/>
        </w:rPr>
        <w:t>》</w:t>
      </w:r>
      <w:r>
        <w:rPr>
          <w:spacing w:val="2"/>
        </w:rPr>
        <w:t>，</w:t>
      </w:r>
      <w:r>
        <w:rPr/>
        <w:t>认</w:t>
      </w:r>
      <w:r>
        <w:rPr>
          <w:spacing w:val="2"/>
        </w:rPr>
        <w:t>为</w:t>
      </w:r>
      <w:r>
        <w:rPr>
          <w:spacing w:val="1"/>
        </w:rPr>
        <w:t>：</w:t>
      </w:r>
      <w:r>
        <w:rPr>
          <w:spacing w:val="2"/>
        </w:rPr>
        <w:t>公</w:t>
      </w:r>
      <w:r>
        <w:rPr/>
        <w:t>司本</w:t>
      </w:r>
      <w:r>
        <w:rPr>
          <w:spacing w:val="2"/>
        </w:rPr>
        <w:t>次</w:t>
      </w:r>
      <w:r>
        <w:rPr/>
        <w:t>股东</w:t>
      </w:r>
      <w:r>
        <w:rPr>
          <w:spacing w:val="2"/>
        </w:rPr>
        <w:t>大</w:t>
      </w:r>
      <w:r>
        <w:rPr/>
        <w:t>会的</w:t>
      </w:r>
      <w:r>
        <w:rPr>
          <w:spacing w:val="2"/>
        </w:rPr>
        <w:t>召集</w:t>
      </w:r>
      <w:r>
        <w:rPr/>
        <w:t>、召</w:t>
      </w:r>
      <w:r>
        <w:rPr>
          <w:spacing w:val="2"/>
        </w:rPr>
        <w:t>开</w:t>
      </w:r>
      <w:r>
        <w:rPr/>
        <w:t>程序</w:t>
      </w:r>
      <w:r>
        <w:rPr>
          <w:spacing w:val="2"/>
        </w:rPr>
        <w:t>符</w:t>
      </w:r>
      <w:r>
        <w:rPr/>
        <w:t>合《</w:t>
      </w:r>
      <w:r>
        <w:rPr>
          <w:spacing w:val="2"/>
        </w:rPr>
        <w:t>公司</w:t>
      </w:r>
      <w:r>
        <w:rPr/>
        <w:t>法</w:t>
      </w:r>
      <w:r>
        <w:rPr>
          <w:spacing w:val="-120"/>
        </w:rPr>
        <w:t>》</w:t>
      </w:r>
      <w:r>
        <w:rPr>
          <w:spacing w:val="-118"/>
        </w:rPr>
        <w:t>、</w:t>
      </w:r>
      <w:r>
        <w:rPr/>
        <w:t>《股东</w:t>
      </w:r>
    </w:p>
    <w:p>
      <w:pPr>
        <w:pStyle w:val="BodyText"/>
        <w:spacing w:line="357" w:lineRule="auto" w:before="154"/>
        <w:ind w:right="1792"/>
        <w:jc w:val="both"/>
      </w:pPr>
      <w:r>
        <w:rPr>
          <w:spacing w:val="-3"/>
        </w:rPr>
        <w:t>大会规则》等法律、法规、规范性文件及《公司章程》的有关规定，出席本次股</w:t>
      </w:r>
      <w:r>
        <w:rPr>
          <w:spacing w:val="-105"/>
        </w:rPr>
        <w:t> </w:t>
      </w:r>
      <w:r>
        <w:rPr>
          <w:spacing w:val="-105"/>
        </w:rPr>
      </w:r>
      <w:r>
        <w:rPr>
          <w:spacing w:val="-3"/>
        </w:rPr>
        <w:t>东大会的人员资格、召集人资格合法、有效，本次股东大会的表决方式、表决程</w:t>
      </w:r>
      <w:r>
        <w:rPr>
          <w:spacing w:val="-103"/>
        </w:rPr>
        <w:t> </w:t>
      </w:r>
      <w:r>
        <w:rPr>
          <w:spacing w:val="-103"/>
        </w:rPr>
      </w:r>
      <w:r>
        <w:rPr/>
        <w:t>序及表决结果均合法、有效。</w:t>
      </w:r>
    </w:p>
    <w:p>
      <w:pPr>
        <w:pStyle w:val="BodyText"/>
        <w:spacing w:line="357" w:lineRule="auto" w:before="154"/>
        <w:ind w:right="1780" w:firstLine="479"/>
        <w:jc w:val="left"/>
      </w:pP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年第四次临时股东大会决议公告刊登在</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23"/>
        </w:rPr>
        <w:t>日的《中</w:t>
      </w:r>
      <w:r>
        <w:rPr/>
        <w:t> </w:t>
      </w:r>
      <w:r>
        <w:rPr>
          <w:spacing w:val="-6"/>
        </w:rPr>
        <w:t>国证券报》、《证券时报》以及巨潮资讯网（</w:t>
      </w:r>
      <w:r>
        <w:rPr>
          <w:rFonts w:ascii="宋体" w:hAnsi="宋体" w:cs="宋体" w:eastAsia="宋体" w:hint="default"/>
          <w:color w:val="0000FF"/>
          <w:spacing w:val="-6"/>
        </w:rPr>
      </w:r>
      <w:hyperlink r:id="rId15">
        <w:r>
          <w:rPr>
            <w:rFonts w:ascii="宋体" w:hAnsi="宋体" w:cs="宋体" w:eastAsia="宋体" w:hint="default"/>
            <w:color w:val="0000FF"/>
            <w:spacing w:val="-6"/>
            <w:u w:val="single" w:color="0000FF"/>
          </w:rPr>
          <w:t>http://www.cninfo.com.cn</w:t>
        </w:r>
        <w:r>
          <w:rPr>
            <w:rFonts w:ascii="宋体" w:hAnsi="宋体" w:cs="宋体" w:eastAsia="宋体" w:hint="default"/>
            <w:color w:val="0000FF"/>
            <w:spacing w:val="-6"/>
          </w:rPr>
        </w:r>
      </w:hyperlink>
      <w:r>
        <w:rPr>
          <w:spacing w:val="-6"/>
        </w:rPr>
        <w:t>）上。</w:t>
      </w:r>
    </w:p>
    <w:p>
      <w:pPr>
        <w:spacing w:after="0" w:line="357" w:lineRule="auto"/>
        <w:jc w:val="left"/>
        <w:sectPr>
          <w:pgSz w:w="11910" w:h="16840"/>
          <w:pgMar w:header="816" w:footer="956" w:top="1160" w:bottom="1140" w:left="1660" w:right="0"/>
        </w:sectPr>
      </w:pPr>
    </w:p>
    <w:p>
      <w:pPr>
        <w:spacing w:line="240" w:lineRule="auto" w:before="8"/>
        <w:rPr>
          <w:rFonts w:ascii="宋体" w:hAnsi="宋体" w:cs="宋体" w:eastAsia="宋体" w:hint="default"/>
          <w:sz w:val="29"/>
          <w:szCs w:val="29"/>
        </w:rPr>
      </w:pPr>
    </w:p>
    <w:p>
      <w:pPr>
        <w:pStyle w:val="Heading1"/>
        <w:spacing w:line="240" w:lineRule="auto"/>
        <w:ind w:left="3447" w:right="1688"/>
        <w:jc w:val="left"/>
        <w:rPr>
          <w:b w:val="0"/>
          <w:bCs w:val="0"/>
        </w:rPr>
      </w:pPr>
      <w:bookmarkStart w:name="_TOC_250003" w:id="7"/>
      <w:r>
        <w:rPr/>
        <w:t>第七节</w:t>
      </w:r>
      <w:r>
        <w:rPr>
          <w:spacing w:val="-6"/>
        </w:rPr>
        <w:t> </w:t>
      </w:r>
      <w:r>
        <w:rPr/>
        <w:t>董事会报告</w:t>
      </w:r>
      <w:bookmarkEnd w:id="7"/>
      <w:r>
        <w:rPr>
          <w:b w:val="0"/>
          <w:bCs w:val="0"/>
        </w:rPr>
      </w:r>
    </w:p>
    <w:p>
      <w:pPr>
        <w:spacing w:line="240" w:lineRule="auto" w:before="8"/>
        <w:rPr>
          <w:rFonts w:ascii="黑体" w:hAnsi="黑体" w:cs="黑体" w:eastAsia="黑体" w:hint="default"/>
          <w:b/>
          <w:bCs/>
          <w:sz w:val="25"/>
          <w:szCs w:val="25"/>
        </w:rPr>
      </w:pPr>
    </w:p>
    <w:p>
      <w:pPr>
        <w:pStyle w:val="BodyText"/>
        <w:spacing w:line="357" w:lineRule="auto" w:before="0"/>
        <w:ind w:left="1138" w:right="6008"/>
        <w:jc w:val="left"/>
      </w:pPr>
      <w:r>
        <w:rPr/>
        <w:t>一、报告期内公司经营情况的回顾 </w:t>
      </w:r>
      <w:r>
        <w:rPr>
          <w:rFonts w:ascii="宋体" w:hAnsi="宋体" w:cs="宋体" w:eastAsia="宋体" w:hint="default"/>
        </w:rPr>
        <w:t>1</w:t>
      </w:r>
      <w:r>
        <w:rPr/>
        <w:t>、报告期内公司总体经营情况</w:t>
      </w:r>
    </w:p>
    <w:p>
      <w:pPr>
        <w:pStyle w:val="BodyText"/>
        <w:spacing w:line="357" w:lineRule="auto" w:before="36"/>
        <w:ind w:left="658" w:right="1688" w:firstLine="479"/>
        <w:jc w:val="left"/>
      </w:pPr>
      <w:r>
        <w:rPr>
          <w:rFonts w:ascii="宋体" w:hAnsi="宋体" w:cs="宋体" w:eastAsia="宋体" w:hint="default"/>
          <w:spacing w:val="-3"/>
        </w:rPr>
        <w:t>2010</w:t>
      </w:r>
      <w:r>
        <w:rPr>
          <w:spacing w:val="-3"/>
        </w:rPr>
        <w:t>年，随着我国经济的强劲复苏与快速发展，公司紧紧抓住国家经济复苏</w:t>
      </w:r>
      <w:r>
        <w:rPr/>
        <w:t> </w:t>
      </w:r>
      <w:r>
        <w:rPr>
          <w:spacing w:val="-3"/>
        </w:rPr>
        <w:t>所带来的市场发展机遇，努力拓展新市场，扩大产品销售规模。公司围绕董事会</w:t>
      </w:r>
      <w:r>
        <w:rPr>
          <w:spacing w:val="-102"/>
        </w:rPr>
        <w:t> </w:t>
      </w:r>
      <w:r>
        <w:rPr>
          <w:spacing w:val="-102"/>
        </w:rPr>
      </w:r>
      <w:r>
        <w:rPr/>
        <w:t>确定的战略目标，不断强化公司内部管理，通过完善产品结构、提高产品质量、</w:t>
      </w:r>
      <w:r>
        <w:rPr/>
        <w:t> </w:t>
      </w:r>
      <w:r>
        <w:rPr>
          <w:spacing w:val="-3"/>
        </w:rPr>
        <w:t>加强产品成本管理等方面的技术优势，提升公司综合竞争力，产品市场份额逐步</w:t>
      </w:r>
      <w:r>
        <w:rPr>
          <w:spacing w:val="-102"/>
        </w:rPr>
        <w:t> </w:t>
      </w:r>
      <w:r>
        <w:rPr>
          <w:spacing w:val="-102"/>
        </w:rPr>
      </w:r>
      <w:r>
        <w:rPr/>
        <w:t>加大，行业影响力持续增强。</w:t>
      </w:r>
    </w:p>
    <w:p>
      <w:pPr>
        <w:pStyle w:val="BodyText"/>
        <w:spacing w:line="357" w:lineRule="auto"/>
        <w:ind w:left="658" w:right="1791" w:firstLine="479"/>
        <w:jc w:val="both"/>
      </w:pPr>
      <w:r>
        <w:rPr/>
        <w:t>公司</w:t>
      </w:r>
      <w:r>
        <w:rPr>
          <w:rFonts w:ascii="宋体" w:hAnsi="宋体" w:cs="宋体" w:eastAsia="宋体" w:hint="default"/>
        </w:rPr>
        <w:t>2010</w:t>
      </w:r>
      <w:r>
        <w:rPr/>
        <w:t>年实现营业收入</w:t>
      </w:r>
      <w:r>
        <w:rPr>
          <w:rFonts w:ascii="宋体" w:hAnsi="宋体" w:cs="宋体" w:eastAsia="宋体" w:hint="default"/>
        </w:rPr>
        <w:t>60,952.66</w:t>
      </w:r>
      <w:r>
        <w:rPr/>
        <w:t>万元，比去年同期增长</w:t>
      </w:r>
      <w:r>
        <w:rPr>
          <w:rFonts w:ascii="宋体" w:hAnsi="宋体" w:cs="宋体" w:eastAsia="宋体" w:hint="default"/>
        </w:rPr>
        <w:t>18.85%</w:t>
      </w:r>
      <w:r>
        <w:rPr/>
        <w:t>；实现利 </w:t>
      </w:r>
      <w:r>
        <w:rPr>
          <w:spacing w:val="-2"/>
        </w:rPr>
        <w:t>润总额</w:t>
      </w:r>
      <w:r>
        <w:rPr>
          <w:rFonts w:ascii="宋体" w:hAnsi="宋体" w:cs="宋体" w:eastAsia="宋体" w:hint="default"/>
          <w:spacing w:val="-2"/>
        </w:rPr>
        <w:t>5010.45</w:t>
      </w:r>
      <w:r>
        <w:rPr>
          <w:spacing w:val="-2"/>
        </w:rPr>
        <w:t>万元，比去年同期增长</w:t>
      </w:r>
      <w:r>
        <w:rPr>
          <w:rFonts w:ascii="宋体" w:hAnsi="宋体" w:cs="宋体" w:eastAsia="宋体" w:hint="default"/>
          <w:spacing w:val="-2"/>
        </w:rPr>
        <w:t>13.72%</w:t>
      </w:r>
      <w:r>
        <w:rPr>
          <w:spacing w:val="-2"/>
        </w:rPr>
        <w:t>；实现净利润</w:t>
      </w:r>
      <w:r>
        <w:rPr>
          <w:rFonts w:ascii="宋体" w:hAnsi="宋体" w:cs="宋体" w:eastAsia="宋体" w:hint="default"/>
          <w:spacing w:val="-2"/>
        </w:rPr>
        <w:t>4307.40</w:t>
      </w:r>
      <w:r>
        <w:rPr>
          <w:spacing w:val="-2"/>
        </w:rPr>
        <w:t>万元，比去年</w:t>
      </w:r>
      <w:r>
        <w:rPr>
          <w:spacing w:val="-118"/>
        </w:rPr>
        <w:t> </w:t>
      </w:r>
      <w:r>
        <w:rPr>
          <w:spacing w:val="-118"/>
        </w:rPr>
      </w:r>
      <w:r>
        <w:rPr/>
        <w:t>同期增长</w:t>
      </w:r>
      <w:r>
        <w:rPr>
          <w:rFonts w:ascii="宋体" w:hAnsi="宋体" w:cs="宋体" w:eastAsia="宋体" w:hint="default"/>
        </w:rPr>
        <w:t>11.36%</w:t>
      </w:r>
      <w:r>
        <w:rPr/>
        <w:t>。</w:t>
      </w:r>
    </w:p>
    <w:p>
      <w:pPr>
        <w:pStyle w:val="BodyText"/>
        <w:spacing w:line="357" w:lineRule="auto" w:before="36"/>
        <w:ind w:left="658" w:right="1791" w:firstLine="479"/>
        <w:jc w:val="both"/>
      </w:pPr>
      <w:r>
        <w:rPr>
          <w:spacing w:val="-6"/>
        </w:rPr>
        <w:t>报告期内，公司技术及产品优势得到持续提升。在</w:t>
      </w:r>
      <w:r>
        <w:rPr>
          <w:rFonts w:ascii="宋体" w:hAnsi="宋体" w:cs="宋体" w:eastAsia="宋体" w:hint="default"/>
          <w:spacing w:val="-6"/>
        </w:rPr>
        <w:t>2010</w:t>
      </w:r>
      <w:r>
        <w:rPr>
          <w:spacing w:val="-6"/>
        </w:rPr>
        <w:t>年，公司项目</w:t>
      </w:r>
      <w:r>
        <w:rPr>
          <w:rFonts w:ascii="宋体" w:hAnsi="宋体" w:cs="宋体" w:eastAsia="宋体" w:hint="default"/>
          <w:spacing w:val="-6"/>
        </w:rPr>
        <w:t>XZBW-12</w:t>
      </w:r>
      <w:r>
        <w:rPr>
          <w:rFonts w:ascii="宋体" w:hAnsi="宋体" w:cs="宋体" w:eastAsia="宋体" w:hint="default"/>
        </w:rPr>
        <w:t> </w:t>
      </w:r>
      <w:r>
        <w:rPr>
          <w:spacing w:val="15"/>
        </w:rPr>
        <w:t>铁路电力远动高压</w:t>
      </w:r>
      <w:r>
        <w:rPr>
          <w:rFonts w:ascii="宋体" w:hAnsi="宋体" w:cs="宋体" w:eastAsia="宋体" w:hint="default"/>
          <w:spacing w:val="15"/>
        </w:rPr>
        <w:t>/</w:t>
      </w:r>
      <w:r>
        <w:rPr>
          <w:spacing w:val="15"/>
        </w:rPr>
        <w:t>低压预装式变电站获得国家重点新产品证书；公司项目</w:t>
      </w:r>
      <w:r>
        <w:rPr/>
        <w:t> </w:t>
      </w:r>
      <w:r>
        <w:rPr>
          <w:rFonts w:ascii="宋体" w:hAnsi="宋体" w:cs="宋体" w:eastAsia="宋体" w:hint="default"/>
          <w:spacing w:val="-3"/>
        </w:rPr>
        <w:t>DMX300</w:t>
      </w:r>
      <w:r>
        <w:rPr>
          <w:spacing w:val="-3"/>
        </w:rPr>
        <w:t>多功能测控装置获得国家火炬计划项目证书；公司产品</w:t>
      </w:r>
      <w:r>
        <w:rPr>
          <w:rFonts w:ascii="宋体" w:hAnsi="宋体" w:cs="宋体" w:eastAsia="宋体" w:hint="default"/>
          <w:spacing w:val="-3"/>
        </w:rPr>
        <w:t>AXQ1</w:t>
      </w:r>
      <w:r>
        <w:rPr>
          <w:spacing w:val="-3"/>
        </w:rPr>
        <w:t>系列智能型双</w:t>
      </w:r>
      <w:r>
        <w:rPr>
          <w:spacing w:val="-89"/>
        </w:rPr>
        <w:t> </w:t>
      </w:r>
      <w:r>
        <w:rPr>
          <w:spacing w:val="-3"/>
        </w:rPr>
        <w:t>电源自动转换开关、</w:t>
      </w:r>
      <w:r>
        <w:rPr>
          <w:rFonts w:ascii="宋体" w:hAnsi="宋体" w:cs="宋体" w:eastAsia="宋体" w:hint="default"/>
          <w:spacing w:val="-3"/>
        </w:rPr>
        <w:t>HXGN-12</w:t>
      </w:r>
      <w:r>
        <w:rPr>
          <w:spacing w:val="-3"/>
        </w:rPr>
        <w:t>型户内交流金属封闭开关设备、</w:t>
      </w:r>
      <w:r>
        <w:rPr>
          <w:rFonts w:ascii="宋体" w:hAnsi="宋体" w:cs="宋体" w:eastAsia="宋体" w:hint="default"/>
          <w:spacing w:val="-3"/>
        </w:rPr>
        <w:t>okken</w:t>
      </w:r>
      <w:r>
        <w:rPr>
          <w:spacing w:val="-3"/>
        </w:rPr>
        <w:t>低压配电柜获</w:t>
      </w:r>
      <w:r>
        <w:rPr>
          <w:spacing w:val="-85"/>
        </w:rPr>
        <w:t> </w:t>
      </w:r>
      <w:r>
        <w:rPr/>
        <w:t>得安徽省高新技术产品认定证书。</w:t>
      </w:r>
    </w:p>
    <w:p>
      <w:pPr>
        <w:pStyle w:val="BodyText"/>
        <w:spacing w:line="357" w:lineRule="auto"/>
        <w:ind w:left="658" w:right="1792" w:firstLine="479"/>
        <w:jc w:val="both"/>
      </w:pPr>
      <w:r>
        <w:rPr>
          <w:spacing w:val="-3"/>
        </w:rPr>
        <w:t>报告期内，根据相关规定，公司继续享受国家关于高新技术企业的相关优惠</w:t>
      </w:r>
      <w:r>
        <w:rPr/>
        <w:t> 政策，减按</w:t>
      </w:r>
      <w:r>
        <w:rPr>
          <w:rFonts w:ascii="宋体" w:hAnsi="宋体" w:cs="宋体" w:eastAsia="宋体" w:hint="default"/>
        </w:rPr>
        <w:t>15%</w:t>
      </w:r>
      <w:r>
        <w:rPr/>
        <w:t>的税率征收企业所得税。</w:t>
      </w:r>
    </w:p>
    <w:p>
      <w:pPr>
        <w:pStyle w:val="BodyText"/>
        <w:spacing w:line="240" w:lineRule="auto"/>
        <w:ind w:left="1138" w:right="1688"/>
        <w:jc w:val="left"/>
      </w:pPr>
      <w:r>
        <w:rPr>
          <w:rFonts w:ascii="宋体" w:hAnsi="宋体" w:cs="宋体" w:eastAsia="宋体" w:hint="default"/>
        </w:rPr>
        <w:t>2</w:t>
      </w:r>
      <w:r>
        <w:rPr/>
        <w:t>、公司主营业务及其经营情况</w:t>
      </w:r>
    </w:p>
    <w:p>
      <w:pPr>
        <w:pStyle w:val="BodyText"/>
        <w:spacing w:line="357" w:lineRule="auto" w:before="154"/>
        <w:ind w:left="658" w:right="1792" w:firstLine="479"/>
        <w:jc w:val="both"/>
      </w:pPr>
      <w:r>
        <w:rPr/>
        <w:t>（</w:t>
      </w:r>
      <w:r>
        <w:rPr>
          <w:rFonts w:ascii="宋体" w:hAnsi="宋体" w:cs="宋体" w:eastAsia="宋体" w:hint="default"/>
        </w:rPr>
        <w:t>1</w:t>
      </w:r>
      <w:r>
        <w:rPr/>
        <w:t>）公司主要从事电气机械及器材制造、工业过程控制及监控系统、计算 </w:t>
      </w:r>
      <w:r>
        <w:rPr>
          <w:spacing w:val="-3"/>
        </w:rPr>
        <w:t>机应用服务与综合信息网络工程、电子声像工程、各种智能化系统和技术防范工</w:t>
      </w:r>
      <w:r>
        <w:rPr>
          <w:spacing w:val="-103"/>
        </w:rPr>
        <w:t> </w:t>
      </w:r>
      <w:r>
        <w:rPr>
          <w:spacing w:val="-103"/>
        </w:rPr>
      </w:r>
      <w:r>
        <w:rPr>
          <w:spacing w:val="-3"/>
        </w:rPr>
        <w:t>程设计、制造、施工、安装、维修、调试、销售与技术服务；经营本企业自产产</w:t>
      </w:r>
      <w:r>
        <w:rPr>
          <w:spacing w:val="-105"/>
        </w:rPr>
        <w:t> </w:t>
      </w:r>
      <w:r>
        <w:rPr>
          <w:spacing w:val="-105"/>
        </w:rPr>
      </w:r>
      <w:r>
        <w:rPr>
          <w:spacing w:val="-3"/>
        </w:rPr>
        <w:t>品及相关技术的出口和科研所需的原辅材料、仪器仪表、机械设备、零配件及相</w:t>
      </w:r>
      <w:r>
        <w:rPr>
          <w:spacing w:val="-102"/>
        </w:rPr>
        <w:t> </w:t>
      </w:r>
      <w:r>
        <w:rPr>
          <w:spacing w:val="-102"/>
        </w:rPr>
      </w:r>
      <w:r>
        <w:rPr>
          <w:spacing w:val="-3"/>
        </w:rPr>
        <w:t>关技术的进口（国家限定经营或禁止进出口的商品除外）；进料加工和“三来一</w:t>
      </w:r>
      <w:r>
        <w:rPr>
          <w:spacing w:val="-108"/>
        </w:rPr>
        <w:t> </w:t>
      </w:r>
      <w:r>
        <w:rPr>
          <w:spacing w:val="-108"/>
        </w:rPr>
      </w:r>
      <w:r>
        <w:rPr>
          <w:spacing w:val="-40"/>
        </w:rPr>
        <w:t>补”。</w:t>
      </w:r>
    </w:p>
    <w:p>
      <w:pPr>
        <w:pStyle w:val="BodyText"/>
        <w:spacing w:line="240" w:lineRule="auto"/>
        <w:ind w:left="1138" w:right="1688"/>
        <w:jc w:val="left"/>
      </w:pPr>
      <w:r>
        <w:rPr/>
        <w:t>（</w:t>
      </w:r>
      <w:r>
        <w:rPr>
          <w:rFonts w:ascii="宋体" w:hAnsi="宋体" w:cs="宋体" w:eastAsia="宋体" w:hint="default"/>
        </w:rPr>
        <w:t>2</w:t>
      </w:r>
      <w:r>
        <w:rPr/>
        <w:t>）主要财务数据变动及其原因</w:t>
      </w:r>
    </w:p>
    <w:p>
      <w:pPr>
        <w:spacing w:before="16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83"/>
        <w:gridCol w:w="1685"/>
        <w:gridCol w:w="2120"/>
        <w:gridCol w:w="2120"/>
        <w:gridCol w:w="1685"/>
      </w:tblGrid>
      <w:tr>
        <w:trPr>
          <w:trHeight w:val="410" w:hRule="exact"/>
        </w:trPr>
        <w:tc>
          <w:tcPr>
            <w:tcW w:w="1783"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left="90" w:right="0"/>
              <w:jc w:val="center"/>
              <w:rPr>
                <w:rFonts w:ascii="宋体" w:hAnsi="宋体" w:cs="宋体" w:eastAsia="宋体" w:hint="default"/>
                <w:sz w:val="18"/>
                <w:szCs w:val="18"/>
              </w:rPr>
            </w:pPr>
            <w:r>
              <w:rPr>
                <w:rFonts w:ascii="宋体" w:hAnsi="宋体" w:cs="宋体" w:eastAsia="宋体" w:hint="default"/>
                <w:sz w:val="18"/>
                <w:szCs w:val="18"/>
              </w:rPr>
              <w:t>本年比上年增减幅</w:t>
            </w:r>
            <w:r>
              <w:rPr>
                <w:rFonts w:ascii="宋体" w:hAnsi="宋体" w:cs="宋体" w:eastAsia="宋体" w:hint="default"/>
                <w:spacing w:val="-77"/>
                <w:sz w:val="18"/>
                <w:szCs w:val="18"/>
              </w:rPr>
              <w:t>度</w:t>
            </w: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w:t>
            </w:r>
          </w:p>
        </w:tc>
      </w:tr>
      <w:tr>
        <w:trPr>
          <w:trHeight w:val="410" w:hRule="exact"/>
        </w:trPr>
        <w:tc>
          <w:tcPr>
            <w:tcW w:w="17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left="5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sz w:val="18"/>
              </w:rPr>
              <w:t>609,526,619.84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512,854,330.10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18.85%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sz w:val="18"/>
              </w:rPr>
              <w:t>418,854,654.07</w:t>
            </w:r>
          </w:p>
        </w:tc>
      </w:tr>
    </w:tbl>
    <w:p>
      <w:pPr>
        <w:spacing w:after="0" w:line="215" w:lineRule="exact"/>
        <w:jc w:val="center"/>
        <w:rPr>
          <w:rFonts w:ascii="宋体" w:hAnsi="宋体" w:cs="宋体" w:eastAsia="宋体" w:hint="default"/>
          <w:sz w:val="18"/>
          <w:szCs w:val="18"/>
        </w:rPr>
        <w:sectPr>
          <w:pgSz w:w="11910" w:h="16840"/>
          <w:pgMar w:header="816" w:footer="956" w:top="1160" w:bottom="1140" w:left="1140" w:right="0"/>
        </w:sectPr>
      </w:pPr>
    </w:p>
    <w:p>
      <w:pPr>
        <w:spacing w:line="240" w:lineRule="auto" w:before="3"/>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782"/>
        <w:gridCol w:w="1687"/>
        <w:gridCol w:w="2120"/>
        <w:gridCol w:w="2120"/>
        <w:gridCol w:w="1685"/>
      </w:tblGrid>
      <w:tr>
        <w:trPr>
          <w:trHeight w:val="41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0" w:right="0"/>
              <w:jc w:val="left"/>
              <w:rPr>
                <w:rFonts w:ascii="宋体" w:hAnsi="宋体" w:cs="宋体" w:eastAsia="宋体" w:hint="default"/>
                <w:sz w:val="18"/>
                <w:szCs w:val="18"/>
              </w:rPr>
            </w:pPr>
            <w:r>
              <w:rPr>
                <w:rFonts w:ascii="宋体"/>
                <w:sz w:val="18"/>
              </w:rPr>
              <w:t>45,523,737.64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42,066,218.19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8.22%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32,281,927.95</w:t>
            </w:r>
          </w:p>
        </w:tc>
      </w:tr>
      <w:tr>
        <w:trPr>
          <w:trHeight w:val="411"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50" w:right="0"/>
              <w:jc w:val="left"/>
              <w:rPr>
                <w:rFonts w:ascii="宋体" w:hAnsi="宋体" w:cs="宋体" w:eastAsia="宋体" w:hint="default"/>
                <w:sz w:val="18"/>
                <w:szCs w:val="18"/>
              </w:rPr>
            </w:pPr>
            <w:r>
              <w:rPr>
                <w:rFonts w:ascii="宋体"/>
                <w:sz w:val="18"/>
              </w:rPr>
              <w:t>50,104,486.15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44,059,852.91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13.72%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32,694,605.66</w:t>
            </w:r>
          </w:p>
        </w:tc>
      </w:tr>
      <w:tr>
        <w:trPr>
          <w:trHeight w:val="65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434" w:right="167" w:hanging="27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50" w:right="0"/>
              <w:jc w:val="left"/>
              <w:rPr>
                <w:rFonts w:ascii="宋体" w:hAnsi="宋体" w:cs="宋体" w:eastAsia="宋体" w:hint="default"/>
                <w:sz w:val="18"/>
                <w:szCs w:val="18"/>
              </w:rPr>
            </w:pPr>
            <w:r>
              <w:rPr>
                <w:rFonts w:ascii="宋体"/>
                <w:sz w:val="18"/>
              </w:rPr>
              <w:t>42,735,587.61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37,986,548.08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12.50%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27,784,980.12</w:t>
            </w:r>
          </w:p>
        </w:tc>
      </w:tr>
      <w:tr>
        <w:trPr>
          <w:trHeight w:val="648"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434" w:right="167" w:hanging="272"/>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1" w:right="0"/>
              <w:jc w:val="left"/>
              <w:rPr>
                <w:rFonts w:ascii="宋体" w:hAnsi="宋体" w:cs="宋体" w:eastAsia="宋体" w:hint="default"/>
                <w:sz w:val="18"/>
                <w:szCs w:val="18"/>
              </w:rPr>
            </w:pPr>
            <w:r>
              <w:rPr>
                <w:rFonts w:ascii="宋体"/>
                <w:sz w:val="18"/>
              </w:rPr>
              <w:t>-152,638,603.93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15,730,640.06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-1070.33%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sz w:val="18"/>
              </w:rPr>
              <w:t>28,184,503.19</w:t>
            </w:r>
          </w:p>
        </w:tc>
      </w:tr>
      <w:tr>
        <w:trPr>
          <w:trHeight w:val="41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0.2590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0.2845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-8.96%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center"/>
              <w:rPr>
                <w:rFonts w:ascii="宋体" w:hAnsi="宋体" w:cs="宋体" w:eastAsia="宋体" w:hint="default"/>
                <w:sz w:val="18"/>
                <w:szCs w:val="18"/>
              </w:rPr>
            </w:pPr>
            <w:r>
              <w:rPr>
                <w:rFonts w:ascii="宋体"/>
                <w:sz w:val="18"/>
              </w:rPr>
              <w:t>0.2259</w:t>
            </w:r>
          </w:p>
        </w:tc>
      </w:tr>
      <w:tr>
        <w:trPr>
          <w:trHeight w:val="41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3"/>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9.08%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14.99%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-5.91%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 w:right="0"/>
              <w:jc w:val="center"/>
              <w:rPr>
                <w:rFonts w:ascii="宋体" w:hAnsi="宋体" w:cs="宋体" w:eastAsia="宋体" w:hint="default"/>
                <w:sz w:val="18"/>
                <w:szCs w:val="18"/>
              </w:rPr>
            </w:pPr>
            <w:r>
              <w:rPr>
                <w:rFonts w:ascii="宋体"/>
                <w:sz w:val="18"/>
              </w:rPr>
              <w:t>17.31%</w:t>
            </w:r>
          </w:p>
        </w:tc>
      </w:tr>
      <w:tr>
        <w:trPr>
          <w:trHeight w:val="65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left="47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年末</w:t>
            </w:r>
          </w:p>
        </w:tc>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年末</w:t>
            </w:r>
          </w:p>
        </w:tc>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before="1"/>
              <w:ind w:left="739" w:right="154" w:hanging="586"/>
              <w:jc w:val="left"/>
              <w:rPr>
                <w:rFonts w:ascii="宋体" w:hAnsi="宋体" w:cs="宋体" w:eastAsia="宋体" w:hint="default"/>
                <w:sz w:val="18"/>
                <w:szCs w:val="18"/>
              </w:rPr>
            </w:pPr>
            <w:r>
              <w:rPr>
                <w:rFonts w:ascii="宋体" w:hAnsi="宋体" w:cs="宋体" w:eastAsia="宋体" w:hint="default"/>
                <w:sz w:val="18"/>
                <w:szCs w:val="18"/>
              </w:rPr>
              <w:t>本年末比上年末增减幅 度（</w:t>
            </w:r>
            <w:r>
              <w:rPr>
                <w:rFonts w:ascii="宋体" w:hAnsi="宋体" w:cs="宋体" w:eastAsia="宋体" w:hint="default"/>
                <w:sz w:val="18"/>
                <w:szCs w:val="18"/>
              </w:rPr>
              <w:t>%</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年末</w:t>
            </w:r>
          </w:p>
        </w:tc>
      </w:tr>
      <w:tr>
        <w:trPr>
          <w:trHeight w:val="411"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6" w:right="0"/>
              <w:jc w:val="left"/>
              <w:rPr>
                <w:rFonts w:ascii="宋体" w:hAnsi="宋体" w:cs="宋体" w:eastAsia="宋体" w:hint="default"/>
                <w:sz w:val="18"/>
                <w:szCs w:val="18"/>
              </w:rPr>
            </w:pPr>
            <w:r>
              <w:rPr>
                <w:rFonts w:ascii="宋体"/>
                <w:sz w:val="18"/>
              </w:rPr>
              <w:t>1,157,978,344.72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857,958,892.00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sz w:val="18"/>
              </w:rPr>
              <w:t>34.97%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sz w:val="18"/>
              </w:rPr>
              <w:t>617,144,825.50</w:t>
            </w:r>
          </w:p>
        </w:tc>
      </w:tr>
      <w:tr>
        <w:trPr>
          <w:trHeight w:val="890" w:hRule="exact"/>
        </w:trPr>
        <w:tc>
          <w:tcPr>
            <w:tcW w:w="17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63" w:right="167"/>
              <w:jc w:val="center"/>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7" w:right="0"/>
              <w:jc w:val="left"/>
              <w:rPr>
                <w:rFonts w:ascii="宋体" w:hAnsi="宋体" w:cs="宋体" w:eastAsia="宋体" w:hint="default"/>
                <w:sz w:val="18"/>
                <w:szCs w:val="18"/>
              </w:rPr>
            </w:pPr>
            <w:r>
              <w:rPr>
                <w:rFonts w:ascii="宋体"/>
                <w:sz w:val="18"/>
              </w:rPr>
              <w:t>488,684,414.01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452,548,826.40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7.98%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sz w:val="18"/>
              </w:rPr>
              <w:t>174,422,562.38</w:t>
            </w:r>
          </w:p>
        </w:tc>
      </w:tr>
    </w:tbl>
    <w:p>
      <w:pPr>
        <w:pStyle w:val="BodyText"/>
        <w:spacing w:line="274" w:lineRule="exact" w:before="0"/>
        <w:ind w:left="658" w:right="1688"/>
        <w:jc w:val="left"/>
      </w:pPr>
      <w:r>
        <w:rPr/>
        <w:t>①</w:t>
      </w:r>
      <w:r>
        <w:rPr>
          <w:spacing w:val="28"/>
        </w:rPr>
        <w:t> </w:t>
      </w:r>
      <w:r>
        <w:rPr/>
        <w:t>报告期公司实现营业收入</w:t>
      </w:r>
      <w:r>
        <w:rPr>
          <w:rFonts w:ascii="宋体" w:hAnsi="宋体" w:cs="宋体" w:eastAsia="宋体" w:hint="default"/>
        </w:rPr>
        <w:t>609,526,619.84</w:t>
      </w:r>
      <w:r>
        <w:rPr/>
        <w:t>元，比</w:t>
      </w:r>
      <w:r>
        <w:rPr>
          <w:rFonts w:ascii="宋体" w:hAnsi="宋体" w:cs="宋体" w:eastAsia="宋体" w:hint="default"/>
        </w:rPr>
        <w:t>2009</w:t>
      </w:r>
      <w:r>
        <w:rPr/>
        <w:t>年的</w:t>
      </w:r>
      <w:r>
        <w:rPr>
          <w:rFonts w:ascii="宋体" w:hAnsi="宋体" w:cs="宋体" w:eastAsia="宋体" w:hint="default"/>
        </w:rPr>
        <w:t>512,854,330.10</w:t>
      </w:r>
      <w:r>
        <w:rPr/>
        <w:t>元</w:t>
      </w:r>
    </w:p>
    <w:p>
      <w:pPr>
        <w:pStyle w:val="BodyText"/>
        <w:spacing w:line="357" w:lineRule="auto" w:before="151"/>
        <w:ind w:left="1018" w:right="1688"/>
        <w:jc w:val="left"/>
      </w:pPr>
      <w:r>
        <w:rPr/>
        <w:t>增加</w:t>
      </w:r>
      <w:r>
        <w:rPr>
          <w:rFonts w:ascii="宋体" w:hAnsi="宋体" w:cs="宋体" w:eastAsia="宋体" w:hint="default"/>
        </w:rPr>
        <w:t>96,672,289.74</w:t>
      </w:r>
      <w:r>
        <w:rPr/>
        <w:t>元，增幅为</w:t>
      </w:r>
      <w:r>
        <w:rPr>
          <w:rFonts w:ascii="宋体" w:hAnsi="宋体" w:cs="宋体" w:eastAsia="宋体" w:hint="default"/>
        </w:rPr>
        <w:t>18.85%</w:t>
      </w:r>
      <w:r>
        <w:rPr/>
        <w:t>。营业收入增长的原因为公司上市后， 充分发挥品牌优势，市场营销力度加大，销售规模扩张所致。</w:t>
      </w:r>
    </w:p>
    <w:p>
      <w:pPr>
        <w:pStyle w:val="BodyText"/>
        <w:spacing w:line="357" w:lineRule="auto"/>
        <w:ind w:left="1018" w:right="1786" w:hanging="360"/>
        <w:jc w:val="both"/>
      </w:pPr>
      <w:r>
        <w:rPr/>
        <w:t>②</w:t>
      </w:r>
      <w:r>
        <w:rPr>
          <w:spacing w:val="29"/>
        </w:rPr>
        <w:t> </w:t>
      </w:r>
      <w:r>
        <w:rPr/>
        <w:t>报告期公司实现营业利润为</w:t>
      </w:r>
      <w:r>
        <w:rPr>
          <w:rFonts w:ascii="宋体" w:hAnsi="宋体" w:cs="宋体" w:eastAsia="宋体" w:hint="default"/>
        </w:rPr>
        <w:t>45,523,737.64</w:t>
      </w:r>
      <w:r>
        <w:rPr/>
        <w:t>元，比</w:t>
      </w:r>
      <w:r>
        <w:rPr>
          <w:rFonts w:ascii="宋体" w:hAnsi="宋体" w:cs="宋体" w:eastAsia="宋体" w:hint="default"/>
        </w:rPr>
        <w:t>2009</w:t>
      </w:r>
      <w:r>
        <w:rPr/>
        <w:t>年增长</w:t>
      </w:r>
      <w:r>
        <w:rPr>
          <w:rFonts w:ascii="宋体" w:hAnsi="宋体" w:cs="宋体" w:eastAsia="宋体" w:hint="default"/>
        </w:rPr>
        <w:t>8.22%</w:t>
      </w:r>
      <w:r>
        <w:rPr/>
        <w:t>；报告期</w:t>
      </w:r>
      <w:r>
        <w:rPr>
          <w:spacing w:val="-117"/>
        </w:rPr>
        <w:t> </w:t>
      </w:r>
      <w:r>
        <w:rPr>
          <w:spacing w:val="-3"/>
        </w:rPr>
        <w:t>公司实现利润总额为</w:t>
      </w:r>
      <w:r>
        <w:rPr>
          <w:rFonts w:ascii="宋体" w:hAnsi="宋体" w:cs="宋体" w:eastAsia="宋体" w:hint="default"/>
          <w:spacing w:val="-3"/>
        </w:rPr>
        <w:t>50,104,486.15</w:t>
      </w:r>
      <w:r>
        <w:rPr>
          <w:spacing w:val="-3"/>
        </w:rPr>
        <w:t>元，比上年增长</w:t>
      </w:r>
      <w:r>
        <w:rPr>
          <w:rFonts w:ascii="宋体" w:hAnsi="宋体" w:cs="宋体" w:eastAsia="宋体" w:hint="default"/>
          <w:spacing w:val="-3"/>
        </w:rPr>
        <w:t>13.72%</w:t>
      </w:r>
      <w:r>
        <w:rPr>
          <w:spacing w:val="-3"/>
        </w:rPr>
        <w:t>；报告期公司实现</w:t>
      </w:r>
      <w:r>
        <w:rPr/>
        <w:t> </w:t>
      </w:r>
      <w:r>
        <w:rPr>
          <w:spacing w:val="-3"/>
        </w:rPr>
        <w:t>归属于上市公司股东的净利润为</w:t>
      </w:r>
      <w:r>
        <w:rPr>
          <w:rFonts w:ascii="宋体" w:hAnsi="宋体" w:cs="宋体" w:eastAsia="宋体" w:hint="default"/>
          <w:spacing w:val="-3"/>
        </w:rPr>
        <w:t>42,735,587.61</w:t>
      </w:r>
      <w:r>
        <w:rPr>
          <w:spacing w:val="-3"/>
        </w:rPr>
        <w:t>元，比上年增长</w:t>
      </w:r>
      <w:r>
        <w:rPr>
          <w:rFonts w:ascii="宋体" w:hAnsi="宋体" w:cs="宋体" w:eastAsia="宋体" w:hint="default"/>
          <w:spacing w:val="-3"/>
        </w:rPr>
        <w:t>12.50%</w:t>
      </w:r>
      <w:r>
        <w:rPr>
          <w:spacing w:val="-3"/>
        </w:rPr>
        <w:t>；这三</w:t>
      </w:r>
      <w:r>
        <w:rPr/>
        <w:t> 项指标的增长原因为营业收入增长带来的利润增长。</w:t>
      </w:r>
    </w:p>
    <w:p>
      <w:pPr>
        <w:pStyle w:val="BodyText"/>
        <w:spacing w:line="357" w:lineRule="auto"/>
        <w:ind w:left="1018" w:right="1792" w:hanging="360"/>
        <w:jc w:val="both"/>
      </w:pPr>
      <w:r>
        <w:rPr/>
        <w:t>③</w:t>
      </w:r>
      <w:r>
        <w:rPr>
          <w:spacing w:val="37"/>
        </w:rPr>
        <w:t> </w:t>
      </w:r>
      <w:r>
        <w:rPr>
          <w:spacing w:val="-3"/>
        </w:rPr>
        <w:t>报告期公司经营活动产生的现金流量净额为</w:t>
      </w:r>
      <w:r>
        <w:rPr>
          <w:rFonts w:ascii="宋体" w:hAnsi="宋体" w:cs="宋体" w:eastAsia="宋体" w:hint="default"/>
          <w:spacing w:val="-3"/>
        </w:rPr>
        <w:t>-152,638,603.93</w:t>
      </w:r>
      <w:r>
        <w:rPr>
          <w:spacing w:val="-3"/>
        </w:rPr>
        <w:t>元，比</w:t>
      </w:r>
      <w:r>
        <w:rPr>
          <w:rFonts w:ascii="宋体" w:hAnsi="宋体" w:cs="宋体" w:eastAsia="宋体" w:hint="default"/>
          <w:spacing w:val="-3"/>
        </w:rPr>
        <w:t>2009</w:t>
      </w:r>
      <w:r>
        <w:rPr>
          <w:spacing w:val="-3"/>
        </w:rPr>
        <w:t>年内</w:t>
      </w:r>
      <w:r>
        <w:rPr>
          <w:spacing w:val="-118"/>
        </w:rPr>
        <w:t> </w:t>
      </w:r>
      <w:r>
        <w:rPr>
          <w:spacing w:val="-3"/>
        </w:rPr>
        <w:t>减少</w:t>
      </w:r>
      <w:r>
        <w:rPr>
          <w:rFonts w:ascii="宋体" w:hAnsi="宋体" w:cs="宋体" w:eastAsia="宋体" w:hint="default"/>
          <w:spacing w:val="-3"/>
        </w:rPr>
        <w:t>1070.33%</w:t>
      </w:r>
      <w:r>
        <w:rPr>
          <w:spacing w:val="-3"/>
        </w:rPr>
        <w:t>，主要原因为</w:t>
      </w:r>
      <w:r>
        <w:rPr>
          <w:rFonts w:ascii="宋体" w:hAnsi="宋体" w:cs="宋体" w:eastAsia="宋体" w:hint="default"/>
          <w:spacing w:val="-3"/>
        </w:rPr>
        <w:t>:</w:t>
      </w:r>
      <w:r>
        <w:rPr>
          <w:spacing w:val="-3"/>
        </w:rPr>
        <w:t>公司的销售规模扩张，订单增长，为完成订单而</w:t>
      </w:r>
      <w:r>
        <w:rPr/>
        <w:t> 备料，支付的材料采购款增加所致。</w:t>
      </w:r>
    </w:p>
    <w:p>
      <w:pPr>
        <w:pStyle w:val="BodyText"/>
        <w:spacing w:line="357" w:lineRule="auto"/>
        <w:ind w:left="1018" w:right="1791" w:hanging="360"/>
        <w:jc w:val="both"/>
      </w:pPr>
      <w:r>
        <w:rPr/>
        <w:t>④</w:t>
      </w:r>
      <w:r>
        <w:rPr>
          <w:spacing w:val="25"/>
        </w:rPr>
        <w:t> </w:t>
      </w:r>
      <w:r>
        <w:rPr>
          <w:spacing w:val="-3"/>
        </w:rPr>
        <w:t>报告期公司每股收益为</w:t>
      </w:r>
      <w:r>
        <w:rPr>
          <w:rFonts w:ascii="宋体" w:hAnsi="宋体" w:cs="宋体" w:eastAsia="宋体" w:hint="default"/>
          <w:spacing w:val="-3"/>
        </w:rPr>
        <w:t>0.2590</w:t>
      </w:r>
      <w:r>
        <w:rPr>
          <w:spacing w:val="-3"/>
        </w:rPr>
        <w:t>元，比上年减少</w:t>
      </w:r>
      <w:r>
        <w:rPr>
          <w:rFonts w:ascii="宋体" w:hAnsi="宋体" w:cs="宋体" w:eastAsia="宋体" w:hint="default"/>
          <w:spacing w:val="-3"/>
        </w:rPr>
        <w:t>8.96%</w:t>
      </w:r>
      <w:r>
        <w:rPr>
          <w:spacing w:val="-3"/>
        </w:rPr>
        <w:t>，其主要原因系报告期公</w:t>
      </w:r>
      <w:r>
        <w:rPr>
          <w:spacing w:val="-118"/>
        </w:rPr>
        <w:t> </w:t>
      </w:r>
      <w:r>
        <w:rPr>
          <w:spacing w:val="-118"/>
        </w:rPr>
      </w:r>
      <w:r>
        <w:rPr/>
        <w:t>司以公积金转增股份，股份总数增加所致。</w:t>
      </w:r>
    </w:p>
    <w:p>
      <w:pPr>
        <w:pStyle w:val="BodyText"/>
        <w:spacing w:line="357" w:lineRule="auto"/>
        <w:ind w:left="1018" w:right="1791" w:hanging="360"/>
        <w:jc w:val="both"/>
      </w:pPr>
      <w:r>
        <w:rPr/>
        <w:t>⑤</w:t>
      </w:r>
      <w:r>
        <w:rPr>
          <w:spacing w:val="31"/>
        </w:rPr>
        <w:t> </w:t>
      </w:r>
      <w:r>
        <w:rPr>
          <w:spacing w:val="-3"/>
        </w:rPr>
        <w:t>报告期公司净资产收益率为</w:t>
      </w:r>
      <w:r>
        <w:rPr>
          <w:rFonts w:ascii="宋体" w:hAnsi="宋体" w:cs="宋体" w:eastAsia="宋体" w:hint="default"/>
          <w:spacing w:val="-3"/>
        </w:rPr>
        <w:t>9.08%</w:t>
      </w:r>
      <w:r>
        <w:rPr>
          <w:spacing w:val="-3"/>
        </w:rPr>
        <w:t>，比上年减少</w:t>
      </w:r>
      <w:r>
        <w:rPr>
          <w:rFonts w:ascii="宋体" w:hAnsi="宋体" w:cs="宋体" w:eastAsia="宋体" w:hint="default"/>
          <w:spacing w:val="-3"/>
        </w:rPr>
        <w:t>5.91%</w:t>
      </w:r>
      <w:r>
        <w:rPr>
          <w:spacing w:val="-3"/>
        </w:rPr>
        <w:t>，其主要原因系</w:t>
      </w:r>
      <w:r>
        <w:rPr>
          <w:rFonts w:ascii="宋体" w:hAnsi="宋体" w:cs="宋体" w:eastAsia="宋体" w:hint="default"/>
          <w:spacing w:val="-3"/>
        </w:rPr>
        <w:t>2009</w:t>
      </w:r>
      <w:r>
        <w:rPr>
          <w:spacing w:val="-3"/>
        </w:rPr>
        <w:t>年</w:t>
      </w:r>
      <w:r>
        <w:rPr>
          <w:rFonts w:ascii="宋体" w:hAnsi="宋体" w:cs="宋体" w:eastAsia="宋体" w:hint="default"/>
          <w:spacing w:val="-3"/>
        </w:rPr>
        <w:t>9</w:t>
      </w:r>
      <w:r>
        <w:rPr>
          <w:rFonts w:ascii="宋体" w:hAnsi="宋体" w:cs="宋体" w:eastAsia="宋体" w:hint="default"/>
          <w:spacing w:val="-118"/>
        </w:rPr>
        <w:t> </w:t>
      </w:r>
      <w:r>
        <w:rPr/>
        <w:t>月公司公开发行上市，收到募集资金，净资产大幅增加所致。</w:t>
      </w:r>
    </w:p>
    <w:p>
      <w:pPr>
        <w:pStyle w:val="BodyText"/>
        <w:spacing w:line="357" w:lineRule="auto"/>
        <w:ind w:left="1018" w:right="1789" w:hanging="360"/>
        <w:jc w:val="both"/>
      </w:pPr>
      <w:r>
        <w:rPr/>
        <w:t>⑥</w:t>
      </w:r>
      <w:r>
        <w:rPr>
          <w:spacing w:val="29"/>
        </w:rPr>
        <w:t> </w:t>
      </w:r>
      <w:r>
        <w:rPr>
          <w:rFonts w:ascii="宋体" w:hAnsi="宋体" w:cs="宋体" w:eastAsia="宋体" w:hint="default"/>
        </w:rPr>
        <w:t>2010</w:t>
      </w:r>
      <w:r>
        <w:rPr/>
        <w:t>年末，公司总资产为</w:t>
      </w:r>
      <w:r>
        <w:rPr>
          <w:rFonts w:ascii="宋体" w:hAnsi="宋体" w:cs="宋体" w:eastAsia="宋体" w:hint="default"/>
        </w:rPr>
        <w:t>1,157,978,344.72</w:t>
      </w:r>
      <w:r>
        <w:rPr/>
        <w:t>，比上年增加</w:t>
      </w:r>
      <w:r>
        <w:rPr>
          <w:rFonts w:ascii="宋体" w:hAnsi="宋体" w:cs="宋体" w:eastAsia="宋体" w:hint="default"/>
        </w:rPr>
        <w:t>34.97%</w:t>
      </w:r>
      <w:r>
        <w:rPr/>
        <w:t>，其原因为</w:t>
      </w:r>
      <w:r>
        <w:rPr>
          <w:spacing w:val="-118"/>
        </w:rPr>
        <w:t> </w:t>
      </w:r>
      <w:r>
        <w:rPr>
          <w:spacing w:val="-118"/>
        </w:rPr>
      </w:r>
      <w:r>
        <w:rPr/>
        <w:t>公司销售规模的扩张导致结算期内应收账款和存货备料的增加。</w:t>
      </w:r>
    </w:p>
    <w:p>
      <w:pPr>
        <w:pStyle w:val="BodyText"/>
        <w:spacing w:line="357" w:lineRule="auto"/>
        <w:ind w:left="1018" w:right="1788" w:hanging="360"/>
        <w:jc w:val="both"/>
      </w:pPr>
      <w:r>
        <w:rPr/>
        <w:t>⑦</w:t>
      </w:r>
      <w:r>
        <w:rPr>
          <w:spacing w:val="28"/>
        </w:rPr>
        <w:t> </w:t>
      </w:r>
      <w:r>
        <w:rPr>
          <w:rFonts w:ascii="宋体" w:hAnsi="宋体" w:cs="宋体" w:eastAsia="宋体" w:hint="default"/>
        </w:rPr>
        <w:t>2010</w:t>
      </w:r>
      <w:r>
        <w:rPr/>
        <w:t>年末，公司归属于上市公司股东的所有者权益为</w:t>
      </w:r>
      <w:r>
        <w:rPr>
          <w:rFonts w:ascii="宋体" w:hAnsi="宋体" w:cs="宋体" w:eastAsia="宋体" w:hint="default"/>
        </w:rPr>
        <w:t>488,684,414.01</w:t>
      </w:r>
      <w:r>
        <w:rPr/>
        <w:t>元，比</w:t>
      </w:r>
      <w:r>
        <w:rPr>
          <w:spacing w:val="-117"/>
        </w:rPr>
        <w:t> </w:t>
      </w:r>
      <w:r>
        <w:rPr/>
        <w:t>上年增长</w:t>
      </w:r>
      <w:r>
        <w:rPr>
          <w:rFonts w:ascii="宋体" w:hAnsi="宋体" w:cs="宋体" w:eastAsia="宋体" w:hint="default"/>
        </w:rPr>
        <w:t>7.98%</w:t>
      </w:r>
      <w:r>
        <w:rPr/>
        <w:t>，其增加的主要原因为公司净利润的增加。</w:t>
      </w:r>
    </w:p>
    <w:p>
      <w:pPr>
        <w:pStyle w:val="BodyText"/>
        <w:spacing w:line="240" w:lineRule="auto"/>
        <w:ind w:left="1138" w:right="1688"/>
        <w:jc w:val="left"/>
      </w:pPr>
      <w:r>
        <w:rPr/>
        <w:t>（</w:t>
      </w:r>
      <w:r>
        <w:rPr>
          <w:rFonts w:ascii="宋体" w:hAnsi="宋体" w:cs="宋体" w:eastAsia="宋体" w:hint="default"/>
        </w:rPr>
        <w:t>3</w:t>
      </w:r>
      <w:r>
        <w:rPr/>
        <w:t>）主营业务按产品类别构成情况</w:t>
      </w:r>
    </w:p>
    <w:p>
      <w:pPr>
        <w:spacing w:before="16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816" w:footer="956" w:top="1160" w:bottom="1140" w:left="1140" w:right="0"/>
        </w:sectPr>
      </w:pPr>
    </w:p>
    <w:p>
      <w:pPr>
        <w:spacing w:line="240" w:lineRule="auto" w:before="3"/>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952"/>
        <w:gridCol w:w="1299"/>
        <w:gridCol w:w="1301"/>
        <w:gridCol w:w="1301"/>
        <w:gridCol w:w="1298"/>
        <w:gridCol w:w="1301"/>
        <w:gridCol w:w="1378"/>
      </w:tblGrid>
      <w:tr>
        <w:trPr>
          <w:trHeight w:val="245"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6"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341"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46"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46" w:right="0" w:hanging="44"/>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48" w:right="0" w:hanging="44"/>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年增减（</w:t>
            </w:r>
            <w:r>
              <w:rPr>
                <w:rFonts w:ascii="宋体" w:hAnsi="宋体" w:cs="宋体" w:eastAsia="宋体"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毛利率比上年增</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电器机械及器材制造业</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60,952.66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40,522.96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0.33%</w:t>
            </w:r>
          </w:p>
        </w:tc>
      </w:tr>
      <w:tr>
        <w:trPr>
          <w:trHeight w:val="242"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高、低压成套开关设备</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49,403.54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34,456.27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30.26%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17.20%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-1.34%</w:t>
            </w: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元器件</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8,109.40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4,261.31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47.45%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31.95%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4.69%</w:t>
            </w: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2,338.78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1,537.48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34.26%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4.76%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-1.20%</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62.35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47.61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23.64%</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1,038.58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220.29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78.79%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-14.54%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-69.94%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39.10%</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60,952.66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40,522.96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33.52%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18.26%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0.33%</w:t>
            </w:r>
          </w:p>
        </w:tc>
      </w:tr>
    </w:tbl>
    <w:p>
      <w:pPr>
        <w:pStyle w:val="BodyText"/>
        <w:spacing w:line="274" w:lineRule="exact" w:before="0"/>
        <w:ind w:left="1358" w:right="0"/>
        <w:jc w:val="left"/>
      </w:pPr>
      <w:r>
        <w:rPr/>
        <w:t>（</w:t>
      </w:r>
      <w:r>
        <w:rPr>
          <w:rFonts w:ascii="宋体" w:hAnsi="宋体" w:cs="宋体" w:eastAsia="宋体" w:hint="default"/>
        </w:rPr>
        <w:t>4</w:t>
      </w:r>
      <w:r>
        <w:rPr/>
        <w:t>）主营业务按地区分别情况</w:t>
      </w:r>
    </w:p>
    <w:p>
      <w:pPr>
        <w:spacing w:line="240" w:lineRule="auto" w:before="4"/>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163"/>
        <w:gridCol w:w="2859"/>
        <w:gridCol w:w="2809"/>
      </w:tblGrid>
      <w:tr>
        <w:trPr>
          <w:trHeight w:val="242" w:hRule="exact"/>
        </w:trPr>
        <w:tc>
          <w:tcPr>
            <w:tcW w:w="41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28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64"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245"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27,009.77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39.94%</w:t>
            </w:r>
          </w:p>
        </w:tc>
      </w:tr>
      <w:tr>
        <w:trPr>
          <w:trHeight w:val="243"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
              <w:jc w:val="right"/>
              <w:rPr>
                <w:rFonts w:ascii="宋体" w:hAnsi="宋体" w:cs="宋体" w:eastAsia="宋体" w:hint="default"/>
                <w:sz w:val="18"/>
                <w:szCs w:val="18"/>
              </w:rPr>
            </w:pPr>
            <w:r>
              <w:rPr>
                <w:rFonts w:ascii="宋体"/>
                <w:sz w:val="18"/>
              </w:rPr>
              <w:t>28,147.50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right"/>
              <w:rPr>
                <w:rFonts w:ascii="宋体" w:hAnsi="宋体" w:cs="宋体" w:eastAsia="宋体" w:hint="default"/>
                <w:sz w:val="18"/>
                <w:szCs w:val="18"/>
              </w:rPr>
            </w:pPr>
            <w:r>
              <w:rPr>
                <w:rFonts w:ascii="宋体"/>
                <w:sz w:val="18"/>
              </w:rPr>
              <w:t>6.03%</w:t>
            </w:r>
          </w:p>
        </w:tc>
      </w:tr>
      <w:tr>
        <w:trPr>
          <w:trHeight w:val="245"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其中：安徽省</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19,861.07</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23.48%</w:t>
            </w:r>
          </w:p>
        </w:tc>
      </w:tr>
      <w:tr>
        <w:trPr>
          <w:trHeight w:val="242"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369.08</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-16.12%</w:t>
            </w:r>
          </w:p>
        </w:tc>
      </w:tr>
      <w:tr>
        <w:trPr>
          <w:trHeight w:val="242"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1,609.03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-10.71%</w:t>
            </w:r>
          </w:p>
        </w:tc>
      </w:tr>
      <w:tr>
        <w:trPr>
          <w:trHeight w:val="245"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461.55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-15.98%</w:t>
            </w:r>
          </w:p>
        </w:tc>
      </w:tr>
      <w:tr>
        <w:trPr>
          <w:trHeight w:val="242"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487.89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-21.43%</w:t>
            </w:r>
          </w:p>
        </w:tc>
      </w:tr>
      <w:tr>
        <w:trPr>
          <w:trHeight w:val="245"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2,867.84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41.64%</w:t>
            </w:r>
          </w:p>
        </w:tc>
      </w:tr>
      <w:tr>
        <w:trPr>
          <w:trHeight w:val="242" w:hRule="exact"/>
        </w:trPr>
        <w:tc>
          <w:tcPr>
            <w:tcW w:w="41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60,952.66</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pacing w:val="-1"/>
                <w:sz w:val="18"/>
              </w:rPr>
              <w:t>18.85%</w:t>
            </w:r>
          </w:p>
        </w:tc>
      </w:tr>
    </w:tbl>
    <w:p>
      <w:pPr>
        <w:pStyle w:val="BodyText"/>
        <w:spacing w:line="274" w:lineRule="exact" w:before="0"/>
        <w:ind w:left="1358" w:right="0"/>
        <w:jc w:val="left"/>
      </w:pPr>
      <w:r>
        <w:rPr/>
        <w:t>（</w:t>
      </w:r>
      <w:r>
        <w:rPr>
          <w:rFonts w:ascii="宋体" w:hAnsi="宋体" w:cs="宋体" w:eastAsia="宋体" w:hint="default"/>
        </w:rPr>
        <w:t>5</w:t>
      </w:r>
      <w:r>
        <w:rPr/>
        <w:t>）主要供应商和客户情况</w:t>
      </w:r>
    </w:p>
    <w:p>
      <w:pPr>
        <w:spacing w:line="240" w:lineRule="auto" w:before="6"/>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万元</w:t>
      </w:r>
    </w:p>
    <w:p>
      <w:pPr>
        <w:spacing w:line="240" w:lineRule="auto" w:before="5"/>
        <w:rPr>
          <w:rFonts w:ascii="宋体" w:hAnsi="宋体" w:cs="宋体" w:eastAsia="宋体" w:hint="default"/>
          <w:sz w:val="2"/>
          <w:szCs w:val="2"/>
        </w:rPr>
      </w:pPr>
    </w:p>
    <w:tbl>
      <w:tblPr>
        <w:tblW w:w="0" w:type="auto"/>
        <w:jc w:val="left"/>
        <w:tblInd w:w="566" w:type="dxa"/>
        <w:tblLayout w:type="fixed"/>
        <w:tblCellMar>
          <w:top w:w="0" w:type="dxa"/>
          <w:left w:w="0" w:type="dxa"/>
          <w:bottom w:w="0" w:type="dxa"/>
          <w:right w:w="0" w:type="dxa"/>
        </w:tblCellMar>
        <w:tblLook w:val="01E0"/>
      </w:tblPr>
      <w:tblGrid>
        <w:gridCol w:w="2627"/>
        <w:gridCol w:w="1381"/>
        <w:gridCol w:w="1380"/>
        <w:gridCol w:w="1380"/>
        <w:gridCol w:w="2161"/>
      </w:tblGrid>
      <w:tr>
        <w:trPr>
          <w:trHeight w:val="409" w:hRule="exact"/>
        </w:trPr>
        <w:tc>
          <w:tcPr>
            <w:tcW w:w="2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前五名供应商情况</w:t>
            </w:r>
          </w:p>
        </w:tc>
        <w:tc>
          <w:tcPr>
            <w:tcW w:w="13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36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3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36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3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36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right="154"/>
              <w:jc w:val="right"/>
              <w:rPr>
                <w:rFonts w:ascii="宋体" w:hAnsi="宋体" w:cs="宋体" w:eastAsia="宋体" w:hint="default"/>
                <w:sz w:val="21"/>
                <w:szCs w:val="21"/>
              </w:rPr>
            </w:pPr>
            <w:r>
              <w:rPr>
                <w:rFonts w:ascii="宋体" w:hAnsi="宋体" w:cs="宋体" w:eastAsia="宋体" w:hint="default"/>
                <w:spacing w:val="-1"/>
                <w:sz w:val="21"/>
                <w:szCs w:val="21"/>
              </w:rPr>
              <w:t>本年比上年增减幅度</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合计采购金额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15,961.13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10,136.76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7,996.76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z w:val="21"/>
              </w:rPr>
              <w:t>57.46%</w:t>
            </w:r>
          </w:p>
        </w:tc>
      </w:tr>
      <w:tr>
        <w:trPr>
          <w:trHeight w:val="411" w:hRule="exact"/>
        </w:trPr>
        <w:tc>
          <w:tcPr>
            <w:tcW w:w="26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占年度采购总金额的比例</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1"/>
                <w:szCs w:val="21"/>
              </w:rPr>
            </w:pPr>
            <w:r>
              <w:rPr>
                <w:rFonts w:ascii="宋体"/>
                <w:sz w:val="21"/>
              </w:rPr>
              <w:t>31.83%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1"/>
                <w:szCs w:val="21"/>
              </w:rPr>
            </w:pPr>
            <w:r>
              <w:rPr>
                <w:rFonts w:ascii="宋体"/>
                <w:sz w:val="21"/>
              </w:rPr>
              <w:t>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1"/>
                <w:szCs w:val="21"/>
              </w:rPr>
            </w:pPr>
            <w:r>
              <w:rPr>
                <w:rFonts w:ascii="宋体"/>
                <w:sz w:val="21"/>
              </w:rPr>
              <w:t>22.42%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04"/>
              <w:jc w:val="right"/>
              <w:rPr>
                <w:rFonts w:ascii="宋体" w:hAnsi="宋体" w:cs="宋体" w:eastAsia="宋体" w:hint="default"/>
                <w:sz w:val="21"/>
                <w:szCs w:val="21"/>
              </w:rPr>
            </w:pPr>
            <w:r>
              <w:rPr>
                <w:rFonts w:ascii="宋体"/>
                <w:sz w:val="21"/>
              </w:rPr>
              <w:t>7.83%</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应付账款余额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861.94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1,060.31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602.92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pacing w:val="-1"/>
                <w:sz w:val="21"/>
              </w:rPr>
              <w:t>-18.71%</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占应付账款余额的比例</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9.65%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11.03%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9.05%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z w:val="21"/>
              </w:rPr>
              <w:t>-1.38%</w:t>
            </w:r>
          </w:p>
        </w:tc>
      </w:tr>
      <w:tr>
        <w:trPr>
          <w:trHeight w:val="408"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前五名客户情况</w:t>
            </w:r>
          </w:p>
        </w:tc>
        <w:tc>
          <w:tcPr>
            <w:tcW w:w="1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6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6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6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154"/>
              <w:jc w:val="right"/>
              <w:rPr>
                <w:rFonts w:ascii="宋体" w:hAnsi="宋体" w:cs="宋体" w:eastAsia="宋体" w:hint="default"/>
                <w:sz w:val="21"/>
                <w:szCs w:val="21"/>
              </w:rPr>
            </w:pPr>
            <w:r>
              <w:rPr>
                <w:rFonts w:ascii="宋体" w:hAnsi="宋体" w:cs="宋体" w:eastAsia="宋体" w:hint="default"/>
                <w:spacing w:val="-1"/>
                <w:sz w:val="21"/>
                <w:szCs w:val="21"/>
              </w:rPr>
              <w:t>本年比上年增减幅度</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合计销售金额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12,427.71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14,987.78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10,834.37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04"/>
              <w:jc w:val="right"/>
              <w:rPr>
                <w:rFonts w:ascii="宋体" w:hAnsi="宋体" w:cs="宋体" w:eastAsia="宋体" w:hint="default"/>
                <w:sz w:val="21"/>
                <w:szCs w:val="21"/>
              </w:rPr>
            </w:pPr>
            <w:r>
              <w:rPr>
                <w:rFonts w:ascii="宋体"/>
                <w:spacing w:val="-1"/>
                <w:sz w:val="21"/>
              </w:rPr>
              <w:t>-17.08%</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占年度销售总金额的比例</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20.38%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29.23%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25.99%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z w:val="21"/>
              </w:rPr>
              <w:t>-8.85%</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6,755.94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1,281.48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3,486.73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pacing w:val="-1"/>
                <w:sz w:val="21"/>
              </w:rPr>
              <w:t>427.20%</w:t>
            </w:r>
          </w:p>
        </w:tc>
      </w:tr>
      <w:tr>
        <w:trPr>
          <w:trHeight w:val="410" w:hRule="exact"/>
        </w:trPr>
        <w:tc>
          <w:tcPr>
            <w:tcW w:w="26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占应收账款余额的比例</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22.83%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9.87%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34.71%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宋体" w:hAnsi="宋体" w:cs="宋体" w:eastAsia="宋体" w:hint="default"/>
                <w:sz w:val="21"/>
                <w:szCs w:val="21"/>
              </w:rPr>
            </w:pPr>
            <w:r>
              <w:rPr>
                <w:rFonts w:ascii="宋体"/>
                <w:sz w:val="21"/>
              </w:rPr>
              <w:t>12.96%</w:t>
            </w:r>
          </w:p>
        </w:tc>
      </w:tr>
    </w:tbl>
    <w:p>
      <w:pPr>
        <w:pStyle w:val="BodyText"/>
        <w:spacing w:line="274" w:lineRule="exact" w:before="0"/>
        <w:ind w:left="1358" w:right="0"/>
        <w:jc w:val="left"/>
      </w:pPr>
      <w:r>
        <w:rPr/>
        <w:t>（</w:t>
      </w:r>
      <w:r>
        <w:rPr>
          <w:rFonts w:ascii="宋体" w:hAnsi="宋体" w:cs="宋体" w:eastAsia="宋体" w:hint="default"/>
        </w:rPr>
        <w:t>6</w:t>
      </w:r>
      <w:r>
        <w:rPr/>
        <w:t>）毛利率变动情况</w:t>
      </w:r>
    </w:p>
    <w:p>
      <w:pPr>
        <w:spacing w:line="240" w:lineRule="auto" w:before="10"/>
        <w:rPr>
          <w:rFonts w:ascii="宋体" w:hAnsi="宋体" w:cs="宋体" w:eastAsia="宋体" w:hint="default"/>
          <w:sz w:val="14"/>
          <w:szCs w:val="14"/>
        </w:rPr>
      </w:pPr>
    </w:p>
    <w:tbl>
      <w:tblPr>
        <w:tblW w:w="0" w:type="auto"/>
        <w:jc w:val="left"/>
        <w:tblInd w:w="638" w:type="dxa"/>
        <w:tblLayout w:type="fixed"/>
        <w:tblCellMar>
          <w:top w:w="0" w:type="dxa"/>
          <w:left w:w="0" w:type="dxa"/>
          <w:bottom w:w="0" w:type="dxa"/>
          <w:right w:w="0" w:type="dxa"/>
        </w:tblCellMar>
        <w:tblLook w:val="01E0"/>
      </w:tblPr>
      <w:tblGrid>
        <w:gridCol w:w="1891"/>
        <w:gridCol w:w="1721"/>
        <w:gridCol w:w="1724"/>
        <w:gridCol w:w="1723"/>
        <w:gridCol w:w="1724"/>
      </w:tblGrid>
      <w:tr>
        <w:trPr>
          <w:trHeight w:val="409" w:hRule="exact"/>
        </w:trPr>
        <w:tc>
          <w:tcPr>
            <w:tcW w:w="18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right="53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left="54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r>
      <w:tr>
        <w:trPr>
          <w:trHeight w:val="410" w:hRule="exact"/>
        </w:trPr>
        <w:tc>
          <w:tcPr>
            <w:tcW w:w="18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销售毛利率（</w:t>
            </w:r>
            <w:r>
              <w:rPr>
                <w:rFonts w:ascii="宋体" w:hAnsi="宋体" w:cs="宋体" w:eastAsia="宋体" w:hint="default"/>
                <w:sz w:val="21"/>
                <w:szCs w:val="21"/>
              </w:rPr>
              <w:t>%</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590"/>
              <w:jc w:val="right"/>
              <w:rPr>
                <w:rFonts w:ascii="宋体" w:hAnsi="宋体" w:cs="宋体" w:eastAsia="宋体" w:hint="default"/>
                <w:sz w:val="21"/>
                <w:szCs w:val="21"/>
              </w:rPr>
            </w:pPr>
            <w:r>
              <w:rPr>
                <w:rFonts w:ascii="宋体"/>
                <w:sz w:val="21"/>
              </w:rPr>
              <w:t>33.52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33.19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0.33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93" w:right="0"/>
              <w:jc w:val="left"/>
              <w:rPr>
                <w:rFonts w:ascii="宋体" w:hAnsi="宋体" w:cs="宋体" w:eastAsia="宋体" w:hint="default"/>
                <w:sz w:val="21"/>
                <w:szCs w:val="21"/>
              </w:rPr>
            </w:pPr>
            <w:r>
              <w:rPr>
                <w:rFonts w:ascii="宋体"/>
                <w:sz w:val="21"/>
              </w:rPr>
              <w:t>33.68</w:t>
            </w:r>
          </w:p>
        </w:tc>
      </w:tr>
    </w:tbl>
    <w:p>
      <w:pPr>
        <w:pStyle w:val="BodyText"/>
        <w:spacing w:line="274" w:lineRule="exact" w:before="0"/>
        <w:ind w:left="1358" w:right="0"/>
        <w:jc w:val="left"/>
      </w:pPr>
      <w:r>
        <w:rPr/>
        <w:t>（</w:t>
      </w:r>
      <w:r>
        <w:rPr>
          <w:rFonts w:ascii="宋体" w:hAnsi="宋体" w:cs="宋体" w:eastAsia="宋体" w:hint="default"/>
        </w:rPr>
        <w:t>7</w:t>
      </w:r>
      <w:r>
        <w:rPr/>
        <w:t>）非经常性损益情况</w:t>
      </w:r>
    </w:p>
    <w:p>
      <w:pPr>
        <w:spacing w:line="240" w:lineRule="auto" w:before="6"/>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4"/>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3438"/>
        <w:gridCol w:w="1630"/>
        <w:gridCol w:w="1632"/>
        <w:gridCol w:w="1630"/>
        <w:gridCol w:w="1296"/>
      </w:tblGrid>
      <w:tr>
        <w:trPr>
          <w:trHeight w:val="650" w:hRule="exact"/>
        </w:trPr>
        <w:tc>
          <w:tcPr>
            <w:tcW w:w="34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49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49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49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220" w:right="115" w:hanging="106"/>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增减幅度</w:t>
            </w:r>
          </w:p>
        </w:tc>
      </w:tr>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1" w:right="0"/>
              <w:jc w:val="left"/>
              <w:rPr>
                <w:rFonts w:ascii="宋体" w:hAnsi="宋体" w:cs="宋体" w:eastAsia="宋体" w:hint="default"/>
                <w:sz w:val="21"/>
                <w:szCs w:val="21"/>
              </w:rPr>
            </w:pPr>
            <w:r>
              <w:rPr>
                <w:rFonts w:ascii="宋体"/>
                <w:sz w:val="21"/>
              </w:rPr>
              <w:t>77,564.51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71" w:right="0"/>
              <w:jc w:val="left"/>
              <w:rPr>
                <w:rFonts w:ascii="宋体" w:hAnsi="宋体" w:cs="宋体" w:eastAsia="宋体" w:hint="default"/>
                <w:sz w:val="21"/>
                <w:szCs w:val="21"/>
              </w:rPr>
            </w:pPr>
            <w:r>
              <w:rPr>
                <w:rFonts w:ascii="宋体"/>
                <w:sz w:val="21"/>
              </w:rPr>
              <w:t>68,510.00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3" w:right="0"/>
              <w:jc w:val="left"/>
              <w:rPr>
                <w:rFonts w:ascii="宋体" w:hAnsi="宋体" w:cs="宋体" w:eastAsia="宋体" w:hint="default"/>
                <w:sz w:val="21"/>
                <w:szCs w:val="21"/>
              </w:rPr>
            </w:pPr>
            <w:r>
              <w:rPr>
                <w:rFonts w:ascii="宋体"/>
                <w:sz w:val="21"/>
              </w:rPr>
              <w:t>-18,238.80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49" w:right="0"/>
              <w:jc w:val="left"/>
              <w:rPr>
                <w:rFonts w:ascii="宋体" w:hAnsi="宋体" w:cs="宋体" w:eastAsia="宋体" w:hint="default"/>
                <w:sz w:val="21"/>
                <w:szCs w:val="21"/>
              </w:rPr>
            </w:pPr>
            <w:r>
              <w:rPr>
                <w:rFonts w:ascii="宋体"/>
                <w:sz w:val="21"/>
              </w:rPr>
              <w:t>13.22%</w:t>
            </w:r>
          </w:p>
        </w:tc>
      </w:tr>
    </w:tbl>
    <w:p>
      <w:pPr>
        <w:spacing w:after="0" w:line="219" w:lineRule="exact"/>
        <w:jc w:val="left"/>
        <w:rPr>
          <w:rFonts w:ascii="宋体" w:hAnsi="宋体" w:cs="宋体" w:eastAsia="宋体" w:hint="default"/>
          <w:sz w:val="21"/>
          <w:szCs w:val="21"/>
        </w:rPr>
        <w:sectPr>
          <w:pgSz w:w="11910" w:h="16840"/>
          <w:pgMar w:header="816" w:footer="956" w:top="1160" w:bottom="1140" w:left="920" w:right="0"/>
        </w:sectPr>
      </w:pPr>
    </w:p>
    <w:p>
      <w:pPr>
        <w:spacing w:line="240" w:lineRule="auto" w:before="3"/>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3438"/>
        <w:gridCol w:w="1630"/>
        <w:gridCol w:w="1632"/>
        <w:gridCol w:w="1630"/>
        <w:gridCol w:w="1296"/>
      </w:tblGrid>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4,758,000.00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1,993,500.00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770,000.00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138.68%</w:t>
            </w:r>
          </w:p>
        </w:tc>
      </w:tr>
      <w:tr>
        <w:trPr>
          <w:trHeight w:val="65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2"/>
              <w:ind w:left="100" w:right="10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同一控制下企业合并子公司期初至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合并日的当期净损益</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交易性金融资产公允价值变动损益</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除上述之外的营业外收支净额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-254,816.00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-68,375.28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-339,083.49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-272.67%</w:t>
            </w:r>
          </w:p>
        </w:tc>
      </w:tr>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应付福利费的转回</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对所得税的影响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687,112.28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299,045.21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58,976.97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129.77%</w:t>
            </w:r>
          </w:p>
        </w:tc>
      </w:tr>
      <w:tr>
        <w:trPr>
          <w:trHeight w:val="41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3,893,636.23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1,694,589.51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353,700.74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129.77%</w:t>
            </w:r>
          </w:p>
        </w:tc>
      </w:tr>
      <w:tr>
        <w:trPr>
          <w:trHeight w:val="650"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
              <w:ind w:left="100" w:right="101"/>
              <w:jc w:val="left"/>
              <w:rPr>
                <w:rFonts w:ascii="宋体" w:hAnsi="宋体" w:cs="宋体" w:eastAsia="宋体" w:hint="default"/>
                <w:sz w:val="21"/>
                <w:szCs w:val="21"/>
              </w:rPr>
            </w:pPr>
            <w:r>
              <w:rPr>
                <w:rFonts w:ascii="宋体" w:hAnsi="宋体" w:cs="宋体" w:eastAsia="宋体" w:hint="default"/>
                <w:spacing w:val="9"/>
                <w:sz w:val="21"/>
                <w:szCs w:val="21"/>
              </w:rPr>
              <w:t>减</w:t>
            </w:r>
            <w:r>
              <w:rPr>
                <w:rFonts w:ascii="宋体" w:hAnsi="宋体" w:cs="宋体" w:eastAsia="宋体" w:hint="default"/>
                <w:spacing w:val="9"/>
                <w:sz w:val="21"/>
                <w:szCs w:val="21"/>
              </w:rPr>
              <w:t>:</w:t>
            </w:r>
            <w:r>
              <w:rPr>
                <w:rFonts w:ascii="宋体" w:hAnsi="宋体" w:cs="宋体" w:eastAsia="宋体" w:hint="default"/>
                <w:spacing w:val="9"/>
                <w:sz w:val="21"/>
                <w:szCs w:val="21"/>
              </w:rPr>
              <w:t>归属于少数股东损益的非经常</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性损益</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34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3,893,636.23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1,694,589.51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353,700.74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129.77%</w:t>
            </w:r>
          </w:p>
        </w:tc>
      </w:tr>
    </w:tbl>
    <w:p>
      <w:pPr>
        <w:pStyle w:val="BodyText"/>
        <w:spacing w:line="274" w:lineRule="exact" w:before="0"/>
        <w:ind w:left="1258" w:right="0"/>
        <w:jc w:val="left"/>
      </w:pPr>
      <w:r>
        <w:rPr/>
        <w:t>本年政府补助利得明细如下：</w:t>
      </w:r>
    </w:p>
    <w:p>
      <w:pPr>
        <w:spacing w:line="240" w:lineRule="auto" w:before="9"/>
        <w:rPr>
          <w:rFonts w:ascii="宋体" w:hAnsi="宋体" w:cs="宋体" w:eastAsia="宋体" w:hint="default"/>
          <w:sz w:val="14"/>
          <w:szCs w:val="14"/>
        </w:rPr>
      </w:pPr>
    </w:p>
    <w:tbl>
      <w:tblPr>
        <w:tblW w:w="0" w:type="auto"/>
        <w:jc w:val="left"/>
        <w:tblInd w:w="302" w:type="dxa"/>
        <w:tblLayout w:type="fixed"/>
        <w:tblCellMar>
          <w:top w:w="0" w:type="dxa"/>
          <w:left w:w="0" w:type="dxa"/>
          <w:bottom w:w="0" w:type="dxa"/>
          <w:right w:w="0" w:type="dxa"/>
        </w:tblCellMar>
        <w:tblLook w:val="01E0"/>
      </w:tblPr>
      <w:tblGrid>
        <w:gridCol w:w="2919"/>
        <w:gridCol w:w="1476"/>
        <w:gridCol w:w="2240"/>
        <w:gridCol w:w="2614"/>
      </w:tblGrid>
      <w:tr>
        <w:trPr>
          <w:trHeight w:val="355"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82" w:right="0"/>
              <w:jc w:val="left"/>
              <w:rPr>
                <w:rFonts w:ascii="宋体" w:hAnsi="宋体" w:cs="宋体" w:eastAsia="宋体" w:hint="default"/>
                <w:sz w:val="21"/>
                <w:szCs w:val="21"/>
              </w:rPr>
            </w:pPr>
            <w:r>
              <w:rPr>
                <w:rFonts w:ascii="宋体" w:hAnsi="宋体" w:cs="宋体" w:eastAsia="宋体" w:hint="default"/>
                <w:sz w:val="21"/>
                <w:szCs w:val="21"/>
              </w:rPr>
              <w:t>相关批准文件</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批准机关</w:t>
            </w:r>
          </w:p>
        </w:tc>
      </w:tr>
      <w:tr>
        <w:trPr>
          <w:trHeight w:val="833"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178"/>
              <w:jc w:val="left"/>
              <w:rPr>
                <w:rFonts w:ascii="宋体" w:hAnsi="宋体" w:cs="宋体" w:eastAsia="宋体" w:hint="default"/>
                <w:sz w:val="21"/>
                <w:szCs w:val="21"/>
              </w:rPr>
            </w:pPr>
            <w:r>
              <w:rPr>
                <w:rFonts w:ascii="宋体" w:hAnsi="宋体" w:cs="宋体" w:eastAsia="宋体" w:hint="default"/>
                <w:spacing w:val="-2"/>
                <w:sz w:val="21"/>
                <w:szCs w:val="21"/>
              </w:rPr>
              <w:t>发明专利补助</w:t>
            </w:r>
            <w:r>
              <w:rPr>
                <w:rFonts w:ascii="宋体" w:hAnsi="宋体" w:cs="宋体" w:eastAsia="宋体" w:hint="default"/>
                <w:spacing w:val="-2"/>
                <w:sz w:val="21"/>
                <w:szCs w:val="21"/>
              </w:rPr>
              <w:t>(</w:t>
            </w:r>
            <w:r>
              <w:rPr>
                <w:rFonts w:ascii="宋体" w:hAnsi="宋体" w:cs="宋体" w:eastAsia="宋体" w:hint="default"/>
                <w:spacing w:val="-2"/>
                <w:sz w:val="21"/>
                <w:szCs w:val="21"/>
              </w:rPr>
              <w:t>芜湖市知识产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权局</w:t>
            </w:r>
            <w:r>
              <w:rPr>
                <w:rFonts w:ascii="宋体" w:hAnsi="宋体" w:cs="宋体" w:eastAsia="宋体" w:hint="default"/>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关于印发安徽省专利</w:t>
            </w:r>
          </w:p>
          <w:p>
            <w:pPr>
              <w:pStyle w:val="TableParagraph"/>
              <w:spacing w:line="272" w:lineRule="exact" w:before="27"/>
              <w:ind w:left="100" w:right="228"/>
              <w:jc w:val="left"/>
              <w:rPr>
                <w:rFonts w:ascii="宋体" w:hAnsi="宋体" w:cs="宋体" w:eastAsia="宋体" w:hint="default"/>
                <w:sz w:val="21"/>
                <w:szCs w:val="21"/>
              </w:rPr>
            </w:pPr>
            <w:r>
              <w:rPr>
                <w:rFonts w:ascii="宋体" w:hAnsi="宋体" w:cs="宋体" w:eastAsia="宋体" w:hint="default"/>
                <w:sz w:val="21"/>
                <w:szCs w:val="21"/>
              </w:rPr>
              <w:t>申请费用资助办法的</w:t>
            </w:r>
            <w:r>
              <w:rPr>
                <w:rFonts w:ascii="宋体" w:hAnsi="宋体" w:cs="宋体" w:eastAsia="宋体" w:hint="default"/>
                <w:w w:val="100"/>
                <w:sz w:val="21"/>
                <w:szCs w:val="21"/>
              </w:rPr>
              <w:t> </w:t>
            </w:r>
            <w:r>
              <w:rPr>
                <w:rFonts w:ascii="宋体" w:hAnsi="宋体" w:cs="宋体" w:eastAsia="宋体" w:hint="default"/>
                <w:sz w:val="21"/>
                <w:szCs w:val="21"/>
              </w:rPr>
              <w:t>通知</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省政府法制办、省科技厅</w:t>
            </w:r>
          </w:p>
        </w:tc>
      </w:tr>
      <w:tr>
        <w:trPr>
          <w:trHeight w:val="355"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科技进步奖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60,000.00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芜政（</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芜湖市人民政府</w:t>
            </w:r>
          </w:p>
        </w:tc>
      </w:tr>
      <w:tr>
        <w:trPr>
          <w:trHeight w:val="559"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企业补助</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890,000.00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芜湖市人力资源和社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会保障局文件</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市政府、市人社局、市财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政局、市地税局</w:t>
            </w:r>
          </w:p>
        </w:tc>
      </w:tr>
      <w:tr>
        <w:trPr>
          <w:trHeight w:val="559"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科技人员服务企业项目《铁路</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电力远动箱变及产业化》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160,000.00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省财政厅财权（</w:t>
            </w:r>
            <w:r>
              <w:rPr>
                <w:rFonts w:ascii="宋体" w:hAnsi="宋体" w:cs="宋体" w:eastAsia="宋体" w:hint="default"/>
                <w:sz w:val="21"/>
                <w:szCs w:val="21"/>
              </w:rPr>
              <w:t>2010</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341</w:t>
            </w:r>
            <w:r>
              <w:rPr>
                <w:rFonts w:ascii="宋体" w:hAnsi="宋体" w:cs="宋体" w:eastAsia="宋体" w:hint="default"/>
                <w:spacing w:val="-51"/>
                <w:sz w:val="21"/>
                <w:szCs w:val="21"/>
              </w:rPr>
              <w:t> </w:t>
            </w:r>
            <w:r>
              <w:rPr>
                <w:rFonts w:ascii="宋体" w:hAnsi="宋体" w:cs="宋体" w:eastAsia="宋体" w:hint="default"/>
                <w:sz w:val="21"/>
                <w:szCs w:val="21"/>
              </w:rPr>
              <w:t>号通知</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省财政厅</w:t>
            </w:r>
          </w:p>
        </w:tc>
      </w:tr>
      <w:tr>
        <w:trPr>
          <w:trHeight w:val="560"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left"/>
              <w:rPr>
                <w:rFonts w:ascii="宋体" w:hAnsi="宋体" w:cs="宋体" w:eastAsia="宋体" w:hint="default"/>
                <w:sz w:val="21"/>
                <w:szCs w:val="21"/>
              </w:rPr>
            </w:pPr>
            <w:r>
              <w:rPr>
                <w:rFonts w:ascii="宋体" w:hAnsi="宋体" w:cs="宋体" w:eastAsia="宋体" w:hint="default"/>
                <w:sz w:val="21"/>
                <w:szCs w:val="21"/>
              </w:rPr>
              <w:t>博士后科研资助</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50,000.00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芜人社秘（</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424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省人力资源和社会保障厅</w:t>
            </w:r>
          </w:p>
        </w:tc>
      </w:tr>
      <w:tr>
        <w:trPr>
          <w:trHeight w:val="355"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8"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年度融资费用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2,129,000.00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皖政（</w:t>
            </w:r>
            <w:r>
              <w:rPr>
                <w:rFonts w:ascii="宋体" w:hAnsi="宋体" w:cs="宋体" w:eastAsia="宋体" w:hint="default"/>
                <w:sz w:val="21"/>
                <w:szCs w:val="21"/>
              </w:rPr>
              <w:t>2009</w:t>
            </w:r>
            <w:r>
              <w:rPr>
                <w:rFonts w:ascii="宋体" w:hAnsi="宋体" w:cs="宋体" w:eastAsia="宋体" w:hint="default"/>
                <w:sz w:val="21"/>
                <w:szCs w:val="21"/>
              </w:rPr>
              <w:t>）</w:t>
            </w:r>
            <w:r>
              <w:rPr>
                <w:rFonts w:ascii="宋体" w:hAnsi="宋体" w:cs="宋体" w:eastAsia="宋体" w:hint="default"/>
                <w:sz w:val="21"/>
                <w:szCs w:val="21"/>
              </w:rPr>
              <w:t>59</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安徽省人民政府</w:t>
            </w:r>
          </w:p>
        </w:tc>
      </w:tr>
      <w:tr>
        <w:trPr>
          <w:trHeight w:val="562"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国家科技人员服务企业行动</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160,000.00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省财政厅财权（</w:t>
            </w:r>
            <w:r>
              <w:rPr>
                <w:rFonts w:ascii="宋体" w:hAnsi="宋体" w:cs="宋体" w:eastAsia="宋体" w:hint="default"/>
                <w:sz w:val="21"/>
                <w:szCs w:val="21"/>
              </w:rPr>
              <w:t>2010</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341</w:t>
            </w:r>
            <w:r>
              <w:rPr>
                <w:rFonts w:ascii="宋体" w:hAnsi="宋体" w:cs="宋体" w:eastAsia="宋体" w:hint="default"/>
                <w:spacing w:val="-51"/>
                <w:sz w:val="21"/>
                <w:szCs w:val="21"/>
              </w:rPr>
              <w:t> </w:t>
            </w:r>
            <w:r>
              <w:rPr>
                <w:rFonts w:ascii="宋体" w:hAnsi="宋体" w:cs="宋体" w:eastAsia="宋体" w:hint="default"/>
                <w:sz w:val="21"/>
                <w:szCs w:val="21"/>
              </w:rPr>
              <w:t>号通知</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省财政厅</w:t>
            </w:r>
          </w:p>
        </w:tc>
      </w:tr>
      <w:tr>
        <w:trPr>
          <w:trHeight w:val="353"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研发扶持金</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452,000.00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财教（</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芜湖市财政局</w:t>
            </w:r>
          </w:p>
        </w:tc>
      </w:tr>
      <w:tr>
        <w:trPr>
          <w:trHeight w:val="833"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土地使用税奖励</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854,000.00</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财预（</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455</w:t>
            </w:r>
            <w:r>
              <w:rPr>
                <w:rFonts w:ascii="宋体" w:hAnsi="宋体" w:cs="宋体" w:eastAsia="宋体" w:hint="default"/>
                <w:spacing w:val="-51"/>
                <w:sz w:val="21"/>
                <w:szCs w:val="21"/>
              </w:rPr>
              <w:t> </w:t>
            </w:r>
            <w:r>
              <w:rPr>
                <w:rFonts w:ascii="宋体" w:hAnsi="宋体" w:cs="宋体" w:eastAsia="宋体" w:hint="default"/>
                <w:sz w:val="21"/>
                <w:szCs w:val="21"/>
              </w:rPr>
              <w:t>号</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市财政局、市地税局、市</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z w:val="21"/>
                <w:szCs w:val="21"/>
              </w:rPr>
              <w:t>国税局、市经济委员会、</w:t>
            </w:r>
            <w:r>
              <w:rPr>
                <w:rFonts w:ascii="宋体" w:hAnsi="宋体" w:cs="宋体" w:eastAsia="宋体" w:hint="default"/>
                <w:w w:val="100"/>
                <w:sz w:val="21"/>
                <w:szCs w:val="21"/>
              </w:rPr>
              <w:t> </w:t>
            </w:r>
            <w:r>
              <w:rPr>
                <w:rFonts w:ascii="宋体" w:hAnsi="宋体" w:cs="宋体" w:eastAsia="宋体" w:hint="default"/>
                <w:sz w:val="21"/>
                <w:szCs w:val="21"/>
              </w:rPr>
              <w:t>市环保局、市国土资源局</w:t>
            </w:r>
          </w:p>
        </w:tc>
      </w:tr>
      <w:tr>
        <w:trPr>
          <w:trHeight w:val="408" w:hRule="exact"/>
        </w:trPr>
        <w:tc>
          <w:tcPr>
            <w:tcW w:w="2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4,758,000.00</w:t>
            </w:r>
          </w:p>
        </w:tc>
        <w:tc>
          <w:tcPr>
            <w:tcW w:w="2240" w:type="dxa"/>
            <w:tcBorders>
              <w:top w:val="single" w:sz="6" w:space="0" w:color="000000"/>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4" w:lineRule="exact" w:before="0"/>
        <w:ind w:left="1258" w:right="0"/>
        <w:jc w:val="left"/>
      </w:pPr>
      <w:r>
        <w:rPr/>
        <w:t>（</w:t>
      </w:r>
      <w:r>
        <w:rPr>
          <w:rFonts w:ascii="宋体" w:hAnsi="宋体" w:cs="宋体" w:eastAsia="宋体" w:hint="default"/>
        </w:rPr>
        <w:t>8</w:t>
      </w:r>
      <w:r>
        <w:rPr/>
        <w:t>）主要费用情况</w:t>
      </w:r>
    </w:p>
    <w:p>
      <w:pPr>
        <w:spacing w:line="240" w:lineRule="auto" w:before="6"/>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5"/>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1397"/>
        <w:gridCol w:w="1685"/>
        <w:gridCol w:w="1346"/>
        <w:gridCol w:w="1688"/>
        <w:gridCol w:w="1525"/>
        <w:gridCol w:w="1685"/>
      </w:tblGrid>
      <w:tr>
        <w:trPr>
          <w:trHeight w:val="650"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3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141" w:right="139"/>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z w:val="21"/>
                <w:szCs w:val="21"/>
              </w:rPr>
              <w:t>2010</w:t>
            </w:r>
            <w:r>
              <w:rPr>
                <w:rFonts w:ascii="宋体" w:hAnsi="宋体" w:cs="宋体" w:eastAsia="宋体" w:hint="default"/>
                <w:sz w:val="21"/>
                <w:szCs w:val="21"/>
              </w:rPr>
              <w:t>年营</w:t>
            </w:r>
            <w:r>
              <w:rPr>
                <w:rFonts w:ascii="宋体" w:hAnsi="宋体" w:cs="宋体" w:eastAsia="宋体" w:hint="default"/>
                <w:spacing w:val="-102"/>
                <w:sz w:val="21"/>
                <w:szCs w:val="21"/>
              </w:rPr>
              <w:t> </w:t>
            </w:r>
            <w:r>
              <w:rPr>
                <w:rFonts w:ascii="宋体" w:hAnsi="宋体" w:cs="宋体" w:eastAsia="宋体" w:hint="default"/>
                <w:sz w:val="21"/>
                <w:szCs w:val="21"/>
              </w:rPr>
              <w:t>业收入比例</w:t>
            </w:r>
          </w:p>
        </w:tc>
        <w:tc>
          <w:tcPr>
            <w:tcW w:w="1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52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228" w:right="125" w:hanging="104"/>
              <w:jc w:val="left"/>
              <w:rPr>
                <w:rFonts w:ascii="宋体" w:hAnsi="宋体" w:cs="宋体" w:eastAsia="宋体" w:hint="default"/>
                <w:sz w:val="21"/>
                <w:szCs w:val="21"/>
              </w:rPr>
            </w:pPr>
            <w:r>
              <w:rPr>
                <w:rFonts w:ascii="宋体" w:hAnsi="宋体" w:cs="宋体" w:eastAsia="宋体" w:hint="default"/>
                <w:sz w:val="21"/>
                <w:szCs w:val="21"/>
              </w:rPr>
              <w:t>本年比上年同</w:t>
            </w:r>
            <w:r>
              <w:rPr>
                <w:rFonts w:ascii="宋体" w:hAnsi="宋体" w:cs="宋体" w:eastAsia="宋体" w:hint="default"/>
                <w:w w:val="100"/>
                <w:sz w:val="21"/>
                <w:szCs w:val="21"/>
              </w:rPr>
              <w:t> </w:t>
            </w:r>
            <w:r>
              <w:rPr>
                <w:rFonts w:ascii="宋体" w:hAnsi="宋体" w:cs="宋体" w:eastAsia="宋体" w:hint="default"/>
                <w:sz w:val="21"/>
                <w:szCs w:val="21"/>
              </w:rPr>
              <w:t>比增减幅度</w:t>
            </w: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4"/>
              <w:ind w:left="52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r>
      <w:tr>
        <w:trPr>
          <w:trHeight w:val="410"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宋体" w:hAnsi="宋体" w:cs="宋体" w:eastAsia="宋体" w:hint="default"/>
                <w:sz w:val="21"/>
                <w:szCs w:val="21"/>
              </w:rPr>
            </w:pPr>
            <w:r>
              <w:rPr>
                <w:rFonts w:ascii="宋体"/>
                <w:spacing w:val="-1"/>
                <w:sz w:val="21"/>
              </w:rPr>
              <w:t>73,248,642.36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12.02%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60,350,883.95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21.37%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50,604,417.17</w:t>
            </w:r>
          </w:p>
        </w:tc>
      </w:tr>
      <w:tr>
        <w:trPr>
          <w:trHeight w:val="410"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宋体" w:hAnsi="宋体" w:cs="宋体" w:eastAsia="宋体" w:hint="default"/>
                <w:sz w:val="21"/>
                <w:szCs w:val="21"/>
              </w:rPr>
            </w:pPr>
            <w:r>
              <w:rPr>
                <w:rFonts w:ascii="宋体"/>
                <w:spacing w:val="-1"/>
                <w:sz w:val="21"/>
              </w:rPr>
              <w:t>67,028,638.03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48,902,219.87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37.07%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37,863,959.81</w:t>
            </w:r>
          </w:p>
        </w:tc>
      </w:tr>
      <w:tr>
        <w:trPr>
          <w:trHeight w:val="408"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宋体" w:hAnsi="宋体" w:cs="宋体" w:eastAsia="宋体" w:hint="default"/>
                <w:sz w:val="21"/>
                <w:szCs w:val="21"/>
              </w:rPr>
            </w:pPr>
            <w:r>
              <w:rPr>
                <w:rFonts w:ascii="宋体"/>
                <w:spacing w:val="-1"/>
                <w:sz w:val="21"/>
              </w:rPr>
              <w:t>12,531,276.59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2.06%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14,852,999.42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-15.63%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18,561,650.98</w:t>
            </w:r>
          </w:p>
        </w:tc>
      </w:tr>
      <w:tr>
        <w:trPr>
          <w:trHeight w:val="410"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7,030,511.10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1.15%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5,378,360.68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30.72%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4,884,375.20</w:t>
            </w:r>
          </w:p>
        </w:tc>
      </w:tr>
      <w:tr>
        <w:trPr>
          <w:trHeight w:val="410" w:hRule="exact"/>
        </w:trPr>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right"/>
              <w:rPr>
                <w:rFonts w:ascii="宋体" w:hAnsi="宋体" w:cs="宋体" w:eastAsia="宋体" w:hint="default"/>
                <w:sz w:val="21"/>
                <w:szCs w:val="21"/>
              </w:rPr>
            </w:pPr>
            <w:r>
              <w:rPr>
                <w:rFonts w:ascii="宋体"/>
                <w:spacing w:val="-1"/>
                <w:sz w:val="21"/>
              </w:rPr>
              <w:t>159,839,068.08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26.22%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129,484,463.92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23.44%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111,914,403.16</w:t>
            </w:r>
          </w:p>
        </w:tc>
      </w:tr>
    </w:tbl>
    <w:p>
      <w:pPr>
        <w:spacing w:after="0" w:line="219" w:lineRule="exact"/>
        <w:jc w:val="right"/>
        <w:rPr>
          <w:rFonts w:ascii="宋体" w:hAnsi="宋体" w:cs="宋体" w:eastAsia="宋体" w:hint="default"/>
          <w:sz w:val="21"/>
          <w:szCs w:val="21"/>
        </w:rPr>
        <w:sectPr>
          <w:pgSz w:w="11910" w:h="16840"/>
          <w:pgMar w:header="816" w:footer="956" w:top="1160" w:bottom="1140" w:left="1020" w:right="0"/>
        </w:sectPr>
      </w:pPr>
    </w:p>
    <w:p>
      <w:pPr>
        <w:spacing w:line="240" w:lineRule="auto" w:before="2"/>
        <w:rPr>
          <w:rFonts w:ascii="宋体" w:hAnsi="宋体" w:cs="宋体" w:eastAsia="宋体" w:hint="default"/>
          <w:sz w:val="10"/>
          <w:szCs w:val="10"/>
        </w:rPr>
      </w:pPr>
    </w:p>
    <w:p>
      <w:pPr>
        <w:pStyle w:val="BodyText"/>
        <w:spacing w:line="357" w:lineRule="auto" w:before="26"/>
        <w:ind w:left="998" w:right="1777" w:firstLine="479"/>
        <w:jc w:val="left"/>
      </w:pPr>
      <w:r>
        <w:rPr/>
        <w:t>报告期公司管理费用为</w:t>
      </w:r>
      <w:r>
        <w:rPr>
          <w:rFonts w:ascii="宋体" w:hAnsi="宋体" w:cs="宋体" w:eastAsia="宋体" w:hint="default"/>
        </w:rPr>
        <w:t>67,028,638.03</w:t>
      </w:r>
      <w:r>
        <w:rPr/>
        <w:t>元，比</w:t>
      </w:r>
      <w:r>
        <w:rPr>
          <w:rFonts w:ascii="宋体" w:hAnsi="宋体" w:cs="宋体" w:eastAsia="宋体" w:hint="default"/>
        </w:rPr>
        <w:t>2009</w:t>
      </w:r>
      <w:r>
        <w:rPr/>
        <w:t>年增加了</w:t>
      </w:r>
      <w:r>
        <w:rPr>
          <w:rFonts w:ascii="宋体" w:hAnsi="宋体" w:cs="宋体" w:eastAsia="宋体" w:hint="default"/>
        </w:rPr>
        <w:t>37.07%</w:t>
      </w:r>
      <w:r>
        <w:rPr/>
        <w:t>，其主要 原因为公司在</w:t>
      </w:r>
      <w:r>
        <w:rPr>
          <w:rFonts w:ascii="宋体" w:hAnsi="宋体" w:cs="宋体" w:eastAsia="宋体" w:hint="default"/>
        </w:rPr>
        <w:t>2010</w:t>
      </w:r>
      <w:r>
        <w:rPr/>
        <w:t>年增加了对研发费用的投入和工资和社保费用的增长。</w:t>
      </w:r>
    </w:p>
    <w:p>
      <w:pPr>
        <w:pStyle w:val="BodyText"/>
        <w:spacing w:line="357" w:lineRule="auto"/>
        <w:ind w:left="998" w:right="1777" w:firstLine="479"/>
        <w:jc w:val="left"/>
      </w:pPr>
      <w:r>
        <w:rPr>
          <w:spacing w:val="-2"/>
        </w:rPr>
        <w:t>报告期公司所得税费用为</w:t>
      </w:r>
      <w:r>
        <w:rPr>
          <w:rFonts w:ascii="宋体" w:hAnsi="宋体" w:cs="宋体" w:eastAsia="宋体" w:hint="default"/>
          <w:spacing w:val="-2"/>
        </w:rPr>
        <w:t>7,030,511.10</w:t>
      </w:r>
      <w:r>
        <w:rPr>
          <w:spacing w:val="-2"/>
        </w:rPr>
        <w:t>元，比</w:t>
      </w:r>
      <w:r>
        <w:rPr>
          <w:rFonts w:ascii="宋体" w:hAnsi="宋体" w:cs="宋体" w:eastAsia="宋体" w:hint="default"/>
          <w:spacing w:val="-2"/>
        </w:rPr>
        <w:t>2009</w:t>
      </w:r>
      <w:r>
        <w:rPr>
          <w:spacing w:val="-2"/>
        </w:rPr>
        <w:t>年增长了</w:t>
      </w:r>
      <w:r>
        <w:rPr>
          <w:rFonts w:ascii="宋体" w:hAnsi="宋体" w:cs="宋体" w:eastAsia="宋体" w:hint="default"/>
          <w:spacing w:val="-2"/>
        </w:rPr>
        <w:t>30.72%</w:t>
      </w:r>
      <w:r>
        <w:rPr>
          <w:spacing w:val="-2"/>
        </w:rPr>
        <w:t>，其主要</w:t>
      </w:r>
      <w:r>
        <w:rPr/>
        <w:t> 原因为公司利润总额的增加导致应纳税所得额的增加。</w:t>
      </w:r>
    </w:p>
    <w:p>
      <w:pPr>
        <w:pStyle w:val="BodyText"/>
        <w:spacing w:line="240" w:lineRule="auto"/>
        <w:ind w:left="1478" w:right="1777"/>
        <w:jc w:val="left"/>
      </w:pPr>
      <w:r>
        <w:rPr/>
        <w:t>（</w:t>
      </w:r>
      <w:r>
        <w:rPr>
          <w:rFonts w:ascii="宋体" w:hAnsi="宋体" w:cs="宋体" w:eastAsia="宋体" w:hint="default"/>
        </w:rPr>
        <w:t>9</w:t>
      </w:r>
      <w:r>
        <w:rPr/>
        <w:t>）现金流状况分析</w:t>
      </w:r>
    </w:p>
    <w:p>
      <w:pPr>
        <w:spacing w:before="16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95"/>
        <w:gridCol w:w="1822"/>
        <w:gridCol w:w="1896"/>
        <w:gridCol w:w="1496"/>
        <w:gridCol w:w="1685"/>
      </w:tblGrid>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5" w:val="left" w:leader="none"/>
              </w:tabs>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59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同比增减幅度</w:t>
            </w: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r>
      <w:tr>
        <w:trPr>
          <w:trHeight w:val="65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103" w:right="102"/>
              <w:jc w:val="left"/>
              <w:rPr>
                <w:rFonts w:ascii="宋体" w:hAnsi="宋体" w:cs="宋体" w:eastAsia="宋体" w:hint="default"/>
                <w:sz w:val="21"/>
                <w:szCs w:val="21"/>
              </w:rPr>
            </w:pPr>
            <w:r>
              <w:rPr>
                <w:rFonts w:ascii="宋体" w:hAnsi="宋体" w:cs="宋体" w:eastAsia="宋体" w:hint="default"/>
                <w:sz w:val="21"/>
                <w:szCs w:val="21"/>
              </w:rPr>
              <w:t>一、经营活动产生的现金流量净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7" w:right="0"/>
              <w:jc w:val="left"/>
              <w:rPr>
                <w:rFonts w:ascii="宋体" w:hAnsi="宋体" w:cs="宋体" w:eastAsia="宋体" w:hint="default"/>
                <w:sz w:val="21"/>
                <w:szCs w:val="21"/>
              </w:rPr>
            </w:pPr>
            <w:r>
              <w:rPr>
                <w:rFonts w:ascii="宋体"/>
                <w:sz w:val="21"/>
              </w:rPr>
              <w:t>-152,638,603.93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15,730,640.06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-1070.33%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28,184,503.19</w:t>
            </w:r>
          </w:p>
        </w:tc>
      </w:tr>
      <w:tr>
        <w:trPr>
          <w:trHeight w:val="411"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宋体" w:hAnsi="宋体" w:cs="宋体" w:eastAsia="宋体" w:hint="default"/>
                <w:sz w:val="21"/>
                <w:szCs w:val="21"/>
              </w:rPr>
            </w:pPr>
            <w:r>
              <w:rPr>
                <w:rFonts w:ascii="宋体"/>
                <w:sz w:val="21"/>
              </w:rPr>
              <w:t>600,648,935.52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579,034,653.77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21"/>
                <w:szCs w:val="21"/>
              </w:rPr>
            </w:pPr>
            <w:r>
              <w:rPr>
                <w:rFonts w:ascii="宋体"/>
                <w:sz w:val="21"/>
              </w:rPr>
              <w:t>3.73%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497,842,817.34</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宋体" w:hAnsi="宋体" w:cs="宋体" w:eastAsia="宋体" w:hint="default"/>
                <w:sz w:val="21"/>
                <w:szCs w:val="21"/>
              </w:rPr>
            </w:pPr>
            <w:r>
              <w:rPr>
                <w:rFonts w:ascii="宋体"/>
                <w:sz w:val="21"/>
              </w:rPr>
              <w:t>753,287,539.45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563,304,013.71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21"/>
                <w:szCs w:val="21"/>
              </w:rPr>
            </w:pPr>
            <w:r>
              <w:rPr>
                <w:rFonts w:ascii="宋体"/>
                <w:sz w:val="21"/>
              </w:rPr>
              <w:t>33.73%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469,658,314.15</w:t>
            </w:r>
          </w:p>
        </w:tc>
      </w:tr>
      <w:tr>
        <w:trPr>
          <w:trHeight w:val="648"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103" w:right="102"/>
              <w:jc w:val="left"/>
              <w:rPr>
                <w:rFonts w:ascii="宋体" w:hAnsi="宋体" w:cs="宋体" w:eastAsia="宋体" w:hint="default"/>
                <w:sz w:val="21"/>
                <w:szCs w:val="21"/>
              </w:rPr>
            </w:pPr>
            <w:r>
              <w:rPr>
                <w:rFonts w:ascii="宋体" w:hAnsi="宋体" w:cs="宋体" w:eastAsia="宋体" w:hint="default"/>
                <w:sz w:val="21"/>
                <w:szCs w:val="21"/>
              </w:rPr>
              <w:t>二、投资活动产生的现金流量净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0" w:right="0"/>
              <w:jc w:val="left"/>
              <w:rPr>
                <w:rFonts w:ascii="宋体" w:hAnsi="宋体" w:cs="宋体" w:eastAsia="宋体" w:hint="default"/>
                <w:sz w:val="21"/>
                <w:szCs w:val="21"/>
              </w:rPr>
            </w:pPr>
            <w:r>
              <w:rPr>
                <w:rFonts w:ascii="宋体"/>
                <w:sz w:val="21"/>
              </w:rPr>
              <w:t>-62,469,741.73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-3,367,080.59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-1755.31%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-20,528,227.15</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75" w:right="0"/>
              <w:jc w:val="left"/>
              <w:rPr>
                <w:rFonts w:ascii="宋体" w:hAnsi="宋体" w:cs="宋体" w:eastAsia="宋体" w:hint="default"/>
                <w:sz w:val="21"/>
                <w:szCs w:val="21"/>
              </w:rPr>
            </w:pPr>
            <w:r>
              <w:rPr>
                <w:rFonts w:ascii="宋体"/>
                <w:sz w:val="21"/>
              </w:rPr>
              <w:t>3,280,196.00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sz w:val="21"/>
              </w:rPr>
              <w:t>185,000.00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1673.08%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3,675,272.64</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3" w:right="0"/>
              <w:jc w:val="left"/>
              <w:rPr>
                <w:rFonts w:ascii="宋体" w:hAnsi="宋体" w:cs="宋体" w:eastAsia="宋体" w:hint="default"/>
                <w:sz w:val="21"/>
                <w:szCs w:val="21"/>
              </w:rPr>
            </w:pPr>
            <w:r>
              <w:rPr>
                <w:rFonts w:ascii="宋体"/>
                <w:sz w:val="21"/>
              </w:rPr>
              <w:t>65,749,937.73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3,552,080.59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1751.03%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24,203,499.79</w:t>
            </w:r>
          </w:p>
        </w:tc>
      </w:tr>
      <w:tr>
        <w:trPr>
          <w:trHeight w:val="65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before="1"/>
              <w:ind w:left="103" w:right="102"/>
              <w:jc w:val="left"/>
              <w:rPr>
                <w:rFonts w:ascii="宋体" w:hAnsi="宋体" w:cs="宋体" w:eastAsia="宋体" w:hint="default"/>
                <w:sz w:val="21"/>
                <w:szCs w:val="21"/>
              </w:rPr>
            </w:pPr>
            <w:r>
              <w:rPr>
                <w:rFonts w:ascii="宋体" w:hAnsi="宋体" w:cs="宋体" w:eastAsia="宋体" w:hint="default"/>
                <w:sz w:val="21"/>
                <w:szCs w:val="21"/>
              </w:rPr>
              <w:t>三、筹资活动产生的现金流量净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0" w:right="0"/>
              <w:jc w:val="left"/>
              <w:rPr>
                <w:rFonts w:ascii="宋体" w:hAnsi="宋体" w:cs="宋体" w:eastAsia="宋体" w:hint="default"/>
                <w:sz w:val="21"/>
                <w:szCs w:val="21"/>
              </w:rPr>
            </w:pPr>
            <w:r>
              <w:rPr>
                <w:rFonts w:ascii="宋体"/>
                <w:sz w:val="21"/>
              </w:rPr>
              <w:t>194,586,328.15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153,559,584.44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sz w:val="21"/>
              </w:rPr>
              <w:t>26.72%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-16,474,369.79</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宋体" w:hAnsi="宋体" w:cs="宋体" w:eastAsia="宋体" w:hint="default"/>
                <w:sz w:val="21"/>
                <w:szCs w:val="21"/>
              </w:rPr>
            </w:pPr>
            <w:r>
              <w:rPr>
                <w:rFonts w:ascii="宋体"/>
                <w:sz w:val="21"/>
              </w:rPr>
              <w:t>368,014,264.83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533,210,117.60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-30.98%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247,401,791.31</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宋体" w:hAnsi="宋体" w:cs="宋体" w:eastAsia="宋体" w:hint="default"/>
                <w:sz w:val="21"/>
                <w:szCs w:val="21"/>
              </w:rPr>
            </w:pPr>
            <w:r>
              <w:rPr>
                <w:rFonts w:ascii="宋体"/>
                <w:sz w:val="21"/>
              </w:rPr>
              <w:t>173,427,936.68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379,650,533.16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-54.32%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263,876,161.10</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70" w:right="0"/>
              <w:jc w:val="left"/>
              <w:rPr>
                <w:rFonts w:ascii="宋体" w:hAnsi="宋体" w:cs="宋体" w:eastAsia="宋体" w:hint="default"/>
                <w:sz w:val="21"/>
                <w:szCs w:val="21"/>
              </w:rPr>
            </w:pPr>
            <w:r>
              <w:rPr>
                <w:rFonts w:ascii="宋体"/>
                <w:sz w:val="21"/>
              </w:rPr>
              <w:t>-20,522,017.51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21"/>
                <w:szCs w:val="21"/>
              </w:rPr>
            </w:pPr>
            <w:r>
              <w:rPr>
                <w:rFonts w:ascii="宋体"/>
                <w:sz w:val="21"/>
              </w:rPr>
              <w:t>165,923,143.91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21"/>
                <w:szCs w:val="21"/>
              </w:rPr>
            </w:pPr>
            <w:r>
              <w:rPr>
                <w:rFonts w:ascii="宋体"/>
                <w:sz w:val="21"/>
              </w:rPr>
              <w:t>-112.37%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21"/>
                <w:szCs w:val="21"/>
              </w:rPr>
            </w:pPr>
            <w:r>
              <w:rPr>
                <w:rFonts w:ascii="宋体"/>
                <w:sz w:val="21"/>
              </w:rPr>
              <w:t>-8,818,093.75</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70" w:right="0"/>
              <w:jc w:val="left"/>
              <w:rPr>
                <w:rFonts w:ascii="宋体" w:hAnsi="宋体" w:cs="宋体" w:eastAsia="宋体" w:hint="default"/>
                <w:sz w:val="21"/>
                <w:szCs w:val="21"/>
              </w:rPr>
            </w:pPr>
            <w:r>
              <w:rPr>
                <w:rFonts w:ascii="宋体"/>
                <w:sz w:val="21"/>
              </w:rPr>
              <w:t>971,943,396.35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sz w:val="21"/>
              </w:rPr>
              <w:t>1,112,429,771.37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-12.63%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748,919,881.29</w:t>
            </w:r>
          </w:p>
        </w:tc>
      </w:tr>
      <w:tr>
        <w:trPr>
          <w:trHeight w:val="410" w:hRule="exact"/>
        </w:trPr>
        <w:tc>
          <w:tcPr>
            <w:tcW w:w="31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0" w:right="0"/>
              <w:jc w:val="left"/>
              <w:rPr>
                <w:rFonts w:ascii="宋体" w:hAnsi="宋体" w:cs="宋体" w:eastAsia="宋体" w:hint="default"/>
                <w:sz w:val="21"/>
                <w:szCs w:val="21"/>
              </w:rPr>
            </w:pPr>
            <w:r>
              <w:rPr>
                <w:rFonts w:ascii="宋体"/>
                <w:sz w:val="21"/>
              </w:rPr>
              <w:t>992,465,413.86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946,506,627.46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21"/>
                <w:szCs w:val="21"/>
              </w:rPr>
            </w:pPr>
            <w:r>
              <w:rPr>
                <w:rFonts w:ascii="宋体"/>
                <w:sz w:val="21"/>
              </w:rPr>
              <w:t>4.86%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21"/>
                <w:szCs w:val="21"/>
              </w:rPr>
            </w:pPr>
            <w:r>
              <w:rPr>
                <w:rFonts w:ascii="宋体"/>
                <w:sz w:val="21"/>
              </w:rPr>
              <w:t>757,737,975.04</w:t>
            </w:r>
          </w:p>
        </w:tc>
      </w:tr>
    </w:tbl>
    <w:p>
      <w:pPr>
        <w:pStyle w:val="BodyText"/>
        <w:spacing w:line="274" w:lineRule="exact" w:before="0"/>
        <w:ind w:left="1478" w:right="1777"/>
        <w:jc w:val="left"/>
      </w:pPr>
      <w:r>
        <w:rPr>
          <w:spacing w:val="-3"/>
        </w:rPr>
        <w:t>①报告期公司经营活动产生的现金流量净额比上年减少</w:t>
      </w:r>
      <w:r>
        <w:rPr>
          <w:rFonts w:ascii="宋体" w:hAnsi="宋体" w:cs="宋体" w:eastAsia="宋体" w:hint="default"/>
          <w:spacing w:val="-3"/>
        </w:rPr>
        <w:t>1070.33%</w:t>
      </w:r>
      <w:r>
        <w:rPr>
          <w:spacing w:val="-3"/>
        </w:rPr>
        <w:t>，其主要原</w:t>
      </w:r>
    </w:p>
    <w:p>
      <w:pPr>
        <w:pStyle w:val="BodyText"/>
        <w:spacing w:line="355" w:lineRule="auto" w:before="154"/>
        <w:ind w:left="1478" w:right="1777" w:hanging="480"/>
        <w:jc w:val="left"/>
      </w:pPr>
      <w:r>
        <w:rPr/>
        <w:t>因系经营活动现金流出量增加； </w:t>
      </w:r>
      <w:r>
        <w:rPr>
          <w:spacing w:val="-10"/>
        </w:rPr>
        <w:t>报告期公司经营活动现金流出量比上年增加</w:t>
      </w:r>
      <w:r>
        <w:rPr>
          <w:rFonts w:ascii="宋体" w:hAnsi="宋体" w:cs="宋体" w:eastAsia="宋体" w:hint="default"/>
          <w:spacing w:val="-10"/>
        </w:rPr>
        <w:t>33.73%</w:t>
      </w:r>
      <w:r>
        <w:rPr>
          <w:spacing w:val="-10"/>
        </w:rPr>
        <w:t>，其原因见一、</w:t>
      </w:r>
      <w:r>
        <w:rPr>
          <w:rFonts w:ascii="宋体" w:hAnsi="宋体" w:cs="宋体" w:eastAsia="宋体" w:hint="default"/>
          <w:spacing w:val="-10"/>
        </w:rPr>
        <w:t>2</w:t>
      </w:r>
      <w:r>
        <w:rPr>
          <w:spacing w:val="-10"/>
        </w:rPr>
        <w:t>、（</w:t>
      </w:r>
      <w:r>
        <w:rPr>
          <w:rFonts w:ascii="宋体" w:hAnsi="宋体" w:cs="宋体" w:eastAsia="宋体" w:hint="default"/>
          <w:spacing w:val="-10"/>
        </w:rPr>
        <w:t>2</w:t>
      </w:r>
      <w:r>
        <w:rPr>
          <w:spacing w:val="-10"/>
        </w:rPr>
        <w:t>）、</w:t>
      </w:r>
      <w:r>
        <w:rPr/>
      </w:r>
    </w:p>
    <w:p>
      <w:pPr>
        <w:pStyle w:val="BodyText"/>
        <w:spacing w:line="240" w:lineRule="auto" w:before="38"/>
        <w:ind w:left="998" w:right="1777"/>
        <w:jc w:val="left"/>
      </w:pPr>
      <w:r>
        <w:rPr/>
        <w:t>③。</w:t>
      </w:r>
    </w:p>
    <w:p>
      <w:pPr>
        <w:pStyle w:val="BodyText"/>
        <w:spacing w:line="357" w:lineRule="auto" w:before="151"/>
        <w:ind w:left="998" w:right="1777" w:firstLine="479"/>
        <w:jc w:val="left"/>
      </w:pPr>
      <w:r>
        <w:rPr>
          <w:spacing w:val="-3"/>
        </w:rPr>
        <w:t>②报告期公司投资活动产生的现金流量净额比上年减少</w:t>
      </w:r>
      <w:r>
        <w:rPr>
          <w:rFonts w:ascii="宋体" w:hAnsi="宋体" w:cs="宋体" w:eastAsia="宋体" w:hint="default"/>
          <w:spacing w:val="-3"/>
        </w:rPr>
        <w:t>1755.31%</w:t>
      </w:r>
      <w:r>
        <w:rPr>
          <w:spacing w:val="-3"/>
        </w:rPr>
        <w:t>，其主要原</w:t>
      </w:r>
      <w:r>
        <w:rPr/>
        <w:t> 因为投资活动现金流出量的大幅增长；</w:t>
      </w:r>
    </w:p>
    <w:p>
      <w:pPr>
        <w:pStyle w:val="BodyText"/>
        <w:spacing w:line="357" w:lineRule="auto"/>
        <w:ind w:left="998" w:right="1777" w:firstLine="479"/>
        <w:jc w:val="left"/>
      </w:pPr>
      <w:r>
        <w:rPr>
          <w:spacing w:val="-3"/>
        </w:rPr>
        <w:t>报告期公司投资活动现金流入量比上年增长</w:t>
      </w:r>
      <w:r>
        <w:rPr>
          <w:rFonts w:ascii="宋体" w:hAnsi="宋体" w:cs="宋体" w:eastAsia="宋体" w:hint="default"/>
          <w:spacing w:val="-3"/>
        </w:rPr>
        <w:t>1673.08%</w:t>
      </w:r>
      <w:r>
        <w:rPr>
          <w:spacing w:val="-3"/>
        </w:rPr>
        <w:t>，主要原因为报告期内</w:t>
      </w:r>
      <w:r>
        <w:rPr/>
        <w:t> 公司收回了对芜湖市鸠江中小企业信用担保有限公司的投资</w:t>
      </w:r>
      <w:r>
        <w:rPr>
          <w:rFonts w:ascii="宋体" w:hAnsi="宋体" w:cs="宋体" w:eastAsia="宋体" w:hint="default"/>
        </w:rPr>
        <w:t>300</w:t>
      </w:r>
      <w:r>
        <w:rPr/>
        <w:t>万元；</w:t>
      </w:r>
    </w:p>
    <w:p>
      <w:pPr>
        <w:pStyle w:val="BodyText"/>
        <w:spacing w:line="357" w:lineRule="auto"/>
        <w:ind w:left="998" w:right="1777" w:firstLine="479"/>
        <w:jc w:val="left"/>
      </w:pPr>
      <w:r>
        <w:rPr>
          <w:spacing w:val="-3"/>
        </w:rPr>
        <w:t>报告期公司投资活动现金流出量比上年增长</w:t>
      </w:r>
      <w:r>
        <w:rPr>
          <w:rFonts w:ascii="宋体" w:hAnsi="宋体" w:cs="宋体" w:eastAsia="宋体" w:hint="default"/>
          <w:spacing w:val="-3"/>
        </w:rPr>
        <w:t>1751.03%</w:t>
      </w:r>
      <w:r>
        <w:rPr>
          <w:spacing w:val="-3"/>
        </w:rPr>
        <w:t>，主要原因为公司用募</w:t>
      </w:r>
      <w:r>
        <w:rPr/>
        <w:t> 集资金投入募投项目所致。</w:t>
      </w:r>
    </w:p>
    <w:p>
      <w:pPr>
        <w:pStyle w:val="BodyText"/>
        <w:spacing w:line="355" w:lineRule="auto" w:before="36"/>
        <w:ind w:left="998" w:right="1777" w:firstLine="479"/>
        <w:jc w:val="left"/>
      </w:pPr>
      <w:r>
        <w:rPr>
          <w:spacing w:val="-3"/>
        </w:rPr>
        <w:t>③报告期公司筹资活动现金流入量比上年减少</w:t>
      </w:r>
      <w:r>
        <w:rPr>
          <w:rFonts w:ascii="宋体" w:hAnsi="宋体" w:cs="宋体" w:eastAsia="宋体" w:hint="default"/>
          <w:spacing w:val="-3"/>
        </w:rPr>
        <w:t>30.98%</w:t>
      </w:r>
      <w:r>
        <w:rPr>
          <w:spacing w:val="-3"/>
        </w:rPr>
        <w:t>，主要原因为</w:t>
      </w:r>
      <w:r>
        <w:rPr>
          <w:rFonts w:ascii="宋体" w:hAnsi="宋体" w:cs="宋体" w:eastAsia="宋体" w:hint="default"/>
          <w:spacing w:val="-3"/>
        </w:rPr>
        <w:t>2009</w:t>
      </w:r>
      <w:r>
        <w:rPr>
          <w:spacing w:val="-3"/>
        </w:rPr>
        <w:t>年公</w:t>
      </w:r>
      <w:r>
        <w:rPr/>
        <w:t> 司收到上市募集资金所致。</w:t>
      </w:r>
    </w:p>
    <w:p>
      <w:pPr>
        <w:spacing w:after="0" w:line="355" w:lineRule="auto"/>
        <w:jc w:val="left"/>
        <w:sectPr>
          <w:pgSz w:w="11910" w:h="16840"/>
          <w:pgMar w:header="816" w:footer="956" w:top="1160" w:bottom="1140" w:left="800" w:right="0"/>
        </w:sectPr>
      </w:pPr>
    </w:p>
    <w:p>
      <w:pPr>
        <w:spacing w:line="240" w:lineRule="auto" w:before="2"/>
        <w:rPr>
          <w:rFonts w:ascii="宋体" w:hAnsi="宋体" w:cs="宋体" w:eastAsia="宋体" w:hint="default"/>
          <w:sz w:val="10"/>
          <w:szCs w:val="10"/>
        </w:rPr>
      </w:pPr>
    </w:p>
    <w:p>
      <w:pPr>
        <w:pStyle w:val="BodyText"/>
        <w:spacing w:line="357" w:lineRule="auto" w:before="26"/>
        <w:ind w:left="778" w:right="0" w:firstLine="479"/>
        <w:jc w:val="left"/>
      </w:pPr>
      <w:r>
        <w:rPr>
          <w:spacing w:val="-3"/>
        </w:rPr>
        <w:t>报告期公司筹资活动现金流出量比上年减少</w:t>
      </w:r>
      <w:r>
        <w:rPr>
          <w:rFonts w:ascii="宋体" w:hAnsi="宋体" w:cs="宋体" w:eastAsia="宋体" w:hint="default"/>
          <w:spacing w:val="-3"/>
        </w:rPr>
        <w:t>54.32%</w:t>
      </w:r>
      <w:r>
        <w:rPr>
          <w:spacing w:val="-3"/>
        </w:rPr>
        <w:t>，主要原因为</w:t>
      </w:r>
      <w:r>
        <w:rPr>
          <w:rFonts w:ascii="宋体" w:hAnsi="宋体" w:cs="宋体" w:eastAsia="宋体" w:hint="default"/>
          <w:spacing w:val="-3"/>
        </w:rPr>
        <w:t>2009</w:t>
      </w:r>
      <w:r>
        <w:rPr>
          <w:spacing w:val="-3"/>
        </w:rPr>
        <w:t>年公司</w:t>
      </w:r>
      <w:r>
        <w:rPr/>
        <w:t> 偿还银行借款较多所致。</w:t>
      </w:r>
    </w:p>
    <w:p>
      <w:pPr>
        <w:pStyle w:val="BodyText"/>
        <w:spacing w:line="240" w:lineRule="auto"/>
        <w:ind w:left="1258" w:right="0"/>
        <w:jc w:val="left"/>
      </w:pPr>
      <w:r>
        <w:rPr>
          <w:rFonts w:ascii="宋体" w:hAnsi="宋体" w:cs="宋体" w:eastAsia="宋体" w:hint="default"/>
        </w:rPr>
        <w:t>3</w:t>
      </w:r>
      <w:r>
        <w:rPr/>
        <w:t>、资产、负债变动分析</w:t>
      </w:r>
    </w:p>
    <w:p>
      <w:pPr>
        <w:pStyle w:val="BodyText"/>
        <w:spacing w:line="240" w:lineRule="auto" w:before="154"/>
        <w:ind w:left="1258" w:right="0"/>
        <w:jc w:val="left"/>
      </w:pPr>
      <w:r>
        <w:rPr/>
        <w:t>（</w:t>
      </w:r>
      <w:r>
        <w:rPr>
          <w:rFonts w:ascii="宋体" w:hAnsi="宋体" w:cs="宋体" w:eastAsia="宋体" w:hint="default"/>
        </w:rPr>
        <w:t>1</w:t>
      </w:r>
      <w:r>
        <w:rPr/>
        <w:t>）主要资产构成变动情况</w:t>
      </w:r>
    </w:p>
    <w:p>
      <w:pPr>
        <w:spacing w:before="157"/>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93"/>
        <w:gridCol w:w="1688"/>
        <w:gridCol w:w="1685"/>
        <w:gridCol w:w="1687"/>
        <w:gridCol w:w="1573"/>
        <w:gridCol w:w="1217"/>
      </w:tblGrid>
      <w:tr>
        <w:trPr>
          <w:trHeight w:val="410" w:hRule="exact"/>
        </w:trPr>
        <w:tc>
          <w:tcPr>
            <w:tcW w:w="179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337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年末</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年末</w:t>
            </w:r>
          </w:p>
        </w:tc>
        <w:tc>
          <w:tcPr>
            <w:tcW w:w="1217"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48"/>
              <w:ind w:left="18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8" w:hRule="exact"/>
        </w:trPr>
        <w:tc>
          <w:tcPr>
            <w:tcW w:w="1793" w:type="dxa"/>
            <w:vMerge/>
            <w:tcBorders>
              <w:left w:val="single" w:sz="4" w:space="0" w:color="000000"/>
              <w:bottom w:val="single" w:sz="4" w:space="0" w:color="000000"/>
              <w:right w:val="single" w:sz="4" w:space="0" w:color="000000"/>
            </w:tcBorders>
            <w:shd w:val="clear" w:color="auto" w:fill="CCCCCC"/>
          </w:tcPr>
          <w:p>
            <w:pPr/>
          </w:p>
        </w:tc>
        <w:tc>
          <w:tcPr>
            <w:tcW w:w="1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占总资产的比例</w:t>
            </w:r>
          </w:p>
        </w:tc>
        <w:tc>
          <w:tcPr>
            <w:tcW w:w="16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46"/>
              <w:jc w:val="right"/>
              <w:rPr>
                <w:rFonts w:ascii="宋体" w:hAnsi="宋体" w:cs="宋体" w:eastAsia="宋体" w:hint="default"/>
                <w:sz w:val="21"/>
                <w:szCs w:val="21"/>
              </w:rPr>
            </w:pPr>
            <w:r>
              <w:rPr>
                <w:rFonts w:ascii="宋体" w:hAnsi="宋体" w:cs="宋体" w:eastAsia="宋体" w:hint="default"/>
                <w:spacing w:val="-1"/>
                <w:sz w:val="21"/>
                <w:szCs w:val="21"/>
              </w:rPr>
              <w:t>占总资产的比例</w:t>
            </w:r>
          </w:p>
        </w:tc>
        <w:tc>
          <w:tcPr>
            <w:tcW w:w="1217" w:type="dxa"/>
            <w:vMerge/>
            <w:tcBorders>
              <w:left w:val="single" w:sz="4" w:space="0" w:color="000000"/>
              <w:bottom w:val="single" w:sz="4" w:space="0" w:color="000000"/>
              <w:right w:val="single" w:sz="4" w:space="0" w:color="000000"/>
            </w:tcBorders>
            <w:shd w:val="clear" w:color="auto" w:fill="CCCCCC"/>
          </w:tcPr>
          <w:p>
            <w:pP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192,355,016.67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16.61%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245,685,055.33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28.64%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-12.03%</w:t>
            </w: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328,384,668.23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28.36%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157,671,086.75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18.38%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9.98%</w:t>
            </w:r>
          </w:p>
        </w:tc>
      </w:tr>
      <w:tr>
        <w:trPr>
          <w:trHeight w:val="411"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18,916,987.51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26,474,990.93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3.09%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-1.46%</w:t>
            </w: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469,582,038.48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40.55%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324,902,984.01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37.87%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2.68%</w:t>
            </w: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6,000,000.00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0.52%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9,000,000.00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1.05%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-0.53%</w:t>
            </w:r>
          </w:p>
        </w:tc>
      </w:tr>
      <w:tr>
        <w:trPr>
          <w:trHeight w:val="408"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57,833,880.97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4.99%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54,744,377.65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6.38%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-1.39%</w:t>
            </w: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45,777,610.50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3.95%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152,356.60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0.02%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3.93%</w:t>
            </w:r>
          </w:p>
        </w:tc>
      </w:tr>
      <w:tr>
        <w:trPr>
          <w:trHeight w:val="410" w:hRule="exact"/>
        </w:trPr>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无形资产及商誉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9"/>
              <w:jc w:val="right"/>
              <w:rPr>
                <w:rFonts w:ascii="宋体" w:hAnsi="宋体" w:cs="宋体" w:eastAsia="宋体" w:hint="default"/>
                <w:sz w:val="21"/>
                <w:szCs w:val="21"/>
              </w:rPr>
            </w:pPr>
            <w:r>
              <w:rPr>
                <w:rFonts w:ascii="宋体"/>
                <w:spacing w:val="-1"/>
                <w:sz w:val="21"/>
              </w:rPr>
              <w:t>37,451,725.68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3.23%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38,263,021.01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z w:val="21"/>
              </w:rPr>
              <w:t>4.46%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-1.23%</w:t>
            </w:r>
          </w:p>
        </w:tc>
      </w:tr>
    </w:tbl>
    <w:p>
      <w:pPr>
        <w:pStyle w:val="BodyText"/>
        <w:spacing w:line="274" w:lineRule="exact" w:before="0"/>
        <w:ind w:left="1258" w:right="0"/>
        <w:jc w:val="left"/>
      </w:pPr>
      <w:r>
        <w:rPr/>
        <w:t>①</w:t>
      </w:r>
      <w:r>
        <w:rPr>
          <w:rFonts w:ascii="宋体" w:hAnsi="宋体" w:cs="宋体" w:eastAsia="宋体" w:hint="default"/>
        </w:rPr>
        <w:t>2010</w:t>
      </w:r>
      <w:r>
        <w:rPr/>
        <w:t>年末</w:t>
      </w:r>
      <w:r>
        <w:rPr>
          <w:spacing w:val="-104"/>
        </w:rPr>
        <w:t>，</w:t>
      </w:r>
      <w:r>
        <w:rPr/>
        <w:t>公司货币资金为</w:t>
      </w:r>
      <w:r>
        <w:rPr>
          <w:rFonts w:ascii="宋体" w:hAnsi="宋体" w:cs="宋体" w:eastAsia="宋体" w:hint="default"/>
        </w:rPr>
        <w:t>192,335,016.67</w:t>
      </w:r>
      <w:r>
        <w:rPr/>
        <w:t>元</w:t>
      </w:r>
      <w:r>
        <w:rPr>
          <w:spacing w:val="-104"/>
        </w:rPr>
        <w:t>，</w:t>
      </w:r>
      <w:r>
        <w:rPr/>
        <w:t>占总资产的比例为</w:t>
      </w:r>
      <w:r>
        <w:rPr>
          <w:rFonts w:ascii="宋体" w:hAnsi="宋体" w:cs="宋体" w:eastAsia="宋体" w:hint="default"/>
        </w:rPr>
        <w:t>16.61%</w:t>
      </w:r>
      <w:r>
        <w:rPr/>
        <w:t>，</w:t>
      </w:r>
    </w:p>
    <w:p>
      <w:pPr>
        <w:pStyle w:val="BodyText"/>
        <w:spacing w:line="240" w:lineRule="auto" w:before="154"/>
        <w:ind w:left="778" w:right="0"/>
        <w:jc w:val="left"/>
      </w:pPr>
      <w:r>
        <w:rPr/>
        <w:t>比上年下降</w:t>
      </w:r>
      <w:r>
        <w:rPr>
          <w:rFonts w:ascii="宋体" w:hAnsi="宋体" w:cs="宋体" w:eastAsia="宋体" w:hint="default"/>
        </w:rPr>
        <w:t>12.03</w:t>
      </w:r>
      <w:r>
        <w:rPr/>
        <w:t>个百分点，其主要原因为募投项目建设投入所致。</w:t>
      </w:r>
    </w:p>
    <w:p>
      <w:pPr>
        <w:pStyle w:val="BodyText"/>
        <w:spacing w:line="357" w:lineRule="auto" w:before="151"/>
        <w:ind w:left="778" w:right="0" w:firstLine="479"/>
        <w:jc w:val="left"/>
      </w:pPr>
      <w:r>
        <w:rPr>
          <w:spacing w:val="-5"/>
        </w:rPr>
        <w:t>②</w:t>
      </w:r>
      <w:r>
        <w:rPr>
          <w:rFonts w:ascii="宋体" w:hAnsi="宋体" w:cs="宋体" w:eastAsia="宋体" w:hint="default"/>
          <w:spacing w:val="-5"/>
        </w:rPr>
        <w:t>2010</w:t>
      </w:r>
      <w:r>
        <w:rPr>
          <w:spacing w:val="-5"/>
        </w:rPr>
        <w:t>年末，公司应收款项为</w:t>
      </w:r>
      <w:r>
        <w:rPr>
          <w:rFonts w:ascii="宋体" w:hAnsi="宋体" w:cs="宋体" w:eastAsia="宋体" w:hint="default"/>
          <w:spacing w:val="-5"/>
        </w:rPr>
        <w:t>328,384,668.23</w:t>
      </w:r>
      <w:r>
        <w:rPr>
          <w:spacing w:val="-5"/>
        </w:rPr>
        <w:t>元，占总资产的比例为</w:t>
      </w:r>
      <w:r>
        <w:rPr>
          <w:rFonts w:ascii="宋体" w:hAnsi="宋体" w:cs="宋体" w:eastAsia="宋体" w:hint="default"/>
          <w:spacing w:val="-5"/>
        </w:rPr>
        <w:t>28.36%</w:t>
      </w:r>
      <w:r>
        <w:rPr>
          <w:spacing w:val="-5"/>
        </w:rPr>
        <w:t>，</w:t>
      </w:r>
      <w:r>
        <w:rPr/>
        <w:t> 比上年提高</w:t>
      </w:r>
      <w:r>
        <w:rPr>
          <w:rFonts w:ascii="宋体" w:hAnsi="宋体" w:cs="宋体" w:eastAsia="宋体" w:hint="default"/>
        </w:rPr>
        <w:t>9.98</w:t>
      </w:r>
      <w:r>
        <w:rPr/>
        <w:t>个百分点，其主要原因为应收账款和投标保证金的增加。</w:t>
      </w:r>
    </w:p>
    <w:p>
      <w:pPr>
        <w:pStyle w:val="BodyText"/>
        <w:spacing w:line="240" w:lineRule="auto"/>
        <w:ind w:left="1258" w:right="0"/>
        <w:jc w:val="left"/>
      </w:pPr>
      <w:r>
        <w:rPr/>
        <w:t>（</w:t>
      </w:r>
      <w:r>
        <w:rPr>
          <w:rFonts w:ascii="宋体" w:hAnsi="宋体" w:cs="宋体" w:eastAsia="宋体" w:hint="default"/>
        </w:rPr>
        <w:t>2</w:t>
      </w:r>
      <w:r>
        <w:rPr/>
        <w:t>）存货情况</w:t>
      </w:r>
    </w:p>
    <w:p>
      <w:pPr>
        <w:spacing w:before="16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4"/>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1606"/>
        <w:gridCol w:w="1623"/>
        <w:gridCol w:w="900"/>
        <w:gridCol w:w="1390"/>
        <w:gridCol w:w="1490"/>
        <w:gridCol w:w="901"/>
        <w:gridCol w:w="1510"/>
      </w:tblGrid>
      <w:tr>
        <w:trPr>
          <w:trHeight w:val="127" w:hRule="exact"/>
        </w:trPr>
        <w:tc>
          <w:tcPr>
            <w:tcW w:w="1606" w:type="dxa"/>
            <w:tcBorders>
              <w:top w:val="single" w:sz="4" w:space="0" w:color="000000"/>
              <w:left w:val="single" w:sz="4" w:space="0" w:color="000000"/>
              <w:bottom w:val="nil" w:sz="6" w:space="0" w:color="auto"/>
              <w:right w:val="single" w:sz="4" w:space="0" w:color="000000"/>
            </w:tcBorders>
            <w:shd w:val="clear" w:color="auto" w:fill="DCDCDC"/>
          </w:tcPr>
          <w:p>
            <w:pPr/>
          </w:p>
        </w:tc>
        <w:tc>
          <w:tcPr>
            <w:tcW w:w="39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1"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13" w:hRule="exact"/>
        </w:trPr>
        <w:tc>
          <w:tcPr>
            <w:tcW w:w="160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3" w:type="dxa"/>
            <w:gridSpan w:val="3"/>
            <w:vMerge/>
            <w:tcBorders>
              <w:left w:val="single" w:sz="4" w:space="0" w:color="000000"/>
              <w:bottom w:val="single" w:sz="4" w:space="0" w:color="000000"/>
              <w:right w:val="single" w:sz="4" w:space="0" w:color="000000"/>
            </w:tcBorders>
            <w:shd w:val="clear" w:color="auto" w:fill="DCDCDC"/>
          </w:tcPr>
          <w:p>
            <w:pPr/>
          </w:p>
        </w:tc>
        <w:tc>
          <w:tcPr>
            <w:tcW w:w="3901" w:type="dxa"/>
            <w:gridSpan w:val="3"/>
            <w:vMerge/>
            <w:tcBorders>
              <w:left w:val="single" w:sz="4" w:space="0" w:color="000000"/>
              <w:bottom w:val="single" w:sz="4" w:space="0" w:color="000000"/>
              <w:right w:val="single" w:sz="4" w:space="0" w:color="000000"/>
            </w:tcBorders>
            <w:shd w:val="clear" w:color="auto" w:fill="DCDCDC"/>
          </w:tcPr>
          <w:p>
            <w:pPr/>
          </w:p>
        </w:tc>
      </w:tr>
      <w:tr>
        <w:trPr>
          <w:trHeight w:val="247" w:hRule="exact"/>
        </w:trPr>
        <w:tc>
          <w:tcPr>
            <w:tcW w:w="1606" w:type="dxa"/>
            <w:vMerge/>
            <w:tcBorders>
              <w:left w:val="single" w:sz="4" w:space="0" w:color="000000"/>
              <w:bottom w:val="single" w:sz="4" w:space="0" w:color="000000"/>
              <w:right w:val="single" w:sz="4" w:space="0" w:color="000000"/>
            </w:tcBorders>
            <w:shd w:val="clear" w:color="auto" w:fill="DCDCDC"/>
          </w:tcPr>
          <w:p>
            <w:pPr/>
          </w:p>
        </w:tc>
        <w:tc>
          <w:tcPr>
            <w:tcW w:w="16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right="83"/>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8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0" w:lineRule="exact"/>
              <w:ind w:left="3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3"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55,168,940.52</w:t>
            </w:r>
          </w:p>
        </w:tc>
        <w:tc>
          <w:tcPr>
            <w:tcW w:w="9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55,168,940.52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35,567,944.06</w:t>
            </w:r>
          </w:p>
        </w:tc>
        <w:tc>
          <w:tcPr>
            <w:tcW w:w="90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35,567,944.06</w:t>
            </w:r>
          </w:p>
        </w:tc>
      </w:tr>
      <w:tr>
        <w:trPr>
          <w:trHeight w:val="242"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23"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57,354,067.66</w:t>
            </w:r>
          </w:p>
        </w:tc>
        <w:tc>
          <w:tcPr>
            <w:tcW w:w="9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57,354,067.66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32,073,470.16</w:t>
            </w:r>
          </w:p>
        </w:tc>
        <w:tc>
          <w:tcPr>
            <w:tcW w:w="90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32,073,470.16</w:t>
            </w:r>
          </w:p>
        </w:tc>
      </w:tr>
      <w:tr>
        <w:trPr>
          <w:trHeight w:val="242"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3"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357,059,030.30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357,059,030.30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257,261,569.79</w:t>
            </w:r>
          </w:p>
        </w:tc>
        <w:tc>
          <w:tcPr>
            <w:tcW w:w="90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257,261,569.79</w:t>
            </w:r>
          </w:p>
        </w:tc>
      </w:tr>
      <w:tr>
        <w:trPr>
          <w:trHeight w:val="245"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23"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23"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3" w:type="dxa"/>
            <w:tcBorders>
              <w:top w:val="single" w:sz="4" w:space="0" w:color="000000"/>
              <w:left w:val="single" w:sz="13" w:space="0" w:color="DCDCDC"/>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469,582,038.48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469,582,038.48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324,902,984.01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sz w:val="18"/>
              </w:rPr>
              <w:t>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324,902,984.01</w:t>
            </w:r>
          </w:p>
        </w:tc>
      </w:tr>
    </w:tbl>
    <w:p>
      <w:pPr>
        <w:pStyle w:val="BodyText"/>
        <w:spacing w:line="274" w:lineRule="exact" w:before="0"/>
        <w:ind w:left="0" w:right="1777"/>
        <w:jc w:val="right"/>
      </w:pPr>
      <w:r>
        <w:rPr>
          <w:rFonts w:ascii="宋体" w:hAnsi="宋体" w:cs="宋体" w:eastAsia="宋体" w:hint="default"/>
          <w:spacing w:val="9"/>
        </w:rPr>
        <w:t>2010</w:t>
      </w:r>
      <w:r>
        <w:rPr>
          <w:spacing w:val="9"/>
        </w:rPr>
        <w:t>年末，公司存货总额为</w:t>
      </w:r>
      <w:r>
        <w:rPr>
          <w:rFonts w:ascii="宋体" w:hAnsi="宋体" w:cs="宋体" w:eastAsia="宋体" w:hint="default"/>
          <w:spacing w:val="9"/>
        </w:rPr>
        <w:t>469,582,038.48</w:t>
      </w:r>
      <w:r>
        <w:rPr>
          <w:spacing w:val="9"/>
        </w:rPr>
        <w:t>元，占公司总资产的比例为</w:t>
      </w:r>
      <w:r>
        <w:rPr/>
      </w:r>
    </w:p>
    <w:p>
      <w:pPr>
        <w:pStyle w:val="BodyText"/>
        <w:spacing w:line="357" w:lineRule="auto" w:before="152"/>
        <w:ind w:left="778" w:right="0"/>
        <w:jc w:val="left"/>
      </w:pPr>
      <w:r>
        <w:rPr>
          <w:rFonts w:ascii="宋体" w:hAnsi="宋体" w:cs="宋体" w:eastAsia="宋体" w:hint="default"/>
          <w:spacing w:val="-3"/>
        </w:rPr>
        <w:t>40.55%</w:t>
      </w:r>
      <w:r>
        <w:rPr>
          <w:spacing w:val="-3"/>
        </w:rPr>
        <w:t>，其主要原因为公司产销售规模的扩大，带来原材料备料、未完工的在产</w:t>
      </w:r>
      <w:r>
        <w:rPr>
          <w:spacing w:val="-94"/>
        </w:rPr>
        <w:t> </w:t>
      </w:r>
      <w:r>
        <w:rPr>
          <w:spacing w:val="-94"/>
        </w:rPr>
      </w:r>
      <w:r>
        <w:rPr/>
        <w:t>品和未最后完成通电验收手续的产成品的大幅增加。</w:t>
      </w:r>
    </w:p>
    <w:p>
      <w:pPr>
        <w:pStyle w:val="BodyText"/>
        <w:spacing w:line="240" w:lineRule="auto" w:before="36"/>
        <w:ind w:left="1258" w:right="0"/>
        <w:jc w:val="left"/>
      </w:pPr>
      <w:r>
        <w:rPr/>
        <w:t>（</w:t>
      </w:r>
      <w:r>
        <w:rPr>
          <w:rFonts w:ascii="宋体" w:hAnsi="宋体" w:cs="宋体" w:eastAsia="宋体" w:hint="default"/>
        </w:rPr>
        <w:t>3</w:t>
      </w:r>
      <w:r>
        <w:rPr/>
        <w:t>）债权债务变动情况</w:t>
      </w:r>
    </w:p>
    <w:p>
      <w:pPr>
        <w:spacing w:before="157"/>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7"/>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1512"/>
        <w:gridCol w:w="1738"/>
        <w:gridCol w:w="1736"/>
        <w:gridCol w:w="1738"/>
        <w:gridCol w:w="2161"/>
      </w:tblGrid>
      <w:tr>
        <w:trPr>
          <w:trHeight w:val="408"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4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4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4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本年比上年增减幅度</w:t>
            </w:r>
          </w:p>
        </w:tc>
      </w:tr>
      <w:tr>
        <w:trPr>
          <w:trHeight w:val="410"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3"/>
              <w:jc w:val="right"/>
              <w:rPr>
                <w:rFonts w:ascii="宋体" w:hAnsi="宋体" w:cs="宋体" w:eastAsia="宋体" w:hint="default"/>
                <w:sz w:val="21"/>
                <w:szCs w:val="21"/>
              </w:rPr>
            </w:pPr>
            <w:r>
              <w:rPr>
                <w:rFonts w:ascii="宋体"/>
                <w:w w:val="100"/>
                <w:sz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1"/>
              <w:jc w:val="right"/>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9" w:right="0"/>
              <w:jc w:val="left"/>
              <w:rPr>
                <w:rFonts w:ascii="宋体" w:hAnsi="宋体" w:cs="宋体" w:eastAsia="宋体" w:hint="default"/>
                <w:sz w:val="21"/>
                <w:szCs w:val="21"/>
              </w:rPr>
            </w:pPr>
            <w:r>
              <w:rPr>
                <w:rFonts w:ascii="宋体"/>
                <w:sz w:val="21"/>
              </w:rPr>
              <w:t>45,000,000.00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1"/>
              <w:jc w:val="right"/>
              <w:rPr>
                <w:rFonts w:ascii="宋体" w:hAnsi="宋体" w:cs="宋体" w:eastAsia="宋体" w:hint="default"/>
                <w:sz w:val="21"/>
                <w:szCs w:val="21"/>
              </w:rPr>
            </w:pPr>
            <w:r>
              <w:rPr>
                <w:rFonts w:ascii="宋体"/>
                <w:w w:val="100"/>
                <w:sz w:val="21"/>
              </w:rPr>
              <w:t>-</w:t>
            </w:r>
          </w:p>
        </w:tc>
      </w:tr>
    </w:tbl>
    <w:p>
      <w:pPr>
        <w:spacing w:after="0" w:line="221" w:lineRule="exact"/>
        <w:jc w:val="right"/>
        <w:rPr>
          <w:rFonts w:ascii="宋体" w:hAnsi="宋体" w:cs="宋体" w:eastAsia="宋体" w:hint="default"/>
          <w:sz w:val="21"/>
          <w:szCs w:val="21"/>
        </w:rPr>
        <w:sectPr>
          <w:pgSz w:w="11910" w:h="16840"/>
          <w:pgMar w:header="816" w:footer="956" w:top="1160" w:bottom="1140" w:left="1020" w:right="0"/>
        </w:sectPr>
      </w:pPr>
    </w:p>
    <w:p>
      <w:pPr>
        <w:spacing w:line="240" w:lineRule="auto" w:before="3"/>
        <w:rPr>
          <w:rFonts w:ascii="宋体" w:hAnsi="宋体" w:cs="宋体" w:eastAsia="宋体" w:hint="default"/>
          <w:sz w:val="15"/>
          <w:szCs w:val="15"/>
        </w:rPr>
      </w:pPr>
    </w:p>
    <w:tbl>
      <w:tblPr>
        <w:tblW w:w="0" w:type="auto"/>
        <w:jc w:val="left"/>
        <w:tblInd w:w="127" w:type="dxa"/>
        <w:tblLayout w:type="fixed"/>
        <w:tblCellMar>
          <w:top w:w="0" w:type="dxa"/>
          <w:left w:w="0" w:type="dxa"/>
          <w:bottom w:w="0" w:type="dxa"/>
          <w:right w:w="0" w:type="dxa"/>
        </w:tblCellMar>
        <w:tblLook w:val="01E0"/>
      </w:tblPr>
      <w:tblGrid>
        <w:gridCol w:w="1512"/>
        <w:gridCol w:w="1738"/>
        <w:gridCol w:w="1736"/>
        <w:gridCol w:w="1738"/>
        <w:gridCol w:w="2161"/>
      </w:tblGrid>
      <w:tr>
        <w:trPr>
          <w:trHeight w:val="410"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360,800,000.00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0" w:right="0"/>
              <w:jc w:val="center"/>
              <w:rPr>
                <w:rFonts w:ascii="宋体" w:hAnsi="宋体" w:cs="宋体" w:eastAsia="宋体" w:hint="default"/>
                <w:sz w:val="21"/>
                <w:szCs w:val="21"/>
              </w:rPr>
            </w:pPr>
            <w:r>
              <w:rPr>
                <w:rFonts w:ascii="宋体"/>
                <w:sz w:val="21"/>
              </w:rPr>
              <w:t>147,800,000.00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166,200,000.00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144.11%</w:t>
            </w:r>
          </w:p>
        </w:tc>
      </w:tr>
      <w:tr>
        <w:trPr>
          <w:trHeight w:val="411"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1"/>
              <w:jc w:val="right"/>
              <w:rPr>
                <w:rFonts w:ascii="宋体" w:hAnsi="宋体" w:cs="宋体" w:eastAsia="宋体" w:hint="default"/>
                <w:sz w:val="21"/>
                <w:szCs w:val="21"/>
              </w:rPr>
            </w:pPr>
            <w:r>
              <w:rPr>
                <w:rFonts w:ascii="宋体"/>
                <w:spacing w:val="-1"/>
                <w:sz w:val="21"/>
              </w:rPr>
              <w:t>285,757,698.47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0" w:right="0"/>
              <w:jc w:val="center"/>
              <w:rPr>
                <w:rFonts w:ascii="宋体" w:hAnsi="宋体" w:cs="宋体" w:eastAsia="宋体" w:hint="default"/>
                <w:sz w:val="21"/>
                <w:szCs w:val="21"/>
              </w:rPr>
            </w:pPr>
            <w:r>
              <w:rPr>
                <w:rFonts w:ascii="宋体"/>
                <w:sz w:val="21"/>
              </w:rPr>
              <w:t>129,778,355.52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98"/>
              <w:jc w:val="right"/>
              <w:rPr>
                <w:rFonts w:ascii="宋体" w:hAnsi="宋体" w:cs="宋体" w:eastAsia="宋体" w:hint="default"/>
                <w:sz w:val="21"/>
                <w:szCs w:val="21"/>
              </w:rPr>
            </w:pPr>
            <w:r>
              <w:rPr>
                <w:rFonts w:ascii="宋体"/>
                <w:spacing w:val="-1"/>
                <w:sz w:val="21"/>
              </w:rPr>
              <w:t>100,442,336.43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98"/>
              <w:jc w:val="right"/>
              <w:rPr>
                <w:rFonts w:ascii="宋体" w:hAnsi="宋体" w:cs="宋体" w:eastAsia="宋体" w:hint="default"/>
                <w:sz w:val="21"/>
                <w:szCs w:val="21"/>
              </w:rPr>
            </w:pPr>
            <w:r>
              <w:rPr>
                <w:rFonts w:ascii="宋体"/>
                <w:spacing w:val="-1"/>
                <w:sz w:val="21"/>
              </w:rPr>
              <w:t>120.19%</w:t>
            </w:r>
          </w:p>
        </w:tc>
      </w:tr>
      <w:tr>
        <w:trPr>
          <w:trHeight w:val="410"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89,302,034.86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5" w:right="0"/>
              <w:jc w:val="center"/>
              <w:rPr>
                <w:rFonts w:ascii="宋体" w:hAnsi="宋体" w:cs="宋体" w:eastAsia="宋体" w:hint="default"/>
                <w:sz w:val="21"/>
                <w:szCs w:val="21"/>
              </w:rPr>
            </w:pPr>
            <w:r>
              <w:rPr>
                <w:rFonts w:ascii="宋体"/>
                <w:sz w:val="21"/>
              </w:rPr>
              <w:t>96,117,854.57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66,626,531.48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-7.09%</w:t>
            </w:r>
          </w:p>
        </w:tc>
      </w:tr>
      <w:tr>
        <w:trPr>
          <w:trHeight w:val="408"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21"/>
                <w:szCs w:val="21"/>
              </w:rPr>
            </w:pPr>
            <w:r>
              <w:rPr>
                <w:rFonts w:ascii="宋体"/>
                <w:spacing w:val="-1"/>
                <w:sz w:val="21"/>
              </w:rPr>
              <w:t>123,792,332.73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5" w:right="0"/>
              <w:jc w:val="center"/>
              <w:rPr>
                <w:rFonts w:ascii="宋体" w:hAnsi="宋体" w:cs="宋体" w:eastAsia="宋体" w:hint="default"/>
                <w:sz w:val="21"/>
                <w:szCs w:val="21"/>
              </w:rPr>
            </w:pPr>
            <w:r>
              <w:rPr>
                <w:rFonts w:ascii="宋体"/>
                <w:sz w:val="21"/>
              </w:rPr>
              <w:t>77,609,240.30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pacing w:val="-1"/>
                <w:sz w:val="21"/>
              </w:rPr>
              <w:t>71,791,372.97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21"/>
                <w:szCs w:val="21"/>
              </w:rPr>
            </w:pPr>
            <w:r>
              <w:rPr>
                <w:rFonts w:ascii="宋体"/>
                <w:sz w:val="21"/>
              </w:rPr>
              <w:t>59.51%</w:t>
            </w:r>
          </w:p>
        </w:tc>
      </w:tr>
      <w:tr>
        <w:trPr>
          <w:trHeight w:val="410" w:hRule="exact"/>
        </w:trPr>
        <w:tc>
          <w:tcPr>
            <w:tcW w:w="15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18,916,987.51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55" w:right="0"/>
              <w:jc w:val="center"/>
              <w:rPr>
                <w:rFonts w:ascii="宋体" w:hAnsi="宋体" w:cs="宋体" w:eastAsia="宋体" w:hint="default"/>
                <w:sz w:val="21"/>
                <w:szCs w:val="21"/>
              </w:rPr>
            </w:pPr>
            <w:r>
              <w:rPr>
                <w:rFonts w:ascii="宋体"/>
                <w:sz w:val="21"/>
              </w:rPr>
              <w:t>26,474,990.93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22,603,175.76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-28.55%</w:t>
            </w:r>
          </w:p>
        </w:tc>
      </w:tr>
    </w:tbl>
    <w:p>
      <w:pPr>
        <w:pStyle w:val="BodyText"/>
        <w:spacing w:line="274" w:lineRule="exact" w:before="0"/>
        <w:ind w:left="898" w:right="1665"/>
        <w:jc w:val="left"/>
      </w:pPr>
      <w:r>
        <w:rPr>
          <w:spacing w:val="-3"/>
        </w:rPr>
        <w:t>①</w:t>
      </w:r>
      <w:r>
        <w:rPr>
          <w:rFonts w:ascii="宋体" w:hAnsi="宋体" w:cs="宋体" w:eastAsia="宋体" w:hint="default"/>
          <w:spacing w:val="-3"/>
        </w:rPr>
        <w:t>2010</w:t>
      </w:r>
      <w:r>
        <w:rPr>
          <w:spacing w:val="-3"/>
        </w:rPr>
        <w:t>年末，公司短期借款为</w:t>
      </w:r>
      <w:r>
        <w:rPr>
          <w:rFonts w:ascii="宋体" w:hAnsi="宋体" w:cs="宋体" w:eastAsia="宋体" w:hint="default"/>
          <w:spacing w:val="-3"/>
        </w:rPr>
        <w:t>360,800,000</w:t>
      </w:r>
      <w:r>
        <w:rPr>
          <w:spacing w:val="-3"/>
        </w:rPr>
        <w:t>元，比</w:t>
      </w:r>
      <w:r>
        <w:rPr>
          <w:rFonts w:ascii="宋体" w:hAnsi="宋体" w:cs="宋体" w:eastAsia="宋体" w:hint="default"/>
          <w:spacing w:val="-3"/>
        </w:rPr>
        <w:t>2009</w:t>
      </w:r>
      <w:r>
        <w:rPr>
          <w:spacing w:val="-3"/>
        </w:rPr>
        <w:t>年末增加</w:t>
      </w:r>
      <w:r>
        <w:rPr>
          <w:rFonts w:ascii="宋体" w:hAnsi="宋体" w:cs="宋体" w:eastAsia="宋体" w:hint="default"/>
          <w:spacing w:val="-3"/>
        </w:rPr>
        <w:t>144.11%</w:t>
      </w:r>
      <w:r>
        <w:rPr>
          <w:spacing w:val="-3"/>
        </w:rPr>
        <w:t>，原</w:t>
      </w:r>
      <w:r>
        <w:rPr/>
      </w:r>
    </w:p>
    <w:p>
      <w:pPr>
        <w:pStyle w:val="BodyText"/>
        <w:spacing w:line="240" w:lineRule="auto" w:before="154"/>
        <w:ind w:left="418" w:right="1665"/>
        <w:jc w:val="left"/>
      </w:pPr>
      <w:r>
        <w:rPr/>
        <w:t>因系公司销售订单增加，因资金投入需要而向银行新增了短期贷款。</w:t>
      </w:r>
    </w:p>
    <w:p>
      <w:pPr>
        <w:pStyle w:val="BodyText"/>
        <w:spacing w:line="357" w:lineRule="auto" w:before="151"/>
        <w:ind w:left="418" w:right="1665" w:firstLine="479"/>
        <w:jc w:val="left"/>
      </w:pPr>
      <w:r>
        <w:rPr>
          <w:spacing w:val="-2"/>
        </w:rPr>
        <w:t>②</w:t>
      </w:r>
      <w:r>
        <w:rPr>
          <w:rFonts w:ascii="宋体" w:hAnsi="宋体" w:cs="宋体" w:eastAsia="宋体" w:hint="default"/>
          <w:spacing w:val="-2"/>
        </w:rPr>
        <w:t>2010</w:t>
      </w:r>
      <w:r>
        <w:rPr>
          <w:spacing w:val="-2"/>
        </w:rPr>
        <w:t>年末，公司应收账款为</w:t>
      </w:r>
      <w:r>
        <w:rPr>
          <w:rFonts w:ascii="宋体" w:hAnsi="宋体" w:cs="宋体" w:eastAsia="宋体" w:hint="default"/>
          <w:spacing w:val="-2"/>
        </w:rPr>
        <w:t>285,757,698.47</w:t>
      </w:r>
      <w:r>
        <w:rPr>
          <w:spacing w:val="-2"/>
        </w:rPr>
        <w:t>元，比</w:t>
      </w:r>
      <w:r>
        <w:rPr>
          <w:rFonts w:ascii="宋体" w:hAnsi="宋体" w:cs="宋体" w:eastAsia="宋体" w:hint="default"/>
          <w:spacing w:val="-2"/>
        </w:rPr>
        <w:t>2009</w:t>
      </w:r>
      <w:r>
        <w:rPr>
          <w:spacing w:val="-2"/>
        </w:rPr>
        <w:t>年末增加</w:t>
      </w:r>
      <w:r>
        <w:rPr>
          <w:rFonts w:ascii="宋体" w:hAnsi="宋体" w:cs="宋体" w:eastAsia="宋体" w:hint="default"/>
          <w:spacing w:val="-2"/>
        </w:rPr>
        <w:t>120.19%</w:t>
      </w:r>
      <w:r>
        <w:rPr>
          <w:spacing w:val="-2"/>
        </w:rPr>
        <w:t>，</w:t>
      </w:r>
      <w:r>
        <w:rPr/>
        <w:t> </w:t>
      </w:r>
      <w:r>
        <w:rPr>
          <w:spacing w:val="-3"/>
        </w:rPr>
        <w:t>原因系随着公司客户结构的调整，铁路、机场、市政项目和国家大中型企业的大</w:t>
      </w:r>
      <w:r>
        <w:rPr>
          <w:spacing w:val="-102"/>
        </w:rPr>
        <w:t> </w:t>
      </w:r>
      <w:r>
        <w:rPr>
          <w:spacing w:val="-102"/>
        </w:rPr>
      </w:r>
      <w:r>
        <w:rPr/>
        <w:t>型工程项目结算周期长，导致正常结算期内应收账款增加。</w:t>
      </w:r>
    </w:p>
    <w:p>
      <w:pPr>
        <w:pStyle w:val="BodyText"/>
        <w:spacing w:line="357" w:lineRule="auto"/>
        <w:ind w:left="418" w:right="1689" w:firstLine="479"/>
        <w:jc w:val="left"/>
      </w:pPr>
      <w:r>
        <w:rPr/>
        <w:t>③</w:t>
      </w:r>
      <w:r>
        <w:rPr>
          <w:rFonts w:ascii="宋体" w:hAnsi="宋体" w:cs="宋体" w:eastAsia="宋体" w:hint="default"/>
        </w:rPr>
        <w:t>2010</w:t>
      </w:r>
      <w:r>
        <w:rPr/>
        <w:t>年末，公司预收账款为</w:t>
      </w:r>
      <w:r>
        <w:rPr>
          <w:rFonts w:ascii="宋体" w:hAnsi="宋体" w:cs="宋体" w:eastAsia="宋体" w:hint="default"/>
        </w:rPr>
        <w:t>123,792,332.73</w:t>
      </w:r>
      <w:r>
        <w:rPr/>
        <w:t>元，比</w:t>
      </w:r>
      <w:r>
        <w:rPr>
          <w:rFonts w:ascii="宋体" w:hAnsi="宋体" w:cs="宋体" w:eastAsia="宋体" w:hint="default"/>
        </w:rPr>
        <w:t>2009</w:t>
      </w:r>
      <w:r>
        <w:rPr/>
        <w:t>年末增加</w:t>
      </w:r>
      <w:r>
        <w:rPr>
          <w:rFonts w:ascii="宋体" w:hAnsi="宋体" w:cs="宋体" w:eastAsia="宋体" w:hint="default"/>
        </w:rPr>
        <w:t>59.51%</w:t>
      </w:r>
      <w:r>
        <w:rPr/>
        <w:t>， 原因系公司销售订单增加收到的预付款增加所致。</w:t>
      </w:r>
    </w:p>
    <w:p>
      <w:pPr>
        <w:pStyle w:val="BodyText"/>
        <w:spacing w:line="240" w:lineRule="auto"/>
        <w:ind w:left="898" w:right="1665"/>
        <w:jc w:val="left"/>
      </w:pPr>
      <w:r>
        <w:rPr/>
        <w:t>（</w:t>
      </w:r>
      <w:r>
        <w:rPr>
          <w:rFonts w:ascii="宋体" w:hAnsi="宋体" w:cs="宋体" w:eastAsia="宋体" w:hint="default"/>
        </w:rPr>
        <w:t>4</w:t>
      </w:r>
      <w:r>
        <w:rPr/>
        <w:t>）偿债能力分析</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519"/>
        <w:gridCol w:w="1688"/>
        <w:gridCol w:w="1688"/>
        <w:gridCol w:w="1687"/>
        <w:gridCol w:w="2341"/>
      </w:tblGrid>
      <w:tr>
        <w:trPr>
          <w:trHeight w:val="410" w:hRule="exact"/>
        </w:trPr>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23" w:right="0"/>
              <w:jc w:val="left"/>
              <w:rPr>
                <w:rFonts w:ascii="宋体" w:hAnsi="宋体" w:cs="宋体" w:eastAsia="宋体" w:hint="default"/>
                <w:sz w:val="21"/>
                <w:szCs w:val="21"/>
              </w:rPr>
            </w:pPr>
            <w:r>
              <w:rPr>
                <w:rFonts w:ascii="宋体" w:hAnsi="宋体" w:cs="宋体" w:eastAsia="宋体" w:hint="default"/>
                <w:sz w:val="21"/>
                <w:szCs w:val="21"/>
              </w:rPr>
              <w:t>201</w:t>
            </w:r>
            <w:r>
              <w:rPr>
                <w:rFonts w:ascii="宋体" w:hAnsi="宋体" w:cs="宋体" w:eastAsia="宋体" w:hint="default"/>
                <w:sz w:val="21"/>
                <w:szCs w:val="21"/>
              </w:rPr>
              <w:t>0年</w:t>
            </w:r>
          </w:p>
        </w:tc>
        <w:tc>
          <w:tcPr>
            <w:tcW w:w="16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2"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16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523" w:right="0"/>
              <w:jc w:val="left"/>
              <w:rPr>
                <w:rFonts w:ascii="宋体" w:hAnsi="宋体" w:cs="宋体" w:eastAsia="宋体" w:hint="default"/>
                <w:sz w:val="21"/>
                <w:szCs w:val="21"/>
              </w:rPr>
            </w:pPr>
            <w:r>
              <w:rPr>
                <w:rFonts w:ascii="宋体" w:hAnsi="宋体" w:cs="宋体" w:eastAsia="宋体" w:hint="default"/>
                <w:sz w:val="21"/>
                <w:szCs w:val="21"/>
              </w:rPr>
              <w:t>2008年</w:t>
            </w:r>
          </w:p>
        </w:tc>
        <w:tc>
          <w:tcPr>
            <w:tcW w:w="23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本年比上年增减幅度</w:t>
            </w:r>
          </w:p>
        </w:tc>
      </w:tr>
      <w:tr>
        <w:trPr>
          <w:trHeight w:val="408" w:hRule="exact"/>
        </w:trPr>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59" w:right="0"/>
              <w:jc w:val="left"/>
              <w:rPr>
                <w:rFonts w:ascii="宋体" w:hAnsi="宋体" w:cs="宋体" w:eastAsia="宋体" w:hint="default"/>
                <w:sz w:val="21"/>
                <w:szCs w:val="21"/>
              </w:rPr>
            </w:pPr>
            <w:r>
              <w:rPr>
                <w:rFonts w:ascii="宋体"/>
                <w:sz w:val="21"/>
              </w:rPr>
              <w:t>1.51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82"/>
              <w:jc w:val="center"/>
              <w:rPr>
                <w:rFonts w:ascii="宋体" w:hAnsi="宋体" w:cs="宋体" w:eastAsia="宋体" w:hint="default"/>
                <w:sz w:val="21"/>
                <w:szCs w:val="21"/>
              </w:rPr>
            </w:pPr>
            <w:r>
              <w:rPr>
                <w:rFonts w:ascii="宋体"/>
                <w:sz w:val="21"/>
              </w:rPr>
              <w:t>1.87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61" w:right="0"/>
              <w:jc w:val="left"/>
              <w:rPr>
                <w:rFonts w:ascii="宋体" w:hAnsi="宋体" w:cs="宋体" w:eastAsia="宋体" w:hint="default"/>
                <w:sz w:val="21"/>
                <w:szCs w:val="21"/>
              </w:rPr>
            </w:pPr>
            <w:r>
              <w:rPr>
                <w:rFonts w:ascii="宋体"/>
                <w:sz w:val="21"/>
              </w:rPr>
              <w:t>1.29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83"/>
              <w:jc w:val="center"/>
              <w:rPr>
                <w:rFonts w:ascii="宋体" w:hAnsi="宋体" w:cs="宋体" w:eastAsia="宋体" w:hint="default"/>
                <w:sz w:val="21"/>
                <w:szCs w:val="21"/>
              </w:rPr>
            </w:pPr>
            <w:r>
              <w:rPr>
                <w:rFonts w:ascii="宋体"/>
                <w:sz w:val="21"/>
              </w:rPr>
              <w:t>-19.25%</w:t>
            </w:r>
          </w:p>
        </w:tc>
      </w:tr>
      <w:tr>
        <w:trPr>
          <w:trHeight w:val="410" w:hRule="exact"/>
        </w:trPr>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59" w:right="0"/>
              <w:jc w:val="left"/>
              <w:rPr>
                <w:rFonts w:ascii="宋体" w:hAnsi="宋体" w:cs="宋体" w:eastAsia="宋体" w:hint="default"/>
                <w:sz w:val="21"/>
                <w:szCs w:val="21"/>
              </w:rPr>
            </w:pPr>
            <w:r>
              <w:rPr>
                <w:rFonts w:ascii="宋体"/>
                <w:sz w:val="21"/>
              </w:rPr>
              <w:t>0.81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82"/>
              <w:jc w:val="center"/>
              <w:rPr>
                <w:rFonts w:ascii="宋体" w:hAnsi="宋体" w:cs="宋体" w:eastAsia="宋体" w:hint="default"/>
                <w:sz w:val="21"/>
                <w:szCs w:val="21"/>
              </w:rPr>
            </w:pPr>
            <w:r>
              <w:rPr>
                <w:rFonts w:ascii="宋体"/>
                <w:sz w:val="21"/>
              </w:rPr>
              <w:t>1.07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61" w:right="0"/>
              <w:jc w:val="left"/>
              <w:rPr>
                <w:rFonts w:ascii="宋体" w:hAnsi="宋体" w:cs="宋体" w:eastAsia="宋体" w:hint="default"/>
                <w:sz w:val="21"/>
                <w:szCs w:val="21"/>
              </w:rPr>
            </w:pPr>
            <w:r>
              <w:rPr>
                <w:rFonts w:ascii="宋体"/>
                <w:sz w:val="21"/>
              </w:rPr>
              <w:t>0.60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83"/>
              <w:jc w:val="center"/>
              <w:rPr>
                <w:rFonts w:ascii="宋体" w:hAnsi="宋体" w:cs="宋体" w:eastAsia="宋体" w:hint="default"/>
                <w:sz w:val="21"/>
                <w:szCs w:val="21"/>
              </w:rPr>
            </w:pPr>
            <w:r>
              <w:rPr>
                <w:rFonts w:ascii="宋体"/>
                <w:sz w:val="21"/>
              </w:rPr>
              <w:t>-24.30%</w:t>
            </w:r>
          </w:p>
        </w:tc>
      </w:tr>
      <w:tr>
        <w:trPr>
          <w:trHeight w:val="410" w:hRule="exact"/>
        </w:trPr>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53" w:right="0"/>
              <w:jc w:val="left"/>
              <w:rPr>
                <w:rFonts w:ascii="宋体" w:hAnsi="宋体" w:cs="宋体" w:eastAsia="宋体" w:hint="default"/>
                <w:sz w:val="21"/>
                <w:szCs w:val="21"/>
              </w:rPr>
            </w:pPr>
            <w:r>
              <w:rPr>
                <w:rFonts w:ascii="宋体"/>
                <w:sz w:val="21"/>
              </w:rPr>
              <w:t>57.54%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82"/>
              <w:jc w:val="center"/>
              <w:rPr>
                <w:rFonts w:ascii="宋体" w:hAnsi="宋体" w:cs="宋体" w:eastAsia="宋体" w:hint="default"/>
                <w:sz w:val="21"/>
                <w:szCs w:val="21"/>
              </w:rPr>
            </w:pPr>
            <w:r>
              <w:rPr>
                <w:rFonts w:ascii="宋体"/>
                <w:sz w:val="21"/>
              </w:rPr>
              <w:t>52.48%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56" w:right="0"/>
              <w:jc w:val="left"/>
              <w:rPr>
                <w:rFonts w:ascii="宋体" w:hAnsi="宋体" w:cs="宋体" w:eastAsia="宋体" w:hint="default"/>
                <w:sz w:val="21"/>
                <w:szCs w:val="21"/>
              </w:rPr>
            </w:pPr>
            <w:r>
              <w:rPr>
                <w:rFonts w:ascii="宋体"/>
                <w:sz w:val="21"/>
              </w:rPr>
              <w:t>74.47%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81"/>
              <w:jc w:val="center"/>
              <w:rPr>
                <w:rFonts w:ascii="宋体" w:hAnsi="宋体" w:cs="宋体" w:eastAsia="宋体" w:hint="default"/>
                <w:sz w:val="21"/>
                <w:szCs w:val="21"/>
              </w:rPr>
            </w:pPr>
            <w:r>
              <w:rPr>
                <w:rFonts w:ascii="宋体"/>
                <w:sz w:val="21"/>
              </w:rPr>
              <w:t>9.64%</w:t>
            </w:r>
          </w:p>
        </w:tc>
      </w:tr>
      <w:tr>
        <w:trPr>
          <w:trHeight w:val="411" w:hRule="exact"/>
        </w:trPr>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9" w:right="0"/>
              <w:jc w:val="left"/>
              <w:rPr>
                <w:rFonts w:ascii="宋体" w:hAnsi="宋体" w:cs="宋体" w:eastAsia="宋体" w:hint="default"/>
                <w:sz w:val="21"/>
                <w:szCs w:val="21"/>
              </w:rPr>
            </w:pPr>
            <w:r>
              <w:rPr>
                <w:rFonts w:ascii="宋体"/>
                <w:sz w:val="21"/>
              </w:rPr>
              <w:t>5.30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82"/>
              <w:jc w:val="center"/>
              <w:rPr>
                <w:rFonts w:ascii="宋体" w:hAnsi="宋体" w:cs="宋体" w:eastAsia="宋体" w:hint="default"/>
                <w:sz w:val="21"/>
                <w:szCs w:val="21"/>
              </w:rPr>
            </w:pPr>
            <w:r>
              <w:rPr>
                <w:rFonts w:ascii="宋体"/>
                <w:sz w:val="21"/>
              </w:rPr>
              <w:t>4.02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61" w:right="0"/>
              <w:jc w:val="left"/>
              <w:rPr>
                <w:rFonts w:ascii="宋体" w:hAnsi="宋体" w:cs="宋体" w:eastAsia="宋体" w:hint="default"/>
                <w:sz w:val="21"/>
                <w:szCs w:val="21"/>
              </w:rPr>
            </w:pPr>
            <w:r>
              <w:rPr>
                <w:rFonts w:ascii="宋体"/>
                <w:sz w:val="21"/>
              </w:rPr>
              <w:t>2.83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81"/>
              <w:jc w:val="center"/>
              <w:rPr>
                <w:rFonts w:ascii="宋体" w:hAnsi="宋体" w:cs="宋体" w:eastAsia="宋体" w:hint="default"/>
                <w:sz w:val="21"/>
                <w:szCs w:val="21"/>
              </w:rPr>
            </w:pPr>
            <w:r>
              <w:rPr>
                <w:rFonts w:ascii="宋体"/>
                <w:sz w:val="21"/>
              </w:rPr>
              <w:t>31.84%</w:t>
            </w:r>
          </w:p>
        </w:tc>
      </w:tr>
    </w:tbl>
    <w:p>
      <w:pPr>
        <w:pStyle w:val="BodyText"/>
        <w:spacing w:line="274" w:lineRule="exact" w:before="0"/>
        <w:ind w:left="898" w:right="1665"/>
        <w:jc w:val="left"/>
      </w:pPr>
      <w:r>
        <w:rPr>
          <w:spacing w:val="-3"/>
        </w:rPr>
        <w:t>报告期公司利息保障倍数为</w:t>
      </w:r>
      <w:r>
        <w:rPr>
          <w:rFonts w:ascii="宋体" w:hAnsi="宋体" w:cs="宋体" w:eastAsia="宋体" w:hint="default"/>
          <w:spacing w:val="-3"/>
        </w:rPr>
        <w:t>5.30</w:t>
      </w:r>
      <w:r>
        <w:rPr>
          <w:spacing w:val="-3"/>
        </w:rPr>
        <w:t>，比上年增加</w:t>
      </w:r>
      <w:r>
        <w:rPr>
          <w:rFonts w:ascii="宋体" w:hAnsi="宋体" w:cs="宋体" w:eastAsia="宋体" w:hint="default"/>
          <w:spacing w:val="-3"/>
        </w:rPr>
        <w:t>31.84%</w:t>
      </w:r>
      <w:r>
        <w:rPr>
          <w:spacing w:val="-3"/>
        </w:rPr>
        <w:t>，主要原因系利润总额</w:t>
      </w:r>
    </w:p>
    <w:p>
      <w:pPr>
        <w:pStyle w:val="BodyText"/>
        <w:spacing w:line="240" w:lineRule="auto" w:before="154"/>
        <w:ind w:left="418" w:right="1665"/>
        <w:jc w:val="left"/>
      </w:pPr>
      <w:r>
        <w:rPr/>
        <w:t>增加和财务费用减少所致。</w:t>
      </w:r>
    </w:p>
    <w:p>
      <w:pPr>
        <w:pStyle w:val="BodyText"/>
        <w:spacing w:line="240" w:lineRule="auto" w:before="151"/>
        <w:ind w:left="898" w:right="1665"/>
        <w:jc w:val="left"/>
      </w:pPr>
      <w:r>
        <w:rPr/>
        <w:t>（</w:t>
      </w:r>
      <w:r>
        <w:rPr>
          <w:rFonts w:ascii="宋体" w:hAnsi="宋体" w:cs="宋体" w:eastAsia="宋体" w:hint="default"/>
        </w:rPr>
        <w:t>5</w:t>
      </w:r>
      <w:r>
        <w:rPr/>
        <w:t>）资产营运能力分析</w:t>
      </w:r>
    </w:p>
    <w:p>
      <w:pPr>
        <w:spacing w:line="240" w:lineRule="auto" w:before="11"/>
        <w:rPr>
          <w:rFonts w:ascii="宋体" w:hAnsi="宋体" w:cs="宋体" w:eastAsia="宋体" w:hint="default"/>
          <w:sz w:val="14"/>
          <w:szCs w:val="14"/>
        </w:rPr>
      </w:pPr>
    </w:p>
    <w:tbl>
      <w:tblPr>
        <w:tblW w:w="0" w:type="auto"/>
        <w:jc w:val="left"/>
        <w:tblInd w:w="413" w:type="dxa"/>
        <w:tblLayout w:type="fixed"/>
        <w:tblCellMar>
          <w:top w:w="0" w:type="dxa"/>
          <w:left w:w="0" w:type="dxa"/>
          <w:bottom w:w="0" w:type="dxa"/>
          <w:right w:w="0" w:type="dxa"/>
        </w:tblCellMar>
        <w:tblLook w:val="01E0"/>
      </w:tblPr>
      <w:tblGrid>
        <w:gridCol w:w="1781"/>
        <w:gridCol w:w="1405"/>
        <w:gridCol w:w="1400"/>
        <w:gridCol w:w="1392"/>
        <w:gridCol w:w="2444"/>
      </w:tblGrid>
      <w:tr>
        <w:trPr>
          <w:trHeight w:val="408"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3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4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37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c>
          <w:tcPr>
            <w:tcW w:w="1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372"/>
              <w:jc w:val="right"/>
              <w:rPr>
                <w:rFonts w:ascii="宋体" w:hAnsi="宋体" w:cs="宋体" w:eastAsia="宋体" w:hint="default"/>
                <w:sz w:val="21"/>
                <w:szCs w:val="21"/>
              </w:rPr>
            </w:pPr>
            <w:r>
              <w:rPr>
                <w:rFonts w:ascii="宋体" w:hAnsi="宋体" w:cs="宋体" w:eastAsia="宋体" w:hint="default"/>
                <w:sz w:val="21"/>
                <w:szCs w:val="21"/>
              </w:rPr>
              <w:t>2008年</w:t>
            </w:r>
          </w:p>
        </w:tc>
        <w:tc>
          <w:tcPr>
            <w:tcW w:w="24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本年比上年增减幅度</w:t>
            </w:r>
          </w:p>
        </w:tc>
      </w:tr>
      <w:tr>
        <w:trPr>
          <w:trHeight w:val="410"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0" w:right="0"/>
              <w:jc w:val="left"/>
              <w:rPr>
                <w:rFonts w:ascii="宋体" w:hAnsi="宋体" w:cs="宋体" w:eastAsia="宋体" w:hint="default"/>
                <w:sz w:val="21"/>
                <w:szCs w:val="21"/>
              </w:rPr>
            </w:pPr>
            <w:r>
              <w:rPr>
                <w:rFonts w:ascii="宋体"/>
                <w:sz w:val="21"/>
              </w:rPr>
              <w:t>2.82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0" w:right="0"/>
              <w:jc w:val="left"/>
              <w:rPr>
                <w:rFonts w:ascii="宋体" w:hAnsi="宋体" w:cs="宋体" w:eastAsia="宋体" w:hint="default"/>
                <w:sz w:val="21"/>
                <w:szCs w:val="21"/>
              </w:rPr>
            </w:pPr>
            <w:r>
              <w:rPr>
                <w:rFonts w:ascii="宋体"/>
                <w:sz w:val="21"/>
              </w:rPr>
              <w:t>4.26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34" w:right="0"/>
              <w:jc w:val="left"/>
              <w:rPr>
                <w:rFonts w:ascii="宋体" w:hAnsi="宋体" w:cs="宋体" w:eastAsia="宋体" w:hint="default"/>
                <w:sz w:val="21"/>
                <w:szCs w:val="21"/>
              </w:rPr>
            </w:pPr>
            <w:r>
              <w:rPr>
                <w:rFonts w:ascii="宋体"/>
                <w:sz w:val="21"/>
              </w:rPr>
              <w:t>4.06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30"/>
              <w:jc w:val="center"/>
              <w:rPr>
                <w:rFonts w:ascii="宋体" w:hAnsi="宋体" w:cs="宋体" w:eastAsia="宋体" w:hint="default"/>
                <w:sz w:val="21"/>
                <w:szCs w:val="21"/>
              </w:rPr>
            </w:pPr>
            <w:r>
              <w:rPr>
                <w:rFonts w:ascii="宋体"/>
                <w:sz w:val="21"/>
              </w:rPr>
              <w:t>-33.80%</w:t>
            </w:r>
          </w:p>
        </w:tc>
      </w:tr>
      <w:tr>
        <w:trPr>
          <w:trHeight w:val="410"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0" w:right="0"/>
              <w:jc w:val="left"/>
              <w:rPr>
                <w:rFonts w:ascii="宋体" w:hAnsi="宋体" w:cs="宋体" w:eastAsia="宋体" w:hint="default"/>
                <w:sz w:val="21"/>
                <w:szCs w:val="21"/>
              </w:rPr>
            </w:pPr>
            <w:r>
              <w:rPr>
                <w:rFonts w:ascii="宋体"/>
                <w:sz w:val="21"/>
              </w:rPr>
              <w:t>1.02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0" w:right="0"/>
              <w:jc w:val="left"/>
              <w:rPr>
                <w:rFonts w:ascii="宋体" w:hAnsi="宋体" w:cs="宋体" w:eastAsia="宋体" w:hint="default"/>
                <w:sz w:val="21"/>
                <w:szCs w:val="21"/>
              </w:rPr>
            </w:pPr>
            <w:r>
              <w:rPr>
                <w:rFonts w:ascii="宋体"/>
                <w:sz w:val="21"/>
              </w:rPr>
              <w:t>1.14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34" w:right="0"/>
              <w:jc w:val="left"/>
              <w:rPr>
                <w:rFonts w:ascii="宋体" w:hAnsi="宋体" w:cs="宋体" w:eastAsia="宋体" w:hint="default"/>
                <w:sz w:val="21"/>
                <w:szCs w:val="21"/>
              </w:rPr>
            </w:pPr>
            <w:r>
              <w:rPr>
                <w:rFonts w:ascii="宋体"/>
                <w:sz w:val="21"/>
              </w:rPr>
              <w:t>1.10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0"/>
              <w:jc w:val="center"/>
              <w:rPr>
                <w:rFonts w:ascii="宋体" w:hAnsi="宋体" w:cs="宋体" w:eastAsia="宋体" w:hint="default"/>
                <w:sz w:val="21"/>
                <w:szCs w:val="21"/>
              </w:rPr>
            </w:pPr>
            <w:r>
              <w:rPr>
                <w:rFonts w:ascii="宋体"/>
                <w:sz w:val="21"/>
              </w:rPr>
              <w:t>-10.53%</w:t>
            </w:r>
          </w:p>
        </w:tc>
      </w:tr>
      <w:tr>
        <w:trPr>
          <w:trHeight w:val="410"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4" w:right="0"/>
              <w:jc w:val="left"/>
              <w:rPr>
                <w:rFonts w:ascii="宋体" w:hAnsi="宋体" w:cs="宋体" w:eastAsia="宋体" w:hint="default"/>
                <w:sz w:val="21"/>
                <w:szCs w:val="21"/>
              </w:rPr>
            </w:pPr>
            <w:r>
              <w:rPr>
                <w:rFonts w:ascii="宋体"/>
                <w:sz w:val="21"/>
              </w:rPr>
              <w:t>69.11%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4" w:right="0"/>
              <w:jc w:val="left"/>
              <w:rPr>
                <w:rFonts w:ascii="宋体" w:hAnsi="宋体" w:cs="宋体" w:eastAsia="宋体" w:hint="default"/>
                <w:sz w:val="21"/>
                <w:szCs w:val="21"/>
              </w:rPr>
            </w:pPr>
            <w:r>
              <w:rPr>
                <w:rFonts w:ascii="宋体"/>
                <w:sz w:val="21"/>
              </w:rPr>
              <w:t>80.97%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19"/>
              <w:jc w:val="right"/>
              <w:rPr>
                <w:rFonts w:ascii="宋体" w:hAnsi="宋体" w:cs="宋体" w:eastAsia="宋体" w:hint="default"/>
                <w:sz w:val="21"/>
                <w:szCs w:val="21"/>
              </w:rPr>
            </w:pPr>
            <w:r>
              <w:rPr>
                <w:rFonts w:ascii="宋体"/>
                <w:sz w:val="21"/>
              </w:rPr>
              <w:t>85.93%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0"/>
              <w:jc w:val="center"/>
              <w:rPr>
                <w:rFonts w:ascii="宋体" w:hAnsi="宋体" w:cs="宋体" w:eastAsia="宋体" w:hint="default"/>
                <w:sz w:val="21"/>
                <w:szCs w:val="21"/>
              </w:rPr>
            </w:pPr>
            <w:r>
              <w:rPr>
                <w:rFonts w:ascii="宋体"/>
                <w:sz w:val="21"/>
              </w:rPr>
              <w:t>-14.65%</w:t>
            </w:r>
          </w:p>
        </w:tc>
      </w:tr>
      <w:tr>
        <w:trPr>
          <w:trHeight w:val="411"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固定资产周转率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67" w:right="0"/>
              <w:jc w:val="left"/>
              <w:rPr>
                <w:rFonts w:ascii="宋体" w:hAnsi="宋体" w:cs="宋体" w:eastAsia="宋体" w:hint="default"/>
                <w:sz w:val="21"/>
                <w:szCs w:val="21"/>
              </w:rPr>
            </w:pPr>
            <w:r>
              <w:rPr>
                <w:rFonts w:ascii="宋体"/>
                <w:sz w:val="21"/>
              </w:rPr>
              <w:t>10.54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20" w:right="0"/>
              <w:jc w:val="left"/>
              <w:rPr>
                <w:rFonts w:ascii="宋体" w:hAnsi="宋体" w:cs="宋体" w:eastAsia="宋体" w:hint="default"/>
                <w:sz w:val="21"/>
                <w:szCs w:val="21"/>
              </w:rPr>
            </w:pPr>
            <w:r>
              <w:rPr>
                <w:rFonts w:ascii="宋体"/>
                <w:sz w:val="21"/>
              </w:rPr>
              <w:t>9.37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34" w:right="0"/>
              <w:jc w:val="left"/>
              <w:rPr>
                <w:rFonts w:ascii="宋体" w:hAnsi="宋体" w:cs="宋体" w:eastAsia="宋体" w:hint="default"/>
                <w:sz w:val="21"/>
                <w:szCs w:val="21"/>
              </w:rPr>
            </w:pPr>
            <w:r>
              <w:rPr>
                <w:rFonts w:ascii="宋体"/>
                <w:sz w:val="21"/>
              </w:rPr>
              <w:t>7.52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28"/>
              <w:jc w:val="center"/>
              <w:rPr>
                <w:rFonts w:ascii="宋体" w:hAnsi="宋体" w:cs="宋体" w:eastAsia="宋体" w:hint="default"/>
                <w:sz w:val="21"/>
                <w:szCs w:val="21"/>
              </w:rPr>
            </w:pPr>
            <w:r>
              <w:rPr>
                <w:rFonts w:ascii="宋体"/>
                <w:sz w:val="21"/>
              </w:rPr>
              <w:t>12.49%</w:t>
            </w:r>
          </w:p>
        </w:tc>
      </w:tr>
      <w:tr>
        <w:trPr>
          <w:trHeight w:val="410" w:hRule="exact"/>
        </w:trPr>
        <w:tc>
          <w:tcPr>
            <w:tcW w:w="17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4" w:right="0"/>
              <w:jc w:val="left"/>
              <w:rPr>
                <w:rFonts w:ascii="宋体" w:hAnsi="宋体" w:cs="宋体" w:eastAsia="宋体" w:hint="default"/>
                <w:sz w:val="21"/>
                <w:szCs w:val="21"/>
              </w:rPr>
            </w:pPr>
            <w:r>
              <w:rPr>
                <w:rFonts w:ascii="宋体"/>
                <w:sz w:val="21"/>
              </w:rPr>
              <w:t>60.47%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14" w:right="0"/>
              <w:jc w:val="left"/>
              <w:rPr>
                <w:rFonts w:ascii="宋体" w:hAnsi="宋体" w:cs="宋体" w:eastAsia="宋体" w:hint="default"/>
                <w:sz w:val="21"/>
                <w:szCs w:val="21"/>
              </w:rPr>
            </w:pPr>
            <w:r>
              <w:rPr>
                <w:rFonts w:ascii="宋体"/>
                <w:sz w:val="21"/>
              </w:rPr>
              <w:t>69.53%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19"/>
              <w:jc w:val="right"/>
              <w:rPr>
                <w:rFonts w:ascii="宋体" w:hAnsi="宋体" w:cs="宋体" w:eastAsia="宋体" w:hint="default"/>
                <w:sz w:val="21"/>
                <w:szCs w:val="21"/>
              </w:rPr>
            </w:pPr>
            <w:r>
              <w:rPr>
                <w:rFonts w:ascii="宋体"/>
                <w:sz w:val="21"/>
              </w:rPr>
              <w:t>70.78%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0"/>
              <w:jc w:val="center"/>
              <w:rPr>
                <w:rFonts w:ascii="宋体" w:hAnsi="宋体" w:cs="宋体" w:eastAsia="宋体" w:hint="default"/>
                <w:sz w:val="21"/>
                <w:szCs w:val="21"/>
              </w:rPr>
            </w:pPr>
            <w:r>
              <w:rPr>
                <w:rFonts w:ascii="宋体"/>
                <w:sz w:val="21"/>
              </w:rPr>
              <w:t>-13.03%</w:t>
            </w:r>
          </w:p>
        </w:tc>
      </w:tr>
    </w:tbl>
    <w:p>
      <w:pPr>
        <w:pStyle w:val="BodyText"/>
        <w:spacing w:line="274" w:lineRule="exact" w:before="0"/>
        <w:ind w:left="898" w:right="1665"/>
        <w:jc w:val="left"/>
      </w:pPr>
      <w:r>
        <w:rPr>
          <w:spacing w:val="-3"/>
        </w:rPr>
        <w:t>报告期公司应收账款周转率为</w:t>
      </w:r>
      <w:r>
        <w:rPr>
          <w:rFonts w:ascii="宋体" w:hAnsi="宋体" w:cs="宋体" w:eastAsia="宋体" w:hint="default"/>
          <w:spacing w:val="-3"/>
        </w:rPr>
        <w:t>2.82</w:t>
      </w:r>
      <w:r>
        <w:rPr>
          <w:spacing w:val="-3"/>
        </w:rPr>
        <w:t>，比上年下降</w:t>
      </w:r>
      <w:r>
        <w:rPr>
          <w:rFonts w:ascii="宋体" w:hAnsi="宋体" w:cs="宋体" w:eastAsia="宋体" w:hint="default"/>
          <w:spacing w:val="-3"/>
        </w:rPr>
        <w:t>33.80%</w:t>
      </w:r>
      <w:r>
        <w:rPr>
          <w:spacing w:val="-3"/>
        </w:rPr>
        <w:t>，其主要原因结算期</w:t>
      </w:r>
    </w:p>
    <w:p>
      <w:pPr>
        <w:pStyle w:val="BodyText"/>
        <w:spacing w:line="240" w:lineRule="auto" w:before="151"/>
        <w:ind w:left="418" w:right="1665"/>
        <w:jc w:val="left"/>
      </w:pPr>
      <w:r>
        <w:rPr/>
        <w:t>内应收账款增加所致。</w:t>
      </w:r>
    </w:p>
    <w:p>
      <w:pPr>
        <w:pStyle w:val="BodyText"/>
        <w:spacing w:line="355" w:lineRule="auto" w:before="154"/>
        <w:ind w:left="898" w:right="1787"/>
        <w:jc w:val="left"/>
      </w:pPr>
      <w:r>
        <w:rPr/>
        <w:t>（</w:t>
      </w:r>
      <w:r>
        <w:rPr>
          <w:rFonts w:ascii="宋体" w:hAnsi="宋体" w:cs="宋体" w:eastAsia="宋体" w:hint="default"/>
        </w:rPr>
        <w:t>6</w:t>
      </w:r>
      <w:r>
        <w:rPr/>
        <w:t>）主要资产的计量 </w:t>
      </w:r>
      <w:r>
        <w:rPr>
          <w:spacing w:val="-3"/>
        </w:rPr>
        <w:t>公司报告期内的主要资产均采用了历史成本计价，期末对相关资产进行了资</w:t>
      </w:r>
    </w:p>
    <w:p>
      <w:pPr>
        <w:pStyle w:val="BodyText"/>
        <w:spacing w:line="240" w:lineRule="auto" w:before="38"/>
        <w:ind w:left="418" w:right="1665"/>
        <w:jc w:val="left"/>
      </w:pPr>
      <w:r>
        <w:rPr>
          <w:spacing w:val="-3"/>
        </w:rPr>
        <w:t>产减值测试并按《会计准则》的要求进行了会计处理。报告期内无采用公允价值</w:t>
      </w:r>
    </w:p>
    <w:p>
      <w:pPr>
        <w:spacing w:after="0" w:line="240" w:lineRule="auto"/>
        <w:jc w:val="left"/>
        <w:sectPr>
          <w:pgSz w:w="11910" w:h="16840"/>
          <w:pgMar w:header="816" w:footer="956" w:top="1160" w:bottom="1140" w:left="1380" w:right="0"/>
        </w:sectPr>
      </w:pPr>
    </w:p>
    <w:p>
      <w:pPr>
        <w:spacing w:line="240" w:lineRule="auto" w:before="2"/>
        <w:rPr>
          <w:rFonts w:ascii="宋体" w:hAnsi="宋体" w:cs="宋体" w:eastAsia="宋体" w:hint="default"/>
          <w:sz w:val="10"/>
          <w:szCs w:val="10"/>
        </w:rPr>
      </w:pPr>
    </w:p>
    <w:p>
      <w:pPr>
        <w:pStyle w:val="BodyText"/>
        <w:spacing w:line="240" w:lineRule="auto" w:before="26"/>
        <w:ind w:left="718" w:right="1787"/>
        <w:jc w:val="left"/>
      </w:pPr>
      <w:r>
        <w:rPr/>
        <w:t>计量的资产。</w:t>
      </w:r>
    </w:p>
    <w:p>
      <w:pPr>
        <w:pStyle w:val="BodyText"/>
        <w:spacing w:line="355" w:lineRule="auto" w:before="154"/>
        <w:ind w:left="1198" w:right="5648"/>
        <w:jc w:val="left"/>
      </w:pPr>
      <w:r>
        <w:rPr/>
        <w:t>（</w:t>
      </w:r>
      <w:r>
        <w:rPr>
          <w:rFonts w:ascii="宋体" w:hAnsi="宋体" w:cs="宋体" w:eastAsia="宋体" w:hint="default"/>
        </w:rPr>
        <w:t>7</w:t>
      </w:r>
      <w:r>
        <w:rPr/>
        <w:t>）</w:t>
      </w:r>
      <w:r>
        <w:rPr>
          <w:rFonts w:ascii="宋体" w:hAnsi="宋体" w:cs="宋体" w:eastAsia="宋体" w:hint="default"/>
        </w:rPr>
        <w:t>PE </w:t>
      </w:r>
      <w:r>
        <w:rPr/>
        <w:t>投资情况 报告期内，公司不存在</w:t>
      </w:r>
      <w:r>
        <w:rPr>
          <w:rFonts w:ascii="宋体" w:hAnsi="宋体" w:cs="宋体" w:eastAsia="宋体" w:hint="default"/>
        </w:rPr>
        <w:t>PE </w:t>
      </w:r>
      <w:r>
        <w:rPr/>
        <w:t>投资情形。</w:t>
      </w:r>
    </w:p>
    <w:p>
      <w:pPr>
        <w:pStyle w:val="BodyText"/>
        <w:spacing w:line="240" w:lineRule="auto" w:before="38"/>
        <w:ind w:left="1198" w:right="1787"/>
        <w:jc w:val="left"/>
      </w:pPr>
      <w:r>
        <w:rPr>
          <w:rFonts w:ascii="宋体" w:hAnsi="宋体" w:cs="宋体" w:eastAsia="宋体" w:hint="default"/>
        </w:rPr>
        <w:t>4</w:t>
      </w:r>
      <w:r>
        <w:rPr/>
        <w:t>、公司控股或参股子公司的经营情况及业绩分析</w:t>
      </w:r>
    </w:p>
    <w:p>
      <w:pPr>
        <w:spacing w:line="240" w:lineRule="auto" w:before="4"/>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4"/>
        <w:gridCol w:w="815"/>
        <w:gridCol w:w="1688"/>
        <w:gridCol w:w="1582"/>
        <w:gridCol w:w="1112"/>
        <w:gridCol w:w="847"/>
      </w:tblGrid>
      <w:tr>
        <w:trPr>
          <w:trHeight w:val="934"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8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before="143"/>
              <w:ind w:left="193" w:right="187"/>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年净利润</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2009</w:t>
            </w:r>
            <w:r>
              <w:rPr>
                <w:rFonts w:ascii="宋体" w:hAnsi="宋体" w:cs="宋体" w:eastAsia="宋体" w:hint="default"/>
                <w:spacing w:val="-1"/>
                <w:sz w:val="21"/>
                <w:szCs w:val="21"/>
              </w:rPr>
              <w:t>年净利润</w:t>
            </w:r>
          </w:p>
        </w:tc>
        <w:tc>
          <w:tcPr>
            <w:tcW w:w="1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before="143"/>
              <w:ind w:left="338" w:right="127" w:hanging="209"/>
              <w:jc w:val="left"/>
              <w:rPr>
                <w:rFonts w:ascii="宋体" w:hAnsi="宋体" w:cs="宋体" w:eastAsia="宋体" w:hint="default"/>
                <w:sz w:val="21"/>
                <w:szCs w:val="21"/>
              </w:rPr>
            </w:pPr>
            <w:r>
              <w:rPr>
                <w:rFonts w:ascii="宋体" w:hAnsi="宋体" w:cs="宋体" w:eastAsia="宋体" w:hint="default"/>
                <w:sz w:val="21"/>
                <w:szCs w:val="21"/>
              </w:rPr>
              <w:t>同比变动</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auto"/>
              <w:ind w:left="103" w:right="98"/>
              <w:jc w:val="both"/>
              <w:rPr>
                <w:rFonts w:ascii="宋体" w:hAnsi="宋体" w:cs="宋体" w:eastAsia="宋体" w:hint="default"/>
                <w:sz w:val="21"/>
                <w:szCs w:val="21"/>
              </w:rPr>
            </w:pPr>
            <w:r>
              <w:rPr>
                <w:rFonts w:ascii="宋体" w:hAnsi="宋体" w:cs="宋体" w:eastAsia="宋体" w:hint="default"/>
                <w:sz w:val="21"/>
                <w:szCs w:val="21"/>
              </w:rPr>
              <w:t>占合并</w:t>
            </w:r>
            <w:r>
              <w:rPr>
                <w:rFonts w:ascii="宋体" w:hAnsi="宋体" w:cs="宋体" w:eastAsia="宋体" w:hint="default"/>
                <w:spacing w:val="-102"/>
                <w:sz w:val="21"/>
                <w:szCs w:val="21"/>
              </w:rPr>
              <w:t> </w:t>
            </w:r>
            <w:r>
              <w:rPr>
                <w:rFonts w:ascii="宋体" w:hAnsi="宋体" w:cs="宋体" w:eastAsia="宋体" w:hint="default"/>
                <w:sz w:val="21"/>
                <w:szCs w:val="21"/>
              </w:rPr>
              <w:t>净利润</w:t>
            </w:r>
            <w:r>
              <w:rPr>
                <w:rFonts w:ascii="宋体" w:hAnsi="宋体" w:cs="宋体" w:eastAsia="宋体" w:hint="default"/>
                <w:spacing w:val="-102"/>
                <w:sz w:val="21"/>
                <w:szCs w:val="21"/>
              </w:rPr>
              <w:t> </w:t>
            </w:r>
            <w:r>
              <w:rPr>
                <w:rFonts w:ascii="宋体" w:hAnsi="宋体" w:cs="宋体" w:eastAsia="宋体" w:hint="default"/>
                <w:sz w:val="21"/>
                <w:szCs w:val="21"/>
              </w:rPr>
              <w:t>的比例</w:t>
            </w:r>
          </w:p>
        </w:tc>
      </w:tr>
      <w:tr>
        <w:trPr>
          <w:trHeight w:val="25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7"/>
              <w:jc w:val="right"/>
              <w:rPr>
                <w:rFonts w:ascii="宋体" w:hAnsi="宋体" w:cs="宋体" w:eastAsia="宋体" w:hint="default"/>
                <w:sz w:val="21"/>
                <w:szCs w:val="21"/>
              </w:rPr>
            </w:pPr>
            <w:r>
              <w:rPr>
                <w:rFonts w:ascii="宋体"/>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5,679,746.65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5,192,302.56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9.39%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13.29%</w:t>
            </w:r>
          </w:p>
        </w:tc>
      </w:tr>
      <w:tr>
        <w:trPr>
          <w:trHeight w:val="252"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87"/>
              <w:jc w:val="right"/>
              <w:rPr>
                <w:rFonts w:ascii="宋体" w:hAnsi="宋体" w:cs="宋体" w:eastAsia="宋体" w:hint="default"/>
                <w:sz w:val="21"/>
                <w:szCs w:val="21"/>
              </w:rPr>
            </w:pPr>
            <w:r>
              <w:rPr>
                <w:rFonts w:ascii="宋体"/>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21"/>
                <w:szCs w:val="21"/>
              </w:rPr>
            </w:pPr>
            <w:r>
              <w:rPr>
                <w:rFonts w:ascii="宋体"/>
                <w:spacing w:val="-1"/>
                <w:sz w:val="21"/>
              </w:rPr>
              <w:t>1,090,562.13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1,316,771.80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-17.18%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z w:val="21"/>
              </w:rPr>
              <w:t>2.55%</w:t>
            </w:r>
          </w:p>
        </w:tc>
      </w:tr>
      <w:tr>
        <w:trPr>
          <w:trHeight w:val="25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7"/>
              <w:jc w:val="right"/>
              <w:rPr>
                <w:rFonts w:ascii="宋体" w:hAnsi="宋体" w:cs="宋体" w:eastAsia="宋体" w:hint="default"/>
                <w:sz w:val="21"/>
                <w:szCs w:val="21"/>
              </w:rPr>
            </w:pPr>
            <w:r>
              <w:rPr>
                <w:rFonts w:ascii="宋体"/>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2,570,772.81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2,947,019.53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-12.77%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6.02%</w:t>
            </w:r>
          </w:p>
        </w:tc>
      </w:tr>
      <w:tr>
        <w:trPr>
          <w:trHeight w:val="25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7"/>
              <w:jc w:val="right"/>
              <w:rPr>
                <w:rFonts w:ascii="宋体" w:hAnsi="宋体" w:cs="宋体" w:eastAsia="宋体" w:hint="default"/>
                <w:sz w:val="21"/>
                <w:szCs w:val="21"/>
              </w:rPr>
            </w:pPr>
            <w:r>
              <w:rPr>
                <w:rFonts w:ascii="宋体"/>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289,507.35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707,392.90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-59.07%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0.68%</w:t>
            </w:r>
          </w:p>
        </w:tc>
      </w:tr>
      <w:tr>
        <w:trPr>
          <w:trHeight w:val="25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安徽鑫龙电力工程安装有限公司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7"/>
              <w:jc w:val="right"/>
              <w:rPr>
                <w:rFonts w:ascii="宋体" w:hAnsi="宋体" w:cs="宋体" w:eastAsia="宋体" w:hint="default"/>
                <w:sz w:val="21"/>
                <w:szCs w:val="21"/>
              </w:rPr>
            </w:pPr>
            <w:r>
              <w:rPr>
                <w:rFonts w:ascii="宋体"/>
                <w:sz w:val="21"/>
              </w:rPr>
              <w:t>100%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183,521.25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-15,452.90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1287.62%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0.43%</w:t>
            </w:r>
          </w:p>
        </w:tc>
      </w:tr>
      <w:tr>
        <w:trPr>
          <w:trHeight w:val="25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安徽鑫龙电器元件销售有限公司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40"/>
              <w:jc w:val="right"/>
              <w:rPr>
                <w:rFonts w:ascii="宋体" w:hAnsi="宋体" w:cs="宋体" w:eastAsia="宋体" w:hint="default"/>
                <w:sz w:val="21"/>
                <w:szCs w:val="21"/>
              </w:rPr>
            </w:pPr>
            <w:r>
              <w:rPr>
                <w:rFonts w:ascii="宋体"/>
                <w:sz w:val="21"/>
              </w:rPr>
              <w:t>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791,300.83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1,025,937.78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-22.87%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1.85%</w:t>
            </w:r>
          </w:p>
        </w:tc>
      </w:tr>
      <w:tr>
        <w:trPr>
          <w:trHeight w:val="490"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03" w:right="104"/>
              <w:jc w:val="left"/>
              <w:rPr>
                <w:rFonts w:ascii="宋体" w:hAnsi="宋体" w:cs="宋体" w:eastAsia="宋体" w:hint="default"/>
                <w:sz w:val="21"/>
                <w:szCs w:val="21"/>
              </w:rPr>
            </w:pPr>
            <w:r>
              <w:rPr>
                <w:rFonts w:ascii="宋体" w:hAnsi="宋体" w:cs="宋体" w:eastAsia="宋体" w:hint="default"/>
                <w:spacing w:val="5"/>
                <w:sz w:val="21"/>
                <w:szCs w:val="21"/>
              </w:rPr>
              <w:t>芜湖扬子农村商业银行股份有限公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34"/>
              <w:jc w:val="right"/>
              <w:rPr>
                <w:rFonts w:ascii="宋体" w:hAnsi="宋体" w:cs="宋体" w:eastAsia="宋体" w:hint="default"/>
                <w:sz w:val="21"/>
                <w:szCs w:val="21"/>
              </w:rPr>
            </w:pPr>
            <w:r>
              <w:rPr>
                <w:rFonts w:ascii="宋体"/>
                <w:sz w:val="21"/>
              </w:rPr>
              <w:t>0.01%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115,682,693.63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pacing w:val="-1"/>
                <w:sz w:val="21"/>
              </w:rPr>
              <w:t>84,629,762.26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36.69%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r>
      <w:tr>
        <w:trPr>
          <w:trHeight w:val="252" w:hRule="exact"/>
        </w:trPr>
        <w:tc>
          <w:tcPr>
            <w:tcW w:w="34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芜湖市中小企业信用担保有限公司</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3" w:right="0"/>
              <w:jc w:val="center"/>
              <w:rPr>
                <w:rFonts w:ascii="宋体" w:hAnsi="宋体" w:cs="宋体" w:eastAsia="宋体" w:hint="default"/>
                <w:sz w:val="21"/>
                <w:szCs w:val="21"/>
              </w:rPr>
            </w:pPr>
            <w:r>
              <w:rPr>
                <w:rFonts w:ascii="宋体"/>
                <w:sz w:val="21"/>
              </w:rPr>
              <w:t>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21"/>
                <w:szCs w:val="21"/>
              </w:rPr>
            </w:pPr>
            <w:r>
              <w:rPr>
                <w:rFonts w:ascii="宋体"/>
                <w:spacing w:val="-1"/>
                <w:sz w:val="21"/>
              </w:rPr>
              <w:t>27,130,385.77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33,996,384.14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-20.20%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sz w:val="15"/>
          <w:szCs w:val="15"/>
        </w:rPr>
      </w:pPr>
    </w:p>
    <w:p>
      <w:pPr>
        <w:pStyle w:val="BodyText"/>
        <w:spacing w:line="240" w:lineRule="auto" w:before="26"/>
        <w:ind w:left="1198" w:right="1787"/>
        <w:jc w:val="left"/>
      </w:pPr>
      <w:r>
        <w:rPr/>
        <w:t>控股子公司其他说明情况</w:t>
      </w:r>
    </w:p>
    <w:p>
      <w:pPr>
        <w:pStyle w:val="BodyText"/>
        <w:spacing w:line="357" w:lineRule="auto" w:before="154"/>
        <w:ind w:left="718" w:right="1671" w:firstLine="479"/>
        <w:jc w:val="left"/>
      </w:pPr>
      <w:r>
        <w:rPr/>
        <w:t>（</w:t>
      </w:r>
      <w:r>
        <w:rPr>
          <w:rFonts w:ascii="宋体" w:hAnsi="宋体" w:cs="宋体" w:eastAsia="宋体" w:hint="default"/>
        </w:rPr>
        <w:t>1</w:t>
      </w:r>
      <w:r>
        <w:rPr/>
        <w:t>）安徽森源电器有限公司：主营高、低压电器元器件，开关配件设计、 </w:t>
      </w:r>
      <w:r>
        <w:rPr>
          <w:spacing w:val="-3"/>
        </w:rPr>
        <w:t>制造、销售；该公司为全资子公司；注册资本</w:t>
      </w:r>
      <w:r>
        <w:rPr>
          <w:rFonts w:ascii="宋体" w:hAnsi="宋体" w:cs="宋体" w:eastAsia="宋体" w:hint="default"/>
          <w:spacing w:val="-3"/>
        </w:rPr>
        <w:t>7,560</w:t>
      </w:r>
      <w:r>
        <w:rPr>
          <w:spacing w:val="-3"/>
        </w:rPr>
        <w:t>万元；截止</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w:t>
      </w:r>
      <w:r>
        <w:rPr>
          <w:spacing w:val="-82"/>
        </w:rPr>
        <w:t> </w:t>
      </w:r>
      <w:r>
        <w:rPr>
          <w:spacing w:val="-2"/>
        </w:rPr>
        <w:t>该公司总资产</w:t>
      </w:r>
      <w:r>
        <w:rPr>
          <w:rFonts w:ascii="宋体" w:hAnsi="宋体" w:cs="宋体" w:eastAsia="宋体" w:hint="default"/>
          <w:spacing w:val="-2"/>
        </w:rPr>
        <w:t>21,663.45</w:t>
      </w:r>
      <w:r>
        <w:rPr>
          <w:spacing w:val="-2"/>
        </w:rPr>
        <w:t>万元，总负债</w:t>
      </w:r>
      <w:r>
        <w:rPr>
          <w:rFonts w:ascii="宋体" w:hAnsi="宋体" w:cs="宋体" w:eastAsia="宋体" w:hint="default"/>
          <w:spacing w:val="-2"/>
        </w:rPr>
        <w:t>9,852.33</w:t>
      </w:r>
      <w:r>
        <w:rPr>
          <w:spacing w:val="-2"/>
        </w:rPr>
        <w:t>万元，净资产</w:t>
      </w:r>
      <w:r>
        <w:rPr>
          <w:rFonts w:ascii="宋体" w:hAnsi="宋体" w:cs="宋体" w:eastAsia="宋体" w:hint="default"/>
          <w:spacing w:val="-2"/>
        </w:rPr>
        <w:t>11,811.12</w:t>
      </w:r>
      <w:r>
        <w:rPr>
          <w:spacing w:val="-2"/>
        </w:rPr>
        <w:t>万元；报</w:t>
      </w:r>
      <w:r>
        <w:rPr>
          <w:spacing w:val="-112"/>
        </w:rPr>
        <w:t> </w:t>
      </w:r>
      <w:r>
        <w:rPr>
          <w:spacing w:val="-112"/>
        </w:rPr>
      </w:r>
      <w:r>
        <w:rPr/>
        <w:t>告期内实现营业收入</w:t>
      </w:r>
      <w:r>
        <w:rPr>
          <w:rFonts w:ascii="宋体" w:hAnsi="宋体" w:cs="宋体" w:eastAsia="宋体" w:hint="default"/>
        </w:rPr>
        <w:t>7,709.86 </w:t>
      </w:r>
      <w:r>
        <w:rPr>
          <w:spacing w:val="-9"/>
        </w:rPr>
        <w:t>万元，营业利润</w:t>
      </w:r>
      <w:r>
        <w:rPr>
          <w:rFonts w:ascii="宋体" w:hAnsi="宋体" w:cs="宋体" w:eastAsia="宋体" w:hint="default"/>
          <w:spacing w:val="-9"/>
        </w:rPr>
        <w:t>663.89</w:t>
      </w:r>
      <w:r>
        <w:rPr>
          <w:spacing w:val="-9"/>
        </w:rPr>
        <w:t>万元。（以上数据业经天健</w:t>
      </w:r>
      <w:r>
        <w:rPr>
          <w:spacing w:val="-103"/>
        </w:rPr>
        <w:t> </w:t>
      </w:r>
      <w:r>
        <w:rPr>
          <w:spacing w:val="-103"/>
        </w:rPr>
      </w:r>
      <w:r>
        <w:rPr/>
        <w:t>正信会计师事务所有限公司审计）</w:t>
      </w:r>
    </w:p>
    <w:p>
      <w:pPr>
        <w:pStyle w:val="BodyText"/>
        <w:spacing w:line="357" w:lineRule="auto"/>
        <w:ind w:left="718" w:right="1671" w:firstLine="479"/>
        <w:jc w:val="left"/>
      </w:pPr>
      <w:r>
        <w:rPr>
          <w:spacing w:val="-3"/>
        </w:rPr>
        <w:t>（</w:t>
      </w:r>
      <w:r>
        <w:rPr>
          <w:rFonts w:ascii="宋体" w:hAnsi="宋体" w:cs="宋体" w:eastAsia="宋体" w:hint="default"/>
          <w:spacing w:val="-3"/>
        </w:rPr>
        <w:t>2</w:t>
      </w:r>
      <w:r>
        <w:rPr>
          <w:spacing w:val="-3"/>
        </w:rPr>
        <w:t>）安徽鑫龙低压电器有限公司：主营低压电器设备，元件及附件的设计、</w:t>
      </w:r>
      <w:r>
        <w:rPr/>
        <w:t> 制造、销售；该公司为全资子公司；注册资本</w:t>
      </w:r>
      <w:r>
        <w:rPr>
          <w:rFonts w:ascii="宋体" w:hAnsi="宋体" w:cs="宋体" w:eastAsia="宋体" w:hint="default"/>
        </w:rPr>
        <w:t>300</w:t>
      </w:r>
      <w:r>
        <w:rPr/>
        <w:t>万元；截止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r>
        <w:rPr>
          <w:spacing w:val="-94"/>
        </w:rPr>
        <w:t> </w:t>
      </w:r>
      <w:r>
        <w:rPr>
          <w:spacing w:val="-2"/>
        </w:rPr>
        <w:t>该公司总资产</w:t>
      </w:r>
      <w:r>
        <w:rPr>
          <w:rFonts w:ascii="宋体" w:hAnsi="宋体" w:cs="宋体" w:eastAsia="宋体" w:hint="default"/>
          <w:spacing w:val="-2"/>
        </w:rPr>
        <w:t>1,432.82</w:t>
      </w:r>
      <w:r>
        <w:rPr>
          <w:spacing w:val="-2"/>
        </w:rPr>
        <w:t>万元，总负债</w:t>
      </w:r>
      <w:r>
        <w:rPr>
          <w:rFonts w:ascii="宋体" w:hAnsi="宋体" w:cs="宋体" w:eastAsia="宋体" w:hint="default"/>
          <w:spacing w:val="-2"/>
        </w:rPr>
        <w:t>706.81</w:t>
      </w:r>
      <w:r>
        <w:rPr>
          <w:spacing w:val="-2"/>
        </w:rPr>
        <w:t>万元，净资产</w:t>
      </w:r>
      <w:r>
        <w:rPr>
          <w:rFonts w:ascii="宋体" w:hAnsi="宋体" w:cs="宋体" w:eastAsia="宋体" w:hint="default"/>
          <w:spacing w:val="-2"/>
        </w:rPr>
        <w:t>726.01</w:t>
      </w:r>
      <w:r>
        <w:rPr>
          <w:spacing w:val="-2"/>
        </w:rPr>
        <w:t>万元；报告期内</w:t>
      </w:r>
      <w:r>
        <w:rPr>
          <w:spacing w:val="-118"/>
        </w:rPr>
        <w:t> </w:t>
      </w:r>
      <w:r>
        <w:rPr>
          <w:spacing w:val="-118"/>
        </w:rPr>
      </w:r>
      <w:r>
        <w:rPr>
          <w:spacing w:val="-3"/>
        </w:rPr>
        <w:t>实现营业收入</w:t>
      </w:r>
      <w:r>
        <w:rPr>
          <w:rFonts w:ascii="宋体" w:hAnsi="宋体" w:cs="宋体" w:eastAsia="宋体" w:hint="default"/>
          <w:spacing w:val="-3"/>
        </w:rPr>
        <w:t>1,146.00</w:t>
      </w:r>
      <w:r>
        <w:rPr>
          <w:spacing w:val="-3"/>
        </w:rPr>
        <w:t>万元，营业利润</w:t>
      </w:r>
      <w:r>
        <w:rPr>
          <w:rFonts w:ascii="宋体" w:hAnsi="宋体" w:cs="宋体" w:eastAsia="宋体" w:hint="default"/>
          <w:spacing w:val="-3"/>
        </w:rPr>
        <w:t>121.83</w:t>
      </w:r>
      <w:r>
        <w:rPr>
          <w:spacing w:val="-3"/>
        </w:rPr>
        <w:t>万元。（以上数据业经天健正信会</w:t>
      </w:r>
      <w:r>
        <w:rPr>
          <w:spacing w:val="-87"/>
        </w:rPr>
        <w:t> </w:t>
      </w:r>
      <w:r>
        <w:rPr>
          <w:spacing w:val="-87"/>
        </w:rPr>
      </w:r>
      <w:r>
        <w:rPr/>
        <w:t>计师事务所有限公司审计）</w:t>
      </w:r>
    </w:p>
    <w:p>
      <w:pPr>
        <w:pStyle w:val="BodyText"/>
        <w:spacing w:line="357" w:lineRule="auto"/>
        <w:ind w:left="718" w:right="1664" w:firstLine="479"/>
        <w:jc w:val="left"/>
      </w:pPr>
      <w:r>
        <w:rPr/>
        <w:t>（</w:t>
      </w:r>
      <w:r>
        <w:rPr>
          <w:rFonts w:ascii="宋体" w:hAnsi="宋体" w:cs="宋体" w:eastAsia="宋体" w:hint="default"/>
        </w:rPr>
        <w:t>3</w:t>
      </w:r>
      <w:r>
        <w:rPr/>
        <w:t>）安徽鑫龙自动化有限公司：主营变电站微机综合自动化系统，数控直 </w:t>
      </w:r>
      <w:r>
        <w:rPr>
          <w:spacing w:val="-3"/>
        </w:rPr>
        <w:t>流电源柜及部件，全数字软启动器及装置，智能型全数字晶闸调功器，全数字交</w:t>
      </w:r>
      <w:r>
        <w:rPr>
          <w:spacing w:val="-102"/>
        </w:rPr>
        <w:t> </w:t>
      </w:r>
      <w:r>
        <w:rPr>
          <w:spacing w:val="-102"/>
        </w:rPr>
      </w:r>
      <w:r>
        <w:rPr>
          <w:spacing w:val="-3"/>
        </w:rPr>
        <w:t>直流供调速系统及装置，工业生产过程自动化控制系统，</w:t>
      </w:r>
      <w:r>
        <w:rPr>
          <w:rFonts w:ascii="宋体" w:hAnsi="宋体" w:cs="宋体" w:eastAsia="宋体" w:hint="default"/>
          <w:spacing w:val="-3"/>
        </w:rPr>
        <w:t>DCS</w:t>
      </w:r>
      <w:r>
        <w:rPr>
          <w:spacing w:val="-3"/>
        </w:rPr>
        <w:t>、</w:t>
      </w:r>
      <w:r>
        <w:rPr>
          <w:rFonts w:ascii="宋体" w:hAnsi="宋体" w:cs="宋体" w:eastAsia="宋体" w:hint="default"/>
          <w:spacing w:val="-3"/>
        </w:rPr>
        <w:t>PLC</w:t>
      </w:r>
      <w:r>
        <w:rPr>
          <w:spacing w:val="-3"/>
        </w:rPr>
        <w:t>控，智能化数</w:t>
      </w:r>
      <w:r>
        <w:rPr>
          <w:spacing w:val="-93"/>
        </w:rPr>
        <w:t> </w:t>
      </w:r>
      <w:r>
        <w:rPr>
          <w:spacing w:val="-93"/>
        </w:rPr>
      </w:r>
      <w:r>
        <w:rPr>
          <w:spacing w:val="-6"/>
        </w:rPr>
        <w:t>字仪表设计、生产，安全防范技术工程设计、施工、维修；该公司为全资子公司；</w:t>
      </w:r>
      <w:r>
        <w:rPr>
          <w:spacing w:val="-115"/>
        </w:rPr>
        <w:t> </w:t>
      </w:r>
      <w:r>
        <w:rPr>
          <w:spacing w:val="-115"/>
        </w:rPr>
      </w:r>
      <w:r>
        <w:rPr/>
        <w:t>注册资本</w:t>
      </w:r>
      <w:r>
        <w:rPr>
          <w:rFonts w:ascii="宋体" w:hAnsi="宋体" w:cs="宋体" w:eastAsia="宋体" w:hint="default"/>
        </w:rPr>
        <w:t>1,000</w:t>
      </w:r>
      <w:r>
        <w:rPr/>
        <w:t>万元；截止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日，该公司总资产</w:t>
      </w:r>
      <w:r>
        <w:rPr>
          <w:rFonts w:ascii="宋体" w:hAnsi="宋体" w:cs="宋体" w:eastAsia="宋体" w:hint="default"/>
        </w:rPr>
        <w:t>3,148.17</w:t>
      </w:r>
      <w:r>
        <w:rPr/>
        <w:t>万元，总负</w:t>
      </w:r>
      <w:r>
        <w:rPr>
          <w:spacing w:val="-94"/>
        </w:rPr>
        <w:t> </w:t>
      </w:r>
      <w:r>
        <w:rPr>
          <w:spacing w:val="-94"/>
        </w:rPr>
      </w:r>
      <w:r>
        <w:rPr>
          <w:spacing w:val="-2"/>
        </w:rPr>
        <w:t>债</w:t>
      </w:r>
      <w:r>
        <w:rPr>
          <w:rFonts w:ascii="宋体" w:hAnsi="宋体" w:cs="宋体" w:eastAsia="宋体" w:hint="default"/>
          <w:spacing w:val="-2"/>
        </w:rPr>
        <w:t>892.87</w:t>
      </w:r>
      <w:r>
        <w:rPr>
          <w:spacing w:val="-2"/>
        </w:rPr>
        <w:t>万元，净资产</w:t>
      </w:r>
      <w:r>
        <w:rPr>
          <w:rFonts w:ascii="宋体" w:hAnsi="宋体" w:cs="宋体" w:eastAsia="宋体" w:hint="default"/>
          <w:spacing w:val="-2"/>
        </w:rPr>
        <w:t>2,255.30</w:t>
      </w:r>
      <w:r>
        <w:rPr>
          <w:spacing w:val="-2"/>
        </w:rPr>
        <w:t>万元；报告期内实现营业收入</w:t>
      </w:r>
      <w:r>
        <w:rPr>
          <w:rFonts w:ascii="宋体" w:hAnsi="宋体" w:cs="宋体" w:eastAsia="宋体" w:hint="default"/>
          <w:spacing w:val="-2"/>
        </w:rPr>
        <w:t>2,727.49</w:t>
      </w:r>
      <w:r>
        <w:rPr>
          <w:spacing w:val="-2"/>
        </w:rPr>
        <w:t>万元，营</w:t>
      </w:r>
      <w:r>
        <w:rPr>
          <w:spacing w:val="-116"/>
        </w:rPr>
        <w:t> </w:t>
      </w:r>
      <w:r>
        <w:rPr>
          <w:spacing w:val="-116"/>
        </w:rPr>
      </w:r>
      <w:r>
        <w:rPr>
          <w:spacing w:val="-4"/>
        </w:rPr>
        <w:t>业利润</w:t>
      </w:r>
      <w:r>
        <w:rPr>
          <w:rFonts w:ascii="宋体" w:hAnsi="宋体" w:cs="宋体" w:eastAsia="宋体" w:hint="default"/>
          <w:spacing w:val="-4"/>
        </w:rPr>
        <w:t>300.97</w:t>
      </w:r>
      <w:r>
        <w:rPr>
          <w:spacing w:val="-4"/>
        </w:rPr>
        <w:t>万元。（以上数据业经天健正信会计师事务所有限公司审计）</w:t>
      </w:r>
    </w:p>
    <w:p>
      <w:pPr>
        <w:spacing w:after="0" w:line="357" w:lineRule="auto"/>
        <w:jc w:val="left"/>
        <w:sectPr>
          <w:pgSz w:w="11910" w:h="16840"/>
          <w:pgMar w:header="816" w:footer="956" w:top="1160" w:bottom="1140" w:left="1080" w:right="0"/>
        </w:sectPr>
      </w:pPr>
    </w:p>
    <w:p>
      <w:pPr>
        <w:spacing w:line="240" w:lineRule="auto" w:before="2"/>
        <w:rPr>
          <w:rFonts w:ascii="宋体" w:hAnsi="宋体" w:cs="宋体" w:eastAsia="宋体" w:hint="default"/>
          <w:sz w:val="10"/>
          <w:szCs w:val="10"/>
        </w:rPr>
      </w:pPr>
    </w:p>
    <w:p>
      <w:pPr>
        <w:pStyle w:val="BodyText"/>
        <w:spacing w:line="357" w:lineRule="auto" w:before="26"/>
        <w:ind w:right="1791" w:firstLine="479"/>
        <w:jc w:val="both"/>
      </w:pPr>
      <w:r>
        <w:rPr/>
        <w:t>（</w:t>
      </w:r>
      <w:r>
        <w:rPr>
          <w:rFonts w:ascii="宋体" w:hAnsi="宋体" w:cs="宋体" w:eastAsia="宋体" w:hint="default"/>
        </w:rPr>
        <w:t>4</w:t>
      </w:r>
      <w:r>
        <w:rPr/>
        <w:t>）安徽鑫龙变压器有限公司：主营油浸式变压器和干式变压器生产、销 </w:t>
      </w:r>
      <w:r>
        <w:rPr>
          <w:spacing w:val="-3"/>
        </w:rPr>
        <w:t>售和维修（涉及国家有关审批项目，按国家有关规定办理），预装式变电站的设</w:t>
      </w:r>
      <w:r>
        <w:rPr>
          <w:spacing w:val="-110"/>
        </w:rPr>
        <w:t> </w:t>
      </w:r>
      <w:r>
        <w:rPr>
          <w:spacing w:val="-110"/>
        </w:rPr>
      </w:r>
      <w:r>
        <w:rPr/>
        <w:t>计；该公司为全资子公司；注册资本</w:t>
      </w:r>
      <w:r>
        <w:rPr>
          <w:rFonts w:ascii="宋体" w:hAnsi="宋体" w:cs="宋体" w:eastAsia="宋体" w:hint="default"/>
        </w:rPr>
        <w:t>300</w:t>
      </w:r>
      <w:r>
        <w:rPr/>
        <w:t>万元；截止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日，该公司总</w:t>
      </w:r>
      <w:r>
        <w:rPr>
          <w:spacing w:val="-94"/>
        </w:rPr>
        <w:t> </w:t>
      </w:r>
      <w:r>
        <w:rPr>
          <w:spacing w:val="-94"/>
        </w:rPr>
      </w:r>
      <w:r>
        <w:rPr>
          <w:spacing w:val="-2"/>
        </w:rPr>
        <w:t>资产</w:t>
      </w:r>
      <w:r>
        <w:rPr>
          <w:rFonts w:ascii="宋体" w:hAnsi="宋体" w:cs="宋体" w:eastAsia="宋体" w:hint="default"/>
          <w:spacing w:val="-2"/>
        </w:rPr>
        <w:t>741.83</w:t>
      </w:r>
      <w:r>
        <w:rPr>
          <w:spacing w:val="-2"/>
        </w:rPr>
        <w:t>万元，总负债</w:t>
      </w:r>
      <w:r>
        <w:rPr>
          <w:rFonts w:ascii="宋体" w:hAnsi="宋体" w:cs="宋体" w:eastAsia="宋体" w:hint="default"/>
          <w:spacing w:val="-2"/>
        </w:rPr>
        <w:t>136.72</w:t>
      </w:r>
      <w:r>
        <w:rPr>
          <w:spacing w:val="-2"/>
        </w:rPr>
        <w:t>万元，净资产</w:t>
      </w:r>
      <w:r>
        <w:rPr>
          <w:rFonts w:ascii="宋体" w:hAnsi="宋体" w:cs="宋体" w:eastAsia="宋体" w:hint="default"/>
          <w:spacing w:val="-2"/>
        </w:rPr>
        <w:t>605.11</w:t>
      </w:r>
      <w:r>
        <w:rPr>
          <w:spacing w:val="-2"/>
        </w:rPr>
        <w:t>万元；报告期内实现营业收</w:t>
      </w:r>
      <w:r>
        <w:rPr/>
        <w:t> </w:t>
      </w:r>
      <w:r>
        <w:rPr>
          <w:spacing w:val="-6"/>
        </w:rPr>
        <w:t>入</w:t>
      </w:r>
      <w:r>
        <w:rPr>
          <w:rFonts w:ascii="宋体" w:hAnsi="宋体" w:cs="宋体" w:eastAsia="宋体" w:hint="default"/>
          <w:spacing w:val="-6"/>
        </w:rPr>
        <w:t>741.56</w:t>
      </w:r>
      <w:r>
        <w:rPr>
          <w:spacing w:val="-6"/>
        </w:rPr>
        <w:t>万元，营业利润</w:t>
      </w:r>
      <w:r>
        <w:rPr>
          <w:rFonts w:ascii="宋体" w:hAnsi="宋体" w:cs="宋体" w:eastAsia="宋体" w:hint="default"/>
          <w:spacing w:val="-6"/>
        </w:rPr>
        <w:t>30.77</w:t>
      </w:r>
      <w:r>
        <w:rPr>
          <w:spacing w:val="-6"/>
        </w:rPr>
        <w:t>万元。（以上数据业经天健正信会计师事务所有限</w:t>
      </w:r>
      <w:r>
        <w:rPr>
          <w:spacing w:val="-83"/>
        </w:rPr>
        <w:t> </w:t>
      </w:r>
      <w:r>
        <w:rPr>
          <w:spacing w:val="-83"/>
        </w:rPr>
      </w:r>
      <w:r>
        <w:rPr/>
        <w:t>公司审计）</w:t>
      </w:r>
    </w:p>
    <w:p>
      <w:pPr>
        <w:pStyle w:val="BodyText"/>
        <w:spacing w:line="357" w:lineRule="auto"/>
        <w:ind w:right="1792" w:firstLine="479"/>
        <w:jc w:val="both"/>
      </w:pPr>
      <w:r>
        <w:rPr/>
        <w:t>（</w:t>
      </w:r>
      <w:r>
        <w:rPr>
          <w:rFonts w:ascii="宋体" w:hAnsi="宋体" w:cs="宋体" w:eastAsia="宋体" w:hint="default"/>
        </w:rPr>
        <w:t>5</w:t>
      </w:r>
      <w:r>
        <w:rPr/>
        <w:t>）安徽鑫龙电力工程安装有限公司：主营电气设备（含发电、输电、配 </w:t>
      </w:r>
      <w:r>
        <w:rPr>
          <w:spacing w:val="-3"/>
        </w:rPr>
        <w:t>电、电气传动、自动化仪表、通讯工业电视），工业过程控制及监控系统，计算</w:t>
      </w:r>
      <w:r>
        <w:rPr>
          <w:spacing w:val="-110"/>
        </w:rPr>
        <w:t> </w:t>
      </w:r>
      <w:r>
        <w:rPr>
          <w:spacing w:val="-110"/>
        </w:rPr>
      </w:r>
      <w:r>
        <w:rPr>
          <w:spacing w:val="-3"/>
        </w:rPr>
        <w:t>机应用服务与综合信息网络工程，电子声像工程，职能化系统和技术防范工程安</w:t>
      </w:r>
      <w:r>
        <w:rPr>
          <w:spacing w:val="-103"/>
        </w:rPr>
        <w:t> </w:t>
      </w:r>
      <w:r>
        <w:rPr>
          <w:spacing w:val="-103"/>
        </w:rPr>
      </w:r>
      <w:r>
        <w:rPr>
          <w:spacing w:val="-3"/>
        </w:rPr>
        <w:t>装、调试、维护（凡涉及专项审批的凭许可证经营）；该公司为全资子公司；注</w:t>
      </w:r>
      <w:r>
        <w:rPr>
          <w:spacing w:val="-110"/>
        </w:rPr>
        <w:t> </w:t>
      </w:r>
      <w:r>
        <w:rPr>
          <w:spacing w:val="-110"/>
        </w:rPr>
      </w:r>
      <w:r>
        <w:rPr/>
        <w:t>册资本</w:t>
      </w:r>
      <w:r>
        <w:rPr>
          <w:rFonts w:ascii="宋体" w:hAnsi="宋体" w:cs="宋体" w:eastAsia="宋体" w:hint="default"/>
        </w:rPr>
        <w:t>300</w:t>
      </w:r>
      <w:r>
        <w:rPr/>
        <w:t>万元；截止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日，该公司总资产</w:t>
      </w:r>
      <w:r>
        <w:rPr>
          <w:rFonts w:ascii="宋体" w:hAnsi="宋体" w:cs="宋体" w:eastAsia="宋体" w:hint="default"/>
        </w:rPr>
        <w:t>319.90</w:t>
      </w:r>
      <w:r>
        <w:rPr/>
        <w:t>万元，总负债</w:t>
      </w:r>
      <w:r>
        <w:rPr>
          <w:rFonts w:ascii="宋体" w:hAnsi="宋体" w:cs="宋体" w:eastAsia="宋体" w:hint="default"/>
        </w:rPr>
        <w:t>6.04</w:t>
      </w:r>
      <w:r>
        <w:rPr>
          <w:rFonts w:ascii="宋体" w:hAnsi="宋体" w:cs="宋体" w:eastAsia="宋体" w:hint="default"/>
          <w:spacing w:val="-95"/>
        </w:rPr>
        <w:t> </w:t>
      </w:r>
      <w:r>
        <w:rPr>
          <w:spacing w:val="3"/>
        </w:rPr>
        <w:t>万元，净资产</w:t>
      </w:r>
      <w:r>
        <w:rPr>
          <w:rFonts w:ascii="宋体" w:hAnsi="宋体" w:cs="宋体" w:eastAsia="宋体" w:hint="default"/>
          <w:spacing w:val="3"/>
        </w:rPr>
        <w:t>313.87</w:t>
      </w:r>
      <w:r>
        <w:rPr>
          <w:spacing w:val="3"/>
        </w:rPr>
        <w:t>万元；报告期内实现营业收入</w:t>
      </w:r>
      <w:r>
        <w:rPr>
          <w:rFonts w:ascii="宋体" w:hAnsi="宋体" w:cs="宋体" w:eastAsia="宋体" w:hint="default"/>
          <w:spacing w:val="3"/>
        </w:rPr>
        <w:t>62.35</w:t>
      </w:r>
      <w:r>
        <w:rPr>
          <w:spacing w:val="3"/>
        </w:rPr>
        <w:t>万元，营业利润</w:t>
      </w:r>
      <w:r>
        <w:rPr>
          <w:rFonts w:ascii="宋体" w:hAnsi="宋体" w:cs="宋体" w:eastAsia="宋体" w:hint="default"/>
          <w:spacing w:val="3"/>
        </w:rPr>
        <w:t>19.60</w:t>
      </w:r>
      <w:r>
        <w:rPr>
          <w:rFonts w:ascii="宋体" w:hAnsi="宋体" w:cs="宋体" w:eastAsia="宋体" w:hint="default"/>
          <w:spacing w:val="-113"/>
        </w:rPr>
        <w:t> </w:t>
      </w:r>
      <w:r>
        <w:rPr>
          <w:spacing w:val="-5"/>
        </w:rPr>
        <w:t>万元。（以上数据业经天健正信会计师事务所有限公司审计）</w:t>
      </w:r>
    </w:p>
    <w:p>
      <w:pPr>
        <w:pStyle w:val="BodyText"/>
        <w:spacing w:line="357" w:lineRule="auto" w:before="36"/>
        <w:ind w:right="1671" w:firstLine="479"/>
        <w:jc w:val="left"/>
      </w:pPr>
      <w:r>
        <w:rPr>
          <w:spacing w:val="-3"/>
        </w:rPr>
        <w:t>（</w:t>
      </w:r>
      <w:r>
        <w:rPr>
          <w:rFonts w:ascii="宋体" w:hAnsi="宋体" w:cs="宋体" w:eastAsia="宋体" w:hint="default"/>
          <w:spacing w:val="-3"/>
        </w:rPr>
        <w:t>6</w:t>
      </w:r>
      <w:r>
        <w:rPr>
          <w:spacing w:val="-3"/>
        </w:rPr>
        <w:t>）安徽鑫龙电器元件销售有限公司：主营高低压元器元件、工控元器件、</w:t>
      </w:r>
      <w:r>
        <w:rPr/>
        <w:t> </w:t>
      </w:r>
      <w:r>
        <w:rPr>
          <w:spacing w:val="-3"/>
        </w:rPr>
        <w:t>智能化仪器仪表、变压器、电线电缆销售；该公司股东为本公司、安徽森源电器</w:t>
      </w:r>
      <w:r>
        <w:rPr>
          <w:spacing w:val="-103"/>
        </w:rPr>
        <w:t> </w:t>
      </w:r>
      <w:r>
        <w:rPr>
          <w:spacing w:val="-103"/>
        </w:rPr>
      </w:r>
      <w:r>
        <w:rPr/>
        <w:t>有限公司、安徽鑫龙低压电器有限公司，分别持有其</w:t>
      </w:r>
      <w:r>
        <w:rPr>
          <w:rFonts w:ascii="宋体" w:hAnsi="宋体" w:cs="宋体" w:eastAsia="宋体" w:hint="default"/>
        </w:rPr>
        <w:t>90%</w:t>
      </w:r>
      <w:r>
        <w:rPr/>
        <w:t>、</w:t>
      </w:r>
      <w:r>
        <w:rPr>
          <w:rFonts w:ascii="宋体" w:hAnsi="宋体" w:cs="宋体" w:eastAsia="宋体" w:hint="default"/>
        </w:rPr>
        <w:t>5%</w:t>
      </w:r>
      <w:r>
        <w:rPr/>
        <w:t>、</w:t>
      </w:r>
      <w:r>
        <w:rPr>
          <w:rFonts w:ascii="宋体" w:hAnsi="宋体" w:cs="宋体" w:eastAsia="宋体" w:hint="default"/>
        </w:rPr>
        <w:t>5%</w:t>
      </w:r>
      <w:r>
        <w:rPr/>
        <w:t>的股权；注册</w:t>
      </w:r>
      <w:r>
        <w:rPr>
          <w:spacing w:val="-93"/>
        </w:rPr>
        <w:t> </w:t>
      </w:r>
      <w:r>
        <w:rPr>
          <w:spacing w:val="-93"/>
        </w:rPr>
      </w:r>
      <w:r>
        <w:rPr>
          <w:spacing w:val="11"/>
        </w:rPr>
        <w:t>资本</w:t>
      </w:r>
      <w:r>
        <w:rPr>
          <w:rFonts w:ascii="宋体" w:hAnsi="宋体" w:cs="宋体" w:eastAsia="宋体" w:hint="default"/>
          <w:spacing w:val="11"/>
        </w:rPr>
        <w:t>500</w:t>
      </w:r>
      <w:r>
        <w:rPr>
          <w:spacing w:val="11"/>
        </w:rPr>
        <w:t>万元；截止</w:t>
      </w:r>
      <w:r>
        <w:rPr>
          <w:rFonts w:ascii="宋体" w:hAnsi="宋体" w:cs="宋体" w:eastAsia="宋体" w:hint="default"/>
          <w:spacing w:val="11"/>
        </w:rPr>
        <w:t>2010</w:t>
      </w:r>
      <w:r>
        <w:rPr>
          <w:spacing w:val="11"/>
        </w:rPr>
        <w:t>年</w:t>
      </w:r>
      <w:r>
        <w:rPr>
          <w:rFonts w:ascii="宋体" w:hAnsi="宋体" w:cs="宋体" w:eastAsia="宋体" w:hint="default"/>
          <w:spacing w:val="11"/>
        </w:rPr>
        <w:t>12</w:t>
      </w:r>
      <w:r>
        <w:rPr>
          <w:spacing w:val="11"/>
        </w:rPr>
        <w:t>月</w:t>
      </w:r>
      <w:r>
        <w:rPr>
          <w:rFonts w:ascii="宋体" w:hAnsi="宋体" w:cs="宋体" w:eastAsia="宋体" w:hint="default"/>
          <w:spacing w:val="11"/>
        </w:rPr>
        <w:t>31</w:t>
      </w:r>
      <w:r>
        <w:rPr>
          <w:spacing w:val="11"/>
        </w:rPr>
        <w:t>日，该公司总资产</w:t>
      </w:r>
      <w:r>
        <w:rPr>
          <w:rFonts w:ascii="宋体" w:hAnsi="宋体" w:cs="宋体" w:eastAsia="宋体" w:hint="default"/>
          <w:spacing w:val="11"/>
        </w:rPr>
        <w:t>2,291.42</w:t>
      </w:r>
      <w:r>
        <w:rPr>
          <w:spacing w:val="11"/>
        </w:rPr>
        <w:t>万元，总负债</w:t>
      </w:r>
      <w:r>
        <w:rPr>
          <w:spacing w:val="-87"/>
        </w:rPr>
        <w:t> </w:t>
      </w:r>
      <w:r>
        <w:rPr>
          <w:spacing w:val="-87"/>
        </w:rPr>
      </w:r>
      <w:r>
        <w:rPr>
          <w:rFonts w:ascii="宋体" w:hAnsi="宋体" w:cs="宋体" w:eastAsia="宋体" w:hint="default"/>
          <w:spacing w:val="-2"/>
        </w:rPr>
        <w:t>1,676.59</w:t>
      </w:r>
      <w:r>
        <w:rPr>
          <w:spacing w:val="-2"/>
        </w:rPr>
        <w:t>万元，净资产</w:t>
      </w:r>
      <w:r>
        <w:rPr>
          <w:rFonts w:ascii="宋体" w:hAnsi="宋体" w:cs="宋体" w:eastAsia="宋体" w:hint="default"/>
          <w:spacing w:val="-2"/>
        </w:rPr>
        <w:t>614.83</w:t>
      </w:r>
      <w:r>
        <w:rPr>
          <w:spacing w:val="-2"/>
        </w:rPr>
        <w:t>万元；报告期内实现营业收入</w:t>
      </w:r>
      <w:r>
        <w:rPr>
          <w:rFonts w:ascii="宋体" w:hAnsi="宋体" w:cs="宋体" w:eastAsia="宋体" w:hint="default"/>
          <w:spacing w:val="-2"/>
        </w:rPr>
        <w:t>2,395.90</w:t>
      </w:r>
      <w:r>
        <w:rPr>
          <w:spacing w:val="-2"/>
        </w:rPr>
        <w:t>万元，营业</w:t>
      </w:r>
      <w:r>
        <w:rPr>
          <w:spacing w:val="-116"/>
        </w:rPr>
        <w:t> </w:t>
      </w:r>
      <w:r>
        <w:rPr>
          <w:spacing w:val="-116"/>
        </w:rPr>
      </w:r>
      <w:r>
        <w:rPr>
          <w:spacing w:val="-4"/>
        </w:rPr>
        <w:t>利润</w:t>
      </w:r>
      <w:r>
        <w:rPr>
          <w:rFonts w:ascii="宋体" w:hAnsi="宋体" w:cs="宋体" w:eastAsia="宋体" w:hint="default"/>
          <w:spacing w:val="-4"/>
        </w:rPr>
        <w:t>109.14</w:t>
      </w:r>
      <w:r>
        <w:rPr>
          <w:spacing w:val="-4"/>
        </w:rPr>
        <w:t>万元。（以上数据业经天健正信会计师事务所有限公司审计）</w:t>
      </w:r>
    </w:p>
    <w:p>
      <w:pPr>
        <w:pStyle w:val="BodyText"/>
        <w:spacing w:line="357" w:lineRule="auto"/>
        <w:ind w:right="1671" w:firstLine="479"/>
        <w:jc w:val="left"/>
      </w:pPr>
      <w:r>
        <w:rPr>
          <w:spacing w:val="-3"/>
        </w:rPr>
        <w:t>（</w:t>
      </w:r>
      <w:r>
        <w:rPr>
          <w:rFonts w:ascii="宋体" w:hAnsi="宋体" w:cs="宋体" w:eastAsia="宋体" w:hint="default"/>
          <w:spacing w:val="-3"/>
        </w:rPr>
        <w:t>7</w:t>
      </w:r>
      <w:r>
        <w:rPr>
          <w:spacing w:val="-3"/>
        </w:rPr>
        <w:t>）芜湖扬子农村商业银行股份有限公司：主营吸收公众存款；发放短期、</w:t>
      </w:r>
      <w:r>
        <w:rPr/>
        <w:t> 中期和长期贷款；办理国内结算；办理票据承兑与贴现；代理发行、代理兑付、 </w:t>
      </w:r>
      <w:r>
        <w:rPr>
          <w:spacing w:val="-3"/>
        </w:rPr>
        <w:t>承销政府债券；买卖政府债券、金融债券；从事同业拆借；代理收付款项及代理</w:t>
      </w:r>
      <w:r>
        <w:rPr>
          <w:spacing w:val="-103"/>
        </w:rPr>
        <w:t> </w:t>
      </w:r>
      <w:r>
        <w:rPr>
          <w:spacing w:val="-103"/>
        </w:rPr>
      </w:r>
      <w:r>
        <w:rPr>
          <w:spacing w:val="-3"/>
        </w:rPr>
        <w:t>保险业务；提供保管箱服务；经中国银行业监督管理委员会批准的其他业务；注</w:t>
      </w:r>
      <w:r>
        <w:rPr>
          <w:spacing w:val="-102"/>
        </w:rPr>
        <w:t> </w:t>
      </w:r>
      <w:r>
        <w:rPr>
          <w:spacing w:val="-102"/>
        </w:rPr>
      </w:r>
      <w:r>
        <w:rPr>
          <w:spacing w:val="-5"/>
        </w:rPr>
        <w:t>册资本</w:t>
      </w:r>
      <w:r>
        <w:rPr>
          <w:rFonts w:ascii="宋体" w:hAnsi="宋体" w:cs="宋体" w:eastAsia="宋体" w:hint="default"/>
          <w:spacing w:val="-5"/>
        </w:rPr>
        <w:t>100,000.48</w:t>
      </w:r>
      <w:r>
        <w:rPr>
          <w:spacing w:val="-5"/>
        </w:rPr>
        <w:t>万元；截止</w:t>
      </w:r>
      <w:r>
        <w:rPr>
          <w:rFonts w:ascii="宋体" w:hAnsi="宋体" w:cs="宋体" w:eastAsia="宋体" w:hint="default"/>
          <w:spacing w:val="-5"/>
        </w:rPr>
        <w:t>2010</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日，该公司总资产</w:t>
      </w:r>
      <w:r>
        <w:rPr>
          <w:rFonts w:ascii="宋体" w:hAnsi="宋体" w:cs="宋体" w:eastAsia="宋体" w:hint="default"/>
          <w:spacing w:val="-5"/>
        </w:rPr>
        <w:t>1,357,641.95</w:t>
      </w:r>
      <w:r>
        <w:rPr>
          <w:spacing w:val="-5"/>
        </w:rPr>
        <w:t>万元，</w:t>
      </w:r>
      <w:r>
        <w:rPr>
          <w:spacing w:val="-76"/>
        </w:rPr>
        <w:t> </w:t>
      </w:r>
      <w:r>
        <w:rPr>
          <w:spacing w:val="8"/>
        </w:rPr>
        <w:t>总负债</w:t>
      </w:r>
      <w:r>
        <w:rPr>
          <w:rFonts w:ascii="宋体" w:hAnsi="宋体" w:cs="宋体" w:eastAsia="宋体" w:hint="default"/>
          <w:spacing w:val="8"/>
        </w:rPr>
        <w:t>1,188,378.37</w:t>
      </w:r>
      <w:r>
        <w:rPr>
          <w:spacing w:val="8"/>
        </w:rPr>
        <w:t>万元，净资产</w:t>
      </w:r>
      <w:r>
        <w:rPr>
          <w:rFonts w:ascii="宋体" w:hAnsi="宋体" w:cs="宋体" w:eastAsia="宋体" w:hint="default"/>
          <w:spacing w:val="8"/>
        </w:rPr>
        <w:t>169,263.58</w:t>
      </w:r>
      <w:r>
        <w:rPr>
          <w:spacing w:val="8"/>
        </w:rPr>
        <w:t>万元；报告期内实现营业收入</w:t>
      </w:r>
      <w:r>
        <w:rPr>
          <w:spacing w:val="-83"/>
        </w:rPr>
        <w:t> </w:t>
      </w:r>
      <w:r>
        <w:rPr>
          <w:spacing w:val="-83"/>
        </w:rPr>
      </w:r>
      <w:r>
        <w:rPr>
          <w:rFonts w:ascii="宋体" w:hAnsi="宋体" w:cs="宋体" w:eastAsia="宋体" w:hint="default"/>
          <w:spacing w:val="-3"/>
        </w:rPr>
        <w:t>32,791.74</w:t>
      </w:r>
      <w:r>
        <w:rPr>
          <w:spacing w:val="-3"/>
        </w:rPr>
        <w:t>万元，营业利润</w:t>
      </w:r>
      <w:r>
        <w:rPr>
          <w:rFonts w:ascii="宋体" w:hAnsi="宋体" w:cs="宋体" w:eastAsia="宋体" w:hint="default"/>
          <w:spacing w:val="-3"/>
        </w:rPr>
        <w:t>14,126.47</w:t>
      </w:r>
      <w:r>
        <w:rPr>
          <w:spacing w:val="-3"/>
        </w:rPr>
        <w:t>万元。（以上数据未经会计师事务所审计）</w:t>
      </w:r>
    </w:p>
    <w:p>
      <w:pPr>
        <w:pStyle w:val="BodyText"/>
        <w:spacing w:line="355" w:lineRule="auto" w:before="36"/>
        <w:ind w:right="1704" w:firstLine="479"/>
        <w:jc w:val="both"/>
      </w:pPr>
      <w:r>
        <w:rPr/>
        <w:t>（</w:t>
      </w:r>
      <w:r>
        <w:rPr>
          <w:rFonts w:ascii="宋体" w:hAnsi="宋体" w:cs="宋体" w:eastAsia="宋体" w:hint="default"/>
        </w:rPr>
        <w:t>8</w:t>
      </w:r>
      <w:r>
        <w:rPr/>
        <w:t>）芜湖市中小企业信用担保有限公司：主营中小企业融资担保及其他担 </w:t>
      </w:r>
      <w:r>
        <w:rPr>
          <w:spacing w:val="-3"/>
        </w:rPr>
        <w:t>保、证券投资、受委托资产管理处置、再担保及分保、配套中介业务（法律、法</w:t>
      </w:r>
      <w:r>
        <w:rPr>
          <w:spacing w:val="-105"/>
        </w:rPr>
        <w:t> </w:t>
      </w:r>
      <w:r>
        <w:rPr>
          <w:spacing w:val="-105"/>
        </w:rPr>
      </w:r>
      <w:r>
        <w:rPr>
          <w:spacing w:val="-3"/>
        </w:rPr>
        <w:t>规限制的出外）；截止</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日，该公司总资产</w:t>
      </w:r>
      <w:r>
        <w:rPr>
          <w:rFonts w:ascii="宋体" w:hAnsi="宋体" w:cs="宋体" w:eastAsia="宋体" w:hint="default"/>
          <w:spacing w:val="-3"/>
        </w:rPr>
        <w:t>104,851.59</w:t>
      </w:r>
      <w:r>
        <w:rPr>
          <w:spacing w:val="-3"/>
        </w:rPr>
        <w:t>万元，总负债</w:t>
      </w:r>
      <w:r>
        <w:rPr>
          <w:spacing w:val="-81"/>
        </w:rPr>
        <w:t> </w:t>
      </w:r>
      <w:r>
        <w:rPr>
          <w:spacing w:val="-81"/>
        </w:rPr>
      </w:r>
      <w:r>
        <w:rPr>
          <w:rFonts w:ascii="宋体" w:hAnsi="宋体" w:cs="宋体" w:eastAsia="宋体" w:hint="default"/>
        </w:rPr>
        <w:t>44,971.35</w:t>
      </w:r>
      <w:r>
        <w:rPr/>
        <w:t>万元，净资产</w:t>
      </w:r>
      <w:r>
        <w:rPr>
          <w:rFonts w:ascii="宋体" w:hAnsi="宋体" w:cs="宋体" w:eastAsia="宋体" w:hint="default"/>
        </w:rPr>
        <w:t>59,880.24</w:t>
      </w:r>
      <w:r>
        <w:rPr/>
        <w:t>万元；报告期内实现营业收入</w:t>
      </w:r>
      <w:r>
        <w:rPr>
          <w:rFonts w:ascii="宋体" w:hAnsi="宋体" w:cs="宋体" w:eastAsia="宋体" w:hint="default"/>
        </w:rPr>
        <w:t>6,625.65</w:t>
      </w:r>
      <w:r>
        <w:rPr/>
        <w:t>万元，</w:t>
      </w:r>
    </w:p>
    <w:p>
      <w:pPr>
        <w:spacing w:after="0" w:line="355"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3732" w:hanging="480"/>
        <w:jc w:val="left"/>
      </w:pPr>
      <w:r>
        <w:rPr>
          <w:spacing w:val="-4"/>
        </w:rPr>
        <w:t>营业利润</w:t>
      </w:r>
      <w:r>
        <w:rPr>
          <w:rFonts w:ascii="宋体" w:hAnsi="宋体" w:cs="宋体" w:eastAsia="宋体" w:hint="default"/>
          <w:spacing w:val="-4"/>
        </w:rPr>
        <w:t>3,545.38</w:t>
      </w:r>
      <w:r>
        <w:rPr>
          <w:spacing w:val="-4"/>
        </w:rPr>
        <w:t>万元。（以上数据未经会计师事务所审计）</w:t>
      </w:r>
      <w:r>
        <w:rPr>
          <w:spacing w:val="-117"/>
        </w:rPr>
        <w:t> </w:t>
      </w:r>
      <w:r>
        <w:rPr>
          <w:spacing w:val="-117"/>
        </w:rPr>
      </w:r>
      <w:r>
        <w:rPr/>
        <w:t>二、对公司未来的展望 </w:t>
      </w:r>
      <w:r>
        <w:rPr>
          <w:rFonts w:ascii="宋体" w:hAnsi="宋体" w:cs="宋体" w:eastAsia="宋体" w:hint="default"/>
        </w:rPr>
        <w:t>1</w:t>
      </w:r>
      <w:r>
        <w:rPr/>
        <w:t>、公司所处行业的发展趋势及面临的市场竞争格局</w:t>
      </w:r>
    </w:p>
    <w:p>
      <w:pPr>
        <w:pStyle w:val="BodyText"/>
        <w:spacing w:line="357" w:lineRule="auto" w:before="36"/>
        <w:ind w:right="1672" w:firstLine="479"/>
        <w:jc w:val="both"/>
      </w:pPr>
      <w:r>
        <w:rPr>
          <w:spacing w:val="-3"/>
        </w:rPr>
        <w:t>公司属国家重点发展行业，根据全国铁路工作会议的总体规划，</w:t>
      </w:r>
      <w:r>
        <w:rPr>
          <w:rFonts w:ascii="宋体" w:hAnsi="宋体" w:cs="宋体" w:eastAsia="宋体" w:hint="default"/>
          <w:spacing w:val="-3"/>
        </w:rPr>
        <w:t>2011</w:t>
      </w:r>
      <w:r>
        <w:rPr>
          <w:spacing w:val="-3"/>
        </w:rPr>
        <w:t>年全国</w:t>
      </w:r>
      <w:r>
        <w:rPr/>
        <w:t> </w:t>
      </w:r>
      <w:r>
        <w:rPr>
          <w:spacing w:val="-3"/>
        </w:rPr>
        <w:t>铁路安排基本建设投资</w:t>
      </w:r>
      <w:r>
        <w:rPr>
          <w:rFonts w:ascii="宋体" w:hAnsi="宋体" w:cs="宋体" w:eastAsia="宋体" w:hint="default"/>
          <w:spacing w:val="-3"/>
        </w:rPr>
        <w:t>7000</w:t>
      </w:r>
      <w:r>
        <w:rPr>
          <w:spacing w:val="-3"/>
        </w:rPr>
        <w:t>亿元，其中高铁里程新增</w:t>
      </w:r>
      <w:r>
        <w:rPr>
          <w:rFonts w:ascii="宋体" w:hAnsi="宋体" w:cs="宋体" w:eastAsia="宋体" w:hint="default"/>
          <w:spacing w:val="-3"/>
        </w:rPr>
        <w:t>4715</w:t>
      </w:r>
      <w:r>
        <w:rPr>
          <w:spacing w:val="-3"/>
        </w:rPr>
        <w:t>公里。“十二五”规划</w:t>
      </w:r>
      <w:r>
        <w:rPr>
          <w:spacing w:val="-96"/>
        </w:rPr>
        <w:t> </w:t>
      </w:r>
      <w:r>
        <w:rPr>
          <w:spacing w:val="-96"/>
        </w:rPr>
      </w:r>
      <w:r>
        <w:rPr>
          <w:spacing w:val="-3"/>
        </w:rPr>
        <w:t>也明确提出，在十二五期间，基本建成国家快速铁路网以及大力发展高速铁路的</w:t>
      </w:r>
      <w:r>
        <w:rPr>
          <w:spacing w:val="-103"/>
        </w:rPr>
        <w:t> </w:t>
      </w:r>
      <w:r>
        <w:rPr>
          <w:spacing w:val="-103"/>
        </w:rPr>
      </w:r>
      <w:r>
        <w:rPr>
          <w:spacing w:val="-6"/>
        </w:rPr>
        <w:t>规划。中国高铁建设的蓬勃发展，将为本公司及公司高铁产品创造良好发展机遇。</w:t>
      </w:r>
    </w:p>
    <w:p>
      <w:pPr>
        <w:pStyle w:val="BodyText"/>
        <w:spacing w:line="357" w:lineRule="auto" w:before="36"/>
        <w:ind w:right="1791" w:firstLine="479"/>
        <w:jc w:val="both"/>
      </w:pPr>
      <w:r>
        <w:rPr>
          <w:spacing w:val="4"/>
        </w:rPr>
        <w:t>城市和农村的大规模电网建设和电网改造投资及国家拉动内需促进经济增</w:t>
      </w:r>
      <w:r>
        <w:rPr/>
        <w:t> </w:t>
      </w:r>
      <w:r>
        <w:rPr>
          <w:spacing w:val="-3"/>
        </w:rPr>
        <w:t>长的大背景下，宏观经济政策有利于电力设备行业。十二五期间，智能电网将进</w:t>
      </w:r>
      <w:r>
        <w:rPr>
          <w:spacing w:val="-101"/>
        </w:rPr>
        <w:t> </w:t>
      </w:r>
      <w:r>
        <w:rPr>
          <w:spacing w:val="-101"/>
        </w:rPr>
      </w:r>
      <w:r>
        <w:rPr>
          <w:spacing w:val="-3"/>
        </w:rPr>
        <w:t>入大规模投资建设阶段，智能电网建设将给电力设备供应商提供广阔的市场空间</w:t>
      </w:r>
      <w:r>
        <w:rPr>
          <w:spacing w:val="-104"/>
        </w:rPr>
        <w:t> </w:t>
      </w:r>
      <w:r>
        <w:rPr>
          <w:spacing w:val="-104"/>
        </w:rPr>
      </w:r>
      <w:r>
        <w:rPr>
          <w:spacing w:val="-3"/>
        </w:rPr>
        <w:t>和发展机遇。智能元器件也是智能电网的重要组成部分。智能电网的建设将为本</w:t>
      </w:r>
      <w:r>
        <w:rPr>
          <w:spacing w:val="-103"/>
        </w:rPr>
        <w:t> </w:t>
      </w:r>
      <w:r>
        <w:rPr>
          <w:spacing w:val="-103"/>
        </w:rPr>
      </w:r>
      <w:r>
        <w:rPr>
          <w:spacing w:val="-3"/>
        </w:rPr>
        <w:t>公司部分产品及公司募投项目产品微机综合保护装置、智能化永磁真空断路器提</w:t>
      </w:r>
      <w:r>
        <w:rPr>
          <w:spacing w:val="-105"/>
        </w:rPr>
        <w:t> </w:t>
      </w:r>
      <w:r>
        <w:rPr>
          <w:spacing w:val="-105"/>
        </w:rPr>
      </w:r>
      <w:r>
        <w:rPr/>
        <w:t>供更加广阔的市场空间，公司也将随着我国智能电网建设的推进而受益。</w:t>
      </w:r>
    </w:p>
    <w:p>
      <w:pPr>
        <w:pStyle w:val="BodyText"/>
        <w:spacing w:line="357" w:lineRule="auto" w:before="36"/>
        <w:ind w:right="1704" w:firstLine="479"/>
        <w:jc w:val="left"/>
      </w:pPr>
      <w:r>
        <w:rPr>
          <w:spacing w:val="-3"/>
        </w:rPr>
        <w:t>电气化铁路、高铁建设、城市轨道交通的迅速发展必将带来输配电设备行业</w:t>
      </w:r>
      <w:r>
        <w:rPr/>
        <w:t> </w:t>
      </w:r>
      <w:r>
        <w:rPr>
          <w:spacing w:val="-10"/>
        </w:rPr>
        <w:t>市场的大发展。公司的相关产品已相继获得石德线（石家庄－德州）、石太线（石</w:t>
      </w:r>
      <w:r>
        <w:rPr>
          <w:spacing w:val="-90"/>
        </w:rPr>
        <w:t> </w:t>
      </w:r>
      <w:r>
        <w:rPr>
          <w:spacing w:val="-90"/>
        </w:rPr>
      </w:r>
      <w:r>
        <w:rPr>
          <w:spacing w:val="-10"/>
        </w:rPr>
        <w:t>家庄－太原）、合宁线（合肥－南京）、武广线（武汉－广州）、广珠线（广州－</w:t>
      </w:r>
      <w:r>
        <w:rPr>
          <w:spacing w:val="-95"/>
        </w:rPr>
        <w:t> </w:t>
      </w:r>
      <w:r>
        <w:rPr>
          <w:spacing w:val="-95"/>
        </w:rPr>
      </w:r>
      <w:r>
        <w:rPr>
          <w:spacing w:val="-13"/>
        </w:rPr>
        <w:t>珠海）、郑西线（郑州－西安）、哈大线（哈尔滨</w:t>
      </w:r>
      <w:r>
        <w:rPr>
          <w:rFonts w:ascii="宋体" w:hAnsi="宋体" w:cs="宋体" w:eastAsia="宋体" w:hint="default"/>
          <w:spacing w:val="-13"/>
        </w:rPr>
        <w:t>-</w:t>
      </w:r>
      <w:r>
        <w:rPr>
          <w:spacing w:val="-13"/>
        </w:rPr>
        <w:t>大连）、沪杭线（上海</w:t>
      </w:r>
      <w:r>
        <w:rPr>
          <w:rFonts w:ascii="宋体" w:hAnsi="宋体" w:cs="宋体" w:eastAsia="宋体" w:hint="default"/>
          <w:spacing w:val="-13"/>
        </w:rPr>
        <w:t>-</w:t>
      </w:r>
      <w:r>
        <w:rPr>
          <w:spacing w:val="-13"/>
        </w:rPr>
        <w:t>杭州）、</w:t>
      </w:r>
      <w:r>
        <w:rPr>
          <w:spacing w:val="-106"/>
        </w:rPr>
        <w:t> </w:t>
      </w:r>
      <w:r>
        <w:rPr>
          <w:spacing w:val="-106"/>
        </w:rPr>
      </w:r>
      <w:r>
        <w:rPr>
          <w:spacing w:val="-6"/>
        </w:rPr>
        <w:t>京沪线（北京</w:t>
      </w:r>
      <w:r>
        <w:rPr>
          <w:rFonts w:ascii="宋体" w:hAnsi="宋体" w:cs="宋体" w:eastAsia="宋体" w:hint="default"/>
          <w:spacing w:val="-6"/>
        </w:rPr>
        <w:t>-</w:t>
      </w:r>
      <w:r>
        <w:rPr>
          <w:spacing w:val="-6"/>
        </w:rPr>
        <w:t>上海）、京石线（北京</w:t>
      </w:r>
      <w:r>
        <w:rPr>
          <w:rFonts w:ascii="宋体" w:hAnsi="宋体" w:cs="宋体" w:eastAsia="宋体" w:hint="default"/>
          <w:spacing w:val="-6"/>
        </w:rPr>
        <w:t>-</w:t>
      </w:r>
      <w:r>
        <w:rPr>
          <w:spacing w:val="-6"/>
        </w:rPr>
        <w:t>石家庄）、石武线（石家庄</w:t>
      </w:r>
      <w:r>
        <w:rPr>
          <w:rFonts w:ascii="宋体" w:hAnsi="宋体" w:cs="宋体" w:eastAsia="宋体" w:hint="default"/>
          <w:spacing w:val="-6"/>
        </w:rPr>
        <w:t>-</w:t>
      </w:r>
      <w:r>
        <w:rPr>
          <w:spacing w:val="-6"/>
        </w:rPr>
        <w:t>武汉）等电气</w:t>
      </w:r>
      <w:r>
        <w:rPr>
          <w:spacing w:val="-111"/>
        </w:rPr>
        <w:t> </w:t>
      </w:r>
      <w:r>
        <w:rPr>
          <w:spacing w:val="-111"/>
        </w:rPr>
      </w:r>
      <w:r>
        <w:rPr>
          <w:spacing w:val="-3"/>
        </w:rPr>
        <w:t>化铁路项目建设的订单，成为电气化铁路建设及改造工程的首批和重点建设单位</w:t>
      </w:r>
      <w:r>
        <w:rPr>
          <w:spacing w:val="-104"/>
        </w:rPr>
        <w:t> </w:t>
      </w:r>
      <w:r>
        <w:rPr>
          <w:spacing w:val="-104"/>
        </w:rPr>
      </w:r>
      <w:r>
        <w:rPr/>
        <w:t>之一。</w:t>
      </w:r>
    </w:p>
    <w:p>
      <w:pPr>
        <w:pStyle w:val="BodyText"/>
        <w:spacing w:line="355" w:lineRule="auto" w:before="36"/>
        <w:ind w:left="618" w:right="1787"/>
        <w:jc w:val="left"/>
      </w:pPr>
      <w:r>
        <w:rPr>
          <w:rFonts w:ascii="宋体" w:hAnsi="宋体" w:cs="宋体" w:eastAsia="宋体" w:hint="default"/>
        </w:rPr>
        <w:t>2</w:t>
      </w:r>
      <w:r>
        <w:rPr/>
        <w:t>、公司的发展战略、机遇和挑战 </w:t>
      </w:r>
      <w:r>
        <w:rPr>
          <w:spacing w:val="-3"/>
        </w:rPr>
        <w:t>公司坚持以市场为导向，以规范运作为基础，以经济效益为核心，以产品质</w:t>
      </w:r>
    </w:p>
    <w:p>
      <w:pPr>
        <w:pStyle w:val="BodyText"/>
        <w:spacing w:line="357" w:lineRule="auto" w:before="38"/>
        <w:ind w:right="1792"/>
        <w:jc w:val="both"/>
      </w:pPr>
      <w:r>
        <w:rPr>
          <w:spacing w:val="-3"/>
        </w:rPr>
        <w:t>量为保证，以技术创新为手段，用高新技术改造传统产业，集中发展高低压成套</w:t>
      </w:r>
      <w:r>
        <w:rPr>
          <w:spacing w:val="-102"/>
        </w:rPr>
        <w:t> </w:t>
      </w:r>
      <w:r>
        <w:rPr>
          <w:spacing w:val="-102"/>
        </w:rPr>
      </w:r>
      <w:r>
        <w:rPr>
          <w:spacing w:val="-3"/>
        </w:rPr>
        <w:t>开关设备、元器件和自动化产品，逐步把公司建设成为国际知名、国内一流的现</w:t>
      </w:r>
      <w:r>
        <w:rPr>
          <w:spacing w:val="-102"/>
        </w:rPr>
        <w:t> </w:t>
      </w:r>
      <w:r>
        <w:rPr>
          <w:spacing w:val="-102"/>
        </w:rPr>
      </w:r>
      <w:r>
        <w:rPr/>
        <w:t>代化开关设备制造企业。</w:t>
      </w:r>
    </w:p>
    <w:p>
      <w:pPr>
        <w:pStyle w:val="BodyText"/>
        <w:spacing w:line="357" w:lineRule="auto"/>
        <w:ind w:right="1791" w:firstLine="479"/>
        <w:jc w:val="both"/>
      </w:pPr>
      <w:r>
        <w:rPr>
          <w:spacing w:val="-3"/>
        </w:rPr>
        <w:t>在国家宏观经济环境和经济大力发展前提下，基础设施的投入、高铁建设的</w:t>
      </w:r>
      <w:r>
        <w:rPr/>
        <w:t> </w:t>
      </w:r>
      <w:r>
        <w:rPr>
          <w:spacing w:val="-3"/>
        </w:rPr>
        <w:t>迅速发展、城乡电网的改造以及智能电网的建设，将为电力成套设备制造行业的</w:t>
      </w:r>
      <w:r>
        <w:rPr>
          <w:spacing w:val="-104"/>
        </w:rPr>
        <w:t> </w:t>
      </w:r>
      <w:r>
        <w:rPr>
          <w:spacing w:val="-104"/>
        </w:rPr>
      </w:r>
      <w:r>
        <w:rPr>
          <w:spacing w:val="-3"/>
        </w:rPr>
        <w:t>进一步发展带来机遇，公司将紧抓这一有利机遇，实现公司做精、做强、做大的</w:t>
      </w:r>
      <w:r>
        <w:rPr>
          <w:spacing w:val="-103"/>
        </w:rPr>
        <w:t> </w:t>
      </w:r>
      <w:r>
        <w:rPr>
          <w:spacing w:val="-103"/>
        </w:rPr>
      </w:r>
      <w:r>
        <w:rPr/>
        <w:t>目标。</w:t>
      </w:r>
    </w:p>
    <w:p>
      <w:pPr>
        <w:pStyle w:val="BodyText"/>
        <w:spacing w:line="240" w:lineRule="auto"/>
        <w:ind w:left="618" w:right="1248"/>
        <w:jc w:val="left"/>
      </w:pPr>
      <w:r>
        <w:rPr>
          <w:spacing w:val="-3"/>
        </w:rPr>
        <w:t>公司业务开拓领域广泛且战略重点清晰。公司自介入铁路电气化设备领域以</w:t>
      </w:r>
    </w:p>
    <w:p>
      <w:pPr>
        <w:spacing w:after="0" w:line="240"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87"/>
        <w:jc w:val="left"/>
      </w:pPr>
      <w:r>
        <w:rPr>
          <w:spacing w:val="-3"/>
        </w:rPr>
        <w:t>来，相续成为中国中铁电气化局公司、中国铁建电气化局集团公司的“战略合作</w:t>
      </w:r>
      <w:r>
        <w:rPr>
          <w:spacing w:val="-102"/>
        </w:rPr>
        <w:t> </w:t>
      </w:r>
      <w:r>
        <w:rPr>
          <w:spacing w:val="-102"/>
        </w:rPr>
      </w:r>
      <w:r>
        <w:rPr>
          <w:spacing w:val="-30"/>
        </w:rPr>
        <w:t>企业”。</w:t>
      </w:r>
    </w:p>
    <w:p>
      <w:pPr>
        <w:pStyle w:val="BodyText"/>
        <w:spacing w:line="357" w:lineRule="auto"/>
        <w:ind w:right="1788" w:firstLine="479"/>
        <w:jc w:val="left"/>
      </w:pPr>
      <w:r>
        <w:rPr>
          <w:spacing w:val="-3"/>
        </w:rPr>
        <w:t>公司还需要进一步开拓新的市场领域，加快新产品产业化进程及扩大销售规</w:t>
      </w:r>
      <w:r>
        <w:rPr/>
        <w:t> 模，以确保公司在行业中的领先地位。</w:t>
      </w:r>
    </w:p>
    <w:p>
      <w:pPr>
        <w:pStyle w:val="BodyText"/>
        <w:spacing w:line="357" w:lineRule="auto"/>
        <w:ind w:left="618" w:right="3248"/>
        <w:jc w:val="left"/>
      </w:pPr>
      <w:r>
        <w:rPr>
          <w:rFonts w:ascii="宋体" w:hAnsi="宋体" w:cs="宋体" w:eastAsia="宋体" w:hint="default"/>
        </w:rPr>
        <w:t>3</w:t>
      </w:r>
      <w:r>
        <w:rPr/>
        <w:t>、公司存在的主要优势，经营和盈利能力的连续性和稳定性 公司的主要优势在于：</w:t>
      </w:r>
    </w:p>
    <w:p>
      <w:pPr>
        <w:pStyle w:val="BodyText"/>
        <w:spacing w:line="357" w:lineRule="auto"/>
        <w:ind w:left="618" w:right="1787"/>
        <w:jc w:val="left"/>
      </w:pPr>
      <w:r>
        <w:rPr/>
        <w:t>（</w:t>
      </w:r>
      <w:r>
        <w:rPr>
          <w:rFonts w:ascii="宋体" w:hAnsi="宋体" w:cs="宋体" w:eastAsia="宋体" w:hint="default"/>
        </w:rPr>
        <w:t>1</w:t>
      </w:r>
      <w:r>
        <w:rPr/>
        <w:t>）技术优势。 </w:t>
      </w:r>
      <w:r>
        <w:rPr>
          <w:spacing w:val="-3"/>
        </w:rPr>
        <w:t>公司为国家火炬计划重点高新技术企业，建有省级企业技术中心和博士后科</w:t>
      </w:r>
    </w:p>
    <w:p>
      <w:pPr>
        <w:pStyle w:val="BodyText"/>
        <w:spacing w:line="357" w:lineRule="auto"/>
        <w:ind w:right="1791"/>
        <w:jc w:val="both"/>
      </w:pPr>
      <w:r>
        <w:rPr/>
        <w:t>研工作站</w:t>
      </w:r>
      <w:r>
        <w:rPr>
          <w:spacing w:val="-29"/>
        </w:rPr>
        <w:t>，</w:t>
      </w:r>
      <w:r>
        <w:rPr/>
        <w:t>具有计算机信息系统集成叁级资质</w:t>
      </w:r>
      <w:r>
        <w:rPr>
          <w:spacing w:val="-149"/>
        </w:rPr>
        <w:t>。</w:t>
      </w:r>
      <w:r>
        <w:rPr/>
        <w:t>“绝缘母线槽产品</w:t>
      </w:r>
      <w:r>
        <w:rPr>
          <w:spacing w:val="-29"/>
        </w:rPr>
        <w:t>”</w:t>
      </w:r>
      <w:r>
        <w:rPr/>
        <w:t>于</w:t>
      </w:r>
      <w:r>
        <w:rPr>
          <w:spacing w:val="-59"/>
        </w:rPr>
        <w:t> </w:t>
      </w:r>
      <w:r>
        <w:rPr>
          <w:rFonts w:ascii="宋体" w:hAnsi="宋体" w:cs="宋体" w:eastAsia="宋体" w:hint="default"/>
        </w:rPr>
        <w:t>2000</w:t>
      </w:r>
      <w:r>
        <w:rPr>
          <w:rFonts w:ascii="宋体" w:hAnsi="宋体" w:cs="宋体" w:eastAsia="宋体" w:hint="default"/>
          <w:spacing w:val="-60"/>
        </w:rPr>
        <w:t> </w:t>
      </w:r>
      <w:r>
        <w:rPr/>
        <w:t>年获 </w:t>
      </w:r>
      <w:r>
        <w:rPr>
          <w:spacing w:val="4"/>
        </w:rPr>
        <w:t>“安徽省新产品证书</w:t>
      </w:r>
      <w:r>
        <w:rPr>
          <w:spacing w:val="-116"/>
        </w:rPr>
        <w:t>”</w:t>
      </w:r>
      <w:r>
        <w:rPr>
          <w:spacing w:val="-118"/>
        </w:rPr>
        <w:t>，</w:t>
      </w:r>
      <w:r>
        <w:rPr>
          <w:spacing w:val="4"/>
        </w:rPr>
        <w:t>“垃</w:t>
      </w:r>
      <w:r>
        <w:rPr>
          <w:spacing w:val="5"/>
        </w:rPr>
        <w:t>圾</w:t>
      </w:r>
      <w:r>
        <w:rPr>
          <w:spacing w:val="4"/>
        </w:rPr>
        <w:t>处理计算机系</w:t>
      </w:r>
      <w:r>
        <w:rPr>
          <w:spacing w:val="2"/>
        </w:rPr>
        <w:t>统</w:t>
      </w:r>
      <w:r>
        <w:rPr>
          <w:spacing w:val="4"/>
        </w:rPr>
        <w:t>控制装置”项目列入</w:t>
      </w:r>
      <w:r>
        <w:rPr>
          <w:spacing w:val="2"/>
        </w:rPr>
        <w:t>国</w:t>
      </w:r>
      <w:r>
        <w:rPr>
          <w:spacing w:val="4"/>
        </w:rPr>
        <w:t>家经</w:t>
      </w:r>
      <w:r>
        <w:rPr>
          <w:spacing w:val="2"/>
        </w:rPr>
        <w:t>贸</w:t>
      </w:r>
      <w:r>
        <w:rPr/>
        <w:t>委</w:t>
      </w:r>
      <w:r>
        <w:rPr/>
        <w:t> </w:t>
      </w:r>
      <w:r>
        <w:rPr>
          <w:rFonts w:ascii="宋体" w:hAnsi="宋体" w:cs="宋体" w:eastAsia="宋体" w:hint="default"/>
        </w:rPr>
        <w:t>2001</w:t>
      </w:r>
      <w:r>
        <w:rPr>
          <w:rFonts w:ascii="宋体" w:hAnsi="宋体" w:cs="宋体" w:eastAsia="宋体" w:hint="default"/>
          <w:spacing w:val="-29"/>
        </w:rPr>
        <w:t> </w:t>
      </w:r>
      <w:r>
        <w:rPr/>
        <w:t>年度国家技术创新项目</w:t>
      </w:r>
      <w:r>
        <w:rPr>
          <w:spacing w:val="-120"/>
        </w:rPr>
        <w:t>，</w:t>
      </w:r>
      <w:r>
        <w:rPr/>
        <w:t>“消失模自动控制系统”项目列入</w:t>
      </w:r>
      <w:r>
        <w:rPr>
          <w:spacing w:val="-28"/>
        </w:rPr>
        <w:t> </w:t>
      </w:r>
      <w:r>
        <w:rPr>
          <w:rFonts w:ascii="宋体" w:hAnsi="宋体" w:cs="宋体" w:eastAsia="宋体" w:hint="default"/>
        </w:rPr>
        <w:t>2001</w:t>
      </w:r>
      <w:r>
        <w:rPr>
          <w:rFonts w:ascii="宋体" w:hAnsi="宋体" w:cs="宋体" w:eastAsia="宋体" w:hint="default"/>
          <w:spacing w:val="-29"/>
        </w:rPr>
        <w:t> </w:t>
      </w:r>
      <w:r>
        <w:rPr/>
        <w:t>年度国家</w:t>
      </w:r>
    </w:p>
    <w:p>
      <w:pPr>
        <w:pStyle w:val="BodyText"/>
        <w:spacing w:line="357" w:lineRule="auto" w:before="36"/>
        <w:ind w:right="1672"/>
        <w:jc w:val="left"/>
      </w:pPr>
      <w:r>
        <w:rPr>
          <w:spacing w:val="-7"/>
        </w:rPr>
        <w:t>级重点新产品试产计划，“智能化永磁式真空断路器输变电系统”获</w:t>
      </w:r>
      <w:r>
        <w:rPr>
          <w:spacing w:val="-59"/>
        </w:rPr>
        <w:t> </w:t>
      </w:r>
      <w:r>
        <w:rPr>
          <w:rFonts w:ascii="宋体" w:hAnsi="宋体" w:cs="宋体" w:eastAsia="宋体" w:hint="default"/>
        </w:rPr>
        <w:t>2002</w:t>
      </w:r>
      <w:r>
        <w:rPr>
          <w:rFonts w:ascii="宋体" w:hAnsi="宋体" w:cs="宋体" w:eastAsia="宋体" w:hint="default"/>
          <w:spacing w:val="-60"/>
        </w:rPr>
        <w:t> </w:t>
      </w:r>
      <w:r>
        <w:rPr/>
        <w:t>年度国 </w:t>
      </w:r>
      <w:r>
        <w:rPr>
          <w:spacing w:val="-10"/>
        </w:rPr>
        <w:t>家级重点新产品称号，“多功能测控系统项目”、“智能化低压配电系统的开发项</w:t>
      </w:r>
      <w:r>
        <w:rPr>
          <w:spacing w:val="-95"/>
        </w:rPr>
        <w:t> </w:t>
      </w:r>
      <w:r>
        <w:rPr>
          <w:spacing w:val="-95"/>
        </w:rPr>
      </w:r>
      <w:r>
        <w:rPr/>
        <w:t>目”列入“</w:t>
      </w:r>
      <w:r>
        <w:rPr>
          <w:rFonts w:ascii="宋体" w:hAnsi="宋体" w:cs="宋体" w:eastAsia="宋体" w:hint="default"/>
        </w:rPr>
        <w:t>2003 </w:t>
      </w:r>
      <w:r>
        <w:rPr>
          <w:spacing w:val="-8"/>
        </w:rPr>
        <w:t>年安徽省经贸委第二批技术创新项目”，“智能化电力供配电微</w:t>
      </w:r>
      <w:r>
        <w:rPr>
          <w:spacing w:val="-111"/>
        </w:rPr>
        <w:t> </w:t>
      </w:r>
      <w:r>
        <w:rPr>
          <w:spacing w:val="-111"/>
        </w:rPr>
      </w:r>
      <w:r>
        <w:rPr>
          <w:spacing w:val="-11"/>
        </w:rPr>
        <w:t>机综合保护装置”列入</w:t>
      </w:r>
      <w:r>
        <w:rPr>
          <w:spacing w:val="-50"/>
        </w:rPr>
        <w:t> </w:t>
      </w:r>
      <w:r>
        <w:rPr>
          <w:rFonts w:ascii="宋体" w:hAnsi="宋体" w:cs="宋体" w:eastAsia="宋体" w:hint="default"/>
        </w:rPr>
        <w:t>2005</w:t>
      </w:r>
      <w:r>
        <w:rPr>
          <w:rFonts w:ascii="宋体" w:hAnsi="宋体" w:cs="宋体" w:eastAsia="宋体" w:hint="default"/>
          <w:spacing w:val="-50"/>
        </w:rPr>
        <w:t> </w:t>
      </w:r>
      <w:r>
        <w:rPr>
          <w:spacing w:val="-10"/>
        </w:rPr>
        <w:t>年国家级火炬计划项目，“智能化永磁式真空断路器”</w:t>
      </w:r>
      <w:r>
        <w:rPr/>
        <w:t> 列入</w:t>
      </w:r>
      <w:r>
        <w:rPr>
          <w:spacing w:val="-61"/>
        </w:rPr>
        <w:t> </w:t>
      </w:r>
      <w:r>
        <w:rPr>
          <w:rFonts w:ascii="宋体" w:hAnsi="宋体" w:cs="宋体" w:eastAsia="宋体" w:hint="default"/>
        </w:rPr>
        <w:t>2006</w:t>
      </w:r>
      <w:r>
        <w:rPr>
          <w:rFonts w:ascii="宋体" w:hAnsi="宋体" w:cs="宋体" w:eastAsia="宋体" w:hint="default"/>
          <w:spacing w:val="-59"/>
        </w:rPr>
        <w:t> </w:t>
      </w:r>
      <w:r>
        <w:rPr>
          <w:spacing w:val="-4"/>
        </w:rPr>
        <w:t>年安徽省火炬计划项目。在</w:t>
      </w:r>
      <w:r>
        <w:rPr>
          <w:spacing w:val="-59"/>
        </w:rPr>
        <w:t> </w:t>
      </w:r>
      <w:r>
        <w:rPr>
          <w:rFonts w:ascii="宋体" w:hAnsi="宋体" w:cs="宋体" w:eastAsia="宋体" w:hint="default"/>
        </w:rPr>
        <w:t>2010</w:t>
      </w:r>
      <w:r>
        <w:rPr>
          <w:rFonts w:ascii="宋体" w:hAnsi="宋体" w:cs="宋体" w:eastAsia="宋体" w:hint="default"/>
          <w:spacing w:val="-59"/>
        </w:rPr>
        <w:t> </w:t>
      </w:r>
      <w:r>
        <w:rPr>
          <w:spacing w:val="-8"/>
        </w:rPr>
        <w:t>年，公司项目</w:t>
      </w:r>
      <w:r>
        <w:rPr>
          <w:spacing w:val="-59"/>
        </w:rPr>
        <w:t> </w:t>
      </w:r>
      <w:r>
        <w:rPr>
          <w:rFonts w:ascii="宋体" w:hAnsi="宋体" w:cs="宋体" w:eastAsia="宋体" w:hint="default"/>
        </w:rPr>
        <w:t>XZBW-12</w:t>
      </w:r>
      <w:r>
        <w:rPr>
          <w:rFonts w:ascii="宋体" w:hAnsi="宋体" w:cs="宋体" w:eastAsia="宋体" w:hint="default"/>
          <w:spacing w:val="-59"/>
        </w:rPr>
        <w:t> </w:t>
      </w:r>
      <w:r>
        <w:rPr/>
        <w:t>铁路电力远动</w:t>
      </w:r>
      <w:r>
        <w:rPr>
          <w:spacing w:val="-118"/>
        </w:rPr>
        <w:t> </w:t>
      </w:r>
      <w:r>
        <w:rPr>
          <w:spacing w:val="-4"/>
        </w:rPr>
        <w:t>高压</w:t>
      </w:r>
      <w:r>
        <w:rPr>
          <w:rFonts w:ascii="宋体" w:hAnsi="宋体" w:cs="宋体" w:eastAsia="宋体" w:hint="default"/>
          <w:spacing w:val="-4"/>
        </w:rPr>
        <w:t>/</w:t>
      </w:r>
      <w:r>
        <w:rPr>
          <w:spacing w:val="-4"/>
        </w:rPr>
        <w:t>低压预装式变电站获得国家重点新产品证书；公司项目</w:t>
      </w:r>
      <w:r>
        <w:rPr>
          <w:spacing w:val="-55"/>
        </w:rPr>
        <w:t> </w:t>
      </w:r>
      <w:r>
        <w:rPr>
          <w:rFonts w:ascii="宋体" w:hAnsi="宋体" w:cs="宋体" w:eastAsia="宋体" w:hint="default"/>
        </w:rPr>
        <w:t>DMX300</w:t>
      </w:r>
      <w:r>
        <w:rPr>
          <w:rFonts w:ascii="宋体" w:hAnsi="宋体" w:cs="宋体" w:eastAsia="宋体" w:hint="default"/>
          <w:spacing w:val="-56"/>
        </w:rPr>
        <w:t> </w:t>
      </w:r>
      <w:r>
        <w:rPr/>
        <w:t>多功能测控</w:t>
      </w:r>
      <w:r>
        <w:rPr>
          <w:spacing w:val="-111"/>
        </w:rPr>
        <w:t> </w:t>
      </w:r>
      <w:r>
        <w:rPr/>
        <w:t>装置获得国家火炬计划项目证书；公司产品 </w:t>
      </w:r>
      <w:r>
        <w:rPr>
          <w:rFonts w:ascii="宋体" w:hAnsi="宋体" w:cs="宋体" w:eastAsia="宋体" w:hint="default"/>
        </w:rPr>
        <w:t>AXQ1</w:t>
      </w:r>
      <w:r>
        <w:rPr>
          <w:rFonts w:ascii="宋体" w:hAnsi="宋体" w:cs="宋体" w:eastAsia="宋体" w:hint="default"/>
          <w:spacing w:val="-87"/>
        </w:rPr>
        <w:t> </w:t>
      </w:r>
      <w:r>
        <w:rPr/>
        <w:t>系列智能型双电源自动转换开 关、</w:t>
      </w:r>
      <w:r>
        <w:rPr>
          <w:rFonts w:ascii="宋体" w:hAnsi="宋体" w:cs="宋体" w:eastAsia="宋体" w:hint="default"/>
        </w:rPr>
        <w:t>HXGN-12 </w:t>
      </w:r>
      <w:r>
        <w:rPr/>
        <w:t>型户内交流金属封闭开关设备、</w:t>
      </w:r>
      <w:r>
        <w:rPr>
          <w:rFonts w:ascii="宋体" w:hAnsi="宋体" w:cs="宋体" w:eastAsia="宋体" w:hint="default"/>
        </w:rPr>
        <w:t>okken</w:t>
      </w:r>
      <w:r>
        <w:rPr>
          <w:rFonts w:ascii="宋体" w:hAnsi="宋体" w:cs="宋体" w:eastAsia="宋体" w:hint="default"/>
          <w:spacing w:val="-88"/>
        </w:rPr>
        <w:t> </w:t>
      </w:r>
      <w:r>
        <w:rPr/>
        <w:t>低压配电柜获得安徽省高新 技术产品认定证书。公司目前拥有</w:t>
      </w:r>
      <w:r>
        <w:rPr>
          <w:spacing w:val="-53"/>
        </w:rPr>
        <w:t> </w:t>
      </w:r>
      <w:r>
        <w:rPr>
          <w:rFonts w:ascii="宋体" w:hAnsi="宋体" w:cs="宋体" w:eastAsia="宋体" w:hint="default"/>
        </w:rPr>
        <w:t>6</w:t>
      </w:r>
      <w:r>
        <w:rPr>
          <w:rFonts w:ascii="宋体" w:hAnsi="宋体" w:cs="宋体" w:eastAsia="宋体" w:hint="default"/>
          <w:spacing w:val="-53"/>
        </w:rPr>
        <w:t> </w:t>
      </w:r>
      <w:r>
        <w:rPr/>
        <w:t>项发明专利，</w:t>
      </w:r>
      <w:r>
        <w:rPr>
          <w:rFonts w:ascii="宋体" w:hAnsi="宋体" w:cs="宋体" w:eastAsia="宋体" w:hint="default"/>
        </w:rPr>
        <w:t>83</w:t>
      </w:r>
      <w:r>
        <w:rPr>
          <w:rFonts w:ascii="宋体" w:hAnsi="宋体" w:cs="宋体" w:eastAsia="宋体" w:hint="default"/>
          <w:spacing w:val="-53"/>
        </w:rPr>
        <w:t> </w:t>
      </w:r>
      <w:r>
        <w:rPr/>
        <w:t>项实用新型专利，</w:t>
      </w:r>
      <w:r>
        <w:rPr>
          <w:rFonts w:ascii="宋体" w:hAnsi="宋体" w:cs="宋体" w:eastAsia="宋体" w:hint="default"/>
        </w:rPr>
        <w:t>62</w:t>
      </w:r>
      <w:r>
        <w:rPr>
          <w:rFonts w:ascii="宋体" w:hAnsi="宋体" w:cs="宋体" w:eastAsia="宋体" w:hint="default"/>
          <w:spacing w:val="-53"/>
        </w:rPr>
        <w:t> </w:t>
      </w:r>
      <w:r>
        <w:rPr/>
        <w:t>项外 观设计专利以及</w:t>
      </w:r>
      <w:r>
        <w:rPr>
          <w:spacing w:val="-53"/>
        </w:rPr>
        <w:t> </w:t>
      </w:r>
      <w:r>
        <w:rPr>
          <w:rFonts w:ascii="宋体" w:hAnsi="宋体" w:cs="宋体" w:eastAsia="宋体" w:hint="default"/>
        </w:rPr>
        <w:t>11</w:t>
      </w:r>
      <w:r>
        <w:rPr>
          <w:rFonts w:ascii="宋体" w:hAnsi="宋体" w:cs="宋体" w:eastAsia="宋体" w:hint="default"/>
          <w:spacing w:val="-53"/>
        </w:rPr>
        <w:t> </w:t>
      </w:r>
      <w:r>
        <w:rPr/>
        <w:t>项发明专利申请</w:t>
      </w:r>
      <w:r>
        <w:rPr>
          <w:rFonts w:ascii="宋体" w:hAnsi="宋体" w:cs="宋体" w:eastAsia="宋体" w:hint="default"/>
        </w:rPr>
        <w:t>,63</w:t>
      </w:r>
      <w:r>
        <w:rPr>
          <w:rFonts w:ascii="宋体" w:hAnsi="宋体" w:cs="宋体" w:eastAsia="宋体" w:hint="default"/>
          <w:spacing w:val="-53"/>
        </w:rPr>
        <w:t> </w:t>
      </w:r>
      <w:r>
        <w:rPr/>
        <w:t>项实用新型专利申请，</w:t>
      </w:r>
      <w:r>
        <w:rPr>
          <w:rFonts w:ascii="宋体" w:hAnsi="宋体" w:cs="宋体" w:eastAsia="宋体" w:hint="default"/>
        </w:rPr>
        <w:t>29</w:t>
      </w:r>
      <w:r>
        <w:rPr>
          <w:rFonts w:ascii="宋体" w:hAnsi="宋体" w:cs="宋体" w:eastAsia="宋体" w:hint="default"/>
          <w:spacing w:val="-53"/>
        </w:rPr>
        <w:t> </w:t>
      </w:r>
      <w:r>
        <w:rPr/>
        <w:t>项外观设计专 利申请。</w:t>
      </w:r>
    </w:p>
    <w:p>
      <w:pPr>
        <w:pStyle w:val="BodyText"/>
        <w:spacing w:line="355" w:lineRule="auto" w:before="36"/>
        <w:ind w:left="618" w:right="1787"/>
        <w:jc w:val="left"/>
      </w:pPr>
      <w:r>
        <w:rPr/>
        <w:t>（</w:t>
      </w:r>
      <w:r>
        <w:rPr>
          <w:rFonts w:ascii="宋体" w:hAnsi="宋体" w:cs="宋体" w:eastAsia="宋体" w:hint="default"/>
        </w:rPr>
        <w:t>2</w:t>
      </w:r>
      <w:r>
        <w:rPr/>
        <w:t>）生产设备先进 公司拥有多条</w:t>
      </w:r>
      <w:r>
        <w:rPr>
          <w:rFonts w:ascii="宋体" w:hAnsi="宋体" w:cs="宋体" w:eastAsia="宋体" w:hint="default"/>
        </w:rPr>
        <w:t>FMS</w:t>
      </w:r>
      <w:r>
        <w:rPr/>
        <w:t>柔性生产线，是目前国际先进的开关柜体制造设备，全部</w:t>
      </w:r>
    </w:p>
    <w:p>
      <w:pPr>
        <w:pStyle w:val="BodyText"/>
        <w:spacing w:line="355" w:lineRule="auto" w:before="39"/>
        <w:ind w:right="1774"/>
        <w:jc w:val="left"/>
      </w:pPr>
      <w:r>
        <w:rPr/>
        <w:t>由国际著名机械设备企业―芬兰的</w:t>
      </w:r>
      <w:r>
        <w:rPr>
          <w:rFonts w:ascii="宋体" w:hAnsi="宋体" w:cs="宋体" w:eastAsia="宋体" w:hint="default"/>
        </w:rPr>
        <w:t>FINN</w:t>
      </w:r>
      <w:r>
        <w:rPr>
          <w:rFonts w:ascii="宋体" w:hAnsi="宋体" w:cs="宋体" w:eastAsia="宋体" w:hint="default"/>
          <w:spacing w:val="-86"/>
        </w:rPr>
        <w:t> </w:t>
      </w:r>
      <w:r>
        <w:rPr>
          <w:rFonts w:ascii="宋体" w:hAnsi="宋体" w:cs="宋体" w:eastAsia="宋体" w:hint="default"/>
        </w:rPr>
        <w:t>POWER</w:t>
      </w:r>
      <w:r>
        <w:rPr/>
        <w:t>公司提供。公司还拥有全封闭的自 动喷淋涂装生产线，先进的数控机床等设备。</w:t>
      </w:r>
    </w:p>
    <w:p>
      <w:pPr>
        <w:pStyle w:val="BodyText"/>
        <w:spacing w:line="355" w:lineRule="auto" w:before="38"/>
        <w:ind w:left="618" w:right="1248"/>
        <w:jc w:val="left"/>
      </w:pPr>
      <w:r>
        <w:rPr/>
        <w:t>（</w:t>
      </w:r>
      <w:r>
        <w:rPr>
          <w:rFonts w:ascii="宋体" w:hAnsi="宋体" w:cs="宋体" w:eastAsia="宋体" w:hint="default"/>
        </w:rPr>
        <w:t>3</w:t>
      </w:r>
      <w:r>
        <w:rPr/>
        <w:t>）人才优势 </w:t>
      </w:r>
      <w:r>
        <w:rPr>
          <w:spacing w:val="-7"/>
        </w:rPr>
        <w:t>公司注重技术人才、管理人才和营销人才的选拔、培养和重用，坚持知识化、</w:t>
      </w:r>
    </w:p>
    <w:p>
      <w:pPr>
        <w:pStyle w:val="BodyText"/>
        <w:spacing w:line="355" w:lineRule="auto" w:before="38"/>
        <w:ind w:right="1787"/>
        <w:jc w:val="left"/>
        <w:rPr>
          <w:rFonts w:ascii="宋体" w:hAnsi="宋体" w:cs="宋体" w:eastAsia="宋体" w:hint="default"/>
        </w:rPr>
      </w:pPr>
      <w:r>
        <w:rPr>
          <w:spacing w:val="-3"/>
        </w:rPr>
        <w:t>年轻化、科技化。本公司在长期从事高低压开关成套设备及元器件的生产制造过</w:t>
      </w:r>
      <w:r>
        <w:rPr>
          <w:spacing w:val="-106"/>
        </w:rPr>
        <w:t> </w:t>
      </w:r>
      <w:r>
        <w:rPr>
          <w:spacing w:val="-106"/>
        </w:rPr>
      </w:r>
      <w:r>
        <w:rPr>
          <w:spacing w:val="3"/>
        </w:rPr>
        <w:t>程中，积累了丰富的科研和实践经验，形成了以</w:t>
      </w:r>
      <w:r>
        <w:rPr>
          <w:rFonts w:ascii="宋体" w:hAnsi="宋体" w:cs="宋体" w:eastAsia="宋体" w:hint="default"/>
          <w:spacing w:val="3"/>
        </w:rPr>
        <w:t>1</w:t>
      </w:r>
      <w:r>
        <w:rPr>
          <w:spacing w:val="3"/>
        </w:rPr>
        <w:t>名享受国务院津贴的专家、</w:t>
      </w:r>
      <w:r>
        <w:rPr>
          <w:rFonts w:ascii="宋体" w:hAnsi="宋体" w:cs="宋体" w:eastAsia="宋体" w:hint="default"/>
          <w:spacing w:val="3"/>
        </w:rPr>
        <w:t>1</w:t>
      </w:r>
    </w:p>
    <w:p>
      <w:pPr>
        <w:spacing w:after="0" w:line="355" w:lineRule="auto"/>
        <w:jc w:val="left"/>
        <w:rPr>
          <w:rFonts w:ascii="宋体" w:hAnsi="宋体" w:cs="宋体" w:eastAsia="宋体" w:hint="default"/>
        </w:rPr>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92"/>
        <w:jc w:val="both"/>
      </w:pPr>
      <w:r>
        <w:rPr>
          <w:spacing w:val="-3"/>
        </w:rPr>
        <w:t>名机械工业青年科技专家和</w:t>
      </w:r>
      <w:r>
        <w:rPr>
          <w:rFonts w:ascii="宋体" w:hAnsi="宋体" w:cs="宋体" w:eastAsia="宋体" w:hint="default"/>
          <w:spacing w:val="-3"/>
        </w:rPr>
        <w:t>49</w:t>
      </w:r>
      <w:r>
        <w:rPr>
          <w:spacing w:val="-3"/>
        </w:rPr>
        <w:t>位高级职称专家为核心的科研队伍，同时还聘请了</w:t>
      </w:r>
      <w:r>
        <w:rPr>
          <w:spacing w:val="-101"/>
        </w:rPr>
        <w:t> </w:t>
      </w:r>
      <w:r>
        <w:rPr>
          <w:spacing w:val="-101"/>
        </w:rPr>
      </w:r>
      <w:r>
        <w:rPr>
          <w:spacing w:val="-3"/>
        </w:rPr>
        <w:t>行业知名专家作为公司技术委员会成员。公司管理层行业经验和企业管理经验丰</w:t>
      </w:r>
      <w:r>
        <w:rPr>
          <w:spacing w:val="-104"/>
        </w:rPr>
        <w:t> </w:t>
      </w:r>
      <w:r>
        <w:rPr>
          <w:spacing w:val="-104"/>
        </w:rPr>
      </w:r>
      <w:r>
        <w:rPr>
          <w:spacing w:val="-3"/>
        </w:rPr>
        <w:t>富，市场开拓意识强。目前，公司已经形成了一支精通管理、熟悉行业、技术全</w:t>
      </w:r>
      <w:r>
        <w:rPr>
          <w:spacing w:val="-103"/>
        </w:rPr>
        <w:t> </w:t>
      </w:r>
      <w:r>
        <w:rPr>
          <w:spacing w:val="-103"/>
        </w:rPr>
      </w:r>
      <w:r>
        <w:rPr/>
        <w:t>面、结构合理、素质优秀的人才队伍，为公司迅速成长做出了突出的贡献。</w:t>
      </w:r>
    </w:p>
    <w:p>
      <w:pPr>
        <w:pStyle w:val="BodyText"/>
        <w:spacing w:line="357" w:lineRule="auto"/>
        <w:ind w:left="618" w:right="1248"/>
        <w:jc w:val="left"/>
      </w:pPr>
      <w:r>
        <w:rPr/>
        <w:t>（</w:t>
      </w:r>
      <w:r>
        <w:rPr>
          <w:rFonts w:ascii="宋体" w:hAnsi="宋体" w:cs="宋体" w:eastAsia="宋体" w:hint="default"/>
        </w:rPr>
        <w:t>4</w:t>
      </w:r>
      <w:r>
        <w:rPr/>
        <w:t>）品牌及质量优势 </w:t>
      </w:r>
      <w:r>
        <w:rPr>
          <w:spacing w:val="-7"/>
        </w:rPr>
        <w:t>由公司一直把品牌建设列入企业战略目标，实行“重质量、创名牌”的方针，</w:t>
      </w:r>
    </w:p>
    <w:p>
      <w:pPr>
        <w:pStyle w:val="BodyText"/>
        <w:spacing w:line="357" w:lineRule="auto"/>
        <w:ind w:right="1678"/>
        <w:jc w:val="left"/>
      </w:pPr>
      <w:r>
        <w:rPr/>
        <w:t>致力于提高客户的品牌忠诚度。公司“鑫龙牌”商标被评定为安徽省著名商标，</w:t>
      </w:r>
      <w:r>
        <w:rPr>
          <w:spacing w:val="-95"/>
        </w:rPr>
        <w:t> </w:t>
      </w:r>
      <w:r>
        <w:rPr>
          <w:spacing w:val="-95"/>
        </w:rPr>
      </w:r>
      <w:r>
        <w:rPr>
          <w:spacing w:val="-3"/>
        </w:rPr>
        <w:t>“鑫龙牌”高低压开关柜为安徽省名牌产品，“鑫龙牌”高低压系列开关柜被国</w:t>
      </w:r>
      <w:r>
        <w:rPr>
          <w:spacing w:val="-110"/>
        </w:rPr>
        <w:t> </w:t>
      </w:r>
      <w:r>
        <w:rPr>
          <w:spacing w:val="-110"/>
        </w:rPr>
      </w:r>
      <w:r>
        <w:rPr>
          <w:spacing w:val="12"/>
        </w:rPr>
        <w:t>家质量监督检验检疫总局认定为国家免检产品。本公司通过了最新国际标准</w:t>
      </w:r>
      <w:r>
        <w:rPr>
          <w:spacing w:val="-115"/>
        </w:rPr>
        <w:t> </w:t>
      </w:r>
      <w:r>
        <w:rPr>
          <w:spacing w:val="-115"/>
        </w:rPr>
      </w:r>
      <w:r>
        <w:rPr>
          <w:rFonts w:ascii="宋体" w:hAnsi="宋体" w:cs="宋体" w:eastAsia="宋体" w:hint="default"/>
        </w:rPr>
        <w:t>ISO9001:2000</w:t>
      </w:r>
      <w:r>
        <w:rPr/>
        <w:t>版质量体系、</w:t>
      </w:r>
      <w:r>
        <w:rPr>
          <w:rFonts w:ascii="宋体" w:hAnsi="宋体" w:cs="宋体" w:eastAsia="宋体" w:hint="default"/>
        </w:rPr>
        <w:t>ISO14001:2004</w:t>
      </w:r>
      <w:r>
        <w:rPr/>
        <w:t>环境管理体系和</w:t>
      </w:r>
      <w:r>
        <w:rPr>
          <w:rFonts w:ascii="宋体" w:hAnsi="宋体" w:cs="宋体" w:eastAsia="宋体" w:hint="default"/>
        </w:rPr>
        <w:t>GB/T28001-2001</w:t>
      </w:r>
      <w:r>
        <w:rPr/>
        <w:t>职业</w:t>
      </w:r>
    </w:p>
    <w:p>
      <w:pPr>
        <w:pStyle w:val="BodyText"/>
        <w:spacing w:line="357" w:lineRule="auto"/>
        <w:ind w:right="1787"/>
        <w:jc w:val="left"/>
      </w:pPr>
      <w:r>
        <w:rPr>
          <w:spacing w:val="-3"/>
        </w:rPr>
        <w:t>健康安全管理体系等三项体系认证，</w:t>
      </w:r>
      <w:r>
        <w:rPr>
          <w:rFonts w:ascii="宋体" w:hAnsi="宋体" w:cs="宋体" w:eastAsia="宋体" w:hint="default"/>
          <w:spacing w:val="-3"/>
        </w:rPr>
        <w:t>24</w:t>
      </w:r>
      <w:r>
        <w:rPr>
          <w:spacing w:val="-3"/>
        </w:rPr>
        <w:t>类产品通过产品型式试验，</w:t>
      </w:r>
      <w:r>
        <w:rPr>
          <w:rFonts w:ascii="宋体" w:hAnsi="宋体" w:cs="宋体" w:eastAsia="宋体" w:hint="default"/>
          <w:spacing w:val="-3"/>
        </w:rPr>
        <w:t>21</w:t>
      </w:r>
      <w:r>
        <w:rPr>
          <w:spacing w:val="-3"/>
        </w:rPr>
        <w:t>类产品获得</w:t>
      </w:r>
      <w:r>
        <w:rPr>
          <w:spacing w:val="-96"/>
        </w:rPr>
        <w:t> </w:t>
      </w:r>
      <w:r>
        <w:rPr/>
        <w:t>中国国家强制性产品认证（</w:t>
      </w:r>
      <w:r>
        <w:rPr>
          <w:rFonts w:ascii="宋体" w:hAnsi="宋体" w:cs="宋体" w:eastAsia="宋体" w:hint="default"/>
        </w:rPr>
        <w:t>3C</w:t>
      </w:r>
      <w:r>
        <w:rPr/>
        <w:t>）证书。</w:t>
      </w:r>
    </w:p>
    <w:p>
      <w:pPr>
        <w:pStyle w:val="BodyText"/>
        <w:spacing w:line="357" w:lineRule="auto"/>
        <w:ind w:left="618" w:right="1787"/>
        <w:jc w:val="left"/>
      </w:pPr>
      <w:r>
        <w:rPr/>
        <w:t>（</w:t>
      </w:r>
      <w:r>
        <w:rPr>
          <w:rFonts w:ascii="宋体" w:hAnsi="宋体" w:cs="宋体" w:eastAsia="宋体" w:hint="default"/>
        </w:rPr>
        <w:t>5</w:t>
      </w:r>
      <w:r>
        <w:rPr/>
        <w:t>）营销优势 </w:t>
      </w:r>
      <w:r>
        <w:rPr>
          <w:spacing w:val="-3"/>
        </w:rPr>
        <w:t>公司以铁路部门、电力部门、工程设计单位、终端用户等为对象，宣传介绍</w:t>
      </w:r>
    </w:p>
    <w:p>
      <w:pPr>
        <w:pStyle w:val="BodyText"/>
        <w:spacing w:line="357" w:lineRule="auto" w:before="36"/>
        <w:ind w:right="1664"/>
        <w:jc w:val="left"/>
      </w:pPr>
      <w:r>
        <w:rPr>
          <w:spacing w:val="-3"/>
        </w:rPr>
        <w:t>公司智能型产品及其他产品，强化对公司产品环保节能、智能化、高可靠性以及</w:t>
      </w:r>
      <w:r>
        <w:rPr>
          <w:spacing w:val="-102"/>
        </w:rPr>
        <w:t> </w:t>
      </w:r>
      <w:r>
        <w:rPr>
          <w:spacing w:val="-102"/>
        </w:rPr>
      </w:r>
      <w:r>
        <w:rPr>
          <w:spacing w:val="-3"/>
        </w:rPr>
        <w:t>公司品牌的意识和印象，并与之保持良好的合作关系。目前，公司产品在中央电</w:t>
      </w:r>
      <w:r>
        <w:rPr>
          <w:spacing w:val="-102"/>
        </w:rPr>
        <w:t> </w:t>
      </w:r>
      <w:r>
        <w:rPr>
          <w:spacing w:val="-102"/>
        </w:rPr>
      </w:r>
      <w:r>
        <w:rPr>
          <w:spacing w:val="-3"/>
        </w:rPr>
        <w:t>视台（</w:t>
      </w:r>
      <w:r>
        <w:rPr>
          <w:rFonts w:ascii="宋体" w:hAnsi="宋体" w:cs="宋体" w:eastAsia="宋体" w:hint="default"/>
          <w:spacing w:val="-3"/>
        </w:rPr>
        <w:t>CCTV</w:t>
      </w:r>
      <w:r>
        <w:rPr>
          <w:spacing w:val="-3"/>
        </w:rPr>
        <w:t>）新台址、北京地铁（</w:t>
      </w:r>
      <w:r>
        <w:rPr>
          <w:rFonts w:ascii="宋体" w:hAnsi="宋体" w:cs="宋体" w:eastAsia="宋体" w:hint="default"/>
          <w:spacing w:val="-3"/>
        </w:rPr>
        <w:t>1</w:t>
      </w: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5</w:t>
      </w:r>
      <w:r>
        <w:rPr>
          <w:spacing w:val="-3"/>
        </w:rPr>
        <w:t>号线）、北京</w:t>
      </w:r>
      <w:r>
        <w:rPr>
          <w:rFonts w:ascii="宋体" w:hAnsi="宋体" w:cs="宋体" w:eastAsia="宋体" w:hint="default"/>
          <w:spacing w:val="-3"/>
        </w:rPr>
        <w:t>2008</w:t>
      </w:r>
      <w:r>
        <w:rPr>
          <w:spacing w:val="-3"/>
        </w:rPr>
        <w:t>奥运场馆、北京</w:t>
      </w:r>
      <w:r>
        <w:rPr>
          <w:spacing w:val="-93"/>
        </w:rPr>
        <w:t> </w:t>
      </w:r>
      <w:r>
        <w:rPr>
          <w:spacing w:val="-93"/>
        </w:rPr>
      </w:r>
      <w:r>
        <w:rPr>
          <w:spacing w:val="-3"/>
        </w:rPr>
        <w:t>奥林匹克公园、中国国际展览中心、中国银行信息中心、首都机场、中国建材工</w:t>
      </w:r>
      <w:r>
        <w:rPr>
          <w:spacing w:val="-103"/>
        </w:rPr>
        <w:t> </w:t>
      </w:r>
      <w:r>
        <w:rPr>
          <w:spacing w:val="-103"/>
        </w:rPr>
      </w:r>
      <w:r>
        <w:rPr>
          <w:spacing w:val="-3"/>
        </w:rPr>
        <w:t>业对外经济技术合作公司、北京大学体育馆、北京南站、天津站、马鞍山钢铁股</w:t>
      </w:r>
      <w:r>
        <w:rPr>
          <w:spacing w:val="-103"/>
        </w:rPr>
        <w:t> </w:t>
      </w:r>
      <w:r>
        <w:rPr>
          <w:spacing w:val="-103"/>
        </w:rPr>
      </w:r>
      <w:r>
        <w:rPr>
          <w:spacing w:val="-6"/>
        </w:rPr>
        <w:t>份有限公司、铜陵有色金属（集团）公司、奇瑞汽车有限公司、合肥至南京铁路、</w:t>
      </w:r>
      <w:r>
        <w:rPr>
          <w:spacing w:val="-113"/>
        </w:rPr>
        <w:t> </w:t>
      </w:r>
      <w:r>
        <w:rPr>
          <w:spacing w:val="-113"/>
        </w:rPr>
      </w:r>
      <w:r>
        <w:rPr>
          <w:spacing w:val="-3"/>
        </w:rPr>
        <w:t>石家庄至太原客运铁路专线、武汉至广州客运铁路专线、广州至珠海客运铁路专</w:t>
      </w:r>
      <w:r>
        <w:rPr>
          <w:spacing w:val="-103"/>
        </w:rPr>
        <w:t> </w:t>
      </w:r>
      <w:r>
        <w:rPr>
          <w:spacing w:val="-103"/>
        </w:rPr>
      </w:r>
      <w:r>
        <w:rPr>
          <w:spacing w:val="-3"/>
        </w:rPr>
        <w:t>线、郑州至西安客运铁路专线、哈尔滨至大连铁路客运专线、上海至杭州客运专</w:t>
      </w:r>
      <w:r>
        <w:rPr>
          <w:spacing w:val="-102"/>
        </w:rPr>
        <w:t> </w:t>
      </w:r>
      <w:r>
        <w:rPr>
          <w:spacing w:val="-102"/>
        </w:rPr>
      </w:r>
      <w:r>
        <w:rPr/>
        <w:t>线、海南东环铁路客运专线、广州至深圳客运专线、北京至上海高速铁路专线、 </w:t>
      </w:r>
      <w:r>
        <w:rPr>
          <w:spacing w:val="-3"/>
        </w:rPr>
        <w:t>北京至石家庄铁路客运专线、石家庄至武汉铁路客运专线、杭甬铁路客运专线等</w:t>
      </w:r>
      <w:r>
        <w:rPr>
          <w:spacing w:val="-102"/>
        </w:rPr>
        <w:t> </w:t>
      </w:r>
      <w:r>
        <w:rPr>
          <w:spacing w:val="-102"/>
        </w:rPr>
      </w:r>
      <w:r>
        <w:rPr/>
        <w:t>国家大型工程得到广泛应用。在营销体系建设上，公司采取以销售办事处为主、 </w:t>
      </w:r>
      <w:r>
        <w:rPr>
          <w:spacing w:val="-6"/>
        </w:rPr>
        <w:t>分公司为辅的营销模式，在国内建立了</w:t>
      </w:r>
      <w:r>
        <w:rPr>
          <w:rFonts w:ascii="宋体" w:hAnsi="宋体" w:cs="宋体" w:eastAsia="宋体" w:hint="default"/>
          <w:spacing w:val="-6"/>
        </w:rPr>
        <w:t>17</w:t>
      </w:r>
      <w:r>
        <w:rPr>
          <w:spacing w:val="-6"/>
        </w:rPr>
        <w:t>个销售办事处和分公司，覆盖了</w:t>
      </w:r>
      <w:r>
        <w:rPr>
          <w:rFonts w:ascii="宋体" w:hAnsi="宋体" w:cs="宋体" w:eastAsia="宋体" w:hint="default"/>
          <w:spacing w:val="-6"/>
        </w:rPr>
        <w:t>20</w:t>
      </w:r>
      <w:r>
        <w:rPr>
          <w:spacing w:val="-6"/>
        </w:rPr>
        <w:t>个省、</w:t>
      </w:r>
      <w:r>
        <w:rPr>
          <w:spacing w:val="-99"/>
        </w:rPr>
        <w:t> </w:t>
      </w:r>
      <w:r>
        <w:rPr/>
        <w:t>市、自治区。</w:t>
      </w:r>
    </w:p>
    <w:p>
      <w:pPr>
        <w:pStyle w:val="BodyText"/>
        <w:spacing w:line="357" w:lineRule="auto"/>
        <w:ind w:right="1248" w:firstLine="479"/>
        <w:jc w:val="left"/>
      </w:pPr>
      <w:r>
        <w:rPr>
          <w:spacing w:val="-7"/>
        </w:rPr>
        <w:t>公司管理规范，拥有先进的经营理念和灵活的经营机制；公司资产质量优良；</w:t>
      </w:r>
      <w:r>
        <w:rPr/>
        <w:t> </w:t>
      </w:r>
      <w:r>
        <w:rPr>
          <w:spacing w:val="-3"/>
        </w:rPr>
        <w:t>公司有良好的社会形象；公司重视科研投入，具有较强的研发能力和科研成果转</w:t>
      </w:r>
      <w:r>
        <w:rPr>
          <w:spacing w:val="-105"/>
        </w:rPr>
        <w:t> </w:t>
      </w:r>
      <w:r>
        <w:rPr>
          <w:spacing w:val="-105"/>
        </w:rPr>
      </w:r>
      <w:r>
        <w:rPr/>
        <w:t>化能力；公司营销队伍稳定，能征善搏，营销网络不断扩大。</w:t>
      </w:r>
    </w:p>
    <w:p>
      <w:pPr>
        <w:spacing w:after="0" w:line="357"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92" w:firstLine="479"/>
        <w:jc w:val="both"/>
      </w:pPr>
      <w:r>
        <w:rPr>
          <w:spacing w:val="-3"/>
        </w:rPr>
        <w:t>公司经营和盈利能力的连续性和稳定性：公司所处的输配电设备制造业受益</w:t>
      </w:r>
      <w:r>
        <w:rPr/>
        <w:t> 于</w:t>
      </w:r>
      <w:r>
        <w:rPr>
          <w:spacing w:val="22"/>
        </w:rPr>
        <w:t> </w:t>
      </w:r>
      <w:r>
        <w:rPr/>
        <w:t>“十一五”期间国家对电网建设、电网改造和客运专线、智能电网的大规模</w:t>
      </w:r>
      <w:r>
        <w:rPr>
          <w:spacing w:val="-118"/>
        </w:rPr>
        <w:t> </w:t>
      </w:r>
      <w:r>
        <w:rPr>
          <w:spacing w:val="-118"/>
        </w:rPr>
      </w:r>
      <w:r>
        <w:rPr>
          <w:spacing w:val="-3"/>
        </w:rPr>
        <w:t>投资建设及国家“十二五”规划中大力发展方向，预计在未来的几年中公司所处</w:t>
      </w:r>
      <w:r>
        <w:rPr>
          <w:spacing w:val="-102"/>
        </w:rPr>
        <w:t> </w:t>
      </w:r>
      <w:r>
        <w:rPr>
          <w:spacing w:val="-102"/>
        </w:rPr>
      </w:r>
      <w:r>
        <w:rPr>
          <w:spacing w:val="-3"/>
        </w:rPr>
        <w:t>行业发展稳定。公司经营稳健，重视技术研究的投入，市场开拓能力强。公司能</w:t>
      </w:r>
      <w:r>
        <w:rPr>
          <w:spacing w:val="-103"/>
        </w:rPr>
        <w:t> </w:t>
      </w:r>
      <w:r>
        <w:rPr>
          <w:spacing w:val="-103"/>
        </w:rPr>
      </w:r>
      <w:r>
        <w:rPr/>
        <w:t>够保持经营和盈利能力的连续性和稳定性。</w:t>
      </w:r>
    </w:p>
    <w:p>
      <w:pPr>
        <w:pStyle w:val="BodyText"/>
        <w:spacing w:line="240" w:lineRule="auto" w:before="36"/>
        <w:ind w:left="618" w:right="1787"/>
        <w:jc w:val="left"/>
      </w:pPr>
      <w:r>
        <w:rPr/>
        <w:t>三、公司</w:t>
      </w:r>
      <w:r>
        <w:rPr>
          <w:rFonts w:ascii="宋体" w:hAnsi="宋体" w:cs="宋体" w:eastAsia="宋体" w:hint="default"/>
        </w:rPr>
        <w:t>2011</w:t>
      </w:r>
      <w:r>
        <w:rPr/>
        <w:t>年度的经营计划和经营目标</w:t>
      </w:r>
    </w:p>
    <w:p>
      <w:pPr>
        <w:pStyle w:val="BodyText"/>
        <w:spacing w:line="357" w:lineRule="auto" w:before="151"/>
        <w:ind w:left="618" w:right="1787"/>
        <w:jc w:val="left"/>
      </w:pPr>
      <w:r>
        <w:rPr/>
        <w:t>（一）发展战略 </w:t>
      </w:r>
      <w:r>
        <w:rPr>
          <w:spacing w:val="-3"/>
        </w:rPr>
        <w:t>公司致力于输配电及控制设备制造业，在国家产业政策指导下，充分利用在</w:t>
      </w:r>
    </w:p>
    <w:p>
      <w:pPr>
        <w:pStyle w:val="BodyText"/>
        <w:spacing w:line="357" w:lineRule="auto"/>
        <w:ind w:right="1706"/>
        <w:jc w:val="both"/>
      </w:pPr>
      <w:r>
        <w:rPr>
          <w:spacing w:val="-3"/>
        </w:rPr>
        <w:t>产品、技术、规模和管理等方面的优势，在以高低压成套开关设备为主导产品的</w:t>
      </w:r>
      <w:r>
        <w:rPr>
          <w:spacing w:val="-102"/>
        </w:rPr>
        <w:t> </w:t>
      </w:r>
      <w:r>
        <w:rPr>
          <w:spacing w:val="-102"/>
        </w:rPr>
      </w:r>
      <w:r>
        <w:rPr>
          <w:spacing w:val="-3"/>
        </w:rPr>
        <w:t>基础上，加大对高低压元器件产品的投资力度，实现公司产品结构的优化调整和</w:t>
      </w:r>
      <w:r>
        <w:rPr>
          <w:spacing w:val="-103"/>
        </w:rPr>
        <w:t> </w:t>
      </w:r>
      <w:r>
        <w:rPr>
          <w:spacing w:val="-103"/>
        </w:rPr>
      </w:r>
      <w:r>
        <w:rPr/>
        <w:t>综合实力的提升，确保公司国内一流的输配电设备及元器件生产制造企业地位。</w:t>
      </w:r>
    </w:p>
    <w:p>
      <w:pPr>
        <w:pStyle w:val="BodyText"/>
        <w:spacing w:line="357" w:lineRule="auto" w:before="36"/>
        <w:ind w:right="1792" w:firstLine="479"/>
        <w:jc w:val="both"/>
      </w:pPr>
      <w:r>
        <w:rPr>
          <w:spacing w:val="-3"/>
        </w:rPr>
        <w:t>公司将充分把握我国电力工业及高铁建设快速发展的历史机遇，以市场需求</w:t>
      </w:r>
      <w:r>
        <w:rPr/>
        <w:t> </w:t>
      </w:r>
      <w:r>
        <w:rPr>
          <w:spacing w:val="-3"/>
        </w:rPr>
        <w:t>为导向，以技术创新为动力，加强自主研发实力，保持主导产品和技术的领先优</w:t>
      </w:r>
      <w:r>
        <w:rPr>
          <w:spacing w:val="-102"/>
        </w:rPr>
        <w:t> </w:t>
      </w:r>
      <w:r>
        <w:rPr>
          <w:spacing w:val="-102"/>
        </w:rPr>
      </w:r>
      <w:r>
        <w:rPr/>
        <w:t>势，满足日益增长的电力市场对输配电及控制设备产品的需求。</w:t>
      </w:r>
    </w:p>
    <w:p>
      <w:pPr>
        <w:pStyle w:val="BodyText"/>
        <w:spacing w:line="355" w:lineRule="auto" w:before="36"/>
        <w:ind w:left="618" w:right="1787"/>
        <w:jc w:val="left"/>
      </w:pPr>
      <w:r>
        <w:rPr/>
        <w:t>（二）主营经营目标 </w:t>
      </w:r>
      <w:r>
        <w:rPr>
          <w:spacing w:val="-3"/>
        </w:rPr>
        <w:t>公司在未来将充分利用国家对行业的政策支持，把握社会经济发展的市场机</w:t>
      </w:r>
    </w:p>
    <w:p>
      <w:pPr>
        <w:pStyle w:val="BodyText"/>
        <w:spacing w:line="355" w:lineRule="auto" w:before="39"/>
        <w:ind w:right="1792"/>
        <w:jc w:val="both"/>
      </w:pPr>
      <w:r>
        <w:rPr>
          <w:spacing w:val="-3"/>
        </w:rPr>
        <w:t>遇，形成产业规模效应，提高经营管理水平，合理配置资源，保证科技的投入与</w:t>
      </w:r>
      <w:r>
        <w:rPr>
          <w:spacing w:val="-103"/>
        </w:rPr>
        <w:t> </w:t>
      </w:r>
      <w:r>
        <w:rPr>
          <w:spacing w:val="-103"/>
        </w:rPr>
      </w:r>
      <w:r>
        <w:rPr/>
        <w:t>产出效率，保持公司业绩的持续稳定增长。</w:t>
      </w:r>
    </w:p>
    <w:p>
      <w:pPr>
        <w:pStyle w:val="BodyText"/>
        <w:spacing w:line="357" w:lineRule="auto" w:before="38"/>
        <w:ind w:right="1792" w:firstLine="479"/>
        <w:jc w:val="both"/>
      </w:pPr>
      <w:r>
        <w:rPr>
          <w:spacing w:val="-3"/>
        </w:rPr>
        <w:t>公司充分利用在现有规模、技术、装备、研发、质量、市场、人才等方面的</w:t>
      </w:r>
      <w:r>
        <w:rPr/>
        <w:t> </w:t>
      </w:r>
      <w:r>
        <w:rPr>
          <w:spacing w:val="-3"/>
        </w:rPr>
        <w:t>竞争优势，扩大产品范围，提升生产规模和产品附加值，扩大市场占有率，将公</w:t>
      </w:r>
      <w:r>
        <w:rPr>
          <w:spacing w:val="-103"/>
        </w:rPr>
        <w:t> </w:t>
      </w:r>
      <w:r>
        <w:rPr>
          <w:spacing w:val="-103"/>
        </w:rPr>
      </w:r>
      <w:r>
        <w:rPr/>
        <w:t>司经营和管理带上新台阶。</w:t>
      </w:r>
    </w:p>
    <w:p>
      <w:pPr>
        <w:pStyle w:val="BodyText"/>
        <w:spacing w:line="357" w:lineRule="auto"/>
        <w:ind w:left="618" w:right="6608"/>
        <w:jc w:val="left"/>
      </w:pPr>
      <w:r>
        <w:rPr/>
        <w:t>（三）提高竞争力计划 </w:t>
      </w:r>
      <w:r>
        <w:rPr>
          <w:rFonts w:ascii="宋体" w:hAnsi="宋体" w:cs="宋体" w:eastAsia="宋体" w:hint="default"/>
        </w:rPr>
        <w:t>1</w:t>
      </w:r>
      <w:r>
        <w:rPr/>
        <w:t>、产品开发计划与创新计划</w:t>
      </w:r>
    </w:p>
    <w:p>
      <w:pPr>
        <w:pStyle w:val="BodyText"/>
        <w:spacing w:line="357" w:lineRule="auto"/>
        <w:ind w:right="1664" w:firstLine="479"/>
        <w:jc w:val="left"/>
      </w:pPr>
      <w:r>
        <w:rPr>
          <w:spacing w:val="-3"/>
        </w:rPr>
        <w:t>公司坚持以市场为导向，加强研发中心的投资和建设，提升项目储备，将计</w:t>
      </w:r>
      <w:r>
        <w:rPr/>
        <w:t> </w:t>
      </w:r>
      <w:r>
        <w:rPr>
          <w:spacing w:val="-6"/>
        </w:rPr>
        <w:t>算机控制技术、微电子技术、电力电子技术、网络通讯技术等与开关技术相结合，</w:t>
      </w:r>
      <w:r>
        <w:rPr>
          <w:spacing w:val="-114"/>
        </w:rPr>
        <w:t> </w:t>
      </w:r>
      <w:r>
        <w:rPr>
          <w:spacing w:val="-114"/>
        </w:rPr>
      </w:r>
      <w:r>
        <w:rPr>
          <w:spacing w:val="-3"/>
        </w:rPr>
        <w:t>设计开发新型智能化输配电设备，降低故障率和产品成本，实现通讯功能，提高</w:t>
      </w:r>
      <w:r>
        <w:rPr>
          <w:spacing w:val="-102"/>
        </w:rPr>
        <w:t> </w:t>
      </w:r>
      <w:r>
        <w:rPr>
          <w:spacing w:val="-102"/>
        </w:rPr>
      </w:r>
      <w:r>
        <w:rPr/>
        <w:t>输配电设备的可靠性。</w:t>
      </w:r>
    </w:p>
    <w:p>
      <w:pPr>
        <w:pStyle w:val="BodyText"/>
        <w:spacing w:line="357" w:lineRule="auto"/>
        <w:ind w:right="1706" w:firstLine="479"/>
        <w:jc w:val="both"/>
      </w:pPr>
      <w:r>
        <w:rPr/>
        <w:t>公司将进一步加强省级技术中心建设，积极申报国家级技术研究开发中心， 不断加大研究和开发投入，不断推出新技术新产品，引进和培养优秀技术人才， </w:t>
      </w:r>
      <w:r>
        <w:rPr>
          <w:spacing w:val="-3"/>
        </w:rPr>
        <w:t>增强自主研发能力，建立完善的技术创新体系和激励约束制度，加大对科技成果</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664"/>
        <w:jc w:val="left"/>
      </w:pPr>
      <w:r>
        <w:rPr>
          <w:spacing w:val="-3"/>
        </w:rPr>
        <w:t>和创新的奖励力度，鼓励创新，促进企业的持续发展，加强知识产权的保护和登</w:t>
      </w:r>
      <w:r>
        <w:rPr>
          <w:spacing w:val="-102"/>
        </w:rPr>
        <w:t> </w:t>
      </w:r>
      <w:r>
        <w:rPr>
          <w:spacing w:val="-102"/>
        </w:rPr>
      </w:r>
      <w:r>
        <w:rPr>
          <w:spacing w:val="-6"/>
        </w:rPr>
        <w:t>记工作，继续加强与高校、科研院所的合作，成立联合研发中心、培养技术人才，</w:t>
      </w:r>
      <w:r>
        <w:rPr>
          <w:spacing w:val="-114"/>
        </w:rPr>
        <w:t> </w:t>
      </w:r>
      <w:r>
        <w:rPr>
          <w:spacing w:val="-114"/>
        </w:rPr>
      </w:r>
      <w:r>
        <w:rPr/>
        <w:t>以保持公司技术上持续的领先优势。</w:t>
      </w:r>
    </w:p>
    <w:p>
      <w:pPr>
        <w:pStyle w:val="BodyText"/>
        <w:spacing w:line="357" w:lineRule="auto" w:before="36"/>
        <w:ind w:right="1792" w:firstLine="479"/>
        <w:jc w:val="both"/>
      </w:pPr>
      <w:r>
        <w:rPr>
          <w:spacing w:val="-3"/>
        </w:rPr>
        <w:t>公司将以技术中心为开发核心，以市场需求为开发目标，吸收国内外输配电</w:t>
      </w:r>
      <w:r>
        <w:rPr/>
        <w:t> </w:t>
      </w:r>
      <w:r>
        <w:rPr>
          <w:spacing w:val="-3"/>
        </w:rPr>
        <w:t>行业先进的经验和技术，结合企业自身优势，开发出适销对路的新产品，实现技</w:t>
      </w:r>
      <w:r>
        <w:rPr>
          <w:spacing w:val="-102"/>
        </w:rPr>
        <w:t> </w:t>
      </w:r>
      <w:r>
        <w:rPr>
          <w:spacing w:val="-102"/>
        </w:rPr>
      </w:r>
      <w:r>
        <w:rPr>
          <w:spacing w:val="-3"/>
        </w:rPr>
        <w:t>术创新和技术产业化的发展目标。继续加大公司新产品研发费用的投入，向小型</w:t>
      </w:r>
      <w:r>
        <w:rPr>
          <w:spacing w:val="-102"/>
        </w:rPr>
        <w:t> </w:t>
      </w:r>
      <w:r>
        <w:rPr>
          <w:spacing w:val="-102"/>
        </w:rPr>
      </w:r>
      <w:r>
        <w:rPr/>
        <w:t>化、信息化、智能化的高附加值环保节能产品和技术方向发展。</w:t>
      </w:r>
    </w:p>
    <w:p>
      <w:pPr>
        <w:pStyle w:val="BodyText"/>
        <w:spacing w:line="355" w:lineRule="auto" w:before="36"/>
        <w:ind w:left="618" w:right="1787"/>
        <w:jc w:val="left"/>
      </w:pPr>
      <w:r>
        <w:rPr>
          <w:rFonts w:ascii="宋体" w:hAnsi="宋体" w:cs="宋体" w:eastAsia="宋体" w:hint="default"/>
        </w:rPr>
        <w:t>2</w:t>
      </w:r>
      <w:r>
        <w:rPr/>
        <w:t>、人力资源发展计划 </w:t>
      </w:r>
      <w:r>
        <w:rPr>
          <w:spacing w:val="-3"/>
        </w:rPr>
        <w:t>公司将根据现有业务经营规模扩张和投资项目逐步达产的需要，多渠道引进</w:t>
      </w:r>
    </w:p>
    <w:p>
      <w:pPr>
        <w:pStyle w:val="BodyText"/>
        <w:spacing w:line="355" w:lineRule="auto" w:before="39"/>
        <w:ind w:right="1795"/>
        <w:jc w:val="both"/>
      </w:pPr>
      <w:r>
        <w:rPr>
          <w:spacing w:val="-3"/>
        </w:rPr>
        <w:t>高素质的经营管理人才和能力强的专业技术人才，优化人才结构，使公司形成一</w:t>
      </w:r>
      <w:r>
        <w:rPr>
          <w:spacing w:val="-106"/>
        </w:rPr>
        <w:t> </w:t>
      </w:r>
      <w:r>
        <w:rPr>
          <w:spacing w:val="-106"/>
        </w:rPr>
      </w:r>
      <w:r>
        <w:rPr/>
        <w:t>支能够适应市场竞争和公司发展需求的人才队伍。</w:t>
      </w:r>
    </w:p>
    <w:p>
      <w:pPr>
        <w:pStyle w:val="BodyText"/>
        <w:spacing w:line="357" w:lineRule="auto" w:before="38"/>
        <w:ind w:right="1791" w:firstLine="479"/>
        <w:jc w:val="both"/>
      </w:pPr>
      <w:r>
        <w:rPr>
          <w:spacing w:val="-3"/>
        </w:rPr>
        <w:t>公司将加强人力资源管理，建立完善、高效、灵活的人才培养、储备与管理</w:t>
      </w:r>
      <w:r>
        <w:rPr/>
        <w:t> </w:t>
      </w:r>
      <w:r>
        <w:rPr>
          <w:spacing w:val="-3"/>
        </w:rPr>
        <w:t>体制，实施对公司员工的继续教育，形成以高素质的经营人才、科研人才、技工</w:t>
      </w:r>
      <w:r>
        <w:rPr>
          <w:spacing w:val="-103"/>
        </w:rPr>
        <w:t> </w:t>
      </w:r>
      <w:r>
        <w:rPr>
          <w:spacing w:val="-103"/>
        </w:rPr>
      </w:r>
      <w:r>
        <w:rPr/>
        <w:t>人才为主体的人才体系。</w:t>
      </w:r>
    </w:p>
    <w:p>
      <w:pPr>
        <w:pStyle w:val="BodyText"/>
        <w:spacing w:line="357" w:lineRule="auto" w:before="36"/>
        <w:ind w:right="1688" w:firstLine="479"/>
        <w:jc w:val="left"/>
      </w:pPr>
      <w:r>
        <w:rPr>
          <w:spacing w:val="-3"/>
        </w:rPr>
        <w:t>公司将通过实施股权激励等方式方法，进一步完善人才激励、约束机制，给</w:t>
      </w:r>
      <w:r>
        <w:rPr/>
        <w:t> </w:t>
      </w:r>
      <w:r>
        <w:rPr>
          <w:spacing w:val="-3"/>
        </w:rPr>
        <w:t>予优秀人才更大的发展空间。公司将完善岗位责任制和绩效评价体系，建立有序</w:t>
      </w:r>
      <w:r>
        <w:rPr>
          <w:spacing w:val="-103"/>
        </w:rPr>
        <w:t> </w:t>
      </w:r>
      <w:r>
        <w:rPr>
          <w:spacing w:val="-103"/>
        </w:rPr>
      </w:r>
      <w:r>
        <w:rPr/>
        <w:t>的岗位竞争、激励、淘汰机制，增加岗位流动性，充分发挥员工的主观能动性， 并为员工提供提升职业发展的空间与平台。</w:t>
      </w:r>
    </w:p>
    <w:p>
      <w:pPr>
        <w:pStyle w:val="BodyText"/>
        <w:spacing w:line="355" w:lineRule="auto" w:before="36"/>
        <w:ind w:left="618" w:right="1788"/>
        <w:jc w:val="left"/>
      </w:pPr>
      <w:r>
        <w:rPr>
          <w:rFonts w:ascii="宋体" w:hAnsi="宋体" w:cs="宋体" w:eastAsia="宋体" w:hint="default"/>
        </w:rPr>
        <w:t>3</w:t>
      </w:r>
      <w:r>
        <w:rPr/>
        <w:t>、组织结构改革和调整计划 </w:t>
      </w:r>
      <w:r>
        <w:rPr>
          <w:spacing w:val="-10"/>
        </w:rPr>
        <w:t>随着业务的发展及生产规模的扩大，公司将继续严格按照《公司法》、《证券</w:t>
      </w:r>
    </w:p>
    <w:p>
      <w:pPr>
        <w:pStyle w:val="BodyText"/>
        <w:spacing w:line="357" w:lineRule="auto" w:before="38"/>
        <w:ind w:right="1791"/>
        <w:jc w:val="both"/>
      </w:pPr>
      <w:r>
        <w:rPr>
          <w:spacing w:val="-3"/>
        </w:rPr>
        <w:t>法》等相关法律法规的要求，进一步完善法人治理结构和内部控制制度，确保经</w:t>
      </w:r>
      <w:r>
        <w:rPr>
          <w:spacing w:val="-102"/>
        </w:rPr>
        <w:t> </w:t>
      </w:r>
      <w:r>
        <w:rPr>
          <w:spacing w:val="-102"/>
        </w:rPr>
      </w:r>
      <w:r>
        <w:rPr>
          <w:spacing w:val="-3"/>
        </w:rPr>
        <w:t>营管理和投资决策的科学性和准确性以降低经营风险。同时，公司将进一步深化</w:t>
      </w:r>
      <w:r>
        <w:rPr>
          <w:spacing w:val="-106"/>
        </w:rPr>
        <w:t> </w:t>
      </w:r>
      <w:r>
        <w:rPr>
          <w:spacing w:val="-106"/>
        </w:rPr>
      </w:r>
      <w:r>
        <w:rPr>
          <w:spacing w:val="-3"/>
        </w:rPr>
        <w:t>劳动、人事和分配制度改革，完善员工的聘用、职务晋升和分配制度，完善激励</w:t>
      </w:r>
      <w:r>
        <w:rPr>
          <w:spacing w:val="-103"/>
        </w:rPr>
        <w:t> </w:t>
      </w:r>
      <w:r>
        <w:rPr>
          <w:spacing w:val="-103"/>
        </w:rPr>
      </w:r>
      <w:r>
        <w:rPr>
          <w:spacing w:val="-3"/>
        </w:rPr>
        <w:t>和约束机制，充分调动管理人员、技术人员、生产人员、营销人员的工作积极性</w:t>
      </w:r>
      <w:r>
        <w:rPr>
          <w:spacing w:val="-103"/>
        </w:rPr>
        <w:t> </w:t>
      </w:r>
      <w:r>
        <w:rPr>
          <w:spacing w:val="-103"/>
        </w:rPr>
      </w:r>
      <w:r>
        <w:rPr/>
        <w:t>和创造性。</w:t>
      </w:r>
    </w:p>
    <w:p>
      <w:pPr>
        <w:pStyle w:val="BodyText"/>
        <w:spacing w:line="357" w:lineRule="auto"/>
        <w:ind w:left="618" w:right="1787"/>
        <w:jc w:val="left"/>
      </w:pPr>
      <w:r>
        <w:rPr/>
        <w:t>（四）市场开拓计划 </w:t>
      </w:r>
      <w:r>
        <w:rPr>
          <w:spacing w:val="-3"/>
        </w:rPr>
        <w:t>随着国家高铁项目、机场改造、城乡电网改造、城际铁路、智能电网、城市</w:t>
      </w:r>
    </w:p>
    <w:p>
      <w:pPr>
        <w:pStyle w:val="BodyText"/>
        <w:spacing w:line="357" w:lineRule="auto"/>
        <w:ind w:right="1791"/>
        <w:jc w:val="both"/>
      </w:pPr>
      <w:r>
        <w:rPr>
          <w:spacing w:val="-3"/>
        </w:rPr>
        <w:t>基础设施等大型工程的建设和厂矿企业供配电设备的更新换代，公司将牢牢把握</w:t>
      </w:r>
      <w:r>
        <w:rPr>
          <w:spacing w:val="-104"/>
        </w:rPr>
        <w:t> </w:t>
      </w:r>
      <w:r>
        <w:rPr>
          <w:spacing w:val="-104"/>
        </w:rPr>
      </w:r>
      <w:r>
        <w:rPr>
          <w:spacing w:val="-3"/>
        </w:rPr>
        <w:t>输配电行业高速发展阶段的有利时机，确立“创建一流输配电产品”的市场开发</w:t>
      </w:r>
      <w:r>
        <w:rPr>
          <w:spacing w:val="-102"/>
        </w:rPr>
        <w:t> </w:t>
      </w:r>
      <w:r>
        <w:rPr>
          <w:spacing w:val="-102"/>
        </w:rPr>
      </w:r>
      <w:r>
        <w:rPr>
          <w:spacing w:val="-3"/>
        </w:rPr>
        <w:t>策略。公司在保持和巩固行业领先地位的同时，抓住国家“皖江城市带承接产业</w:t>
      </w:r>
    </w:p>
    <w:p>
      <w:pPr>
        <w:spacing w:after="0" w:line="357" w:lineRule="auto"/>
        <w:jc w:val="both"/>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92"/>
        <w:jc w:val="both"/>
      </w:pPr>
      <w:r>
        <w:rPr>
          <w:spacing w:val="-3"/>
        </w:rPr>
        <w:t>转移”的市场机遇，向高端市场拓展，利用品牌和技术优势，扩大市场份额，加</w:t>
      </w:r>
      <w:r>
        <w:rPr>
          <w:spacing w:val="-103"/>
        </w:rPr>
        <w:t> </w:t>
      </w:r>
      <w:r>
        <w:rPr>
          <w:spacing w:val="-103"/>
        </w:rPr>
      </w:r>
      <w:r>
        <w:rPr>
          <w:spacing w:val="-3"/>
        </w:rPr>
        <w:t>强销售队伍建设，完善营销网络，强化营销激励机制，进一步完善售前、售后服</w:t>
      </w:r>
      <w:r>
        <w:rPr>
          <w:spacing w:val="-103"/>
        </w:rPr>
        <w:t> </w:t>
      </w:r>
      <w:r>
        <w:rPr>
          <w:spacing w:val="-103"/>
        </w:rPr>
      </w:r>
      <w:r>
        <w:rPr>
          <w:spacing w:val="-3"/>
        </w:rPr>
        <w:t>务体系，向顾客提供专业化、精细化的服务。此外，公司将通过专业外贸公司参</w:t>
      </w:r>
      <w:r>
        <w:rPr>
          <w:spacing w:val="-103"/>
        </w:rPr>
        <w:t> </w:t>
      </w:r>
      <w:r>
        <w:rPr>
          <w:spacing w:val="-103"/>
        </w:rPr>
      </w:r>
      <w:r>
        <w:rPr/>
        <w:t>与海外工程招标，积极拓展国外市场。</w:t>
      </w:r>
    </w:p>
    <w:p>
      <w:pPr>
        <w:pStyle w:val="BodyText"/>
        <w:spacing w:line="357" w:lineRule="auto"/>
        <w:ind w:right="1248" w:firstLine="479"/>
        <w:jc w:val="left"/>
      </w:pPr>
      <w:r>
        <w:rPr>
          <w:spacing w:val="-7"/>
        </w:rPr>
        <w:t>公司经过多年的市场开拓，营销网络体系趋于完善，公司将依托自身的优势，</w:t>
      </w:r>
      <w:r>
        <w:rPr/>
        <w:t> </w:t>
      </w:r>
      <w:r>
        <w:rPr>
          <w:spacing w:val="-3"/>
        </w:rPr>
        <w:t>通过实施品牌经营战略和资本经营战略，实现公司的经营目标。公司还将利用募</w:t>
      </w:r>
      <w:r>
        <w:rPr>
          <w:spacing w:val="-103"/>
        </w:rPr>
        <w:t> </w:t>
      </w:r>
      <w:r>
        <w:rPr>
          <w:spacing w:val="-103"/>
        </w:rPr>
      </w:r>
      <w:r>
        <w:rPr>
          <w:spacing w:val="-3"/>
        </w:rPr>
        <w:t>投项目，迅速扩大生产经营规模，降低单位产品成本，同时通过技术创新，积极</w:t>
      </w:r>
      <w:r>
        <w:rPr>
          <w:spacing w:val="-103"/>
        </w:rPr>
        <w:t> </w:t>
      </w:r>
      <w:r>
        <w:rPr>
          <w:spacing w:val="-103"/>
        </w:rPr>
      </w:r>
      <w:r>
        <w:rPr/>
        <w:t>开发引领市场需求的新产品，提高公司产品的市场竞争力。</w:t>
      </w:r>
    </w:p>
    <w:p>
      <w:pPr>
        <w:pStyle w:val="BodyText"/>
        <w:spacing w:line="357" w:lineRule="auto"/>
        <w:ind w:left="618" w:right="1688"/>
        <w:jc w:val="left"/>
      </w:pPr>
      <w:r>
        <w:rPr/>
        <w:t>（五）再融资计划 结合公司业务发展目标和未来发展战略，公司承诺合理安排使用募集资金，</w:t>
      </w:r>
    </w:p>
    <w:p>
      <w:pPr>
        <w:pStyle w:val="BodyText"/>
        <w:spacing w:line="357" w:lineRule="auto"/>
        <w:ind w:right="1792"/>
        <w:jc w:val="both"/>
      </w:pPr>
      <w:r>
        <w:rPr>
          <w:spacing w:val="-3"/>
        </w:rPr>
        <w:t>加强资金监控，积极推进募投项目建设，严格按照中国证监会和深圳证券交易所</w:t>
      </w:r>
      <w:r>
        <w:rPr>
          <w:spacing w:val="-103"/>
        </w:rPr>
        <w:t> </w:t>
      </w:r>
      <w:r>
        <w:rPr>
          <w:spacing w:val="-103"/>
        </w:rPr>
      </w:r>
      <w:r>
        <w:rPr>
          <w:spacing w:val="-3"/>
        </w:rPr>
        <w:t>的各项规定，规范、科学、合理的使用募集资金，及时、真实、准确的在指定网</w:t>
      </w:r>
      <w:r>
        <w:rPr>
          <w:spacing w:val="-105"/>
        </w:rPr>
        <w:t> </w:t>
      </w:r>
      <w:r>
        <w:rPr>
          <w:spacing w:val="-105"/>
        </w:rPr>
      </w:r>
      <w:r>
        <w:rPr>
          <w:spacing w:val="-3"/>
        </w:rPr>
        <w:t>络和报纸等媒体向社会公众进行披露。同时，公司在募集资金投资项目顺利投产</w:t>
      </w:r>
      <w:r>
        <w:rPr>
          <w:spacing w:val="-105"/>
        </w:rPr>
        <w:t> </w:t>
      </w:r>
      <w:r>
        <w:rPr>
          <w:spacing w:val="-105"/>
        </w:rPr>
      </w:r>
      <w:r>
        <w:rPr/>
        <w:t>并产生预期效益的基础上，确保公司在资本市场上的持续融资能力。</w:t>
      </w:r>
    </w:p>
    <w:p>
      <w:pPr>
        <w:pStyle w:val="BodyText"/>
        <w:spacing w:line="357" w:lineRule="auto" w:before="36"/>
        <w:ind w:right="1791" w:firstLine="479"/>
        <w:jc w:val="both"/>
      </w:pPr>
      <w:r>
        <w:rPr>
          <w:spacing w:val="-3"/>
        </w:rPr>
        <w:t>在未来融资方面，公司将进一步规范运作，发挥上市公司优势，根据市场的</w:t>
      </w:r>
      <w:r>
        <w:rPr/>
        <w:t> </w:t>
      </w:r>
      <w:r>
        <w:rPr>
          <w:spacing w:val="-3"/>
        </w:rPr>
        <w:t>情况，继续扩大公司的生产规模。为此，公司将根据自身发展战略目标，结合公</w:t>
      </w:r>
      <w:r>
        <w:rPr>
          <w:spacing w:val="-102"/>
        </w:rPr>
        <w:t> </w:t>
      </w:r>
      <w:r>
        <w:rPr>
          <w:spacing w:val="-102"/>
        </w:rPr>
      </w:r>
      <w:r>
        <w:rPr>
          <w:spacing w:val="-3"/>
        </w:rPr>
        <w:t>司实际情况，选择适当的融资方式，通过银行贷款、配股、增发和发行可转换债</w:t>
      </w:r>
      <w:r>
        <w:rPr>
          <w:spacing w:val="-103"/>
        </w:rPr>
        <w:t> </w:t>
      </w:r>
      <w:r>
        <w:rPr>
          <w:spacing w:val="-103"/>
        </w:rPr>
      </w:r>
      <w:r>
        <w:rPr/>
        <w:t>券等方式募集资金，拓宽融资渠道。</w:t>
      </w:r>
    </w:p>
    <w:p>
      <w:pPr>
        <w:pStyle w:val="BodyText"/>
        <w:spacing w:line="355" w:lineRule="auto" w:before="36"/>
        <w:ind w:left="618" w:right="1787"/>
        <w:jc w:val="left"/>
      </w:pPr>
      <w:r>
        <w:rPr/>
        <w:t>（六）收购兼并计划 </w:t>
      </w:r>
      <w:r>
        <w:rPr>
          <w:spacing w:val="-3"/>
        </w:rPr>
        <w:t>随着公司规模的扩大，实力的增强，公司将充分依托资本市场，按照优势互</w:t>
      </w:r>
    </w:p>
    <w:p>
      <w:pPr>
        <w:pStyle w:val="BodyText"/>
        <w:spacing w:line="357" w:lineRule="auto" w:before="38"/>
        <w:ind w:right="1688"/>
        <w:jc w:val="left"/>
      </w:pPr>
      <w:r>
        <w:rPr/>
        <w:t>补、扩大经营、增加收益和降低风险的原则，充分考虑产、供、销的整体布局， </w:t>
      </w:r>
      <w:r>
        <w:rPr>
          <w:spacing w:val="-3"/>
        </w:rPr>
        <w:t>采用在行业内投资参股、收购兼并等方式，在国内外纵向或横向收购相关上下游</w:t>
      </w:r>
      <w:r>
        <w:rPr>
          <w:spacing w:val="-106"/>
        </w:rPr>
        <w:t> </w:t>
      </w:r>
      <w:r>
        <w:rPr>
          <w:spacing w:val="-106"/>
        </w:rPr>
      </w:r>
      <w:r>
        <w:rPr>
          <w:spacing w:val="-3"/>
        </w:rPr>
        <w:t>企业，形成衍生的产业链条，实现低成本扩张，以实现公司提高技术水平、扩大</w:t>
      </w:r>
      <w:r>
        <w:rPr>
          <w:spacing w:val="-103"/>
        </w:rPr>
        <w:t> </w:t>
      </w:r>
      <w:r>
        <w:rPr>
          <w:spacing w:val="-103"/>
        </w:rPr>
      </w:r>
      <w:r>
        <w:rPr/>
        <w:t>生产规模、降低生产成本、拓展市场份额的跨越式发展目标。</w:t>
      </w:r>
    </w:p>
    <w:p>
      <w:pPr>
        <w:pStyle w:val="BodyText"/>
        <w:spacing w:line="355" w:lineRule="auto" w:before="37"/>
        <w:ind w:left="618" w:right="1787"/>
        <w:jc w:val="left"/>
      </w:pPr>
      <w:r>
        <w:rPr/>
        <w:t>（七）国际化经营计划 </w:t>
      </w:r>
      <w:r>
        <w:rPr>
          <w:spacing w:val="-3"/>
        </w:rPr>
        <w:t>公司将充分发挥自身拥有的自营产品进出口经营权的优势，利用产品性能和</w:t>
      </w:r>
    </w:p>
    <w:p>
      <w:pPr>
        <w:pStyle w:val="BodyText"/>
        <w:spacing w:line="355" w:lineRule="auto" w:before="38"/>
        <w:ind w:right="1664"/>
        <w:jc w:val="left"/>
      </w:pPr>
      <w:r>
        <w:rPr/>
        <w:t>价格优势，逐步开拓国际市场、实施全球战略，树立公司在国际市场的知名度； </w:t>
      </w:r>
      <w:r>
        <w:rPr>
          <w:spacing w:val="-3"/>
        </w:rPr>
        <w:t>公司将加强与国外同行业公司的技术交流，寻找国际化合作机会，促进公司业务</w:t>
      </w:r>
      <w:r>
        <w:rPr>
          <w:spacing w:val="-103"/>
        </w:rPr>
        <w:t> </w:t>
      </w:r>
      <w:r>
        <w:rPr>
          <w:spacing w:val="-103"/>
        </w:rPr>
      </w:r>
      <w:r>
        <w:rPr>
          <w:spacing w:val="-6"/>
        </w:rPr>
        <w:t>的国际化进程，引进和吸收其先进技术和管理经验，尽早与国际同行业水平接轨，</w:t>
      </w:r>
      <w:r>
        <w:rPr>
          <w:spacing w:val="-112"/>
        </w:rPr>
        <w:t> </w:t>
      </w:r>
      <w:r>
        <w:rPr>
          <w:spacing w:val="-112"/>
        </w:rPr>
      </w:r>
      <w:r>
        <w:rPr>
          <w:spacing w:val="-3"/>
        </w:rPr>
        <w:t>提高企业自身的素质和国际市场竞争力，使国内、国际两个市场相互推动、互为</w:t>
      </w:r>
    </w:p>
    <w:p>
      <w:pPr>
        <w:spacing w:after="0" w:line="355"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978" w:right="1787" w:hanging="480"/>
        <w:jc w:val="left"/>
      </w:pPr>
      <w:r>
        <w:rPr/>
        <w:t>补充，共同构成公司实现战略发展目标的坚实基础。 四、对公司未来发展战略和经营目标的实现产生不利影响的风险因素 </w:t>
      </w:r>
      <w:r>
        <w:rPr>
          <w:spacing w:val="-3"/>
        </w:rPr>
        <w:t>公司上市后，随着公司资产规模的快速增长，生产能力的不断扩大，在实施</w:t>
      </w:r>
    </w:p>
    <w:p>
      <w:pPr>
        <w:pStyle w:val="BodyText"/>
        <w:spacing w:line="357" w:lineRule="auto" w:before="36"/>
        <w:ind w:left="498" w:right="1672"/>
        <w:jc w:val="both"/>
      </w:pPr>
      <w:r>
        <w:rPr>
          <w:spacing w:val="-6"/>
        </w:rPr>
        <w:t>公司发展战略和各项具体发展计划，特别是内部控制等方面面临新的挑战。同时，</w:t>
      </w:r>
      <w:r>
        <w:rPr>
          <w:spacing w:val="-113"/>
        </w:rPr>
        <w:t> </w:t>
      </w:r>
      <w:r>
        <w:rPr>
          <w:spacing w:val="-113"/>
        </w:rPr>
      </w:r>
      <w:r>
        <w:rPr/>
        <w:t>公司募集资金项目的实施以及今后公司的高速发展中，需要大量的管理、营销、 技术等方面的人才，也使公司面临较大的人才培养、引进和合理应用的压力。</w:t>
      </w:r>
    </w:p>
    <w:p>
      <w:pPr>
        <w:pStyle w:val="BodyText"/>
        <w:spacing w:line="357" w:lineRule="auto"/>
        <w:ind w:left="978" w:right="7208"/>
        <w:jc w:val="left"/>
      </w:pPr>
      <w:r>
        <w:rPr/>
        <w:t>五、报告期内投资情况 </w:t>
      </w:r>
      <w:r>
        <w:rPr>
          <w:rFonts w:ascii="宋体" w:hAnsi="宋体" w:cs="宋体" w:eastAsia="宋体" w:hint="default"/>
        </w:rPr>
        <w:t>1</w:t>
      </w:r>
      <w:r>
        <w:rPr/>
        <w:t>、募集资金使用情况</w:t>
      </w:r>
    </w:p>
    <w:p>
      <w:pPr>
        <w:pStyle w:val="BodyText"/>
        <w:spacing w:line="357" w:lineRule="auto"/>
        <w:ind w:left="498" w:right="1791" w:firstLine="479"/>
        <w:jc w:val="both"/>
      </w:pPr>
      <w:r>
        <w:rPr>
          <w:rFonts w:ascii="宋体" w:hAnsi="宋体" w:cs="宋体" w:eastAsia="宋体" w:hint="default"/>
          <w:spacing w:val="-3"/>
        </w:rPr>
        <w:t>2009</w:t>
      </w:r>
      <w:r>
        <w:rPr>
          <w:spacing w:val="-3"/>
        </w:rPr>
        <w:t>年</w:t>
      </w:r>
      <w:r>
        <w:rPr>
          <w:rFonts w:ascii="宋体" w:hAnsi="宋体" w:cs="宋体" w:eastAsia="宋体" w:hint="default"/>
          <w:spacing w:val="-3"/>
        </w:rPr>
        <w:t>9</w:t>
      </w:r>
      <w:r>
        <w:rPr>
          <w:spacing w:val="-3"/>
        </w:rPr>
        <w:t>月公司在深圳证券交易所发行</w:t>
      </w:r>
      <w:r>
        <w:rPr>
          <w:rFonts w:ascii="宋体" w:hAnsi="宋体" w:cs="宋体" w:eastAsia="宋体" w:hint="default"/>
          <w:spacing w:val="-3"/>
        </w:rPr>
        <w:t>2,800</w:t>
      </w:r>
      <w:r>
        <w:rPr>
          <w:spacing w:val="-3"/>
        </w:rPr>
        <w:t>万股人民币普通股股票，每股发</w:t>
      </w:r>
      <w:r>
        <w:rPr/>
        <w:t> </w:t>
      </w:r>
      <w:r>
        <w:rPr>
          <w:spacing w:val="-3"/>
        </w:rPr>
        <w:t>行价格</w:t>
      </w:r>
      <w:r>
        <w:rPr>
          <w:rFonts w:ascii="宋体" w:hAnsi="宋体" w:cs="宋体" w:eastAsia="宋体" w:hint="default"/>
          <w:spacing w:val="-3"/>
        </w:rPr>
        <w:t>9.50</w:t>
      </w:r>
      <w:r>
        <w:rPr>
          <w:spacing w:val="-3"/>
        </w:rPr>
        <w:t>元，扣除发行费用后的募集资金净额为</w:t>
      </w:r>
      <w:r>
        <w:rPr>
          <w:rFonts w:ascii="宋体" w:hAnsi="宋体" w:cs="宋体" w:eastAsia="宋体" w:hint="default"/>
          <w:spacing w:val="-3"/>
        </w:rPr>
        <w:t>240,139,715.94</w:t>
      </w:r>
      <w:r>
        <w:rPr>
          <w:rFonts w:ascii="宋体" w:hAnsi="宋体" w:cs="宋体" w:eastAsia="宋体" w:hint="default"/>
          <w:spacing w:val="9"/>
        </w:rPr>
        <w:t> </w:t>
      </w:r>
      <w:r>
        <w:rPr>
          <w:spacing w:val="-13"/>
        </w:rPr>
        <w:t>元。截至</w:t>
      </w:r>
      <w:r>
        <w:rPr>
          <w:rFonts w:ascii="宋体" w:hAnsi="宋体" w:cs="宋体" w:eastAsia="宋体" w:hint="default"/>
          <w:spacing w:val="-13"/>
        </w:rPr>
        <w:t>2010</w:t>
      </w:r>
      <w:r>
        <w:rPr>
          <w:rFonts w:ascii="宋体" w:hAnsi="宋体" w:cs="宋体" w:eastAsia="宋体" w:hint="default"/>
        </w:rPr>
        <w:t> </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日公司累计募集资金已使用额为</w:t>
      </w:r>
      <w:r>
        <w:rPr>
          <w:rFonts w:ascii="宋体" w:hAnsi="宋体" w:cs="宋体" w:eastAsia="宋体" w:hint="default"/>
          <w:spacing w:val="-3"/>
        </w:rPr>
        <w:t>186,097,763.20</w:t>
      </w:r>
      <w:r>
        <w:rPr>
          <w:spacing w:val="-3"/>
        </w:rPr>
        <w:t>元，尚未使用募集资金</w:t>
      </w:r>
      <w:r>
        <w:rPr>
          <w:spacing w:val="-78"/>
        </w:rPr>
        <w:t> </w:t>
      </w:r>
      <w:r>
        <w:rPr>
          <w:spacing w:val="-78"/>
        </w:rPr>
      </w:r>
      <w:r>
        <w:rPr>
          <w:spacing w:val="-2"/>
        </w:rPr>
        <w:t>余额为</w:t>
      </w:r>
      <w:r>
        <w:rPr>
          <w:rFonts w:ascii="宋体" w:hAnsi="宋体" w:cs="宋体" w:eastAsia="宋体" w:hint="default"/>
          <w:spacing w:val="-2"/>
        </w:rPr>
        <w:t>54,041,952.74</w:t>
      </w:r>
      <w:r>
        <w:rPr>
          <w:spacing w:val="-2"/>
        </w:rPr>
        <w:t>元，募集资金专户余额为</w:t>
      </w:r>
      <w:r>
        <w:rPr>
          <w:rFonts w:ascii="宋体" w:hAnsi="宋体" w:cs="宋体" w:eastAsia="宋体" w:hint="default"/>
          <w:spacing w:val="-2"/>
        </w:rPr>
        <w:t>54,715,078.34</w:t>
      </w:r>
      <w:r>
        <w:rPr>
          <w:spacing w:val="-2"/>
        </w:rPr>
        <w:t>元，与尚未使用募</w:t>
      </w:r>
      <w:r>
        <w:rPr>
          <w:spacing w:val="-113"/>
        </w:rPr>
        <w:t> </w:t>
      </w:r>
      <w:r>
        <w:rPr>
          <w:spacing w:val="-113"/>
        </w:rPr>
      </w:r>
      <w:r>
        <w:rPr>
          <w:spacing w:val="-3"/>
        </w:rPr>
        <w:t>集资金余额的差异</w:t>
      </w:r>
      <w:r>
        <w:rPr>
          <w:rFonts w:ascii="宋体" w:hAnsi="宋体" w:cs="宋体" w:eastAsia="宋体" w:hint="default"/>
          <w:spacing w:val="-3"/>
        </w:rPr>
        <w:t>673,125.60</w:t>
      </w:r>
      <w:r>
        <w:rPr>
          <w:spacing w:val="-3"/>
        </w:rPr>
        <w:t>元，系募集资金专户累计利息收入扣除手续费后的</w:t>
      </w:r>
      <w:r>
        <w:rPr>
          <w:spacing w:val="-90"/>
        </w:rPr>
        <w:t> </w:t>
      </w:r>
      <w:r>
        <w:rPr>
          <w:spacing w:val="-90"/>
        </w:rPr>
      </w:r>
      <w:r>
        <w:rPr/>
        <w:t>净额。</w:t>
      </w:r>
    </w:p>
    <w:p>
      <w:pPr>
        <w:pStyle w:val="BodyText"/>
        <w:spacing w:line="355" w:lineRule="auto" w:before="36"/>
        <w:ind w:left="978" w:right="1787"/>
        <w:jc w:val="left"/>
      </w:pPr>
      <w:r>
        <w:rPr>
          <w:rFonts w:ascii="宋体" w:hAnsi="宋体" w:cs="宋体" w:eastAsia="宋体" w:hint="default"/>
        </w:rPr>
        <w:t>2</w:t>
      </w:r>
      <w:r>
        <w:rPr/>
        <w:t>、募集资金专户存储制度的执行情况 </w:t>
      </w:r>
      <w:r>
        <w:rPr>
          <w:spacing w:val="-3"/>
        </w:rPr>
        <w:t>为规范公司募集资金的管理和使用，提高资金的使用效率和效益，切实保护</w:t>
      </w:r>
    </w:p>
    <w:p>
      <w:pPr>
        <w:pStyle w:val="BodyText"/>
        <w:spacing w:line="357" w:lineRule="auto" w:before="39"/>
        <w:ind w:left="498" w:right="1787"/>
        <w:jc w:val="left"/>
      </w:pPr>
      <w:r>
        <w:rPr>
          <w:spacing w:val="-6"/>
        </w:rPr>
        <w:t>投资者的利益，根据相关法律法规的规定，公司制定了《募集资金管理制度》，</w:t>
      </w:r>
      <w:r>
        <w:rPr>
          <w:spacing w:val="-120"/>
        </w:rPr>
        <w:t> </w:t>
      </w:r>
      <w:r>
        <w:rPr>
          <w:spacing w:val="-3"/>
        </w:rPr>
        <w:t>对募集资金专户存储、募集资金使用、募集资金投向变更以及募集资金管理与监</w:t>
      </w:r>
      <w:r>
        <w:rPr>
          <w:spacing w:val="-103"/>
        </w:rPr>
        <w:t> </w:t>
      </w:r>
      <w:r>
        <w:rPr>
          <w:spacing w:val="-103"/>
        </w:rPr>
      </w:r>
      <w:r>
        <w:rPr/>
        <w:t>督等进行了详细严格的规定。</w:t>
      </w:r>
    </w:p>
    <w:p>
      <w:pPr>
        <w:pStyle w:val="BodyText"/>
        <w:spacing w:line="357" w:lineRule="auto"/>
        <w:ind w:left="498" w:right="1792" w:firstLine="479"/>
        <w:jc w:val="both"/>
      </w:pPr>
      <w:r>
        <w:rPr>
          <w:rFonts w:ascii="宋体" w:hAnsi="宋体" w:cs="宋体" w:eastAsia="宋体" w:hint="default"/>
          <w:spacing w:val="-3"/>
        </w:rPr>
        <w:t>2009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13</w:t>
      </w:r>
      <w:r>
        <w:rPr>
          <w:spacing w:val="-3"/>
        </w:rPr>
        <w:t>日，公司及保荐机构国元证券股份有限公司与中国工商银行股</w:t>
      </w:r>
      <w:r>
        <w:rPr/>
        <w:t> </w:t>
      </w:r>
      <w:r>
        <w:rPr>
          <w:spacing w:val="-3"/>
        </w:rPr>
        <w:t>份有限公司芜湖市经济技术开发区支行、徽商银行芜湖开发区支行、上海浦东发</w:t>
      </w:r>
      <w:r>
        <w:rPr>
          <w:spacing w:val="-103"/>
        </w:rPr>
        <w:t> </w:t>
      </w:r>
      <w:r>
        <w:rPr>
          <w:spacing w:val="-103"/>
        </w:rPr>
      </w:r>
      <w:r>
        <w:rPr>
          <w:spacing w:val="-3"/>
        </w:rPr>
        <w:t>展银行芜湖开发区支行签订了《募集资金三方监管协议》，协议得到有效履行，</w:t>
      </w:r>
      <w:r>
        <w:rPr>
          <w:spacing w:val="-110"/>
        </w:rPr>
        <w:t> </w:t>
      </w:r>
      <w:r>
        <w:rPr>
          <w:spacing w:val="-110"/>
        </w:rPr>
      </w:r>
      <w:r>
        <w:rPr>
          <w:spacing w:val="-3"/>
        </w:rPr>
        <w:t>专户银行定期向保荐机构寄送对账单，公司授权保荐机构可以随时查询、复印专</w:t>
      </w:r>
      <w:r>
        <w:rPr>
          <w:spacing w:val="-103"/>
        </w:rPr>
        <w:t> </w:t>
      </w:r>
      <w:r>
        <w:rPr>
          <w:spacing w:val="-103"/>
        </w:rPr>
      </w:r>
      <w:r>
        <w:rPr/>
        <w:t>户资料，保荐机构可以采取现场调查、书面查询等方式行使其监督权。</w:t>
      </w:r>
    </w:p>
    <w:p>
      <w:pPr>
        <w:pStyle w:val="BodyText"/>
        <w:spacing w:line="355" w:lineRule="auto" w:before="37"/>
        <w:ind w:left="498" w:right="1705" w:firstLine="479"/>
        <w:jc w:val="both"/>
      </w:pPr>
      <w:r>
        <w:rPr/>
        <w:t>《募集资金管理制度》在</w:t>
      </w:r>
      <w:r>
        <w:rPr>
          <w:rFonts w:ascii="宋体" w:hAnsi="宋体" w:cs="宋体" w:eastAsia="宋体" w:hint="default"/>
        </w:rPr>
        <w:t>2010</w:t>
      </w:r>
      <w:r>
        <w:rPr/>
        <w:t>年度得到严格执行，募集资金实行专户存储， 募集资金项目的资金支出符合规定。</w:t>
      </w:r>
    </w:p>
    <w:p>
      <w:pPr>
        <w:pStyle w:val="BodyText"/>
        <w:spacing w:line="240" w:lineRule="auto" w:before="38"/>
        <w:ind w:left="978" w:right="1787"/>
        <w:jc w:val="left"/>
      </w:pPr>
      <w:r>
        <w:rPr/>
        <w:t>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日，公司募集资金在专户银行的存储情况如下：</w:t>
      </w:r>
    </w:p>
    <w:p>
      <w:pPr>
        <w:spacing w:before="157"/>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61"/>
        <w:gridCol w:w="2520"/>
        <w:gridCol w:w="1981"/>
        <w:gridCol w:w="1519"/>
      </w:tblGrid>
      <w:tr>
        <w:trPr>
          <w:trHeight w:val="598" w:hRule="exact"/>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开户行名称</w:t>
            </w:r>
          </w:p>
        </w:tc>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银行账号</w:t>
            </w:r>
          </w:p>
        </w:tc>
        <w:tc>
          <w:tcPr>
            <w:tcW w:w="198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5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存储方式</w:t>
            </w:r>
          </w:p>
        </w:tc>
      </w:tr>
      <w:tr>
        <w:trPr>
          <w:trHeight w:val="47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21"/>
                <w:szCs w:val="21"/>
              </w:rPr>
            </w:pPr>
            <w:r>
              <w:rPr>
                <w:rFonts w:ascii="宋体" w:hAnsi="宋体" w:cs="宋体" w:eastAsia="宋体" w:hint="default"/>
                <w:spacing w:val="6"/>
                <w:sz w:val="21"/>
                <w:szCs w:val="21"/>
              </w:rPr>
              <w:t>中国工商银行股份有限公司芜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1307018829200062875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1" w:right="0"/>
              <w:jc w:val="left"/>
              <w:rPr>
                <w:rFonts w:ascii="宋体" w:hAnsi="宋体" w:cs="宋体" w:eastAsia="宋体" w:hint="default"/>
                <w:sz w:val="21"/>
                <w:szCs w:val="21"/>
              </w:rPr>
            </w:pPr>
            <w:r>
              <w:rPr>
                <w:rFonts w:ascii="宋体"/>
                <w:sz w:val="21"/>
              </w:rPr>
              <w:t>31,275,469.49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专户</w:t>
            </w:r>
          </w:p>
        </w:tc>
      </w:tr>
    </w:tbl>
    <w:p>
      <w:pPr>
        <w:spacing w:after="0" w:line="240" w:lineRule="auto"/>
        <w:jc w:val="center"/>
        <w:rPr>
          <w:rFonts w:ascii="宋体" w:hAnsi="宋体" w:cs="宋体" w:eastAsia="宋体" w:hint="default"/>
          <w:sz w:val="21"/>
          <w:szCs w:val="21"/>
        </w:rPr>
        <w:sectPr>
          <w:pgSz w:w="11910" w:h="16840"/>
          <w:pgMar w:header="816" w:footer="956" w:top="1160" w:bottom="1140" w:left="1300" w:right="0"/>
        </w:sectPr>
      </w:pPr>
    </w:p>
    <w:p>
      <w:pPr>
        <w:spacing w:line="240" w:lineRule="auto" w:before="3"/>
        <w:rPr>
          <w:rFonts w:ascii="宋体" w:hAnsi="宋体" w:cs="宋体" w:eastAsia="宋体" w:hint="default"/>
          <w:sz w:val="15"/>
          <w:szCs w:val="15"/>
        </w:rPr>
      </w:pPr>
    </w:p>
    <w:tbl>
      <w:tblPr>
        <w:tblW w:w="0" w:type="auto"/>
        <w:jc w:val="left"/>
        <w:tblInd w:w="709" w:type="dxa"/>
        <w:tblLayout w:type="fixed"/>
        <w:tblCellMar>
          <w:top w:w="0" w:type="dxa"/>
          <w:left w:w="0" w:type="dxa"/>
          <w:bottom w:w="0" w:type="dxa"/>
          <w:right w:w="0" w:type="dxa"/>
        </w:tblCellMar>
        <w:tblLook w:val="01E0"/>
      </w:tblPr>
      <w:tblGrid>
        <w:gridCol w:w="3061"/>
        <w:gridCol w:w="2520"/>
        <w:gridCol w:w="1981"/>
        <w:gridCol w:w="1519"/>
      </w:tblGrid>
      <w:tr>
        <w:trPr>
          <w:trHeight w:val="47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湖经济技术开发区支行</w:t>
            </w:r>
          </w:p>
        </w:tc>
        <w:tc>
          <w:tcPr>
            <w:tcW w:w="252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徽商银行芜湖开发区支行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1101301021000215418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z w:val="21"/>
              </w:rPr>
              <w:t>6.57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专户</w:t>
            </w:r>
          </w:p>
        </w:tc>
      </w:tr>
      <w:tr>
        <w:trPr>
          <w:trHeight w:val="47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徽商银行芜湖开发区支行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1101301021000228013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10,086,889.09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专户</w:t>
            </w:r>
          </w:p>
        </w:tc>
      </w:tr>
      <w:tr>
        <w:trPr>
          <w:trHeight w:val="55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上海浦东发展银行芜湖开发区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80030154500001047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13,352,713.19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专户</w:t>
            </w:r>
          </w:p>
        </w:tc>
      </w:tr>
      <w:tr>
        <w:trPr>
          <w:trHeight w:val="46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54,715,078.34</w:t>
            </w:r>
          </w:p>
        </w:tc>
        <w:tc>
          <w:tcPr>
            <w:tcW w:w="15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before="0"/>
        <w:ind w:left="1578" w:right="1689"/>
        <w:jc w:val="left"/>
      </w:pPr>
      <w:r>
        <w:rPr>
          <w:rFonts w:ascii="宋体" w:hAnsi="宋体" w:cs="宋体" w:eastAsia="宋体" w:hint="default"/>
        </w:rPr>
        <w:t>3</w:t>
      </w:r>
      <w:r>
        <w:rPr/>
        <w:t>、募集资金使用情况</w:t>
      </w:r>
    </w:p>
    <w:p>
      <w:pPr>
        <w:spacing w:line="240" w:lineRule="auto" w:before="6"/>
        <w:rPr>
          <w:rFonts w:ascii="宋体" w:hAnsi="宋体" w:cs="宋体" w:eastAsia="宋体" w:hint="default"/>
          <w:sz w:val="9"/>
          <w:szCs w:val="9"/>
        </w:rPr>
      </w:pPr>
    </w:p>
    <w:p>
      <w:pPr>
        <w:spacing w:before="36"/>
        <w:ind w:left="0" w:right="1791" w:firstLine="0"/>
        <w:jc w:val="right"/>
        <w:rPr>
          <w:rFonts w:ascii="宋体" w:hAnsi="宋体" w:cs="宋体" w:eastAsia="宋体" w:hint="default"/>
          <w:sz w:val="21"/>
          <w:szCs w:val="21"/>
        </w:rPr>
      </w:pPr>
      <w:r>
        <w:rPr/>
        <w:pict>
          <v:group style="position:absolute;margin-left:40.43998pt;margin-top:23.423679pt;width:514.3pt;height:517.4pt;mso-position-horizontal-relative:page;mso-position-vertical-relative:paragraph;z-index:-608176" coordorigin="809,468" coordsize="10286,10348">
            <v:group style="position:absolute;left:833;top:488;width:2866;height:2" coordorigin="833,488" coordsize="2866,2">
              <v:shape style="position:absolute;left:833;top:488;width:2866;height:2" coordorigin="833,488" coordsize="2866,0" path="m833,488l3699,488e" filled="false" stroked="true" strokeweight=".96001pt" strokecolor="#000000">
                <v:path arrowok="t"/>
              </v:shape>
            </v:group>
            <v:group style="position:absolute;left:3699;top:488;width:20;height:2" coordorigin="3699,488" coordsize="20,2">
              <v:shape style="position:absolute;left:3699;top:488;width:20;height:2" coordorigin="3699,488" coordsize="20,0" path="m3699,488l3718,488e" filled="false" stroked="true" strokeweight=".96001pt" strokecolor="#000000">
                <v:path arrowok="t"/>
              </v:shape>
            </v:group>
            <v:group style="position:absolute;left:3718;top:488;width:2706;height:2" coordorigin="3718,488" coordsize="2706,2">
              <v:shape style="position:absolute;left:3718;top:488;width:2706;height:2" coordorigin="3718,488" coordsize="2706,0" path="m3718,488l6424,488e" filled="false" stroked="true" strokeweight=".96001pt" strokecolor="#000000">
                <v:path arrowok="t"/>
              </v:shape>
            </v:group>
            <v:group style="position:absolute;left:6424;top:488;width:20;height:2" coordorigin="6424,488" coordsize="20,2">
              <v:shape style="position:absolute;left:6424;top:488;width:20;height:2" coordorigin="6424,488" coordsize="20,0" path="m6424,488l6443,488e" filled="false" stroked="true" strokeweight=".96001pt" strokecolor="#000000">
                <v:path arrowok="t"/>
              </v:shape>
            </v:group>
            <v:group style="position:absolute;left:6443;top:488;width:1061;height:2" coordorigin="6443,488" coordsize="1061,2">
              <v:shape style="position:absolute;left:6443;top:488;width:1061;height:2" coordorigin="6443,488" coordsize="1061,0" path="m6443,488l7504,488e" filled="false" stroked="true" strokeweight=".96001pt" strokecolor="#000000">
                <v:path arrowok="t"/>
              </v:shape>
            </v:group>
            <v:group style="position:absolute;left:7504;top:488;width:20;height:2" coordorigin="7504,488" coordsize="20,2">
              <v:shape style="position:absolute;left:7504;top:488;width:20;height:2" coordorigin="7504,488" coordsize="20,0" path="m7504,488l7523,488e" filled="false" stroked="true" strokeweight=".96001pt" strokecolor="#000000">
                <v:path arrowok="t"/>
              </v:shape>
            </v:group>
            <v:group style="position:absolute;left:7523;top:488;width:3553;height:2" coordorigin="7523,488" coordsize="3553,2">
              <v:shape style="position:absolute;left:7523;top:488;width:3553;height:2" coordorigin="7523,488" coordsize="3553,0" path="m7523,488l11075,488e" filled="false" stroked="true" strokeweight=".96001pt" strokecolor="#000000">
                <v:path arrowok="t"/>
              </v:shape>
            </v:group>
            <v:group style="position:absolute;left:833;top:1203;width:2866;height:2" coordorigin="833,1203" coordsize="2866,2">
              <v:shape style="position:absolute;left:833;top:1203;width:2866;height:2" coordorigin="833,1203" coordsize="2866,0" path="m833,1203l3699,1203e" filled="false" stroked="true" strokeweight=".48001pt" strokecolor="#000000">
                <v:path arrowok="t"/>
              </v:shape>
            </v:group>
            <v:group style="position:absolute;left:3708;top:1203;width:2716;height:2" coordorigin="3708,1203" coordsize="2716,2">
              <v:shape style="position:absolute;left:3708;top:1203;width:2716;height:2" coordorigin="3708,1203" coordsize="2716,0" path="m3708,1203l6424,1203e" filled="false" stroked="true" strokeweight=".48001pt" strokecolor="#000000">
                <v:path arrowok="t"/>
              </v:shape>
            </v:group>
            <v:group style="position:absolute;left:6433;top:1203;width:1071;height:2" coordorigin="6433,1203" coordsize="1071,2">
              <v:shape style="position:absolute;left:6433;top:1203;width:1071;height:2" coordorigin="6433,1203" coordsize="1071,0" path="m6433,1203l7504,1203e" filled="false" stroked="true" strokeweight=".48001pt" strokecolor="#000000">
                <v:path arrowok="t"/>
              </v:shape>
            </v:group>
            <v:group style="position:absolute;left:7513;top:1203;width:3562;height:2" coordorigin="7513,1203" coordsize="3562,2">
              <v:shape style="position:absolute;left:7513;top:1203;width:3562;height:2" coordorigin="7513,1203" coordsize="3562,0" path="m7513,1203l11075,1203e" filled="false" stroked="true" strokeweight=".48001pt" strokecolor="#000000">
                <v:path arrowok="t"/>
              </v:shape>
            </v:group>
            <v:group style="position:absolute;left:833;top:1681;width:2866;height:2" coordorigin="833,1681" coordsize="2866,2">
              <v:shape style="position:absolute;left:833;top:1681;width:2866;height:2" coordorigin="833,1681" coordsize="2866,0" path="m833,1681l3699,1681e" filled="false" stroked="true" strokeweight=".48001pt" strokecolor="#000000">
                <v:path arrowok="t"/>
              </v:shape>
            </v:group>
            <v:group style="position:absolute;left:3708;top:1681;width:2716;height:2" coordorigin="3708,1681" coordsize="2716,2">
              <v:shape style="position:absolute;left:3708;top:1681;width:2716;height:2" coordorigin="3708,1681" coordsize="2716,0" path="m3708,1681l6424,1681e" filled="false" stroked="true" strokeweight=".48001pt" strokecolor="#000000">
                <v:path arrowok="t"/>
              </v:shape>
            </v:group>
            <v:group style="position:absolute;left:833;top:1976;width:2866;height:2" coordorigin="833,1976" coordsize="2866,2">
              <v:shape style="position:absolute;left:833;top:1976;width:2866;height:2" coordorigin="833,1976" coordsize="2866,0" path="m833,1976l3699,1976e" filled="false" stroked="true" strokeweight=".47998pt" strokecolor="#000000">
                <v:path arrowok="t"/>
              </v:shape>
            </v:group>
            <v:group style="position:absolute;left:3708;top:1976;width:2716;height:2" coordorigin="3708,1976" coordsize="2716,2">
              <v:shape style="position:absolute;left:3708;top:1976;width:2716;height:2" coordorigin="3708,1976" coordsize="2716,0" path="m3708,1976l6424,1976e" filled="false" stroked="true" strokeweight=".47998pt" strokecolor="#000000">
                <v:path arrowok="t"/>
              </v:shape>
            </v:group>
            <v:group style="position:absolute;left:833;top:2451;width:1067;height:2" coordorigin="833,2451" coordsize="1067,2">
              <v:shape style="position:absolute;left:833;top:2451;width:1067;height:2" coordorigin="833,2451" coordsize="1067,0" path="m833,2451l1899,2451e" filled="false" stroked="true" strokeweight=".48001pt" strokecolor="#000000">
                <v:path arrowok="t"/>
              </v:shape>
            </v:group>
            <v:group style="position:absolute;left:1908;top:2451;width:891;height:2" coordorigin="1908,2451" coordsize="891,2">
              <v:shape style="position:absolute;left:1908;top:2451;width:891;height:2" coordorigin="1908,2451" coordsize="891,0" path="m1908,2451l2799,2451e" filled="false" stroked="true" strokeweight=".48001pt" strokecolor="#000000">
                <v:path arrowok="t"/>
              </v:shape>
            </v:group>
            <v:group style="position:absolute;left:2808;top:2451;width:891;height:2" coordorigin="2808,2451" coordsize="891,2">
              <v:shape style="position:absolute;left:2808;top:2451;width:891;height:2" coordorigin="2808,2451" coordsize="891,0" path="m2808,2451l3699,2451e" filled="false" stroked="true" strokeweight=".48001pt" strokecolor="#000000">
                <v:path arrowok="t"/>
              </v:shape>
            </v:group>
            <v:group style="position:absolute;left:3708;top:2451;width:891;height:2" coordorigin="3708,2451" coordsize="891,2">
              <v:shape style="position:absolute;left:3708;top:2451;width:891;height:2" coordorigin="3708,2451" coordsize="891,0" path="m3708,2451l4599,2451e" filled="false" stroked="true" strokeweight=".48001pt" strokecolor="#000000">
                <v:path arrowok="t"/>
              </v:shape>
            </v:group>
            <v:group style="position:absolute;left:4609;top:2451;width:915;height:2" coordorigin="4609,2451" coordsize="915,2">
              <v:shape style="position:absolute;left:4609;top:2451;width:915;height:2" coordorigin="4609,2451" coordsize="915,0" path="m4609,2451l5523,2451e" filled="false" stroked="true" strokeweight=".48001pt" strokecolor="#000000">
                <v:path arrowok="t"/>
              </v:shape>
            </v:group>
            <v:group style="position:absolute;left:5533;top:2451;width:891;height:2" coordorigin="5533,2451" coordsize="891,2">
              <v:shape style="position:absolute;left:5533;top:2451;width:891;height:2" coordorigin="5533,2451" coordsize="891,0" path="m5533,2451l6424,2451e" filled="false" stroked="true" strokeweight=".48001pt" strokecolor="#000000">
                <v:path arrowok="t"/>
              </v:shape>
            </v:group>
            <v:group style="position:absolute;left:6433;top:2451;width:1071;height:2" coordorigin="6433,2451" coordsize="1071,2">
              <v:shape style="position:absolute;left:6433;top:2451;width:1071;height:2" coordorigin="6433,2451" coordsize="1071,0" path="m6433,2451l7504,2451e" filled="false" stroked="true" strokeweight=".48001pt" strokecolor="#000000">
                <v:path arrowok="t"/>
              </v:shape>
            </v:group>
            <v:group style="position:absolute;left:7513;top:2451;width:1071;height:2" coordorigin="7513,2451" coordsize="1071,2">
              <v:shape style="position:absolute;left:7513;top:2451;width:1071;height:2" coordorigin="7513,2451" coordsize="1071,0" path="m7513,2451l8584,2451e" filled="false" stroked="true" strokeweight=".48001pt" strokecolor="#000000">
                <v:path arrowok="t"/>
              </v:shape>
            </v:group>
            <v:group style="position:absolute;left:8593;top:2451;width:831;height:2" coordorigin="8593,2451" coordsize="831,2">
              <v:shape style="position:absolute;left:8593;top:2451;width:831;height:2" coordorigin="8593,2451" coordsize="831,0" path="m8593,2451l9424,2451e" filled="false" stroked="true" strokeweight=".48001pt" strokecolor="#000000">
                <v:path arrowok="t"/>
              </v:shape>
            </v:group>
            <v:group style="position:absolute;left:9434;top:2451;width:747;height:2" coordorigin="9434,2451" coordsize="747,2">
              <v:shape style="position:absolute;left:9434;top:2451;width:747;height:2" coordorigin="9434,2451" coordsize="747,0" path="m9434,2451l10180,2451e" filled="false" stroked="true" strokeweight=".48001pt" strokecolor="#000000">
                <v:path arrowok="t"/>
              </v:shape>
            </v:group>
            <v:group style="position:absolute;left:10190;top:2451;width:886;height:2" coordorigin="10190,2451" coordsize="886,2">
              <v:shape style="position:absolute;left:10190;top:2451;width:886;height:2" coordorigin="10190,2451" coordsize="886,0" path="m10190,2451l11076,2451e" filled="false" stroked="true" strokeweight=".48001pt" strokecolor="#000000">
                <v:path arrowok="t"/>
              </v:shape>
            </v:group>
            <v:group style="position:absolute;left:2804;top:2447;width:2;height:1445" coordorigin="2804,2447" coordsize="2,1445">
              <v:shape style="position:absolute;left:2804;top:2447;width:2;height:1445" coordorigin="2804,2447" coordsize="0,1445" path="m2804,2447l2804,3891e" filled="false" stroked="true" strokeweight=".48pt" strokecolor="#000000">
                <v:path arrowok="t"/>
              </v:shape>
            </v:group>
            <v:group style="position:absolute;left:3704;top:497;width:2;height:3395" coordorigin="3704,497" coordsize="2,3395">
              <v:shape style="position:absolute;left:3704;top:497;width:2;height:3395" coordorigin="3704,497" coordsize="0,3395" path="m3704,497l3704,3891e" filled="false" stroked="true" strokeweight=".48pt" strokecolor="#000000">
                <v:path arrowok="t"/>
              </v:shape>
            </v:group>
            <v:group style="position:absolute;left:4604;top:2447;width:2;height:1445" coordorigin="4604,2447" coordsize="2,1445">
              <v:shape style="position:absolute;left:4604;top:2447;width:2;height:1445" coordorigin="4604,2447" coordsize="0,1445" path="m4604,2447l4604,3891e" filled="false" stroked="true" strokeweight=".48pt" strokecolor="#000000">
                <v:path arrowok="t"/>
              </v:shape>
            </v:group>
            <v:group style="position:absolute;left:5528;top:2447;width:2;height:1445" coordorigin="5528,2447" coordsize="2,1445">
              <v:shape style="position:absolute;left:5528;top:2447;width:2;height:1445" coordorigin="5528,2447" coordsize="0,1445" path="m5528,2447l5528,3891e" filled="false" stroked="true" strokeweight=".48001pt" strokecolor="#000000">
                <v:path arrowok="t"/>
              </v:shape>
            </v:group>
            <v:group style="position:absolute;left:6429;top:497;width:2;height:3395" coordorigin="6429,497" coordsize="2,3395">
              <v:shape style="position:absolute;left:6429;top:497;width:2;height:3395" coordorigin="6429,497" coordsize="0,3395" path="m6429,497l6429,3891e" filled="false" stroked="true" strokeweight=".47998pt" strokecolor="#000000">
                <v:path arrowok="t"/>
              </v:shape>
            </v:group>
            <v:group style="position:absolute;left:7509;top:497;width:2;height:3395" coordorigin="7509,497" coordsize="2,3395">
              <v:shape style="position:absolute;left:7509;top:497;width:2;height:3395" coordorigin="7509,497" coordsize="0,3395" path="m7509,497l7509,3891e" filled="false" stroked="true" strokeweight=".47998pt" strokecolor="#000000">
                <v:path arrowok="t"/>
              </v:shape>
            </v:group>
            <v:group style="position:absolute;left:8589;top:2447;width:2;height:1445" coordorigin="8589,2447" coordsize="2,1445">
              <v:shape style="position:absolute;left:8589;top:2447;width:2;height:1445" coordorigin="8589,2447" coordsize="0,1445" path="m8589,2447l8589,3891e" filled="false" stroked="true" strokeweight=".47998pt" strokecolor="#000000">
                <v:path arrowok="t"/>
              </v:shape>
            </v:group>
            <v:group style="position:absolute;left:9429;top:2447;width:2;height:1445" coordorigin="9429,2447" coordsize="2,1445">
              <v:shape style="position:absolute;left:9429;top:2447;width:2;height:1445" coordorigin="9429,2447" coordsize="0,1445" path="m9429,2447l9429,3891e" filled="false" stroked="true" strokeweight=".48001pt" strokecolor="#000000">
                <v:path arrowok="t"/>
              </v:shape>
            </v:group>
            <v:group style="position:absolute;left:10185;top:2447;width:2;height:1445" coordorigin="10185,2447" coordsize="2,1445">
              <v:shape style="position:absolute;left:10185;top:2447;width:2;height:1445" coordorigin="10185,2447" coordsize="0,1445" path="m10185,2447l10185,3891e" filled="false" stroked="true" strokeweight=".48001pt" strokecolor="#000000">
                <v:path arrowok="t"/>
              </v:shape>
            </v:group>
            <v:group style="position:absolute;left:833;top:3887;width:1067;height:2" coordorigin="833,3887" coordsize="1067,2">
              <v:shape style="position:absolute;left:833;top:3887;width:1067;height:2" coordorigin="833,3887" coordsize="1067,0" path="m833,3887l1899,3887e" filled="false" stroked="true" strokeweight=".48001pt" strokecolor="#000000">
                <v:path arrowok="t"/>
              </v:shape>
            </v:group>
            <v:group style="position:absolute;left:1908;top:3887;width:891;height:2" coordorigin="1908,3887" coordsize="891,2">
              <v:shape style="position:absolute;left:1908;top:3887;width:891;height:2" coordorigin="1908,3887" coordsize="891,0" path="m1908,3887l2799,3887e" filled="false" stroked="true" strokeweight=".48001pt" strokecolor="#000000">
                <v:path arrowok="t"/>
              </v:shape>
            </v:group>
            <v:group style="position:absolute;left:2808;top:3887;width:891;height:2" coordorigin="2808,3887" coordsize="891,2">
              <v:shape style="position:absolute;left:2808;top:3887;width:891;height:2" coordorigin="2808,3887" coordsize="891,0" path="m2808,3887l3699,3887e" filled="false" stroked="true" strokeweight=".48001pt" strokecolor="#000000">
                <v:path arrowok="t"/>
              </v:shape>
            </v:group>
            <v:group style="position:absolute;left:3708;top:3887;width:891;height:2" coordorigin="3708,3887" coordsize="891,2">
              <v:shape style="position:absolute;left:3708;top:3887;width:891;height:2" coordorigin="3708,3887" coordsize="891,0" path="m3708,3887l4599,3887e" filled="false" stroked="true" strokeweight=".48001pt" strokecolor="#000000">
                <v:path arrowok="t"/>
              </v:shape>
            </v:group>
            <v:group style="position:absolute;left:4609;top:3887;width:915;height:2" coordorigin="4609,3887" coordsize="915,2">
              <v:shape style="position:absolute;left:4609;top:3887;width:915;height:2" coordorigin="4609,3887" coordsize="915,0" path="m4609,3887l5523,3887e" filled="false" stroked="true" strokeweight=".48001pt" strokecolor="#000000">
                <v:path arrowok="t"/>
              </v:shape>
            </v:group>
            <v:group style="position:absolute;left:5533;top:3887;width:891;height:2" coordorigin="5533,3887" coordsize="891,2">
              <v:shape style="position:absolute;left:5533;top:3887;width:891;height:2" coordorigin="5533,3887" coordsize="891,0" path="m5533,3887l6424,3887e" filled="false" stroked="true" strokeweight=".48001pt" strokecolor="#000000">
                <v:path arrowok="t"/>
              </v:shape>
            </v:group>
            <v:group style="position:absolute;left:6433;top:3887;width:1071;height:2" coordorigin="6433,3887" coordsize="1071,2">
              <v:shape style="position:absolute;left:6433;top:3887;width:1071;height:2" coordorigin="6433,3887" coordsize="1071,0" path="m6433,3887l7504,3887e" filled="false" stroked="true" strokeweight=".48001pt" strokecolor="#000000">
                <v:path arrowok="t"/>
              </v:shape>
            </v:group>
            <v:group style="position:absolute;left:7513;top:3887;width:1071;height:2" coordorigin="7513,3887" coordsize="1071,2">
              <v:shape style="position:absolute;left:7513;top:3887;width:1071;height:2" coordorigin="7513,3887" coordsize="1071,0" path="m7513,3887l8584,3887e" filled="false" stroked="true" strokeweight=".48001pt" strokecolor="#000000">
                <v:path arrowok="t"/>
              </v:shape>
            </v:group>
            <v:group style="position:absolute;left:8593;top:3887;width:831;height:2" coordorigin="8593,3887" coordsize="831,2">
              <v:shape style="position:absolute;left:8593;top:3887;width:831;height:2" coordorigin="8593,3887" coordsize="831,0" path="m8593,3887l9424,3887e" filled="false" stroked="true" strokeweight=".48001pt" strokecolor="#000000">
                <v:path arrowok="t"/>
              </v:shape>
            </v:group>
            <v:group style="position:absolute;left:9434;top:3887;width:747;height:2" coordorigin="9434,3887" coordsize="747,2">
              <v:shape style="position:absolute;left:9434;top:3887;width:747;height:2" coordorigin="9434,3887" coordsize="747,0" path="m9434,3887l10180,3887e" filled="false" stroked="true" strokeweight=".48001pt" strokecolor="#000000">
                <v:path arrowok="t"/>
              </v:shape>
            </v:group>
            <v:group style="position:absolute;left:10190;top:3887;width:886;height:2" coordorigin="10190,3887" coordsize="886,2">
              <v:shape style="position:absolute;left:10190;top:3887;width:886;height:2" coordorigin="10190,3887" coordsize="886,0" path="m10190,3887l11076,3887e" filled="false" stroked="true" strokeweight=".48001pt" strokecolor="#000000">
                <v:path arrowok="t"/>
              </v:shape>
            </v:group>
            <v:group style="position:absolute;left:833;top:4549;width:1067;height:2" coordorigin="833,4549" coordsize="1067,2">
              <v:shape style="position:absolute;left:833;top:4549;width:1067;height:2" coordorigin="833,4549" coordsize="1067,0" path="m833,4549l1899,4549e" filled="false" stroked="true" strokeweight=".48001pt" strokecolor="#000000">
                <v:path arrowok="t"/>
              </v:shape>
            </v:group>
            <v:group style="position:absolute;left:1908;top:4549;width:711;height:2" coordorigin="1908,4549" coordsize="711,2">
              <v:shape style="position:absolute;left:1908;top:4549;width:711;height:2" coordorigin="1908,4549" coordsize="711,0" path="m1908,4549l2619,4549e" filled="false" stroked="true" strokeweight=".48001pt" strokecolor="#000000">
                <v:path arrowok="t"/>
              </v:shape>
            </v:group>
            <v:group style="position:absolute;left:2628;top:4549;width:1071;height:2" coordorigin="2628,4549" coordsize="1071,2">
              <v:shape style="position:absolute;left:2628;top:4549;width:1071;height:2" coordorigin="2628,4549" coordsize="1071,0" path="m2628,4549l3699,4549e" filled="false" stroked="true" strokeweight=".48001pt" strokecolor="#000000">
                <v:path arrowok="t"/>
              </v:shape>
            </v:group>
            <v:group style="position:absolute;left:3708;top:4549;width:891;height:2" coordorigin="3708,4549" coordsize="891,2">
              <v:shape style="position:absolute;left:3708;top:4549;width:891;height:2" coordorigin="3708,4549" coordsize="891,0" path="m3708,4549l4599,4549e" filled="false" stroked="true" strokeweight=".48001pt" strokecolor="#000000">
                <v:path arrowok="t"/>
              </v:shape>
            </v:group>
            <v:group style="position:absolute;left:4609;top:4549;width:915;height:2" coordorigin="4609,4549" coordsize="915,2">
              <v:shape style="position:absolute;left:4609;top:4549;width:915;height:2" coordorigin="4609,4549" coordsize="915,0" path="m4609,4549l5523,4549e" filled="false" stroked="true" strokeweight=".48001pt" strokecolor="#000000">
                <v:path arrowok="t"/>
              </v:shape>
            </v:group>
            <v:group style="position:absolute;left:5533;top:4549;width:891;height:2" coordorigin="5533,4549" coordsize="891,2">
              <v:shape style="position:absolute;left:5533;top:4549;width:891;height:2" coordorigin="5533,4549" coordsize="891,0" path="m5533,4549l6424,4549e" filled="false" stroked="true" strokeweight=".48001pt" strokecolor="#000000">
                <v:path arrowok="t"/>
              </v:shape>
            </v:group>
            <v:group style="position:absolute;left:6433;top:4549;width:1071;height:2" coordorigin="6433,4549" coordsize="1071,2">
              <v:shape style="position:absolute;left:6433;top:4549;width:1071;height:2" coordorigin="6433,4549" coordsize="1071,0" path="m6433,4549l7504,4549e" filled="false" stroked="true" strokeweight=".48001pt" strokecolor="#000000">
                <v:path arrowok="t"/>
              </v:shape>
            </v:group>
            <v:group style="position:absolute;left:7513;top:4549;width:1071;height:2" coordorigin="7513,4549" coordsize="1071,2">
              <v:shape style="position:absolute;left:7513;top:4549;width:1071;height:2" coordorigin="7513,4549" coordsize="1071,0" path="m7513,4549l8584,4549e" filled="false" stroked="true" strokeweight=".48001pt" strokecolor="#000000">
                <v:path arrowok="t"/>
              </v:shape>
            </v:group>
            <v:group style="position:absolute;left:8593;top:4549;width:831;height:2" coordorigin="8593,4549" coordsize="831,2">
              <v:shape style="position:absolute;left:8593;top:4549;width:831;height:2" coordorigin="8593,4549" coordsize="831,0" path="m8593,4549l9424,4549e" filled="false" stroked="true" strokeweight=".48001pt" strokecolor="#000000">
                <v:path arrowok="t"/>
              </v:shape>
            </v:group>
            <v:group style="position:absolute;left:9434;top:4549;width:747;height:2" coordorigin="9434,4549" coordsize="747,2">
              <v:shape style="position:absolute;left:9434;top:4549;width:747;height:2" coordorigin="9434,4549" coordsize="747,0" path="m9434,4549l10180,4549e" filled="false" stroked="true" strokeweight=".48001pt" strokecolor="#000000">
                <v:path arrowok="t"/>
              </v:shape>
            </v:group>
            <v:group style="position:absolute;left:10190;top:4549;width:886;height:2" coordorigin="10190,4549" coordsize="886,2">
              <v:shape style="position:absolute;left:10190;top:4549;width:886;height:2" coordorigin="10190,4549" coordsize="886,0" path="m10190,4549l11076,4549e" filled="false" stroked="true" strokeweight=".48001pt" strokecolor="#000000">
                <v:path arrowok="t"/>
              </v:shape>
            </v:group>
            <v:group style="position:absolute;left:833;top:5644;width:1067;height:2" coordorigin="833,5644" coordsize="1067,2">
              <v:shape style="position:absolute;left:833;top:5644;width:1067;height:2" coordorigin="833,5644" coordsize="1067,0" path="m833,5644l1899,5644e" filled="false" stroked="true" strokeweight=".47998pt" strokecolor="#000000">
                <v:path arrowok="t"/>
              </v:shape>
            </v:group>
            <v:group style="position:absolute;left:1908;top:5644;width:711;height:2" coordorigin="1908,5644" coordsize="711,2">
              <v:shape style="position:absolute;left:1908;top:5644;width:711;height:2" coordorigin="1908,5644" coordsize="711,0" path="m1908,5644l2619,5644e" filled="false" stroked="true" strokeweight=".47998pt" strokecolor="#000000">
                <v:path arrowok="t"/>
              </v:shape>
            </v:group>
            <v:group style="position:absolute;left:2628;top:5644;width:1071;height:2" coordorigin="2628,5644" coordsize="1071,2">
              <v:shape style="position:absolute;left:2628;top:5644;width:1071;height:2" coordorigin="2628,5644" coordsize="1071,0" path="m2628,5644l3699,5644e" filled="false" stroked="true" strokeweight=".47998pt" strokecolor="#000000">
                <v:path arrowok="t"/>
              </v:shape>
            </v:group>
            <v:group style="position:absolute;left:3708;top:5644;width:891;height:2" coordorigin="3708,5644" coordsize="891,2">
              <v:shape style="position:absolute;left:3708;top:5644;width:891;height:2" coordorigin="3708,5644" coordsize="891,0" path="m3708,5644l4599,5644e" filled="false" stroked="true" strokeweight=".47998pt" strokecolor="#000000">
                <v:path arrowok="t"/>
              </v:shape>
            </v:group>
            <v:group style="position:absolute;left:4609;top:5644;width:915;height:2" coordorigin="4609,5644" coordsize="915,2">
              <v:shape style="position:absolute;left:4609;top:5644;width:915;height:2" coordorigin="4609,5644" coordsize="915,0" path="m4609,5644l5523,5644e" filled="false" stroked="true" strokeweight=".47998pt" strokecolor="#000000">
                <v:path arrowok="t"/>
              </v:shape>
            </v:group>
            <v:group style="position:absolute;left:5533;top:5644;width:891;height:2" coordorigin="5533,5644" coordsize="891,2">
              <v:shape style="position:absolute;left:5533;top:5644;width:891;height:2" coordorigin="5533,5644" coordsize="891,0" path="m5533,5644l6424,5644e" filled="false" stroked="true" strokeweight=".47998pt" strokecolor="#000000">
                <v:path arrowok="t"/>
              </v:shape>
            </v:group>
            <v:group style="position:absolute;left:6433;top:5644;width:1071;height:2" coordorigin="6433,5644" coordsize="1071,2">
              <v:shape style="position:absolute;left:6433;top:5644;width:1071;height:2" coordorigin="6433,5644" coordsize="1071,0" path="m6433,5644l7504,5644e" filled="false" stroked="true" strokeweight=".47998pt" strokecolor="#000000">
                <v:path arrowok="t"/>
              </v:shape>
            </v:group>
            <v:group style="position:absolute;left:7513;top:5644;width:1071;height:2" coordorigin="7513,5644" coordsize="1071,2">
              <v:shape style="position:absolute;left:7513;top:5644;width:1071;height:2" coordorigin="7513,5644" coordsize="1071,0" path="m7513,5644l8584,5644e" filled="false" stroked="true" strokeweight=".47998pt" strokecolor="#000000">
                <v:path arrowok="t"/>
              </v:shape>
            </v:group>
            <v:group style="position:absolute;left:8593;top:5644;width:831;height:2" coordorigin="8593,5644" coordsize="831,2">
              <v:shape style="position:absolute;left:8593;top:5644;width:831;height:2" coordorigin="8593,5644" coordsize="831,0" path="m8593,5644l9424,5644e" filled="false" stroked="true" strokeweight=".47998pt" strokecolor="#000000">
                <v:path arrowok="t"/>
              </v:shape>
            </v:group>
            <v:group style="position:absolute;left:9434;top:5644;width:747;height:2" coordorigin="9434,5644" coordsize="747,2">
              <v:shape style="position:absolute;left:9434;top:5644;width:747;height:2" coordorigin="9434,5644" coordsize="747,0" path="m9434,5644l10180,5644e" filled="false" stroked="true" strokeweight=".47998pt" strokecolor="#000000">
                <v:path arrowok="t"/>
              </v:shape>
            </v:group>
            <v:group style="position:absolute;left:10190;top:5644;width:886;height:2" coordorigin="10190,5644" coordsize="886,2">
              <v:shape style="position:absolute;left:10190;top:5644;width:886;height:2" coordorigin="10190,5644" coordsize="886,0" path="m10190,5644l11076,5644e" filled="false" stroked="true" strokeweight=".47998pt" strokecolor="#000000">
                <v:path arrowok="t"/>
              </v:shape>
            </v:group>
            <v:group style="position:absolute;left:833;top:6834;width:1067;height:2" coordorigin="833,6834" coordsize="1067,2">
              <v:shape style="position:absolute;left:833;top:6834;width:1067;height:2" coordorigin="833,6834" coordsize="1067,0" path="m833,6834l1899,6834e" filled="false" stroked="true" strokeweight=".47998pt" strokecolor="#000000">
                <v:path arrowok="t"/>
              </v:shape>
            </v:group>
            <v:group style="position:absolute;left:1908;top:6834;width:711;height:2" coordorigin="1908,6834" coordsize="711,2">
              <v:shape style="position:absolute;left:1908;top:6834;width:711;height:2" coordorigin="1908,6834" coordsize="711,0" path="m1908,6834l2619,6834e" filled="false" stroked="true" strokeweight=".47998pt" strokecolor="#000000">
                <v:path arrowok="t"/>
              </v:shape>
            </v:group>
            <v:group style="position:absolute;left:2628;top:6834;width:1071;height:2" coordorigin="2628,6834" coordsize="1071,2">
              <v:shape style="position:absolute;left:2628;top:6834;width:1071;height:2" coordorigin="2628,6834" coordsize="1071,0" path="m2628,6834l3699,6834e" filled="false" stroked="true" strokeweight=".47998pt" strokecolor="#000000">
                <v:path arrowok="t"/>
              </v:shape>
            </v:group>
            <v:group style="position:absolute;left:3708;top:6834;width:891;height:2" coordorigin="3708,6834" coordsize="891,2">
              <v:shape style="position:absolute;left:3708;top:6834;width:891;height:2" coordorigin="3708,6834" coordsize="891,0" path="m3708,6834l4599,6834e" filled="false" stroked="true" strokeweight=".47998pt" strokecolor="#000000">
                <v:path arrowok="t"/>
              </v:shape>
            </v:group>
            <v:group style="position:absolute;left:4609;top:6834;width:915;height:2" coordorigin="4609,6834" coordsize="915,2">
              <v:shape style="position:absolute;left:4609;top:6834;width:915;height:2" coordorigin="4609,6834" coordsize="915,0" path="m4609,6834l5523,6834e" filled="false" stroked="true" strokeweight=".47998pt" strokecolor="#000000">
                <v:path arrowok="t"/>
              </v:shape>
            </v:group>
            <v:group style="position:absolute;left:5533;top:6834;width:891;height:2" coordorigin="5533,6834" coordsize="891,2">
              <v:shape style="position:absolute;left:5533;top:6834;width:891;height:2" coordorigin="5533,6834" coordsize="891,0" path="m5533,6834l6424,6834e" filled="false" stroked="true" strokeweight=".47998pt" strokecolor="#000000">
                <v:path arrowok="t"/>
              </v:shape>
            </v:group>
            <v:group style="position:absolute;left:6433;top:6834;width:1071;height:2" coordorigin="6433,6834" coordsize="1071,2">
              <v:shape style="position:absolute;left:6433;top:6834;width:1071;height:2" coordorigin="6433,6834" coordsize="1071,0" path="m6433,6834l7504,6834e" filled="false" stroked="true" strokeweight=".47998pt" strokecolor="#000000">
                <v:path arrowok="t"/>
              </v:shape>
            </v:group>
            <v:group style="position:absolute;left:7513;top:6834;width:1071;height:2" coordorigin="7513,6834" coordsize="1071,2">
              <v:shape style="position:absolute;left:7513;top:6834;width:1071;height:2" coordorigin="7513,6834" coordsize="1071,0" path="m7513,6834l8584,6834e" filled="false" stroked="true" strokeweight=".47998pt" strokecolor="#000000">
                <v:path arrowok="t"/>
              </v:shape>
            </v:group>
            <v:group style="position:absolute;left:8593;top:6834;width:831;height:2" coordorigin="8593,6834" coordsize="831,2">
              <v:shape style="position:absolute;left:8593;top:6834;width:831;height:2" coordorigin="8593,6834" coordsize="831,0" path="m8593,6834l9424,6834e" filled="false" stroked="true" strokeweight=".47998pt" strokecolor="#000000">
                <v:path arrowok="t"/>
              </v:shape>
            </v:group>
            <v:group style="position:absolute;left:9434;top:6834;width:747;height:2" coordorigin="9434,6834" coordsize="747,2">
              <v:shape style="position:absolute;left:9434;top:6834;width:747;height:2" coordorigin="9434,6834" coordsize="747,0" path="m9434,6834l10180,6834e" filled="false" stroked="true" strokeweight=".47998pt" strokecolor="#000000">
                <v:path arrowok="t"/>
              </v:shape>
            </v:group>
            <v:group style="position:absolute;left:10190;top:6834;width:886;height:2" coordorigin="10190,6834" coordsize="886,2">
              <v:shape style="position:absolute;left:10190;top:6834;width:886;height:2" coordorigin="10190,6834" coordsize="886,0" path="m10190,6834l11076,6834e" filled="false" stroked="true" strokeweight=".47998pt" strokecolor="#000000">
                <v:path arrowok="t"/>
              </v:shape>
            </v:group>
            <v:group style="position:absolute;left:833;top:8226;width:1067;height:2" coordorigin="833,8226" coordsize="1067,2">
              <v:shape style="position:absolute;left:833;top:8226;width:1067;height:2" coordorigin="833,8226" coordsize="1067,0" path="m833,8226l1899,8226e" filled="false" stroked="true" strokeweight=".48004pt" strokecolor="#000000">
                <v:path arrowok="t"/>
              </v:shape>
            </v:group>
            <v:group style="position:absolute;left:1908;top:8226;width:711;height:2" coordorigin="1908,8226" coordsize="711,2">
              <v:shape style="position:absolute;left:1908;top:8226;width:711;height:2" coordorigin="1908,8226" coordsize="711,0" path="m1908,8226l2619,8226e" filled="false" stroked="true" strokeweight=".48004pt" strokecolor="#000000">
                <v:path arrowok="t"/>
              </v:shape>
            </v:group>
            <v:group style="position:absolute;left:2628;top:8226;width:1071;height:2" coordorigin="2628,8226" coordsize="1071,2">
              <v:shape style="position:absolute;left:2628;top:8226;width:1071;height:2" coordorigin="2628,8226" coordsize="1071,0" path="m2628,8226l3699,8226e" filled="false" stroked="true" strokeweight=".48004pt" strokecolor="#000000">
                <v:path arrowok="t"/>
              </v:shape>
            </v:group>
            <v:group style="position:absolute;left:3708;top:8226;width:891;height:2" coordorigin="3708,8226" coordsize="891,2">
              <v:shape style="position:absolute;left:3708;top:8226;width:891;height:2" coordorigin="3708,8226" coordsize="891,0" path="m3708,8226l4599,8226e" filled="false" stroked="true" strokeweight=".48004pt" strokecolor="#000000">
                <v:path arrowok="t"/>
              </v:shape>
            </v:group>
            <v:group style="position:absolute;left:4609;top:8226;width:915;height:2" coordorigin="4609,8226" coordsize="915,2">
              <v:shape style="position:absolute;left:4609;top:8226;width:915;height:2" coordorigin="4609,8226" coordsize="915,0" path="m4609,8226l5523,8226e" filled="false" stroked="true" strokeweight=".48004pt" strokecolor="#000000">
                <v:path arrowok="t"/>
              </v:shape>
            </v:group>
            <v:group style="position:absolute;left:5533;top:8226;width:891;height:2" coordorigin="5533,8226" coordsize="891,2">
              <v:shape style="position:absolute;left:5533;top:8226;width:891;height:2" coordorigin="5533,8226" coordsize="891,0" path="m5533,8226l6424,8226e" filled="false" stroked="true" strokeweight=".48004pt" strokecolor="#000000">
                <v:path arrowok="t"/>
              </v:shape>
            </v:group>
            <v:group style="position:absolute;left:6433;top:8226;width:1071;height:2" coordorigin="6433,8226" coordsize="1071,2">
              <v:shape style="position:absolute;left:6433;top:8226;width:1071;height:2" coordorigin="6433,8226" coordsize="1071,0" path="m6433,8226l7504,8226e" filled="false" stroked="true" strokeweight=".48004pt" strokecolor="#000000">
                <v:path arrowok="t"/>
              </v:shape>
            </v:group>
            <v:group style="position:absolute;left:7513;top:8226;width:1071;height:2" coordorigin="7513,8226" coordsize="1071,2">
              <v:shape style="position:absolute;left:7513;top:8226;width:1071;height:2" coordorigin="7513,8226" coordsize="1071,0" path="m7513,8226l8584,8226e" filled="false" stroked="true" strokeweight=".48004pt" strokecolor="#000000">
                <v:path arrowok="t"/>
              </v:shape>
            </v:group>
            <v:group style="position:absolute;left:8593;top:8226;width:831;height:2" coordorigin="8593,8226" coordsize="831,2">
              <v:shape style="position:absolute;left:8593;top:8226;width:831;height:2" coordorigin="8593,8226" coordsize="831,0" path="m8593,8226l9424,8226e" filled="false" stroked="true" strokeweight=".48004pt" strokecolor="#000000">
                <v:path arrowok="t"/>
              </v:shape>
            </v:group>
            <v:group style="position:absolute;left:9434;top:8226;width:747;height:2" coordorigin="9434,8226" coordsize="747,2">
              <v:shape style="position:absolute;left:9434;top:8226;width:747;height:2" coordorigin="9434,8226" coordsize="747,0" path="m9434,8226l10180,8226e" filled="false" stroked="true" strokeweight=".48004pt" strokecolor="#000000">
                <v:path arrowok="t"/>
              </v:shape>
            </v:group>
            <v:group style="position:absolute;left:10190;top:8226;width:886;height:2" coordorigin="10190,8226" coordsize="886,2">
              <v:shape style="position:absolute;left:10190;top:8226;width:886;height:2" coordorigin="10190,8226" coordsize="886,0" path="m10190,8226l11076,8226e" filled="false" stroked="true" strokeweight=".48004pt" strokecolor="#000000">
                <v:path arrowok="t"/>
              </v:shape>
            </v:group>
            <v:group style="position:absolute;left:2624;top:4544;width:2;height:4609" coordorigin="2624,4544" coordsize="2,4609">
              <v:shape style="position:absolute;left:2624;top:4544;width:2;height:4609" coordorigin="2624,4544" coordsize="0,4609" path="m2624,4544l2624,9153e" filled="false" stroked="true" strokeweight=".48pt" strokecolor="#000000">
                <v:path arrowok="t"/>
              </v:shape>
            </v:group>
            <v:group style="position:absolute;left:3704;top:4544;width:2;height:4609" coordorigin="3704,4544" coordsize="2,4609">
              <v:shape style="position:absolute;left:3704;top:4544;width:2;height:4609" coordorigin="3704,4544" coordsize="0,4609" path="m3704,4544l3704,9153e" filled="false" stroked="true" strokeweight=".48pt" strokecolor="#000000">
                <v:path arrowok="t"/>
              </v:shape>
            </v:group>
            <v:group style="position:absolute;left:4604;top:4544;width:2;height:4609" coordorigin="4604,4544" coordsize="2,4609">
              <v:shape style="position:absolute;left:4604;top:4544;width:2;height:4609" coordorigin="4604,4544" coordsize="0,4609" path="m4604,4544l4604,9153e" filled="false" stroked="true" strokeweight=".48pt" strokecolor="#000000">
                <v:path arrowok="t"/>
              </v:shape>
            </v:group>
            <v:group style="position:absolute;left:5528;top:4544;width:2;height:4609" coordorigin="5528,4544" coordsize="2,4609">
              <v:shape style="position:absolute;left:5528;top:4544;width:2;height:4609" coordorigin="5528,4544" coordsize="0,4609" path="m5528,4544l5528,9153e" filled="false" stroked="true" strokeweight=".48001pt" strokecolor="#000000">
                <v:path arrowok="t"/>
              </v:shape>
            </v:group>
            <v:group style="position:absolute;left:6429;top:4544;width:2;height:4609" coordorigin="6429,4544" coordsize="2,4609">
              <v:shape style="position:absolute;left:6429;top:4544;width:2;height:4609" coordorigin="6429,4544" coordsize="0,4609" path="m6429,4544l6429,9153e" filled="false" stroked="true" strokeweight=".47998pt" strokecolor="#000000">
                <v:path arrowok="t"/>
              </v:shape>
            </v:group>
            <v:group style="position:absolute;left:7509;top:4544;width:2;height:4609" coordorigin="7509,4544" coordsize="2,4609">
              <v:shape style="position:absolute;left:7509;top:4544;width:2;height:4609" coordorigin="7509,4544" coordsize="0,4609" path="m7509,4544l7509,9153e" filled="false" stroked="true" strokeweight=".47998pt" strokecolor="#000000">
                <v:path arrowok="t"/>
              </v:shape>
            </v:group>
            <v:group style="position:absolute;left:8589;top:4544;width:2;height:4609" coordorigin="8589,4544" coordsize="2,4609">
              <v:shape style="position:absolute;left:8589;top:4544;width:2;height:4609" coordorigin="8589,4544" coordsize="0,4609" path="m8589,4544l8589,9153e" filled="false" stroked="true" strokeweight=".47998pt" strokecolor="#000000">
                <v:path arrowok="t"/>
              </v:shape>
            </v:group>
            <v:group style="position:absolute;left:9429;top:4544;width:2;height:4609" coordorigin="9429,4544" coordsize="2,4609">
              <v:shape style="position:absolute;left:9429;top:4544;width:2;height:4609" coordorigin="9429,4544" coordsize="0,4609" path="m9429,4544l9429,9153e" filled="false" stroked="true" strokeweight=".48001pt" strokecolor="#000000">
                <v:path arrowok="t"/>
              </v:shape>
            </v:group>
            <v:group style="position:absolute;left:10185;top:4544;width:2;height:4609" coordorigin="10185,4544" coordsize="2,4609">
              <v:shape style="position:absolute;left:10185;top:4544;width:2;height:4609" coordorigin="10185,4544" coordsize="0,4609" path="m10185,4544l10185,9153e" filled="false" stroked="true" strokeweight=".48001pt" strokecolor="#000000">
                <v:path arrowok="t"/>
              </v:shape>
            </v:group>
            <v:group style="position:absolute;left:833;top:9148;width:1067;height:2" coordorigin="833,9148" coordsize="1067,2">
              <v:shape style="position:absolute;left:833;top:9148;width:1067;height:2" coordorigin="833,9148" coordsize="1067,0" path="m833,9148l1899,9148e" filled="false" stroked="true" strokeweight=".48004pt" strokecolor="#000000">
                <v:path arrowok="t"/>
              </v:shape>
            </v:group>
            <v:group style="position:absolute;left:1908;top:9148;width:711;height:2" coordorigin="1908,9148" coordsize="711,2">
              <v:shape style="position:absolute;left:1908;top:9148;width:711;height:2" coordorigin="1908,9148" coordsize="711,0" path="m1908,9148l2619,9148e" filled="false" stroked="true" strokeweight=".48004pt" strokecolor="#000000">
                <v:path arrowok="t"/>
              </v:shape>
            </v:group>
            <v:group style="position:absolute;left:2628;top:9148;width:1071;height:2" coordorigin="2628,9148" coordsize="1071,2">
              <v:shape style="position:absolute;left:2628;top:9148;width:1071;height:2" coordorigin="2628,9148" coordsize="1071,0" path="m2628,9148l3699,9148e" filled="false" stroked="true" strokeweight=".48004pt" strokecolor="#000000">
                <v:path arrowok="t"/>
              </v:shape>
            </v:group>
            <v:group style="position:absolute;left:3708;top:9148;width:891;height:2" coordorigin="3708,9148" coordsize="891,2">
              <v:shape style="position:absolute;left:3708;top:9148;width:891;height:2" coordorigin="3708,9148" coordsize="891,0" path="m3708,9148l4599,9148e" filled="false" stroked="true" strokeweight=".48004pt" strokecolor="#000000">
                <v:path arrowok="t"/>
              </v:shape>
            </v:group>
            <v:group style="position:absolute;left:4609;top:9148;width:915;height:2" coordorigin="4609,9148" coordsize="915,2">
              <v:shape style="position:absolute;left:4609;top:9148;width:915;height:2" coordorigin="4609,9148" coordsize="915,0" path="m4609,9148l5523,9148e" filled="false" stroked="true" strokeweight=".48004pt" strokecolor="#000000">
                <v:path arrowok="t"/>
              </v:shape>
            </v:group>
            <v:group style="position:absolute;left:5533;top:9148;width:891;height:2" coordorigin="5533,9148" coordsize="891,2">
              <v:shape style="position:absolute;left:5533;top:9148;width:891;height:2" coordorigin="5533,9148" coordsize="891,0" path="m5533,9148l6424,9148e" filled="false" stroked="true" strokeweight=".48004pt" strokecolor="#000000">
                <v:path arrowok="t"/>
              </v:shape>
            </v:group>
            <v:group style="position:absolute;left:6433;top:9148;width:1071;height:2" coordorigin="6433,9148" coordsize="1071,2">
              <v:shape style="position:absolute;left:6433;top:9148;width:1071;height:2" coordorigin="6433,9148" coordsize="1071,0" path="m6433,9148l7504,9148e" filled="false" stroked="true" strokeweight=".48004pt" strokecolor="#000000">
                <v:path arrowok="t"/>
              </v:shape>
            </v:group>
            <v:group style="position:absolute;left:7513;top:9148;width:1071;height:2" coordorigin="7513,9148" coordsize="1071,2">
              <v:shape style="position:absolute;left:7513;top:9148;width:1071;height:2" coordorigin="7513,9148" coordsize="1071,0" path="m7513,9148l8584,9148e" filled="false" stroked="true" strokeweight=".48004pt" strokecolor="#000000">
                <v:path arrowok="t"/>
              </v:shape>
            </v:group>
            <v:group style="position:absolute;left:8593;top:9148;width:831;height:2" coordorigin="8593,9148" coordsize="831,2">
              <v:shape style="position:absolute;left:8593;top:9148;width:831;height:2" coordorigin="8593,9148" coordsize="831,0" path="m8593,9148l9424,9148e" filled="false" stroked="true" strokeweight=".48004pt" strokecolor="#000000">
                <v:path arrowok="t"/>
              </v:shape>
            </v:group>
            <v:group style="position:absolute;left:9434;top:9148;width:747;height:2" coordorigin="9434,9148" coordsize="747,2">
              <v:shape style="position:absolute;left:9434;top:9148;width:747;height:2" coordorigin="9434,9148" coordsize="747,0" path="m9434,9148l10180,9148e" filled="false" stroked="true" strokeweight=".48004pt" strokecolor="#000000">
                <v:path arrowok="t"/>
              </v:shape>
            </v:group>
            <v:group style="position:absolute;left:10190;top:9148;width:886;height:2" coordorigin="10190,9148" coordsize="886,2">
              <v:shape style="position:absolute;left:10190;top:9148;width:886;height:2" coordorigin="10190,9148" coordsize="886,0" path="m10190,9148l11076,9148e" filled="false" stroked="true" strokeweight=".48004pt" strokecolor="#000000">
                <v:path arrowok="t"/>
              </v:shape>
            </v:group>
            <v:group style="position:absolute;left:833;top:9878;width:1067;height:2" coordorigin="833,9878" coordsize="1067,2">
              <v:shape style="position:absolute;left:833;top:9878;width:1067;height:2" coordorigin="833,9878" coordsize="1067,0" path="m833,9878l1899,9878e" filled="false" stroked="true" strokeweight=".47998pt" strokecolor="#000000">
                <v:path arrowok="t"/>
              </v:shape>
            </v:group>
            <v:group style="position:absolute;left:1908;top:9878;width:891;height:2" coordorigin="1908,9878" coordsize="891,2">
              <v:shape style="position:absolute;left:1908;top:9878;width:891;height:2" coordorigin="1908,9878" coordsize="891,0" path="m1908,9878l2799,9878e" filled="false" stroked="true" strokeweight=".47998pt" strokecolor="#000000">
                <v:path arrowok="t"/>
              </v:shape>
            </v:group>
            <v:group style="position:absolute;left:2808;top:9878;width:891;height:2" coordorigin="2808,9878" coordsize="891,2">
              <v:shape style="position:absolute;left:2808;top:9878;width:891;height:2" coordorigin="2808,9878" coordsize="891,0" path="m2808,9878l3699,9878e" filled="false" stroked="true" strokeweight=".47998pt" strokecolor="#000000">
                <v:path arrowok="t"/>
              </v:shape>
            </v:group>
            <v:group style="position:absolute;left:3708;top:9878;width:891;height:2" coordorigin="3708,9878" coordsize="891,2">
              <v:shape style="position:absolute;left:3708;top:9878;width:891;height:2" coordorigin="3708,9878" coordsize="891,0" path="m3708,9878l4599,9878e" filled="false" stroked="true" strokeweight=".47998pt" strokecolor="#000000">
                <v:path arrowok="t"/>
              </v:shape>
            </v:group>
            <v:group style="position:absolute;left:4609;top:9878;width:915;height:2" coordorigin="4609,9878" coordsize="915,2">
              <v:shape style="position:absolute;left:4609;top:9878;width:915;height:2" coordorigin="4609,9878" coordsize="915,0" path="m4609,9878l5523,9878e" filled="false" stroked="true" strokeweight=".47998pt" strokecolor="#000000">
                <v:path arrowok="t"/>
              </v:shape>
            </v:group>
            <v:group style="position:absolute;left:5533;top:9878;width:891;height:2" coordorigin="5533,9878" coordsize="891,2">
              <v:shape style="position:absolute;left:5533;top:9878;width:891;height:2" coordorigin="5533,9878" coordsize="891,0" path="m5533,9878l6424,9878e" filled="false" stroked="true" strokeweight=".47998pt" strokecolor="#000000">
                <v:path arrowok="t"/>
              </v:shape>
            </v:group>
            <v:group style="position:absolute;left:6433;top:9878;width:1071;height:2" coordorigin="6433,9878" coordsize="1071,2">
              <v:shape style="position:absolute;left:6433;top:9878;width:1071;height:2" coordorigin="6433,9878" coordsize="1071,0" path="m6433,9878l7504,9878e" filled="false" stroked="true" strokeweight=".47998pt" strokecolor="#000000">
                <v:path arrowok="t"/>
              </v:shape>
            </v:group>
            <v:group style="position:absolute;left:7513;top:9878;width:1071;height:2" coordorigin="7513,9878" coordsize="1071,2">
              <v:shape style="position:absolute;left:7513;top:9878;width:1071;height:2" coordorigin="7513,9878" coordsize="1071,0" path="m7513,9878l8584,9878e" filled="false" stroked="true" strokeweight=".47998pt" strokecolor="#000000">
                <v:path arrowok="t"/>
              </v:shape>
            </v:group>
            <v:group style="position:absolute;left:8593;top:9878;width:831;height:2" coordorigin="8593,9878" coordsize="831,2">
              <v:shape style="position:absolute;left:8593;top:9878;width:831;height:2" coordorigin="8593,9878" coordsize="831,0" path="m8593,9878l9424,9878e" filled="false" stroked="true" strokeweight=".47998pt" strokecolor="#000000">
                <v:path arrowok="t"/>
              </v:shape>
            </v:group>
            <v:group style="position:absolute;left:9434;top:9878;width:747;height:2" coordorigin="9434,9878" coordsize="747,2">
              <v:shape style="position:absolute;left:9434;top:9878;width:747;height:2" coordorigin="9434,9878" coordsize="747,0" path="m9434,9878l10180,9878e" filled="false" stroked="true" strokeweight=".47998pt" strokecolor="#000000">
                <v:path arrowok="t"/>
              </v:shape>
            </v:group>
            <v:group style="position:absolute;left:10190;top:9878;width:886;height:2" coordorigin="10190,9878" coordsize="886,2">
              <v:shape style="position:absolute;left:10190;top:9878;width:886;height:2" coordorigin="10190,9878" coordsize="886,0" path="m10190,9878l11076,9878e" filled="false" stroked="true" strokeweight=".47998pt" strokecolor="#000000">
                <v:path arrowok="t"/>
              </v:shape>
            </v:group>
            <v:group style="position:absolute;left:823;top:478;width:2;height:10320" coordorigin="823,478" coordsize="2,10320">
              <v:shape style="position:absolute;left:823;top:478;width:2;height:10320" coordorigin="823,478" coordsize="0,10320" path="m823,478l823,10797e" filled="false" stroked="true" strokeweight=".96pt" strokecolor="#000000">
                <v:path arrowok="t"/>
              </v:shape>
            </v:group>
            <v:group style="position:absolute;left:814;top:10802;width:1086;height:2" coordorigin="814,10802" coordsize="1086,2">
              <v:shape style="position:absolute;left:814;top:10802;width:1086;height:2" coordorigin="814,10802" coordsize="1086,0" path="m814,10802l1899,10802e" filled="false" stroked="true" strokeweight=".48004pt" strokecolor="#000000">
                <v:path arrowok="t"/>
              </v:shape>
            </v:group>
            <v:group style="position:absolute;left:1904;top:2447;width:2;height:8361" coordorigin="1904,2447" coordsize="2,8361">
              <v:shape style="position:absolute;left:1904;top:2447;width:2;height:8361" coordorigin="1904,2447" coordsize="0,8361" path="m1904,2447l1904,10807e" filled="false" stroked="true" strokeweight=".48pt" strokecolor="#000000">
                <v:path arrowok="t"/>
              </v:shape>
            </v:group>
            <v:group style="position:absolute;left:1908;top:10802;width:891;height:2" coordorigin="1908,10802" coordsize="891,2">
              <v:shape style="position:absolute;left:1908;top:10802;width:891;height:2" coordorigin="1908,10802" coordsize="891,0" path="m1908,10802l2799,10802e" filled="false" stroked="true" strokeweight=".48004pt" strokecolor="#000000">
                <v:path arrowok="t"/>
              </v:shape>
            </v:group>
            <v:group style="position:absolute;left:2804;top:9873;width:2;height:934" coordorigin="2804,9873" coordsize="2,934">
              <v:shape style="position:absolute;left:2804;top:9873;width:2;height:934" coordorigin="2804,9873" coordsize="0,934" path="m2804,9873l2804,10807e" filled="false" stroked="true" strokeweight=".48pt" strokecolor="#000000">
                <v:path arrowok="t"/>
              </v:shape>
            </v:group>
            <v:group style="position:absolute;left:2808;top:10802;width:891;height:2" coordorigin="2808,10802" coordsize="891,2">
              <v:shape style="position:absolute;left:2808;top:10802;width:891;height:2" coordorigin="2808,10802" coordsize="891,0" path="m2808,10802l3699,10802e" filled="false" stroked="true" strokeweight=".48004pt" strokecolor="#000000">
                <v:path arrowok="t"/>
              </v:shape>
            </v:group>
            <v:group style="position:absolute;left:3704;top:9873;width:2;height:934" coordorigin="3704,9873" coordsize="2,934">
              <v:shape style="position:absolute;left:3704;top:9873;width:2;height:934" coordorigin="3704,9873" coordsize="0,934" path="m3704,9873l3704,10807e" filled="false" stroked="true" strokeweight=".48pt" strokecolor="#000000">
                <v:path arrowok="t"/>
              </v:shape>
            </v:group>
            <v:group style="position:absolute;left:3708;top:10802;width:891;height:2" coordorigin="3708,10802" coordsize="891,2">
              <v:shape style="position:absolute;left:3708;top:10802;width:891;height:2" coordorigin="3708,10802" coordsize="891,0" path="m3708,10802l4599,10802e" filled="false" stroked="true" strokeweight=".48004pt" strokecolor="#000000">
                <v:path arrowok="t"/>
              </v:shape>
            </v:group>
            <v:group style="position:absolute;left:4604;top:9873;width:2;height:934" coordorigin="4604,9873" coordsize="2,934">
              <v:shape style="position:absolute;left:4604;top:9873;width:2;height:934" coordorigin="4604,9873" coordsize="0,934" path="m4604,9873l4604,10807e" filled="false" stroked="true" strokeweight=".48pt" strokecolor="#000000">
                <v:path arrowok="t"/>
              </v:shape>
            </v:group>
            <v:group style="position:absolute;left:4609;top:10802;width:915;height:2" coordorigin="4609,10802" coordsize="915,2">
              <v:shape style="position:absolute;left:4609;top:10802;width:915;height:2" coordorigin="4609,10802" coordsize="915,0" path="m4609,10802l5523,10802e" filled="false" stroked="true" strokeweight=".48004pt" strokecolor="#000000">
                <v:path arrowok="t"/>
              </v:shape>
            </v:group>
            <v:group style="position:absolute;left:5528;top:9873;width:2;height:934" coordorigin="5528,9873" coordsize="2,934">
              <v:shape style="position:absolute;left:5528;top:9873;width:2;height:934" coordorigin="5528,9873" coordsize="0,934" path="m5528,9873l5528,10807e" filled="false" stroked="true" strokeweight=".48001pt" strokecolor="#000000">
                <v:path arrowok="t"/>
              </v:shape>
            </v:group>
            <v:group style="position:absolute;left:5533;top:10802;width:891;height:2" coordorigin="5533,10802" coordsize="891,2">
              <v:shape style="position:absolute;left:5533;top:10802;width:891;height:2" coordorigin="5533,10802" coordsize="891,0" path="m5533,10802l6424,10802e" filled="false" stroked="true" strokeweight=".48004pt" strokecolor="#000000">
                <v:path arrowok="t"/>
              </v:shape>
            </v:group>
            <v:group style="position:absolute;left:6429;top:9873;width:2;height:934" coordorigin="6429,9873" coordsize="2,934">
              <v:shape style="position:absolute;left:6429;top:9873;width:2;height:934" coordorigin="6429,9873" coordsize="0,934" path="m6429,9873l6429,10807e" filled="false" stroked="true" strokeweight=".47998pt" strokecolor="#000000">
                <v:path arrowok="t"/>
              </v:shape>
            </v:group>
            <v:group style="position:absolute;left:6433;top:10802;width:1071;height:2" coordorigin="6433,10802" coordsize="1071,2">
              <v:shape style="position:absolute;left:6433;top:10802;width:1071;height:2" coordorigin="6433,10802" coordsize="1071,0" path="m6433,10802l7504,10802e" filled="false" stroked="true" strokeweight=".48004pt" strokecolor="#000000">
                <v:path arrowok="t"/>
              </v:shape>
            </v:group>
            <v:group style="position:absolute;left:7509;top:9873;width:2;height:934" coordorigin="7509,9873" coordsize="2,934">
              <v:shape style="position:absolute;left:7509;top:9873;width:2;height:934" coordorigin="7509,9873" coordsize="0,934" path="m7509,9873l7509,10807e" filled="false" stroked="true" strokeweight=".47998pt" strokecolor="#000000">
                <v:path arrowok="t"/>
              </v:shape>
            </v:group>
            <v:group style="position:absolute;left:7513;top:10802;width:1071;height:2" coordorigin="7513,10802" coordsize="1071,2">
              <v:shape style="position:absolute;left:7513;top:10802;width:1071;height:2" coordorigin="7513,10802" coordsize="1071,0" path="m7513,10802l8584,10802e" filled="false" stroked="true" strokeweight=".48004pt" strokecolor="#000000">
                <v:path arrowok="t"/>
              </v:shape>
            </v:group>
            <v:group style="position:absolute;left:8589;top:9873;width:2;height:934" coordorigin="8589,9873" coordsize="2,934">
              <v:shape style="position:absolute;left:8589;top:9873;width:2;height:934" coordorigin="8589,9873" coordsize="0,934" path="m8589,9873l8589,10807e" filled="false" stroked="true" strokeweight=".47998pt" strokecolor="#000000">
                <v:path arrowok="t"/>
              </v:shape>
            </v:group>
            <v:group style="position:absolute;left:8593;top:10802;width:831;height:2" coordorigin="8593,10802" coordsize="831,2">
              <v:shape style="position:absolute;left:8593;top:10802;width:831;height:2" coordorigin="8593,10802" coordsize="831,0" path="m8593,10802l9424,10802e" filled="false" stroked="true" strokeweight=".48004pt" strokecolor="#000000">
                <v:path arrowok="t"/>
              </v:shape>
            </v:group>
            <v:group style="position:absolute;left:9429;top:9873;width:2;height:934" coordorigin="9429,9873" coordsize="2,934">
              <v:shape style="position:absolute;left:9429;top:9873;width:2;height:934" coordorigin="9429,9873" coordsize="0,934" path="m9429,9873l9429,10807e" filled="false" stroked="true" strokeweight=".48001pt" strokecolor="#000000">
                <v:path arrowok="t"/>
              </v:shape>
            </v:group>
            <v:group style="position:absolute;left:9434;top:10802;width:747;height:2" coordorigin="9434,10802" coordsize="747,2">
              <v:shape style="position:absolute;left:9434;top:10802;width:747;height:2" coordorigin="9434,10802" coordsize="747,0" path="m9434,10802l10180,10802e" filled="false" stroked="true" strokeweight=".48004pt" strokecolor="#000000">
                <v:path arrowok="t"/>
              </v:shape>
            </v:group>
            <v:group style="position:absolute;left:10185;top:9873;width:2;height:934" coordorigin="10185,9873" coordsize="2,934">
              <v:shape style="position:absolute;left:10185;top:9873;width:2;height:934" coordorigin="10185,9873" coordsize="0,934" path="m10185,9873l10185,10807e" filled="false" stroked="true" strokeweight=".48001pt" strokecolor="#000000">
                <v:path arrowok="t"/>
              </v:shape>
            </v:group>
            <v:group style="position:absolute;left:10190;top:10802;width:886;height:2" coordorigin="10190,10802" coordsize="886,2">
              <v:shape style="position:absolute;left:10190;top:10802;width:886;height:2" coordorigin="10190,10802" coordsize="886,0" path="m10190,10802l11076,10802e" filled="false" stroked="true" strokeweight=".48004pt" strokecolor="#000000">
                <v:path arrowok="t"/>
              </v:shape>
            </v:group>
            <v:group style="position:absolute;left:11085;top:478;width:2;height:10329" coordorigin="11085,478" coordsize="2,10329">
              <v:shape style="position:absolute;left:11085;top:478;width:2;height:10329" coordorigin="11085,478" coordsize="0,10329" path="m11085,478l11085,10807e" filled="false" stroked="true" strokeweight=".96002pt" strokecolor="#000000">
                <v:path arrowok="t"/>
              </v:shape>
            </v:group>
            <w10:wrap type="none"/>
          </v:group>
        </w:pict>
      </w: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万元</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16" w:footer="956" w:top="1160" w:bottom="1140" w:left="700" w:right="0"/>
        </w:sectPr>
      </w:pPr>
    </w:p>
    <w:p>
      <w:pPr>
        <w:spacing w:line="240" w:lineRule="auto" w:before="5"/>
        <w:rPr>
          <w:rFonts w:ascii="宋体" w:hAnsi="宋体" w:cs="宋体" w:eastAsia="宋体" w:hint="default"/>
          <w:sz w:val="21"/>
          <w:szCs w:val="21"/>
        </w:rPr>
      </w:pPr>
    </w:p>
    <w:p>
      <w:pPr>
        <w:tabs>
          <w:tab w:pos="4900" w:val="left" w:leader="none"/>
        </w:tabs>
        <w:spacing w:before="0"/>
        <w:ind w:left="231" w:right="-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募集资金总额</w:t>
        <w:tab/>
      </w:r>
      <w:r>
        <w:rPr>
          <w:rFonts w:ascii="Times New Roman" w:hAnsi="Times New Roman" w:cs="Times New Roman" w:eastAsia="Times New Roman" w:hint="default"/>
          <w:sz w:val="18"/>
          <w:szCs w:val="18"/>
        </w:rPr>
        <w:t>24,013.97</w:t>
      </w:r>
    </w:p>
    <w:p>
      <w:pPr>
        <w:spacing w:line="240" w:lineRule="auto" w:before="8"/>
        <w:rPr>
          <w:rFonts w:ascii="Times New Roman" w:hAnsi="Times New Roman" w:cs="Times New Roman" w:eastAsia="Times New Roman" w:hint="default"/>
          <w:sz w:val="19"/>
          <w:szCs w:val="19"/>
        </w:rPr>
      </w:pPr>
    </w:p>
    <w:p>
      <w:pPr>
        <w:spacing w:line="178" w:lineRule="exact" w:before="0"/>
        <w:ind w:left="231" w:right="-20" w:firstLine="0"/>
        <w:jc w:val="left"/>
        <w:rPr>
          <w:rFonts w:ascii="宋体" w:hAnsi="宋体" w:cs="宋体" w:eastAsia="宋体" w:hint="default"/>
          <w:sz w:val="18"/>
          <w:szCs w:val="18"/>
        </w:rPr>
      </w:pPr>
      <w:r>
        <w:rPr>
          <w:rFonts w:ascii="宋体" w:hAnsi="宋体" w:cs="宋体" w:eastAsia="宋体" w:hint="default"/>
          <w:spacing w:val="9"/>
          <w:sz w:val="18"/>
          <w:szCs w:val="18"/>
        </w:rPr>
        <w:t>报告期内变更用途的募集资金总</w:t>
      </w:r>
    </w:p>
    <w:p>
      <w:pPr>
        <w:spacing w:line="237" w:lineRule="auto" w:before="46"/>
        <w:ind w:left="176" w:right="0" w:firstLine="0"/>
        <w:jc w:val="both"/>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本年度投</w:t>
      </w:r>
      <w:r>
        <w:rPr>
          <w:rFonts w:ascii="宋体" w:hAnsi="宋体" w:cs="宋体" w:eastAsia="宋体" w:hint="default"/>
          <w:spacing w:val="-42"/>
          <w:sz w:val="18"/>
          <w:szCs w:val="18"/>
        </w:rPr>
        <w:t> </w:t>
      </w:r>
      <w:r>
        <w:rPr>
          <w:rFonts w:ascii="宋体" w:hAnsi="宋体" w:cs="宋体" w:eastAsia="宋体" w:hint="default"/>
          <w:spacing w:val="36"/>
          <w:sz w:val="18"/>
          <w:szCs w:val="18"/>
        </w:rPr>
        <w:t>入募集资</w:t>
      </w:r>
      <w:r>
        <w:rPr>
          <w:rFonts w:ascii="宋体" w:hAnsi="宋体" w:cs="宋体" w:eastAsia="宋体" w:hint="default"/>
          <w:spacing w:val="-42"/>
          <w:sz w:val="18"/>
          <w:szCs w:val="18"/>
        </w:rPr>
        <w:t> </w:t>
      </w:r>
      <w:r>
        <w:rPr>
          <w:rFonts w:ascii="宋体" w:hAnsi="宋体" w:cs="宋体" w:eastAsia="宋体" w:hint="default"/>
          <w:sz w:val="18"/>
          <w:szCs w:val="18"/>
        </w:rPr>
        <w:t>金总额</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231" w:right="0" w:firstLine="0"/>
        <w:jc w:val="left"/>
        <w:rPr>
          <w:rFonts w:ascii="Times New Roman" w:hAnsi="Times New Roman" w:cs="Times New Roman" w:eastAsia="Times New Roman" w:hint="default"/>
          <w:sz w:val="18"/>
          <w:szCs w:val="18"/>
        </w:rPr>
      </w:pPr>
      <w:r>
        <w:rPr>
          <w:rFonts w:ascii="Times New Roman"/>
          <w:sz w:val="18"/>
        </w:rPr>
        <w:t>10,744.70</w:t>
      </w:r>
    </w:p>
    <w:p>
      <w:pPr>
        <w:spacing w:after="0"/>
        <w:jc w:val="left"/>
        <w:rPr>
          <w:rFonts w:ascii="Times New Roman" w:hAnsi="Times New Roman" w:cs="Times New Roman" w:eastAsia="Times New Roman" w:hint="default"/>
          <w:sz w:val="18"/>
          <w:szCs w:val="18"/>
        </w:rPr>
        <w:sectPr>
          <w:type w:val="continuous"/>
          <w:pgSz w:w="11910" w:h="16840"/>
          <w:pgMar w:top="1580" w:bottom="1140" w:left="700" w:right="0"/>
          <w:cols w:num="3" w:equalWidth="0">
            <w:col w:w="5621" w:space="40"/>
            <w:col w:w="1089" w:space="2577"/>
            <w:col w:w="1883"/>
          </w:cols>
        </w:sectPr>
      </w:pPr>
    </w:p>
    <w:p>
      <w:pPr>
        <w:tabs>
          <w:tab w:pos="5528" w:val="left" w:leader="none"/>
          <w:tab w:pos="5836" w:val="left" w:leader="none"/>
        </w:tabs>
        <w:spacing w:line="329" w:lineRule="exact" w:before="0"/>
        <w:ind w:left="231" w:right="1689" w:firstLine="0"/>
        <w:jc w:val="left"/>
        <w:rPr>
          <w:rFonts w:ascii="宋体" w:hAnsi="宋体" w:cs="宋体" w:eastAsia="宋体" w:hint="default"/>
          <w:sz w:val="18"/>
          <w:szCs w:val="18"/>
        </w:rPr>
      </w:pPr>
      <w:r>
        <w:rPr>
          <w:rFonts w:ascii="宋体" w:hAnsi="宋体" w:cs="宋体" w:eastAsia="宋体" w:hint="default"/>
          <w:position w:val="4"/>
          <w:sz w:val="18"/>
          <w:szCs w:val="18"/>
        </w:rPr>
        <w:t>额</w:t>
        <w:tab/>
      </w:r>
      <w:r>
        <w:rPr>
          <w:rFonts w:ascii="Times New Roman" w:hAnsi="Times New Roman" w:cs="Times New Roman" w:eastAsia="Times New Roman" w:hint="default"/>
          <w:position w:val="16"/>
          <w:sz w:val="18"/>
          <w:szCs w:val="18"/>
        </w:rPr>
        <w:t>0</w:t>
        <w:tab/>
      </w:r>
      <w:r>
        <w:rPr>
          <w:rFonts w:ascii="宋体" w:hAnsi="宋体" w:cs="宋体" w:eastAsia="宋体" w:hint="default"/>
          <w:spacing w:val="36"/>
          <w:sz w:val="18"/>
          <w:szCs w:val="18"/>
        </w:rPr>
        <w:t>已累计投</w:t>
      </w:r>
      <w:r>
        <w:rPr>
          <w:rFonts w:ascii="宋体" w:hAnsi="宋体" w:cs="宋体" w:eastAsia="宋体" w:hint="default"/>
          <w:spacing w:val="-42"/>
          <w:sz w:val="18"/>
          <w:szCs w:val="18"/>
        </w:rPr>
        <w:t> </w:t>
      </w:r>
      <w:r>
        <w:rPr>
          <w:rFonts w:ascii="宋体" w:hAnsi="宋体" w:cs="宋体" w:eastAsia="宋体" w:hint="default"/>
          <w:sz w:val="18"/>
          <w:szCs w:val="18"/>
        </w:rPr>
      </w:r>
    </w:p>
    <w:p>
      <w:pPr>
        <w:spacing w:after="0" w:line="329" w:lineRule="exact"/>
        <w:jc w:val="left"/>
        <w:rPr>
          <w:rFonts w:ascii="宋体" w:hAnsi="宋体" w:cs="宋体" w:eastAsia="宋体" w:hint="default"/>
          <w:sz w:val="18"/>
          <w:szCs w:val="18"/>
        </w:rPr>
        <w:sectPr>
          <w:type w:val="continuous"/>
          <w:pgSz w:w="11910" w:h="16840"/>
          <w:pgMar w:top="1580" w:bottom="1140" w:left="700" w:right="0"/>
        </w:sectPr>
      </w:pPr>
    </w:p>
    <w:p>
      <w:pPr>
        <w:tabs>
          <w:tab w:pos="5528" w:val="left" w:leader="none"/>
        </w:tabs>
        <w:spacing w:line="246" w:lineRule="exact" w:before="0"/>
        <w:ind w:left="231"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累计变更用途的募集资金总额</w:t>
      </w:r>
      <w:r>
        <w:rPr>
          <w:rFonts w:ascii="Times New Roman" w:hAnsi="Times New Roman" w:cs="Times New Roman" w:eastAsia="Times New Roman" w:hint="default"/>
          <w:sz w:val="18"/>
          <w:szCs w:val="18"/>
        </w:rPr>
        <w:tab/>
        <w:t>0</w:t>
      </w:r>
    </w:p>
    <w:p>
      <w:pPr>
        <w:spacing w:line="195" w:lineRule="exact" w:before="19"/>
        <w:ind w:left="231" w:right="-19" w:firstLine="0"/>
        <w:jc w:val="left"/>
        <w:rPr>
          <w:rFonts w:ascii="宋体" w:hAnsi="宋体" w:cs="宋体" w:eastAsia="宋体" w:hint="default"/>
          <w:sz w:val="18"/>
          <w:szCs w:val="18"/>
        </w:rPr>
      </w:pPr>
      <w:r>
        <w:rPr>
          <w:rFonts w:ascii="宋体" w:hAnsi="宋体" w:cs="宋体" w:eastAsia="宋体" w:hint="default"/>
          <w:spacing w:val="9"/>
          <w:sz w:val="18"/>
          <w:szCs w:val="18"/>
        </w:rPr>
        <w:t>累计变更用途的募集资金总额比</w:t>
      </w:r>
    </w:p>
    <w:p>
      <w:pPr>
        <w:tabs>
          <w:tab w:pos="5528" w:val="left" w:leader="none"/>
        </w:tabs>
        <w:spacing w:line="273" w:lineRule="exact" w:before="0"/>
        <w:ind w:left="231" w:right="-19"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例</w:t>
      </w:r>
      <w:r>
        <w:rPr>
          <w:rFonts w:ascii="Times New Roman" w:hAnsi="Times New Roman" w:cs="Times New Roman" w:eastAsia="Times New Roman" w:hint="default"/>
          <w:sz w:val="18"/>
          <w:szCs w:val="18"/>
        </w:rPr>
        <w:tab/>
        <w:t>0</w:t>
      </w:r>
    </w:p>
    <w:p>
      <w:pPr>
        <w:spacing w:line="232" w:lineRule="exact" w:before="22"/>
        <w:ind w:left="177" w:right="0" w:firstLine="0"/>
        <w:jc w:val="left"/>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入募集资</w:t>
      </w:r>
      <w:r>
        <w:rPr>
          <w:rFonts w:ascii="宋体" w:hAnsi="宋体" w:cs="宋体" w:eastAsia="宋体" w:hint="default"/>
          <w:spacing w:val="-42"/>
          <w:sz w:val="18"/>
          <w:szCs w:val="18"/>
        </w:rPr>
        <w:t> </w:t>
      </w:r>
      <w:r>
        <w:rPr>
          <w:rFonts w:ascii="宋体" w:hAnsi="宋体" w:cs="宋体" w:eastAsia="宋体" w:hint="default"/>
          <w:sz w:val="18"/>
          <w:szCs w:val="18"/>
        </w:rPr>
        <w:t>金总额</w:t>
      </w:r>
    </w:p>
    <w:p>
      <w:pPr>
        <w:spacing w:before="34"/>
        <w:ind w:left="231" w:right="0" w:firstLine="0"/>
        <w:jc w:val="left"/>
        <w:rPr>
          <w:rFonts w:ascii="Times New Roman" w:hAnsi="Times New Roman" w:cs="Times New Roman" w:eastAsia="Times New Roman" w:hint="default"/>
          <w:sz w:val="18"/>
          <w:szCs w:val="18"/>
        </w:rPr>
      </w:pPr>
      <w:r>
        <w:rPr/>
        <w:br w:type="column"/>
      </w:r>
      <w:r>
        <w:rPr>
          <w:rFonts w:ascii="Times New Roman"/>
          <w:sz w:val="18"/>
        </w:rPr>
        <w:t>18,609.77</w:t>
      </w:r>
    </w:p>
    <w:p>
      <w:pPr>
        <w:spacing w:after="0"/>
        <w:jc w:val="left"/>
        <w:rPr>
          <w:rFonts w:ascii="Times New Roman" w:hAnsi="Times New Roman" w:cs="Times New Roman" w:eastAsia="Times New Roman" w:hint="default"/>
          <w:sz w:val="18"/>
          <w:szCs w:val="18"/>
        </w:rPr>
        <w:sectPr>
          <w:type w:val="continuous"/>
          <w:pgSz w:w="11910" w:h="16840"/>
          <w:pgMar w:top="1580" w:bottom="1140" w:left="700" w:right="0"/>
          <w:cols w:num="3" w:equalWidth="0">
            <w:col w:w="5620" w:space="40"/>
            <w:col w:w="1090" w:space="2577"/>
            <w:col w:w="1883"/>
          </w:cols>
        </w:sectPr>
      </w:pPr>
    </w:p>
    <w:p>
      <w:pPr>
        <w:spacing w:line="240" w:lineRule="auto" w:before="3"/>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580" w:bottom="1140" w:left="700" w:right="0"/>
        </w:sectPr>
      </w:pPr>
    </w:p>
    <w:p>
      <w:pPr>
        <w:spacing w:line="237" w:lineRule="auto" w:before="149"/>
        <w:ind w:left="303" w:right="0" w:firstLine="0"/>
        <w:jc w:val="center"/>
        <w:rPr>
          <w:rFonts w:ascii="宋体" w:hAnsi="宋体" w:cs="宋体" w:eastAsia="宋体" w:hint="default"/>
          <w:sz w:val="18"/>
          <w:szCs w:val="18"/>
        </w:rPr>
      </w:pPr>
      <w:r>
        <w:rPr>
          <w:rFonts w:ascii="宋体" w:hAnsi="宋体" w:cs="宋体" w:eastAsia="宋体" w:hint="default"/>
          <w:sz w:val="18"/>
          <w:szCs w:val="18"/>
        </w:rPr>
        <w:t>承诺投资 项目和超 募资金投 向</w:t>
      </w:r>
    </w:p>
    <w:p>
      <w:pPr>
        <w:spacing w:line="237" w:lineRule="auto" w:before="149"/>
        <w:ind w:left="248" w:right="0" w:hanging="36"/>
        <w:jc w:val="center"/>
        <w:rPr>
          <w:rFonts w:ascii="宋体" w:hAnsi="宋体" w:cs="宋体" w:eastAsia="宋体" w:hint="default"/>
          <w:sz w:val="18"/>
          <w:szCs w:val="18"/>
        </w:rPr>
      </w:pPr>
      <w:r>
        <w:rPr/>
        <w:br w:type="column"/>
      </w:r>
      <w:r>
        <w:rPr>
          <w:rFonts w:ascii="宋体" w:hAnsi="宋体" w:cs="宋体" w:eastAsia="宋体" w:hint="default"/>
          <w:sz w:val="18"/>
          <w:szCs w:val="18"/>
        </w:rPr>
        <w:t>是否已 变更项 </w:t>
      </w:r>
      <w:r>
        <w:rPr>
          <w:rFonts w:ascii="宋体" w:hAnsi="宋体" w:cs="宋体" w:eastAsia="宋体" w:hint="default"/>
          <w:spacing w:val="-9"/>
          <w:sz w:val="18"/>
          <w:szCs w:val="18"/>
        </w:rPr>
        <w:t>目（含部</w:t>
      </w:r>
      <w:r>
        <w:rPr>
          <w:rFonts w:ascii="宋体" w:hAnsi="宋体" w:cs="宋体" w:eastAsia="宋体" w:hint="default"/>
          <w:sz w:val="18"/>
          <w:szCs w:val="18"/>
        </w:rPr>
        <w:t> 分变更）</w:t>
      </w:r>
    </w:p>
    <w:p>
      <w:pPr>
        <w:spacing w:line="237" w:lineRule="auto" w:before="46"/>
        <w:ind w:left="21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募集资 金承诺 投资总 额</w:t>
      </w:r>
    </w:p>
    <w:p>
      <w:pPr>
        <w:spacing w:line="240" w:lineRule="auto" w:before="2"/>
        <w:rPr>
          <w:rFonts w:ascii="宋体" w:hAnsi="宋体" w:cs="宋体" w:eastAsia="宋体" w:hint="default"/>
          <w:sz w:val="22"/>
          <w:szCs w:val="22"/>
        </w:rPr>
      </w:pPr>
      <w:r>
        <w:rPr/>
        <w:br w:type="column"/>
      </w:r>
      <w:r>
        <w:rPr>
          <w:rFonts w:ascii="宋体"/>
          <w:sz w:val="22"/>
        </w:rPr>
      </w:r>
    </w:p>
    <w:p>
      <w:pPr>
        <w:spacing w:line="232" w:lineRule="exact" w:before="0"/>
        <w:ind w:left="303"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p>
      <w:pPr>
        <w:spacing w:line="240" w:lineRule="auto" w:before="2"/>
        <w:rPr>
          <w:rFonts w:ascii="Times New Roman" w:hAnsi="Times New Roman" w:cs="Times New Roman" w:eastAsia="Times New Roman" w:hint="default"/>
          <w:sz w:val="25"/>
          <w:szCs w:val="25"/>
        </w:rPr>
      </w:pPr>
      <w:r>
        <w:rPr/>
        <w:br w:type="column"/>
      </w:r>
      <w:r>
        <w:rPr>
          <w:rFonts w:ascii="Times New Roman"/>
          <w:sz w:val="25"/>
        </w:rPr>
      </w:r>
    </w:p>
    <w:p>
      <w:pPr>
        <w:spacing w:line="232" w:lineRule="exact" w:before="0"/>
        <w:ind w:left="303" w:right="6568" w:firstLine="0"/>
        <w:jc w:val="center"/>
        <w:rPr>
          <w:rFonts w:ascii="宋体" w:hAnsi="宋体" w:cs="宋体" w:eastAsia="宋体" w:hint="default"/>
          <w:sz w:val="18"/>
          <w:szCs w:val="18"/>
        </w:rPr>
      </w:pPr>
      <w:r>
        <w:rPr/>
        <w:pict>
          <v:shape style="position:absolute;margin-left:283.660004pt;margin-top:-4.334369pt;width:138.550pt;height:47.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5"/>
                    <w:gridCol w:w="1080"/>
                    <w:gridCol w:w="935"/>
                  </w:tblGrid>
                  <w:tr>
                    <w:trPr>
                      <w:trHeight w:val="440"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末累计</w:t>
                        </w:r>
                      </w:p>
                    </w:tc>
                    <w:tc>
                      <w:tcPr>
                        <w:tcW w:w="1080" w:type="dxa"/>
                        <w:tcBorders>
                          <w:top w:val="nil" w:sz="6" w:space="0" w:color="auto"/>
                          <w:left w:val="nil" w:sz="6" w:space="0" w:color="auto"/>
                          <w:bottom w:val="nil" w:sz="6" w:space="0" w:color="auto"/>
                          <w:right w:val="nil" w:sz="6" w:space="0" w:color="auto"/>
                        </w:tcBorders>
                      </w:tcPr>
                      <w:p>
                        <w:pPr>
                          <w:pStyle w:val="TableParagraph"/>
                          <w:spacing w:line="179" w:lineRule="exact"/>
                          <w:ind w:left="180" w:right="0"/>
                          <w:jc w:val="left"/>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投资进度</w:t>
                        </w:r>
                      </w:p>
                    </w:tc>
                    <w:tc>
                      <w:tcPr>
                        <w:tcW w:w="935" w:type="dxa"/>
                        <w:tcBorders>
                          <w:top w:val="nil" w:sz="6" w:space="0" w:color="auto"/>
                          <w:left w:val="nil" w:sz="6" w:space="0" w:color="auto"/>
                          <w:bottom w:val="nil" w:sz="6" w:space="0" w:color="auto"/>
                          <w:right w:val="nil" w:sz="6" w:space="0" w:color="auto"/>
                        </w:tcBorders>
                      </w:tcPr>
                      <w:p>
                        <w:pPr>
                          <w:pStyle w:val="TableParagraph"/>
                          <w:spacing w:line="179" w:lineRule="exact"/>
                          <w:ind w:left="179" w:right="0"/>
                          <w:jc w:val="left"/>
                          <w:rPr>
                            <w:rFonts w:ascii="宋体" w:hAnsi="宋体" w:cs="宋体" w:eastAsia="宋体" w:hint="default"/>
                            <w:sz w:val="18"/>
                            <w:szCs w:val="18"/>
                          </w:rPr>
                        </w:pPr>
                        <w:r>
                          <w:rPr>
                            <w:rFonts w:ascii="宋体" w:hAnsi="宋体" w:cs="宋体" w:eastAsia="宋体" w:hint="default"/>
                            <w:sz w:val="18"/>
                            <w:szCs w:val="18"/>
                          </w:rPr>
                          <w:t>项目达到</w:t>
                        </w:r>
                      </w:p>
                      <w:p>
                        <w:pPr>
                          <w:pStyle w:val="TableParagraph"/>
                          <w:spacing w:line="234" w:lineRule="exact"/>
                          <w:ind w:left="179" w:right="0"/>
                          <w:jc w:val="left"/>
                          <w:rPr>
                            <w:rFonts w:ascii="宋体" w:hAnsi="宋体" w:cs="宋体" w:eastAsia="宋体" w:hint="default"/>
                            <w:sz w:val="18"/>
                            <w:szCs w:val="18"/>
                          </w:rPr>
                        </w:pPr>
                        <w:r>
                          <w:rPr>
                            <w:rFonts w:ascii="宋体" w:hAnsi="宋体" w:cs="宋体" w:eastAsia="宋体" w:hint="default"/>
                            <w:sz w:val="18"/>
                            <w:szCs w:val="18"/>
                          </w:rPr>
                          <w:t>预定可使</w:t>
                        </w:r>
                      </w:p>
                    </w:tc>
                  </w:tr>
                  <w:tr>
                    <w:trPr>
                      <w:trHeight w:val="239"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08" w:lineRule="exact"/>
                          <w:ind w:right="143"/>
                          <w:jc w:val="center"/>
                          <w:rPr>
                            <w:rFonts w:ascii="宋体" w:hAnsi="宋体" w:cs="宋体" w:eastAsia="宋体" w:hint="default"/>
                            <w:sz w:val="18"/>
                            <w:szCs w:val="18"/>
                          </w:rPr>
                        </w:pPr>
                        <w:r>
                          <w:rPr>
                            <w:rFonts w:ascii="宋体" w:hAnsi="宋体" w:cs="宋体" w:eastAsia="宋体" w:hint="default"/>
                            <w:sz w:val="18"/>
                            <w:szCs w:val="18"/>
                          </w:rPr>
                          <w:t>投入金</w:t>
                        </w:r>
                      </w:p>
                    </w:tc>
                    <w:tc>
                      <w:tcPr>
                        <w:tcW w:w="1080" w:type="dxa"/>
                        <w:tcBorders>
                          <w:top w:val="nil" w:sz="6" w:space="0" w:color="auto"/>
                          <w:left w:val="nil" w:sz="6" w:space="0" w:color="auto"/>
                          <w:bottom w:val="nil" w:sz="6" w:space="0" w:color="auto"/>
                          <w:right w:val="nil" w:sz="6" w:space="0" w:color="auto"/>
                        </w:tcBorders>
                      </w:tcPr>
                      <w:p>
                        <w:pPr>
                          <w:pStyle w:val="TableParagraph"/>
                          <w:spacing w:line="22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935" w:type="dxa"/>
                        <w:tcBorders>
                          <w:top w:val="nil" w:sz="6" w:space="0" w:color="auto"/>
                          <w:left w:val="nil" w:sz="6" w:space="0" w:color="auto"/>
                          <w:bottom w:val="nil" w:sz="6" w:space="0" w:color="auto"/>
                          <w:right w:val="nil" w:sz="6" w:space="0" w:color="auto"/>
                        </w:tcBorders>
                      </w:tcPr>
                      <w:p>
                        <w:pPr>
                          <w:pStyle w:val="TableParagraph"/>
                          <w:spacing w:line="208" w:lineRule="exact"/>
                          <w:ind w:left="144" w:right="0"/>
                          <w:jc w:val="center"/>
                          <w:rPr>
                            <w:rFonts w:ascii="宋体" w:hAnsi="宋体" w:cs="宋体" w:eastAsia="宋体" w:hint="default"/>
                            <w:sz w:val="18"/>
                            <w:szCs w:val="18"/>
                          </w:rPr>
                        </w:pPr>
                        <w:r>
                          <w:rPr>
                            <w:rFonts w:ascii="宋体" w:hAnsi="宋体" w:cs="宋体" w:eastAsia="宋体" w:hint="default"/>
                            <w:sz w:val="18"/>
                            <w:szCs w:val="18"/>
                          </w:rPr>
                          <w:t>用状态日</w:t>
                        </w:r>
                      </w:p>
                    </w:tc>
                  </w:tr>
                  <w:tr>
                    <w:trPr>
                      <w:trHeight w:val="277"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15" w:lineRule="exact"/>
                          <w:ind w:right="143"/>
                          <w:jc w:val="center"/>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1080"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35" w:type="dxa"/>
                        <w:tcBorders>
                          <w:top w:val="nil" w:sz="6" w:space="0" w:color="auto"/>
                          <w:left w:val="nil" w:sz="6" w:space="0" w:color="auto"/>
                          <w:bottom w:val="nil" w:sz="6" w:space="0" w:color="auto"/>
                          <w:right w:val="nil" w:sz="6" w:space="0" w:color="auto"/>
                        </w:tcBorders>
                      </w:tcPr>
                      <w:p>
                        <w:pPr>
                          <w:pStyle w:val="TableParagraph"/>
                          <w:spacing w:line="201" w:lineRule="exact"/>
                          <w:ind w:left="142" w:right="0"/>
                          <w:jc w:val="center"/>
                          <w:rPr>
                            <w:rFonts w:ascii="宋体" w:hAnsi="宋体" w:cs="宋体" w:eastAsia="宋体" w:hint="default"/>
                            <w:sz w:val="18"/>
                            <w:szCs w:val="18"/>
                          </w:rPr>
                        </w:pPr>
                        <w:r>
                          <w:rPr>
                            <w:rFonts w:ascii="宋体" w:hAnsi="宋体" w:cs="宋体" w:eastAsia="宋体" w:hint="default"/>
                            <w:sz w:val="18"/>
                            <w:szCs w:val="18"/>
                          </w:rPr>
                          <w:t>期</w:t>
                        </w:r>
                      </w:p>
                    </w:tc>
                  </w:tr>
                </w:tbl>
                <w:p>
                  <w:pPr/>
                </w:p>
              </w:txbxContent>
            </v:textbox>
            <w10:wrap type="none"/>
          </v:shape>
        </w:pict>
      </w:r>
      <w:r>
        <w:rPr/>
        <w:pict>
          <v:shape style="position:absolute;margin-left:435.119995pt;margin-top:-15.214369pt;width:111.9pt;height:65.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5"/>
                    <w:gridCol w:w="814"/>
                    <w:gridCol w:w="719"/>
                  </w:tblGrid>
                  <w:tr>
                    <w:trPr>
                      <w:trHeight w:val="542"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本年度</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是否达</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3" w:right="33"/>
                          <w:jc w:val="left"/>
                          <w:rPr>
                            <w:rFonts w:ascii="宋体" w:hAnsi="宋体" w:cs="宋体" w:eastAsia="宋体" w:hint="default"/>
                            <w:sz w:val="18"/>
                            <w:szCs w:val="18"/>
                          </w:rPr>
                        </w:pPr>
                        <w:r>
                          <w:rPr>
                            <w:rFonts w:ascii="宋体" w:hAnsi="宋体" w:cs="宋体" w:eastAsia="宋体" w:hint="default"/>
                            <w:sz w:val="18"/>
                            <w:szCs w:val="18"/>
                          </w:rPr>
                          <w:t>项目可 行性是</w:t>
                        </w:r>
                      </w:p>
                    </w:tc>
                  </w:tr>
                  <w:tr>
                    <w:trPr>
                      <w:trHeight w:val="233"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06" w:lineRule="exact"/>
                          <w:ind w:right="92"/>
                          <w:jc w:val="center"/>
                          <w:rPr>
                            <w:rFonts w:ascii="宋体" w:hAnsi="宋体" w:cs="宋体" w:eastAsia="宋体" w:hint="default"/>
                            <w:sz w:val="18"/>
                            <w:szCs w:val="18"/>
                          </w:rPr>
                        </w:pPr>
                        <w:r>
                          <w:rPr>
                            <w:rFonts w:ascii="宋体" w:hAnsi="宋体" w:cs="宋体" w:eastAsia="宋体" w:hint="default"/>
                            <w:sz w:val="18"/>
                            <w:szCs w:val="18"/>
                          </w:rPr>
                          <w:t>实现的</w:t>
                        </w:r>
                      </w:p>
                    </w:tc>
                    <w:tc>
                      <w:tcPr>
                        <w:tcW w:w="814" w:type="dxa"/>
                        <w:tcBorders>
                          <w:top w:val="nil" w:sz="6" w:space="0" w:color="auto"/>
                          <w:left w:val="nil" w:sz="6" w:space="0" w:color="auto"/>
                          <w:bottom w:val="nil" w:sz="6" w:space="0" w:color="auto"/>
                          <w:right w:val="nil" w:sz="6" w:space="0" w:color="auto"/>
                        </w:tcBorders>
                      </w:tcPr>
                      <w:p>
                        <w:pPr>
                          <w:pStyle w:val="TableParagraph"/>
                          <w:spacing w:line="206" w:lineRule="exact"/>
                          <w:ind w:right="12"/>
                          <w:jc w:val="center"/>
                          <w:rPr>
                            <w:rFonts w:ascii="宋体" w:hAnsi="宋体" w:cs="宋体" w:eastAsia="宋体" w:hint="default"/>
                            <w:sz w:val="18"/>
                            <w:szCs w:val="18"/>
                          </w:rPr>
                        </w:pPr>
                        <w:r>
                          <w:rPr>
                            <w:rFonts w:ascii="宋体" w:hAnsi="宋体" w:cs="宋体" w:eastAsia="宋体" w:hint="default"/>
                            <w:sz w:val="18"/>
                            <w:szCs w:val="18"/>
                          </w:rPr>
                          <w:t>到预计</w:t>
                        </w:r>
                      </w:p>
                    </w:tc>
                    <w:tc>
                      <w:tcPr>
                        <w:tcW w:w="719"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center"/>
                          <w:rPr>
                            <w:rFonts w:ascii="宋体" w:hAnsi="宋体" w:cs="宋体" w:eastAsia="宋体" w:hint="default"/>
                            <w:sz w:val="18"/>
                            <w:szCs w:val="18"/>
                          </w:rPr>
                        </w:pPr>
                        <w:r>
                          <w:rPr>
                            <w:rFonts w:ascii="宋体" w:hAnsi="宋体" w:cs="宋体" w:eastAsia="宋体" w:hint="default"/>
                            <w:sz w:val="18"/>
                            <w:szCs w:val="18"/>
                          </w:rPr>
                          <w:t>否发生</w:t>
                        </w:r>
                      </w:p>
                    </w:tc>
                  </w:tr>
                  <w:tr>
                    <w:trPr>
                      <w:trHeight w:val="233"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06" w:lineRule="exact"/>
                          <w:ind w:right="89"/>
                          <w:jc w:val="center"/>
                          <w:rPr>
                            <w:rFonts w:ascii="宋体" w:hAnsi="宋体" w:cs="宋体" w:eastAsia="宋体" w:hint="default"/>
                            <w:sz w:val="18"/>
                            <w:szCs w:val="18"/>
                          </w:rPr>
                        </w:pPr>
                        <w:r>
                          <w:rPr>
                            <w:rFonts w:ascii="宋体" w:hAnsi="宋体" w:cs="宋体" w:eastAsia="宋体" w:hint="default"/>
                            <w:sz w:val="18"/>
                            <w:szCs w:val="18"/>
                          </w:rPr>
                          <w:t>效益</w:t>
                        </w:r>
                      </w:p>
                    </w:tc>
                    <w:tc>
                      <w:tcPr>
                        <w:tcW w:w="814" w:type="dxa"/>
                        <w:tcBorders>
                          <w:top w:val="nil" w:sz="6" w:space="0" w:color="auto"/>
                          <w:left w:val="nil" w:sz="6" w:space="0" w:color="auto"/>
                          <w:bottom w:val="nil" w:sz="6" w:space="0" w:color="auto"/>
                          <w:right w:val="nil" w:sz="6" w:space="0" w:color="auto"/>
                        </w:tcBorders>
                      </w:tcPr>
                      <w:p>
                        <w:pPr>
                          <w:pStyle w:val="TableParagraph"/>
                          <w:spacing w:line="206" w:lineRule="exact"/>
                          <w:ind w:right="14"/>
                          <w:jc w:val="center"/>
                          <w:rPr>
                            <w:rFonts w:ascii="宋体" w:hAnsi="宋体" w:cs="宋体" w:eastAsia="宋体" w:hint="default"/>
                            <w:sz w:val="18"/>
                            <w:szCs w:val="18"/>
                          </w:rPr>
                        </w:pPr>
                        <w:r>
                          <w:rPr>
                            <w:rFonts w:ascii="宋体" w:hAnsi="宋体" w:cs="宋体" w:eastAsia="宋体" w:hint="default"/>
                            <w:sz w:val="18"/>
                            <w:szCs w:val="18"/>
                          </w:rPr>
                          <w:t>效益</w:t>
                        </w:r>
                      </w:p>
                    </w:tc>
                    <w:tc>
                      <w:tcPr>
                        <w:tcW w:w="719"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center"/>
                          <w:rPr>
                            <w:rFonts w:ascii="宋体" w:hAnsi="宋体" w:cs="宋体" w:eastAsia="宋体" w:hint="default"/>
                            <w:sz w:val="18"/>
                            <w:szCs w:val="18"/>
                          </w:rPr>
                        </w:pPr>
                        <w:r>
                          <w:rPr>
                            <w:rFonts w:ascii="宋体" w:hAnsi="宋体" w:cs="宋体" w:eastAsia="宋体" w:hint="default"/>
                            <w:sz w:val="18"/>
                            <w:szCs w:val="18"/>
                          </w:rPr>
                          <w:t>重大变</w:t>
                        </w:r>
                      </w:p>
                    </w:tc>
                  </w:tr>
                  <w:tr>
                    <w:trPr>
                      <w:trHeight w:val="306" w:hRule="exact"/>
                    </w:trPr>
                    <w:tc>
                      <w:tcPr>
                        <w:tcW w:w="705"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center"/>
                          <w:rPr>
                            <w:rFonts w:ascii="宋体" w:hAnsi="宋体" w:cs="宋体" w:eastAsia="宋体" w:hint="default"/>
                            <w:sz w:val="18"/>
                            <w:szCs w:val="18"/>
                          </w:rPr>
                        </w:pPr>
                        <w:r>
                          <w:rPr>
                            <w:rFonts w:ascii="宋体" w:hAnsi="宋体" w:cs="宋体" w:eastAsia="宋体" w:hint="default"/>
                            <w:sz w:val="18"/>
                            <w:szCs w:val="18"/>
                          </w:rPr>
                          <w:t>化</w:t>
                        </w:r>
                      </w:p>
                    </w:tc>
                  </w:tr>
                </w:tbl>
                <w:p>
                  <w:pPr/>
                </w:p>
              </w:txbxContent>
            </v:textbox>
            <w10:wrap type="none"/>
          </v:shape>
        </w:pict>
      </w:r>
      <w:r>
        <w:rPr>
          <w:rFonts w:ascii="宋体" w:hAnsi="宋体" w:cs="宋体" w:eastAsia="宋体" w:hint="default"/>
          <w:sz w:val="18"/>
          <w:szCs w:val="18"/>
        </w:rPr>
        <w:t>本年度 投入金 额</w:t>
      </w:r>
    </w:p>
    <w:p>
      <w:pPr>
        <w:spacing w:after="0" w:line="232" w:lineRule="exact"/>
        <w:jc w:val="center"/>
        <w:rPr>
          <w:rFonts w:ascii="宋体" w:hAnsi="宋体" w:cs="宋体" w:eastAsia="宋体" w:hint="default"/>
          <w:sz w:val="18"/>
          <w:szCs w:val="18"/>
        </w:rPr>
        <w:sectPr>
          <w:type w:val="continuous"/>
          <w:pgSz w:w="11910" w:h="16840"/>
          <w:pgMar w:top="1580" w:bottom="1140" w:left="700" w:right="0"/>
          <w:cols w:num="5" w:equalWidth="0">
            <w:col w:w="1024" w:space="40"/>
            <w:col w:w="969" w:space="40"/>
            <w:col w:w="752" w:space="57"/>
            <w:col w:w="844" w:space="68"/>
            <w:col w:w="7416"/>
          </w:cols>
        </w:sectPr>
      </w:pP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580" w:bottom="1140" w:left="700" w:right="0"/>
        </w:sectPr>
      </w:pPr>
    </w:p>
    <w:p>
      <w:pPr>
        <w:spacing w:line="232" w:lineRule="exact" w:before="69"/>
        <w:ind w:left="231" w:right="0" w:firstLine="0"/>
        <w:jc w:val="left"/>
        <w:rPr>
          <w:rFonts w:ascii="宋体" w:hAnsi="宋体" w:cs="宋体" w:eastAsia="宋体" w:hint="default"/>
          <w:sz w:val="18"/>
          <w:szCs w:val="18"/>
        </w:rPr>
      </w:pPr>
      <w:r>
        <w:rPr>
          <w:rFonts w:ascii="宋体" w:hAnsi="宋体" w:cs="宋体" w:eastAsia="宋体" w:hint="default"/>
          <w:spacing w:val="36"/>
          <w:sz w:val="18"/>
          <w:szCs w:val="18"/>
        </w:rPr>
        <w:t>承诺投资</w:t>
      </w:r>
      <w:r>
        <w:rPr>
          <w:rFonts w:ascii="宋体" w:hAnsi="宋体" w:cs="宋体" w:eastAsia="宋体" w:hint="default"/>
          <w:spacing w:val="-42"/>
          <w:sz w:val="18"/>
          <w:szCs w:val="18"/>
        </w:rPr>
        <w:t> </w:t>
      </w:r>
      <w:r>
        <w:rPr>
          <w:rFonts w:ascii="宋体" w:hAnsi="宋体" w:cs="宋体" w:eastAsia="宋体" w:hint="default"/>
          <w:sz w:val="18"/>
          <w:szCs w:val="18"/>
        </w:rPr>
        <w:t>项目</w:t>
      </w:r>
    </w:p>
    <w:p>
      <w:pPr>
        <w:spacing w:line="237" w:lineRule="auto" w:before="78"/>
        <w:ind w:left="118" w:right="0" w:firstLine="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3"/>
          <w:sz w:val="21"/>
          <w:szCs w:val="21"/>
        </w:rPr>
        <w:t> </w:t>
      </w:r>
      <w:r>
        <w:rPr>
          <w:rFonts w:ascii="宋体" w:hAnsi="宋体" w:cs="宋体" w:eastAsia="宋体" w:hint="default"/>
          <w:sz w:val="21"/>
          <w:szCs w:val="21"/>
        </w:rPr>
        <w:t>化</w:t>
      </w:r>
      <w:r>
        <w:rPr>
          <w:rFonts w:ascii="宋体" w:hAnsi="宋体" w:cs="宋体" w:eastAsia="宋体" w:hint="default"/>
          <w:spacing w:val="-73"/>
          <w:sz w:val="21"/>
          <w:szCs w:val="21"/>
        </w:rPr>
        <w:t> </w:t>
      </w:r>
      <w:r>
        <w:rPr>
          <w:rFonts w:ascii="宋体" w:hAnsi="宋体" w:cs="宋体" w:eastAsia="宋体" w:hint="default"/>
          <w:sz w:val="21"/>
          <w:szCs w:val="21"/>
        </w:rPr>
        <w:t>箱</w:t>
      </w:r>
      <w:r>
        <w:rPr>
          <w:rFonts w:ascii="宋体" w:hAnsi="宋体" w:cs="宋体" w:eastAsia="宋体" w:hint="default"/>
          <w:spacing w:val="-76"/>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站</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线</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改</w:t>
      </w:r>
      <w:r>
        <w:rPr>
          <w:rFonts w:ascii="宋体" w:hAnsi="宋体" w:cs="宋体" w:eastAsia="宋体" w:hint="default"/>
          <w:spacing w:val="-76"/>
          <w:sz w:val="21"/>
          <w:szCs w:val="21"/>
        </w:rPr>
        <w:t> </w:t>
      </w:r>
      <w:r>
        <w:rPr>
          <w:rFonts w:ascii="宋体" w:hAnsi="宋体" w:cs="宋体" w:eastAsia="宋体" w:hint="default"/>
          <w:sz w:val="21"/>
          <w:szCs w:val="21"/>
        </w:rPr>
        <w:t>造</w:t>
      </w:r>
      <w:r>
        <w:rPr>
          <w:rFonts w:ascii="宋体" w:hAnsi="宋体" w:cs="宋体" w:eastAsia="宋体" w:hint="default"/>
          <w:w w:val="100"/>
          <w:sz w:val="21"/>
          <w:szCs w:val="21"/>
        </w:rPr>
        <w:t> </w:t>
      </w:r>
      <w:r>
        <w:rPr>
          <w:rFonts w:ascii="宋体" w:hAnsi="宋体" w:cs="宋体" w:eastAsia="宋体" w:hint="default"/>
          <w:sz w:val="21"/>
          <w:szCs w:val="21"/>
        </w:rPr>
        <w:t>项目</w:t>
      </w:r>
    </w:p>
    <w:p>
      <w:pPr>
        <w:spacing w:line="237" w:lineRule="auto" w:before="52"/>
        <w:ind w:left="118" w:right="0" w:firstLine="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3"/>
          <w:sz w:val="21"/>
          <w:szCs w:val="21"/>
        </w:rPr>
        <w:t> </w:t>
      </w:r>
      <w:r>
        <w:rPr>
          <w:rFonts w:ascii="宋体" w:hAnsi="宋体" w:cs="宋体" w:eastAsia="宋体" w:hint="default"/>
          <w:sz w:val="21"/>
          <w:szCs w:val="21"/>
        </w:rPr>
        <w:t>化</w:t>
      </w:r>
      <w:r>
        <w:rPr>
          <w:rFonts w:ascii="宋体" w:hAnsi="宋体" w:cs="宋体" w:eastAsia="宋体" w:hint="default"/>
          <w:spacing w:val="-73"/>
          <w:sz w:val="21"/>
          <w:szCs w:val="21"/>
        </w:rPr>
        <w:t> </w:t>
      </w:r>
      <w:r>
        <w:rPr>
          <w:rFonts w:ascii="宋体" w:hAnsi="宋体" w:cs="宋体" w:eastAsia="宋体" w:hint="default"/>
          <w:sz w:val="21"/>
          <w:szCs w:val="21"/>
        </w:rPr>
        <w:t>永</w:t>
      </w:r>
      <w:r>
        <w:rPr>
          <w:rFonts w:ascii="宋体" w:hAnsi="宋体" w:cs="宋体" w:eastAsia="宋体" w:hint="default"/>
          <w:spacing w:val="-76"/>
          <w:sz w:val="21"/>
          <w:szCs w:val="21"/>
        </w:rPr>
        <w:t> </w:t>
      </w:r>
      <w:r>
        <w:rPr>
          <w:rFonts w:ascii="宋体" w:hAnsi="宋体" w:cs="宋体" w:eastAsia="宋体" w:hint="default"/>
          <w:sz w:val="21"/>
          <w:szCs w:val="21"/>
        </w:rPr>
        <w:t>磁</w:t>
      </w:r>
      <w:r>
        <w:rPr>
          <w:rFonts w:ascii="宋体" w:hAnsi="宋体" w:cs="宋体" w:eastAsia="宋体" w:hint="default"/>
          <w:w w:val="100"/>
          <w:sz w:val="21"/>
          <w:szCs w:val="21"/>
        </w:rPr>
        <w:t> </w:t>
      </w:r>
      <w:r>
        <w:rPr>
          <w:rFonts w:ascii="宋体" w:hAnsi="宋体" w:cs="宋体" w:eastAsia="宋体" w:hint="default"/>
          <w:sz w:val="21"/>
          <w:szCs w:val="21"/>
        </w:rPr>
        <w:t>真</w:t>
      </w:r>
      <w:r>
        <w:rPr>
          <w:rFonts w:ascii="宋体" w:hAnsi="宋体" w:cs="宋体" w:eastAsia="宋体" w:hint="default"/>
          <w:spacing w:val="-73"/>
          <w:sz w:val="21"/>
          <w:szCs w:val="21"/>
        </w:rPr>
        <w:t> </w:t>
      </w:r>
      <w:r>
        <w:rPr>
          <w:rFonts w:ascii="宋体" w:hAnsi="宋体" w:cs="宋体" w:eastAsia="宋体" w:hint="default"/>
          <w:sz w:val="21"/>
          <w:szCs w:val="21"/>
        </w:rPr>
        <w:t>空</w:t>
      </w:r>
      <w:r>
        <w:rPr>
          <w:rFonts w:ascii="宋体" w:hAnsi="宋体" w:cs="宋体" w:eastAsia="宋体" w:hint="default"/>
          <w:spacing w:val="-73"/>
          <w:sz w:val="21"/>
          <w:szCs w:val="21"/>
        </w:rPr>
        <w:t> </w:t>
      </w:r>
      <w:r>
        <w:rPr>
          <w:rFonts w:ascii="宋体" w:hAnsi="宋体" w:cs="宋体" w:eastAsia="宋体" w:hint="default"/>
          <w:sz w:val="21"/>
          <w:szCs w:val="21"/>
        </w:rPr>
        <w:t>断</w:t>
      </w:r>
      <w:r>
        <w:rPr>
          <w:rFonts w:ascii="宋体" w:hAnsi="宋体" w:cs="宋体" w:eastAsia="宋体" w:hint="default"/>
          <w:spacing w:val="-73"/>
          <w:sz w:val="21"/>
          <w:szCs w:val="21"/>
        </w:rPr>
        <w:t> </w:t>
      </w:r>
      <w:r>
        <w:rPr>
          <w:rFonts w:ascii="宋体" w:hAnsi="宋体" w:cs="宋体" w:eastAsia="宋体" w:hint="default"/>
          <w:sz w:val="21"/>
          <w:szCs w:val="21"/>
        </w:rPr>
        <w:t>路</w:t>
      </w:r>
      <w:r>
        <w:rPr>
          <w:rFonts w:ascii="宋体" w:hAnsi="宋体" w:cs="宋体" w:eastAsia="宋体" w:hint="default"/>
          <w:spacing w:val="-76"/>
          <w:sz w:val="21"/>
          <w:szCs w:val="21"/>
        </w:rPr>
        <w:t> </w:t>
      </w:r>
      <w:r>
        <w:rPr>
          <w:rFonts w:ascii="宋体" w:hAnsi="宋体" w:cs="宋体" w:eastAsia="宋体" w:hint="default"/>
          <w:sz w:val="21"/>
          <w:szCs w:val="21"/>
        </w:rPr>
        <w:t>器</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线</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改造项目</w:t>
      </w:r>
    </w:p>
    <w:p>
      <w:pPr>
        <w:spacing w:line="237" w:lineRule="auto" w:before="64"/>
        <w:ind w:left="118" w:right="0" w:firstLine="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3"/>
          <w:sz w:val="21"/>
          <w:szCs w:val="21"/>
        </w:rPr>
        <w:t> </w:t>
      </w:r>
      <w:r>
        <w:rPr>
          <w:rFonts w:ascii="宋体" w:hAnsi="宋体" w:cs="宋体" w:eastAsia="宋体" w:hint="default"/>
          <w:sz w:val="21"/>
          <w:szCs w:val="21"/>
        </w:rPr>
        <w:t>化</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spacing w:val="-73"/>
          <w:sz w:val="21"/>
          <w:szCs w:val="21"/>
        </w:rPr>
        <w:t> </w:t>
      </w:r>
      <w:r>
        <w:rPr>
          <w:rFonts w:ascii="宋体" w:hAnsi="宋体" w:cs="宋体" w:eastAsia="宋体" w:hint="default"/>
          <w:sz w:val="21"/>
          <w:szCs w:val="21"/>
        </w:rPr>
        <w:t>配</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3"/>
          <w:sz w:val="21"/>
          <w:szCs w:val="21"/>
        </w:rPr>
        <w:t> </w:t>
      </w:r>
      <w:r>
        <w:rPr>
          <w:rFonts w:ascii="宋体" w:hAnsi="宋体" w:cs="宋体" w:eastAsia="宋体" w:hint="default"/>
          <w:sz w:val="21"/>
          <w:szCs w:val="21"/>
        </w:rPr>
        <w:t>微</w:t>
      </w:r>
      <w:r>
        <w:rPr>
          <w:rFonts w:ascii="宋体" w:hAnsi="宋体" w:cs="宋体" w:eastAsia="宋体" w:hint="default"/>
          <w:spacing w:val="-76"/>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保</w:t>
      </w:r>
      <w:r>
        <w:rPr>
          <w:rFonts w:ascii="宋体" w:hAnsi="宋体" w:cs="宋体" w:eastAsia="宋体" w:hint="default"/>
          <w:spacing w:val="-73"/>
          <w:sz w:val="21"/>
          <w:szCs w:val="21"/>
        </w:rPr>
        <w:t> </w:t>
      </w:r>
      <w:r>
        <w:rPr>
          <w:rFonts w:ascii="宋体" w:hAnsi="宋体" w:cs="宋体" w:eastAsia="宋体" w:hint="default"/>
          <w:sz w:val="21"/>
          <w:szCs w:val="21"/>
        </w:rPr>
        <w:t>护</w:t>
      </w:r>
      <w:r>
        <w:rPr>
          <w:rFonts w:ascii="宋体" w:hAnsi="宋体" w:cs="宋体" w:eastAsia="宋体" w:hint="default"/>
          <w:spacing w:val="-76"/>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线</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1150" w:val="left" w:leader="none"/>
          <w:tab w:pos="2050" w:val="left" w:leader="none"/>
          <w:tab w:pos="2713" w:val="left" w:leader="none"/>
          <w:tab w:pos="3622" w:val="left" w:leader="none"/>
          <w:tab w:pos="4712" w:val="left" w:leader="none"/>
          <w:tab w:pos="7101" w:val="left" w:leader="none"/>
          <w:tab w:pos="7857" w:val="left" w:leader="none"/>
          <w:tab w:pos="8505" w:val="left" w:leader="none"/>
        </w:tabs>
        <w:spacing w:before="151"/>
        <w:ind w:left="118" w:right="0" w:firstLine="0"/>
        <w:jc w:val="left"/>
        <w:rPr>
          <w:rFonts w:ascii="宋体" w:hAnsi="宋体" w:cs="宋体" w:eastAsia="宋体" w:hint="default"/>
          <w:sz w:val="18"/>
          <w:szCs w:val="18"/>
        </w:rPr>
      </w:pPr>
      <w:r>
        <w:rPr>
          <w:rFonts w:ascii="宋体" w:hAnsi="宋体" w:cs="宋体" w:eastAsia="宋体" w:hint="default"/>
          <w:sz w:val="21"/>
          <w:szCs w:val="21"/>
        </w:rPr>
        <w:t>否</w:t>
        <w:tab/>
      </w:r>
      <w:r>
        <w:rPr>
          <w:rFonts w:ascii="Times New Roman" w:hAnsi="Times New Roman" w:cs="Times New Roman" w:eastAsia="Times New Roman" w:hint="default"/>
          <w:position w:val="1"/>
          <w:sz w:val="18"/>
          <w:szCs w:val="18"/>
        </w:rPr>
        <w:t>7,000</w:t>
        <w:tab/>
        <w:t>7,000</w:t>
        <w:tab/>
      </w:r>
      <w:r>
        <w:rPr>
          <w:rFonts w:ascii="Times New Roman" w:hAnsi="Times New Roman" w:cs="Times New Roman" w:eastAsia="Times New Roman" w:hint="default"/>
          <w:spacing w:val="-1"/>
          <w:position w:val="1"/>
          <w:sz w:val="18"/>
          <w:szCs w:val="18"/>
        </w:rPr>
        <w:t>1,115.13</w:t>
        <w:tab/>
      </w:r>
      <w:r>
        <w:rPr>
          <w:rFonts w:ascii="Times New Roman" w:hAnsi="Times New Roman" w:cs="Times New Roman" w:eastAsia="Times New Roman" w:hint="default"/>
          <w:position w:val="1"/>
          <w:sz w:val="18"/>
          <w:szCs w:val="18"/>
        </w:rPr>
        <w:t>1,404.39</w:t>
        <w:tab/>
      </w:r>
      <w:r>
        <w:rPr>
          <w:rFonts w:ascii="Times New Roman" w:hAnsi="Times New Roman" w:cs="Times New Roman" w:eastAsia="Times New Roman" w:hint="default"/>
          <w:position w:val="1"/>
          <w:sz w:val="21"/>
          <w:szCs w:val="21"/>
        </w:rPr>
        <w:t>20.06%  </w:t>
      </w:r>
      <w:r>
        <w:rPr>
          <w:rFonts w:ascii="Times New Roman" w:hAnsi="Times New Roman" w:cs="Times New Roman" w:eastAsia="Times New Roman" w:hint="default"/>
          <w:spacing w:val="-2"/>
          <w:position w:val="1"/>
          <w:sz w:val="18"/>
          <w:szCs w:val="18"/>
        </w:rPr>
        <w:t>2011</w:t>
      </w:r>
      <w:r>
        <w:rPr>
          <w:rFonts w:ascii="Times New Roman" w:hAnsi="Times New Roman" w:cs="Times New Roman" w:eastAsia="Times New Roman" w:hint="default"/>
          <w:position w:val="1"/>
          <w:sz w:val="18"/>
          <w:szCs w:val="18"/>
        </w:rPr>
        <w:t> </w:t>
      </w:r>
      <w:r>
        <w:rPr>
          <w:rFonts w:ascii="宋体" w:hAnsi="宋体" w:cs="宋体" w:eastAsia="宋体" w:hint="default"/>
          <w:position w:val="1"/>
          <w:sz w:val="18"/>
          <w:szCs w:val="18"/>
        </w:rPr>
        <w:t>年 </w:t>
      </w:r>
      <w:r>
        <w:rPr>
          <w:rFonts w:ascii="Times New Roman" w:hAnsi="Times New Roman" w:cs="Times New Roman" w:eastAsia="Times New Roman" w:hint="default"/>
          <w:position w:val="1"/>
          <w:sz w:val="18"/>
          <w:szCs w:val="18"/>
        </w:rPr>
        <w:t>3</w:t>
      </w:r>
      <w:r>
        <w:rPr>
          <w:rFonts w:ascii="Times New Roman" w:hAnsi="Times New Roman" w:cs="Times New Roman" w:eastAsia="Times New Roman" w:hint="default"/>
          <w:spacing w:val="-7"/>
          <w:position w:val="1"/>
          <w:sz w:val="18"/>
          <w:szCs w:val="18"/>
        </w:rPr>
        <w:t> </w:t>
      </w:r>
      <w:r>
        <w:rPr>
          <w:rFonts w:ascii="宋体" w:hAnsi="宋体" w:cs="宋体" w:eastAsia="宋体" w:hint="default"/>
          <w:position w:val="1"/>
          <w:sz w:val="18"/>
          <w:szCs w:val="18"/>
        </w:rPr>
        <w:t>月</w:t>
        <w:tab/>
        <w:t>无</w:t>
        <w:tab/>
        <w:t>无</w:t>
        <w:tab/>
        <w:t>无</w:t>
      </w:r>
      <w:r>
        <w:rPr>
          <w:rFonts w:ascii="宋体" w:hAnsi="宋体" w:cs="宋体" w:eastAsia="宋体" w:hint="default"/>
          <w:sz w:val="18"/>
          <w:szCs w:val="18"/>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tabs>
          <w:tab w:pos="1150" w:val="left" w:leader="none"/>
          <w:tab w:pos="2050" w:val="left" w:leader="none"/>
          <w:tab w:pos="2749" w:val="left" w:leader="none"/>
          <w:tab w:pos="3646" w:val="left" w:leader="none"/>
          <w:tab w:pos="4712" w:val="left" w:leader="none"/>
          <w:tab w:pos="7101" w:val="left" w:leader="none"/>
          <w:tab w:pos="7857" w:val="left" w:leader="none"/>
          <w:tab w:pos="8505" w:val="left" w:leader="none"/>
        </w:tabs>
        <w:spacing w:before="0"/>
        <w:ind w:left="118" w:right="0" w:firstLine="0"/>
        <w:jc w:val="left"/>
        <w:rPr>
          <w:rFonts w:ascii="宋体" w:hAnsi="宋体" w:cs="宋体" w:eastAsia="宋体" w:hint="default"/>
          <w:sz w:val="18"/>
          <w:szCs w:val="18"/>
        </w:rPr>
      </w:pPr>
      <w:r>
        <w:rPr>
          <w:rFonts w:ascii="宋体" w:hAnsi="宋体" w:cs="宋体" w:eastAsia="宋体" w:hint="default"/>
          <w:sz w:val="21"/>
          <w:szCs w:val="21"/>
        </w:rPr>
        <w:t>否</w:t>
        <w:tab/>
      </w:r>
      <w:r>
        <w:rPr>
          <w:rFonts w:ascii="Times New Roman" w:hAnsi="Times New Roman" w:cs="Times New Roman" w:eastAsia="Times New Roman" w:hint="default"/>
          <w:position w:val="1"/>
          <w:sz w:val="18"/>
          <w:szCs w:val="18"/>
        </w:rPr>
        <w:t>5,000</w:t>
        <w:tab/>
        <w:t>5,000</w:t>
        <w:tab/>
        <w:t>2,454.99</w:t>
        <w:tab/>
        <w:t>2,506.33</w:t>
        <w:tab/>
      </w:r>
      <w:r>
        <w:rPr>
          <w:rFonts w:ascii="Times New Roman" w:hAnsi="Times New Roman" w:cs="Times New Roman" w:eastAsia="Times New Roman" w:hint="default"/>
          <w:sz w:val="21"/>
          <w:szCs w:val="21"/>
        </w:rPr>
        <w:t>50.13%  </w:t>
      </w:r>
      <w:r>
        <w:rPr>
          <w:rFonts w:ascii="Times New Roman" w:hAnsi="Times New Roman" w:cs="Times New Roman" w:eastAsia="Times New Roman" w:hint="default"/>
          <w:position w:val="1"/>
          <w:sz w:val="18"/>
          <w:szCs w:val="18"/>
        </w:rPr>
        <w:t>2011 </w:t>
      </w:r>
      <w:r>
        <w:rPr>
          <w:rFonts w:ascii="宋体" w:hAnsi="宋体" w:cs="宋体" w:eastAsia="宋体" w:hint="default"/>
          <w:position w:val="1"/>
          <w:sz w:val="18"/>
          <w:szCs w:val="18"/>
        </w:rPr>
        <w:t>年 </w:t>
      </w:r>
      <w:r>
        <w:rPr>
          <w:rFonts w:ascii="Times New Roman" w:hAnsi="Times New Roman" w:cs="Times New Roman" w:eastAsia="Times New Roman" w:hint="default"/>
          <w:position w:val="1"/>
          <w:sz w:val="18"/>
          <w:szCs w:val="18"/>
        </w:rPr>
        <w:t>3</w:t>
      </w:r>
      <w:r>
        <w:rPr>
          <w:rFonts w:ascii="Times New Roman" w:hAnsi="Times New Roman" w:cs="Times New Roman" w:eastAsia="Times New Roman" w:hint="default"/>
          <w:spacing w:val="-15"/>
          <w:position w:val="1"/>
          <w:sz w:val="18"/>
          <w:szCs w:val="18"/>
        </w:rPr>
        <w:t> </w:t>
      </w:r>
      <w:r>
        <w:rPr>
          <w:rFonts w:ascii="宋体" w:hAnsi="宋体" w:cs="宋体" w:eastAsia="宋体" w:hint="default"/>
          <w:position w:val="1"/>
          <w:sz w:val="18"/>
          <w:szCs w:val="18"/>
        </w:rPr>
        <w:t>月</w:t>
        <w:tab/>
        <w:t>无</w:t>
        <w:tab/>
        <w:t>无</w:t>
        <w:tab/>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580" w:bottom="1140" w:left="700" w:right="0"/>
          <w:cols w:num="2" w:equalWidth="0">
            <w:col w:w="1297" w:space="43"/>
            <w:col w:w="9870"/>
          </w:cols>
        </w:sectPr>
      </w:pPr>
    </w:p>
    <w:p>
      <w:pPr>
        <w:spacing w:line="240" w:lineRule="auto" w:before="5"/>
        <w:rPr>
          <w:rFonts w:ascii="宋体" w:hAnsi="宋体" w:cs="宋体" w:eastAsia="宋体" w:hint="default"/>
          <w:sz w:val="15"/>
          <w:szCs w:val="15"/>
        </w:rPr>
      </w:pPr>
    </w:p>
    <w:p>
      <w:pPr>
        <w:spacing w:line="232" w:lineRule="exact" w:before="69"/>
        <w:ind w:left="231" w:right="9771" w:firstLine="0"/>
        <w:jc w:val="left"/>
        <w:rPr>
          <w:rFonts w:ascii="宋体" w:hAnsi="宋体" w:cs="宋体" w:eastAsia="宋体" w:hint="default"/>
          <w:sz w:val="18"/>
          <w:szCs w:val="18"/>
        </w:rPr>
      </w:pPr>
      <w:r>
        <w:rPr/>
        <w:pict>
          <v:shape style="position:absolute;margin-left:106.150002pt;margin-top:-48.854996pt;width:431.9pt;height:69.1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1"/>
                    <w:gridCol w:w="1080"/>
                    <w:gridCol w:w="901"/>
                    <w:gridCol w:w="924"/>
                    <w:gridCol w:w="900"/>
                    <w:gridCol w:w="1080"/>
                    <w:gridCol w:w="1080"/>
                    <w:gridCol w:w="841"/>
                    <w:gridCol w:w="756"/>
                    <w:gridCol w:w="575"/>
                  </w:tblGrid>
                  <w:tr>
                    <w:trPr>
                      <w:trHeight w:val="823" w:hRule="exact"/>
                    </w:trPr>
                    <w:tc>
                      <w:tcPr>
                        <w:tcW w:w="501"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z w:val="18"/>
                          </w:rPr>
                          <w:t>4,500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z w:val="18"/>
                          </w:rPr>
                          <w:t>4,500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4" w:right="0"/>
                          <w:jc w:val="left"/>
                          <w:rPr>
                            <w:rFonts w:ascii="Times New Roman" w:hAnsi="Times New Roman" w:cs="Times New Roman" w:eastAsia="Times New Roman" w:hint="default"/>
                            <w:sz w:val="18"/>
                            <w:szCs w:val="18"/>
                          </w:rPr>
                        </w:pPr>
                        <w:r>
                          <w:rPr>
                            <w:rFonts w:ascii="Times New Roman"/>
                            <w:sz w:val="18"/>
                          </w:rPr>
                          <w:t>2,674.58</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w w:val="95"/>
                            <w:sz w:val="18"/>
                          </w:rPr>
                          <w:t>2,685.08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59.67%</w:t>
                        </w:r>
                      </w:p>
                    </w:tc>
                    <w:tc>
                      <w:tcPr>
                        <w:tcW w:w="1080" w:type="dxa"/>
                        <w:tcBorders>
                          <w:top w:val="nil" w:sz="6" w:space="0" w:color="auto"/>
                          <w:left w:val="nil" w:sz="6" w:space="0" w:color="auto"/>
                          <w:bottom w:val="nil" w:sz="6" w:space="0" w:color="auto"/>
                          <w:right w:val="nil" w:sz="6" w:space="0" w:color="auto"/>
                        </w:tcBorders>
                      </w:tcPr>
                      <w:p>
                        <w:pPr>
                          <w:pStyle w:val="TableParagraph"/>
                          <w:spacing w:line="231" w:lineRule="exact"/>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41" w:type="dxa"/>
                        <w:tcBorders>
                          <w:top w:val="nil" w:sz="6" w:space="0" w:color="auto"/>
                          <w:left w:val="nil" w:sz="6" w:space="0" w:color="auto"/>
                          <w:bottom w:val="nil" w:sz="6" w:space="0" w:color="auto"/>
                          <w:right w:val="nil" w:sz="6" w:space="0" w:color="auto"/>
                        </w:tcBorders>
                      </w:tcPr>
                      <w:p>
                        <w:pPr>
                          <w:pStyle w:val="TableParagraph"/>
                          <w:spacing w:line="217" w:lineRule="exact"/>
                          <w:ind w:left="55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56" w:type="dxa"/>
                        <w:tcBorders>
                          <w:top w:val="nil" w:sz="6" w:space="0" w:color="auto"/>
                          <w:left w:val="nil" w:sz="6" w:space="0" w:color="auto"/>
                          <w:bottom w:val="nil" w:sz="6" w:space="0" w:color="auto"/>
                          <w:right w:val="nil" w:sz="6" w:space="0" w:color="auto"/>
                        </w:tcBorders>
                      </w:tcPr>
                      <w:p>
                        <w:pPr>
                          <w:pStyle w:val="TableParagraph"/>
                          <w:spacing w:line="217" w:lineRule="exact"/>
                          <w:ind w:left="46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75"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559" w:hRule="exact"/>
                    </w:trPr>
                    <w:tc>
                      <w:tcPr>
                        <w:tcW w:w="50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16,500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16,500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84" w:right="0"/>
                          <w:jc w:val="left"/>
                          <w:rPr>
                            <w:rFonts w:ascii="Times New Roman" w:hAnsi="Times New Roman" w:cs="Times New Roman" w:eastAsia="Times New Roman" w:hint="default"/>
                            <w:sz w:val="18"/>
                            <w:szCs w:val="18"/>
                          </w:rPr>
                        </w:pPr>
                        <w:r>
                          <w:rPr>
                            <w:rFonts w:ascii="Times New Roman"/>
                            <w:sz w:val="18"/>
                          </w:rPr>
                          <w:t>6,244.70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w w:val="95"/>
                            <w:sz w:val="18"/>
                          </w:rPr>
                          <w:t>6,595.80</w:t>
                        </w:r>
                      </w:p>
                    </w:tc>
                    <w:tc>
                      <w:tcPr>
                        <w:tcW w:w="108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41"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3"/>
                          <w:jc w:val="righ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pacing w:val="36"/>
          <w:sz w:val="18"/>
          <w:szCs w:val="18"/>
        </w:rPr>
        <w:t>承诺投资</w:t>
      </w:r>
      <w:r>
        <w:rPr>
          <w:rFonts w:ascii="宋体" w:hAnsi="宋体" w:cs="宋体" w:eastAsia="宋体" w:hint="default"/>
          <w:spacing w:val="-42"/>
          <w:sz w:val="18"/>
          <w:szCs w:val="18"/>
        </w:rPr>
        <w:t> </w:t>
      </w:r>
      <w:r>
        <w:rPr>
          <w:rFonts w:ascii="宋体" w:hAnsi="宋体" w:cs="宋体" w:eastAsia="宋体" w:hint="default"/>
          <w:sz w:val="18"/>
          <w:szCs w:val="18"/>
        </w:rPr>
        <w:t>项目小计</w:t>
      </w:r>
    </w:p>
    <w:p>
      <w:pPr>
        <w:spacing w:line="240" w:lineRule="auto" w:before="4"/>
        <w:rPr>
          <w:rFonts w:ascii="宋体" w:hAnsi="宋体" w:cs="宋体" w:eastAsia="宋体" w:hint="default"/>
          <w:sz w:val="22"/>
          <w:szCs w:val="22"/>
        </w:rPr>
      </w:pPr>
    </w:p>
    <w:p>
      <w:pPr>
        <w:spacing w:line="232" w:lineRule="exact" w:before="69"/>
        <w:ind w:left="231" w:right="9771" w:firstLine="0"/>
        <w:jc w:val="left"/>
        <w:rPr>
          <w:rFonts w:ascii="宋体" w:hAnsi="宋体" w:cs="宋体" w:eastAsia="宋体" w:hint="default"/>
          <w:sz w:val="18"/>
          <w:szCs w:val="18"/>
        </w:rPr>
      </w:pPr>
      <w:r>
        <w:rPr>
          <w:rFonts w:ascii="宋体" w:hAnsi="宋体" w:cs="宋体" w:eastAsia="宋体" w:hint="default"/>
          <w:spacing w:val="36"/>
          <w:sz w:val="18"/>
          <w:szCs w:val="18"/>
        </w:rPr>
        <w:t>超募资金</w:t>
      </w:r>
      <w:r>
        <w:rPr>
          <w:rFonts w:ascii="宋体" w:hAnsi="宋体" w:cs="宋体" w:eastAsia="宋体" w:hint="default"/>
          <w:spacing w:val="-42"/>
          <w:sz w:val="18"/>
          <w:szCs w:val="18"/>
        </w:rPr>
        <w:t> </w:t>
      </w:r>
      <w:r>
        <w:rPr>
          <w:rFonts w:ascii="宋体" w:hAnsi="宋体" w:cs="宋体" w:eastAsia="宋体" w:hint="default"/>
          <w:sz w:val="18"/>
          <w:szCs w:val="18"/>
        </w:rPr>
        <w:t>投向</w:t>
      </w:r>
    </w:p>
    <w:p>
      <w:pPr>
        <w:spacing w:line="240" w:lineRule="auto" w:before="4"/>
        <w:rPr>
          <w:rFonts w:ascii="宋体" w:hAnsi="宋体" w:cs="宋体" w:eastAsia="宋体" w:hint="default"/>
          <w:sz w:val="22"/>
          <w:szCs w:val="22"/>
        </w:rPr>
      </w:pPr>
    </w:p>
    <w:p>
      <w:pPr>
        <w:spacing w:line="165" w:lineRule="exact" w:before="44"/>
        <w:ind w:left="231" w:right="1689" w:firstLine="0"/>
        <w:jc w:val="left"/>
        <w:rPr>
          <w:rFonts w:ascii="宋体" w:hAnsi="宋体" w:cs="宋体" w:eastAsia="宋体" w:hint="default"/>
          <w:sz w:val="18"/>
          <w:szCs w:val="18"/>
        </w:rPr>
      </w:pPr>
      <w:r>
        <w:rPr>
          <w:rFonts w:ascii="宋体" w:hAnsi="宋体" w:cs="宋体" w:eastAsia="宋体" w:hint="default"/>
          <w:spacing w:val="36"/>
          <w:sz w:val="18"/>
          <w:szCs w:val="18"/>
        </w:rPr>
        <w:t>归还银行</w:t>
      </w:r>
      <w:r>
        <w:rPr>
          <w:rFonts w:ascii="宋体" w:hAnsi="宋体" w:cs="宋体" w:eastAsia="宋体" w:hint="default"/>
          <w:spacing w:val="-42"/>
          <w:sz w:val="18"/>
          <w:szCs w:val="18"/>
        </w:rPr>
        <w:t> </w:t>
      </w:r>
      <w:r>
        <w:rPr>
          <w:rFonts w:ascii="宋体" w:hAnsi="宋体" w:cs="宋体" w:eastAsia="宋体" w:hint="default"/>
          <w:sz w:val="18"/>
          <w:szCs w:val="18"/>
        </w:rPr>
      </w:r>
    </w:p>
    <w:p>
      <w:pPr>
        <w:tabs>
          <w:tab w:pos="1546" w:val="left" w:leader="none"/>
          <w:tab w:pos="2264" w:val="left" w:leader="none"/>
          <w:tab w:pos="3164" w:val="left" w:leader="none"/>
          <w:tab w:pos="4988" w:val="left" w:leader="none"/>
          <w:tab w:pos="6054" w:val="left" w:leader="none"/>
        </w:tabs>
        <w:spacing w:line="300" w:lineRule="exact" w:before="0"/>
        <w:ind w:left="231" w:right="1689" w:firstLine="0"/>
        <w:jc w:val="left"/>
        <w:rPr>
          <w:rFonts w:ascii="Times New Roman" w:hAnsi="Times New Roman" w:cs="Times New Roman" w:eastAsia="Times New Roman" w:hint="default"/>
          <w:sz w:val="18"/>
          <w:szCs w:val="18"/>
        </w:rPr>
      </w:pPr>
      <w:r>
        <w:rPr>
          <w:rFonts w:ascii="宋体" w:hAnsi="宋体" w:cs="宋体" w:eastAsia="宋体" w:hint="default"/>
          <w:position w:val="-9"/>
          <w:sz w:val="18"/>
          <w:szCs w:val="18"/>
        </w:rPr>
        <w:t>贷款</w:t>
        <w:tab/>
      </w:r>
      <w:r>
        <w:rPr>
          <w:rFonts w:ascii="宋体" w:hAnsi="宋体" w:cs="宋体" w:eastAsia="宋体" w:hint="default"/>
          <w:sz w:val="21"/>
          <w:szCs w:val="21"/>
        </w:rPr>
        <w:t>否</w:t>
        <w:tab/>
      </w:r>
      <w:r>
        <w:rPr>
          <w:rFonts w:ascii="Times New Roman" w:hAnsi="Times New Roman" w:cs="Times New Roman" w:eastAsia="Times New Roman" w:hint="default"/>
          <w:position w:val="2"/>
          <w:sz w:val="18"/>
          <w:szCs w:val="18"/>
        </w:rPr>
        <w:t>2,990.00</w:t>
        <w:tab/>
        <w:t>2,990.00</w:t>
        <w:tab/>
        <w:t>2,990.00</w:t>
        <w:tab/>
        <w:t>100.00%</w:t>
      </w:r>
      <w:r>
        <w:rPr>
          <w:rFonts w:ascii="Times New Roman" w:hAnsi="Times New Roman" w:cs="Times New Roman" w:eastAsia="Times New Roman" w:hint="default"/>
          <w:sz w:val="18"/>
          <w:szCs w:val="18"/>
        </w:rPr>
      </w:r>
    </w:p>
    <w:p>
      <w:pPr>
        <w:spacing w:after="0" w:line="300" w:lineRule="exact"/>
        <w:jc w:val="left"/>
        <w:rPr>
          <w:rFonts w:ascii="Times New Roman" w:hAnsi="Times New Roman" w:cs="Times New Roman" w:eastAsia="Times New Roman" w:hint="default"/>
          <w:sz w:val="18"/>
          <w:szCs w:val="18"/>
        </w:rPr>
        <w:sectPr>
          <w:type w:val="continuous"/>
          <w:pgSz w:w="11910" w:h="16840"/>
          <w:pgMar w:top="1580" w:bottom="1140" w:left="700" w:right="0"/>
        </w:sectPr>
      </w:pPr>
    </w:p>
    <w:p>
      <w:pPr>
        <w:spacing w:line="240" w:lineRule="auto" w:before="6"/>
        <w:rPr>
          <w:rFonts w:ascii="Times New Roman" w:hAnsi="Times New Roman" w:cs="Times New Roman" w:eastAsia="Times New Roman"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080"/>
        <w:gridCol w:w="900"/>
        <w:gridCol w:w="900"/>
        <w:gridCol w:w="901"/>
        <w:gridCol w:w="924"/>
        <w:gridCol w:w="900"/>
        <w:gridCol w:w="1080"/>
        <w:gridCol w:w="1080"/>
        <w:gridCol w:w="841"/>
        <w:gridCol w:w="756"/>
        <w:gridCol w:w="900"/>
      </w:tblGrid>
      <w:tr>
        <w:trPr>
          <w:trHeight w:val="917" w:hRule="exact"/>
        </w:trPr>
        <w:tc>
          <w:tcPr>
            <w:tcW w:w="1080"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4" w:lineRule="exact"/>
              <w:ind w:left="98" w:right="53"/>
              <w:jc w:val="left"/>
              <w:rPr>
                <w:rFonts w:ascii="宋体" w:hAnsi="宋体" w:cs="宋体" w:eastAsia="宋体" w:hint="default"/>
                <w:sz w:val="18"/>
                <w:szCs w:val="18"/>
              </w:rPr>
            </w:pPr>
            <w:r>
              <w:rPr>
                <w:rFonts w:ascii="宋体" w:hAnsi="宋体" w:cs="宋体" w:eastAsia="宋体" w:hint="default"/>
                <w:spacing w:val="36"/>
                <w:sz w:val="18"/>
                <w:szCs w:val="18"/>
              </w:rPr>
              <w:t>补充流动</w:t>
            </w:r>
            <w:r>
              <w:rPr>
                <w:rFonts w:ascii="宋体" w:hAnsi="宋体" w:cs="宋体" w:eastAsia="宋体" w:hint="default"/>
                <w:spacing w:val="-42"/>
                <w:sz w:val="18"/>
                <w:szCs w:val="18"/>
              </w:rPr>
              <w:t> </w:t>
            </w:r>
            <w:r>
              <w:rPr>
                <w:rFonts w:ascii="宋体" w:hAnsi="宋体" w:cs="宋体" w:eastAsia="宋体" w:hint="default"/>
                <w:sz w:val="18"/>
                <w:szCs w:val="18"/>
              </w:rPr>
              <w:t>资金</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w w:val="95"/>
                <w:sz w:val="18"/>
              </w:rPr>
              <w:t>4,523.97</w:t>
            </w:r>
          </w:p>
        </w:tc>
        <w:tc>
          <w:tcPr>
            <w:tcW w:w="90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w w:val="95"/>
                <w:sz w:val="18"/>
              </w:rPr>
              <w:t>4,523.97</w:t>
            </w: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52" w:right="0"/>
              <w:jc w:val="center"/>
              <w:rPr>
                <w:rFonts w:ascii="Times New Roman" w:hAnsi="Times New Roman" w:cs="Times New Roman" w:eastAsia="Times New Roman" w:hint="default"/>
                <w:sz w:val="18"/>
                <w:szCs w:val="18"/>
              </w:rPr>
            </w:pPr>
            <w:r>
              <w:rPr>
                <w:rFonts w:ascii="Times New Roman"/>
                <w:sz w:val="18"/>
              </w:rPr>
              <w:t>4,523.97</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80" w:type="dxa"/>
            <w:tcBorders>
              <w:top w:val="nil" w:sz="6" w:space="0" w:color="auto"/>
              <w:left w:val="single" w:sz="4" w:space="0" w:color="000000"/>
              <w:bottom w:val="single" w:sz="4" w:space="0" w:color="000000"/>
              <w:right w:val="single" w:sz="4" w:space="0" w:color="000000"/>
            </w:tcBorders>
          </w:tcPr>
          <w:p>
            <w:pPr/>
          </w:p>
        </w:tc>
        <w:tc>
          <w:tcPr>
            <w:tcW w:w="841"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8" w:space="0" w:color="000000"/>
            </w:tcBorders>
          </w:tcPr>
          <w:p>
            <w:pPr/>
          </w:p>
        </w:tc>
      </w:tr>
      <w:tr>
        <w:trPr>
          <w:trHeight w:val="922"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98" w:right="53"/>
              <w:jc w:val="left"/>
              <w:rPr>
                <w:rFonts w:ascii="宋体" w:hAnsi="宋体" w:cs="宋体" w:eastAsia="宋体" w:hint="default"/>
                <w:sz w:val="18"/>
                <w:szCs w:val="18"/>
              </w:rPr>
            </w:pPr>
            <w:r>
              <w:rPr>
                <w:rFonts w:ascii="宋体" w:hAnsi="宋体" w:cs="宋体" w:eastAsia="宋体" w:hint="default"/>
                <w:spacing w:val="36"/>
                <w:sz w:val="18"/>
                <w:szCs w:val="18"/>
              </w:rPr>
              <w:t>超募资金</w:t>
            </w:r>
            <w:r>
              <w:rPr>
                <w:rFonts w:ascii="宋体" w:hAnsi="宋体" w:cs="宋体" w:eastAsia="宋体" w:hint="default"/>
                <w:spacing w:val="-42"/>
                <w:sz w:val="18"/>
                <w:szCs w:val="18"/>
              </w:rPr>
              <w:t> </w:t>
            </w:r>
            <w:r>
              <w:rPr>
                <w:rFonts w:ascii="宋体" w:hAnsi="宋体" w:cs="宋体" w:eastAsia="宋体" w:hint="default"/>
                <w:sz w:val="18"/>
                <w:szCs w:val="18"/>
              </w:rPr>
              <w:t>投向小计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w w:val="95"/>
                <w:sz w:val="18"/>
              </w:rPr>
              <w:t>7,513.97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w w:val="95"/>
                <w:sz w:val="18"/>
              </w:rPr>
              <w:t>7,513.97</w:t>
            </w:r>
          </w:p>
        </w:tc>
        <w:tc>
          <w:tcPr>
            <w:tcW w:w="9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52" w:right="0"/>
              <w:jc w:val="center"/>
              <w:rPr>
                <w:rFonts w:ascii="Times New Roman" w:hAnsi="Times New Roman" w:cs="Times New Roman" w:eastAsia="Times New Roman" w:hint="default"/>
                <w:sz w:val="18"/>
                <w:szCs w:val="18"/>
              </w:rPr>
            </w:pPr>
            <w:r>
              <w:rPr>
                <w:rFonts w:ascii="Times New Roman"/>
                <w:sz w:val="18"/>
              </w:rPr>
              <w:t>7,513.97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8" w:space="0" w:color="000000"/>
            </w:tcBorders>
          </w:tcPr>
          <w:p>
            <w:pPr/>
          </w:p>
        </w:tc>
      </w:tr>
      <w:tr>
        <w:trPr>
          <w:trHeight w:val="569" w:hRule="exact"/>
        </w:trPr>
        <w:tc>
          <w:tcPr>
            <w:tcW w:w="108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3"/>
              <w:ind w:left="3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24,013.97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24,013.97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6,244.70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4"/>
              <w:jc w:val="center"/>
              <w:rPr>
                <w:rFonts w:ascii="Times New Roman" w:hAnsi="Times New Roman" w:cs="Times New Roman" w:eastAsia="Times New Roman" w:hint="default"/>
                <w:sz w:val="18"/>
                <w:szCs w:val="18"/>
              </w:rPr>
            </w:pPr>
            <w:r>
              <w:rPr>
                <w:rFonts w:ascii="Times New Roman"/>
                <w:sz w:val="18"/>
              </w:rPr>
              <w:t>14,109.77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8" w:space="0" w:color="000000"/>
            </w:tcBorders>
          </w:tcPr>
          <w:p>
            <w:pPr/>
          </w:p>
        </w:tc>
      </w:tr>
      <w:tr>
        <w:trPr>
          <w:trHeight w:val="70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未达到计划进度或预</w:t>
            </w:r>
          </w:p>
          <w:p>
            <w:pPr>
              <w:pStyle w:val="TableParagraph"/>
              <w:spacing w:line="233"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计收益的情况和原因</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项目可行性发生重大</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12" w:lineRule="exact"/>
              <w:ind w:left="98" w:right="0"/>
              <w:jc w:val="left"/>
              <w:rPr>
                <w:rFonts w:ascii="宋体" w:hAnsi="宋体" w:cs="宋体" w:eastAsia="宋体" w:hint="default"/>
                <w:sz w:val="18"/>
                <w:szCs w:val="18"/>
              </w:rPr>
            </w:pPr>
            <w:r>
              <w:rPr>
                <w:rFonts w:ascii="宋体" w:hAnsi="宋体" w:cs="宋体" w:eastAsia="宋体" w:hint="default"/>
                <w:sz w:val="18"/>
                <w:szCs w:val="18"/>
              </w:rPr>
              <w:t>经公司第四届董事会第十四次会议决议批准，用募集资金超额部分提前归还贷款 </w:t>
            </w:r>
            <w:r>
              <w:rPr>
                <w:rFonts w:ascii="Times New Roman" w:hAnsi="Times New Roman" w:cs="Times New Roman" w:eastAsia="Times New Roman" w:hint="default"/>
                <w:sz w:val="18"/>
                <w:szCs w:val="18"/>
              </w:rPr>
              <w:t>2990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万元和补充流动</w:t>
            </w:r>
          </w:p>
          <w:p>
            <w:pPr>
              <w:pStyle w:val="TableParagraph"/>
              <w:spacing w:line="242" w:lineRule="exact"/>
              <w:ind w:left="98"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4523.97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万元进行原材料采购。</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募集资金投资项目实</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5"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募集资金投资项目实</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募集资金投资项目先</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289.26 </w:t>
            </w:r>
            <w:r>
              <w:rPr>
                <w:rFonts w:ascii="宋体" w:hAnsi="宋体" w:cs="宋体" w:eastAsia="宋体" w:hint="default"/>
                <w:sz w:val="18"/>
                <w:szCs w:val="18"/>
              </w:rPr>
              <w:t>万元，已全部置换完毕。</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用闲置募集资金暂时</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w:t>
            </w:r>
            <w:r>
              <w:rPr>
                <w:rFonts w:ascii="宋体" w:hAnsi="宋体" w:cs="宋体" w:eastAsia="宋体" w:hint="default"/>
                <w:spacing w:val="-3"/>
                <w:sz w:val="18"/>
                <w:szCs w:val="18"/>
              </w:rPr>
              <w:t>东</w:t>
            </w:r>
            <w:r>
              <w:rPr>
                <w:rFonts w:ascii="宋体" w:hAnsi="宋体" w:cs="宋体" w:eastAsia="宋体" w:hint="default"/>
                <w:sz w:val="18"/>
                <w:szCs w:val="18"/>
              </w:rPr>
              <w:t>大会决议批准</w:t>
            </w:r>
            <w:r>
              <w:rPr>
                <w:rFonts w:ascii="宋体" w:hAnsi="宋体" w:cs="宋体" w:eastAsia="宋体" w:hint="default"/>
                <w:spacing w:val="-82"/>
                <w:sz w:val="18"/>
                <w:szCs w:val="18"/>
              </w:rPr>
              <w:t>，</w:t>
            </w:r>
            <w:r>
              <w:rPr>
                <w:rFonts w:ascii="宋体" w:hAnsi="宋体" w:cs="宋体" w:eastAsia="宋体" w:hint="default"/>
                <w:sz w:val="18"/>
                <w:szCs w:val="18"/>
              </w:rPr>
              <w:t>继续使用部分闲置募集资金暂时补充流动资金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1" w:lineRule="exact"/>
              <w:ind w:left="98"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75"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项目实施出现募集资</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980" w:type="dxa"/>
            <w:gridSpan w:val="2"/>
            <w:tcBorders>
              <w:top w:val="single" w:sz="4" w:space="0" w:color="000000"/>
              <w:left w:val="single" w:sz="8" w:space="0" w:color="000000"/>
              <w:bottom w:val="single" w:sz="4"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尚未使用的募集资金</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8282" w:type="dxa"/>
            <w:gridSpan w:val="9"/>
            <w:tcBorders>
              <w:top w:val="single" w:sz="4" w:space="0" w:color="000000"/>
              <w:left w:val="single" w:sz="8" w:space="0" w:color="000000"/>
              <w:bottom w:val="single" w:sz="4"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存放在募集资金专户中</w:t>
            </w:r>
          </w:p>
        </w:tc>
      </w:tr>
      <w:tr>
        <w:trPr>
          <w:trHeight w:val="716" w:hRule="exact"/>
        </w:trPr>
        <w:tc>
          <w:tcPr>
            <w:tcW w:w="1980" w:type="dxa"/>
            <w:gridSpan w:val="2"/>
            <w:tcBorders>
              <w:top w:val="single" w:sz="4"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募集资金使用及披露</w:t>
            </w:r>
          </w:p>
          <w:p>
            <w:pPr>
              <w:pStyle w:val="TableParagraph"/>
              <w:spacing w:line="240" w:lineRule="auto"/>
              <w:ind w:left="98" w:right="100"/>
              <w:jc w:val="left"/>
              <w:rPr>
                <w:rFonts w:ascii="宋体" w:hAnsi="宋体" w:cs="宋体" w:eastAsia="宋体" w:hint="default"/>
                <w:sz w:val="18"/>
                <w:szCs w:val="18"/>
              </w:rPr>
            </w:pPr>
            <w:r>
              <w:rPr>
                <w:rFonts w:ascii="宋体" w:hAnsi="宋体" w:cs="宋体" w:eastAsia="宋体" w:hint="default"/>
                <w:spacing w:val="15"/>
                <w:sz w:val="18"/>
                <w:szCs w:val="18"/>
              </w:rPr>
              <w:t>中存在的问题或其他</w:t>
            </w:r>
            <w:r>
              <w:rPr>
                <w:rFonts w:ascii="宋体" w:hAnsi="宋体" w:cs="宋体" w:eastAsia="宋体" w:hint="default"/>
                <w:sz w:val="18"/>
                <w:szCs w:val="18"/>
              </w:rPr>
              <w:t> 情况</w:t>
            </w:r>
          </w:p>
        </w:tc>
        <w:tc>
          <w:tcPr>
            <w:tcW w:w="8282" w:type="dxa"/>
            <w:gridSpan w:val="9"/>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4" w:lineRule="exact" w:before="0"/>
        <w:ind w:left="1578" w:right="1689"/>
        <w:jc w:val="left"/>
      </w:pPr>
      <w:r>
        <w:rPr>
          <w:rFonts w:ascii="宋体" w:hAnsi="宋体" w:cs="宋体" w:eastAsia="宋体" w:hint="default"/>
        </w:rPr>
        <w:t>4</w:t>
      </w:r>
      <w:r>
        <w:rPr/>
        <w:t>、会计师事务所对募集资金使用情况进行专项审核所出具的结论性意见</w:t>
      </w:r>
    </w:p>
    <w:p>
      <w:pPr>
        <w:pStyle w:val="BodyText"/>
        <w:spacing w:line="357" w:lineRule="auto" w:before="154"/>
        <w:ind w:left="1098" w:right="1689" w:firstLine="479"/>
        <w:jc w:val="left"/>
      </w:pPr>
      <w:r>
        <w:rPr/>
        <w:t>天健正信会计师事务所有限公司对公司募集资金使用情况进行了专项审核， </w:t>
      </w:r>
      <w:r>
        <w:rPr>
          <w:spacing w:val="-3"/>
        </w:rPr>
        <w:t>并出具《安徽鑫龙电器股份有限公司截至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日止募集资金存放与实际</w:t>
      </w:r>
      <w:r>
        <w:rPr>
          <w:spacing w:val="-92"/>
        </w:rPr>
        <w:t> </w:t>
      </w:r>
      <w:r>
        <w:rPr>
          <w:spacing w:val="-3"/>
        </w:rPr>
        <w:t>使用情况的鉴证报告》</w:t>
      </w:r>
      <w:r>
        <w:rPr>
          <w:rFonts w:ascii="宋体" w:hAnsi="宋体" w:cs="宋体" w:eastAsia="宋体" w:hint="default"/>
          <w:spacing w:val="-3"/>
        </w:rPr>
        <w:t>(</w:t>
      </w:r>
      <w:r>
        <w:rPr>
          <w:spacing w:val="-3"/>
        </w:rPr>
        <w:t>天健正信审</w:t>
      </w:r>
      <w:r>
        <w:rPr>
          <w:rFonts w:ascii="宋体" w:hAnsi="宋体" w:cs="宋体" w:eastAsia="宋体" w:hint="default"/>
          <w:spacing w:val="-3"/>
        </w:rPr>
        <w:t>(2011)</w:t>
      </w:r>
      <w:r>
        <w:rPr>
          <w:spacing w:val="-3"/>
        </w:rPr>
        <w:t>专字第</w:t>
      </w:r>
      <w:r>
        <w:rPr>
          <w:rFonts w:ascii="宋体" w:hAnsi="宋体" w:cs="宋体" w:eastAsia="宋体" w:hint="default"/>
          <w:spacing w:val="-3"/>
        </w:rPr>
        <w:t>100040</w:t>
      </w:r>
      <w:r>
        <w:rPr>
          <w:spacing w:val="-3"/>
        </w:rPr>
        <w:t>号</w:t>
      </w:r>
      <w:r>
        <w:rPr>
          <w:rFonts w:ascii="宋体" w:hAnsi="宋体" w:cs="宋体" w:eastAsia="宋体" w:hint="default"/>
          <w:spacing w:val="-3"/>
        </w:rPr>
        <w:t>)</w:t>
      </w:r>
      <w:r>
        <w:rPr>
          <w:spacing w:val="-3"/>
        </w:rPr>
        <w:t>。报告认为，鑫龙电</w:t>
      </w:r>
      <w:r>
        <w:rPr>
          <w:spacing w:val="-82"/>
        </w:rPr>
        <w:t> </w:t>
      </w:r>
      <w:r>
        <w:rPr>
          <w:spacing w:val="-82"/>
        </w:rPr>
      </w:r>
      <w:r>
        <w:rPr>
          <w:spacing w:val="-3"/>
        </w:rPr>
        <w:t>器公司截至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日止的募集资金年度使用情况专项报告已经按照《深圳</w:t>
      </w:r>
      <w:r>
        <w:rPr>
          <w:spacing w:val="-93"/>
        </w:rPr>
        <w:t> </w:t>
      </w:r>
      <w:r>
        <w:rPr>
          <w:spacing w:val="-93"/>
        </w:rPr>
      </w:r>
      <w:r>
        <w:rPr>
          <w:spacing w:val="-3"/>
        </w:rPr>
        <w:t>证券交易所中小企业板上市公司规范运作指引》和《深圳证券交易所中小企业板</w:t>
      </w:r>
      <w:r>
        <w:rPr>
          <w:spacing w:val="-105"/>
        </w:rPr>
        <w:t> </w:t>
      </w:r>
      <w:r>
        <w:rPr>
          <w:spacing w:val="-105"/>
        </w:rPr>
      </w:r>
      <w:r>
        <w:rPr/>
        <w:t>上市公司临时报告内容与格式指引第</w:t>
      </w:r>
      <w:r>
        <w:rPr>
          <w:rFonts w:ascii="宋体" w:hAnsi="宋体" w:cs="宋体" w:eastAsia="宋体" w:hint="default"/>
        </w:rPr>
        <w:t>9</w:t>
      </w:r>
      <w:r>
        <w:rPr/>
        <w:t>号：募集资金年度使用情况的专项报告》</w:t>
      </w:r>
      <w:r>
        <w:rPr>
          <w:spacing w:val="-94"/>
        </w:rPr>
        <w:t> </w:t>
      </w:r>
      <w:r>
        <w:rPr>
          <w:spacing w:val="-94"/>
        </w:rPr>
      </w:r>
      <w:r>
        <w:rPr>
          <w:spacing w:val="-3"/>
        </w:rPr>
        <w:t>的要求编制，在所有重大方面公允反映了鑫龙电器公司截至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日止的</w:t>
      </w:r>
      <w:r>
        <w:rPr>
          <w:spacing w:val="-93"/>
        </w:rPr>
        <w:t> </w:t>
      </w:r>
      <w:r>
        <w:rPr/>
        <w:t>募集资金年度使用情况。</w:t>
      </w:r>
    </w:p>
    <w:p>
      <w:pPr>
        <w:pStyle w:val="BodyText"/>
        <w:spacing w:line="357" w:lineRule="auto"/>
        <w:ind w:left="1578" w:right="1689"/>
        <w:jc w:val="left"/>
      </w:pPr>
      <w:r>
        <w:rPr>
          <w:rFonts w:ascii="宋体" w:hAnsi="宋体" w:cs="宋体" w:eastAsia="宋体" w:hint="default"/>
        </w:rPr>
        <w:t>5</w:t>
      </w:r>
      <w:r>
        <w:rPr/>
        <w:t>、国元证券对募集资金存放与使用情况所出具的结论性意见 </w:t>
      </w:r>
      <w:r>
        <w:rPr>
          <w:spacing w:val="-3"/>
        </w:rPr>
        <w:t>国元证券认为：鑫龙电器</w:t>
      </w:r>
      <w:r>
        <w:rPr>
          <w:rFonts w:ascii="宋体" w:hAnsi="宋体" w:cs="宋体" w:eastAsia="宋体" w:hint="default"/>
          <w:spacing w:val="-3"/>
        </w:rPr>
        <w:t>2010</w:t>
      </w:r>
      <w:r>
        <w:rPr>
          <w:spacing w:val="-3"/>
        </w:rPr>
        <w:t>年度募集资金使用与存放能够按照《证券发行</w:t>
      </w:r>
    </w:p>
    <w:p>
      <w:pPr>
        <w:pStyle w:val="BodyText"/>
        <w:spacing w:line="357" w:lineRule="auto"/>
        <w:ind w:left="1098" w:right="1791"/>
        <w:jc w:val="both"/>
      </w:pPr>
      <w:r>
        <w:rPr>
          <w:spacing w:val="-3"/>
        </w:rPr>
        <w:t>上市保荐业务管理办法》、《深圳证券交易所股票上市规则》、《深圳证券交易</w:t>
      </w:r>
      <w:r>
        <w:rPr>
          <w:spacing w:val="-102"/>
        </w:rPr>
        <w:t> </w:t>
      </w:r>
      <w:r>
        <w:rPr>
          <w:spacing w:val="-102"/>
        </w:rPr>
      </w:r>
      <w:r>
        <w:rPr>
          <w:spacing w:val="-3"/>
        </w:rPr>
        <w:t>所中小企业板上市公司规范运作指引》等中国证监会和深圳证券交易所关于募集</w:t>
      </w:r>
      <w:r>
        <w:rPr>
          <w:spacing w:val="-104"/>
        </w:rPr>
        <w:t> </w:t>
      </w:r>
      <w:r>
        <w:rPr>
          <w:spacing w:val="-104"/>
        </w:rPr>
      </w:r>
      <w:r>
        <w:rPr>
          <w:spacing w:val="-3"/>
        </w:rPr>
        <w:t>资金管理法规的规定，及《募集资金管理制度》的要求，进行管理和使用。募集</w:t>
      </w:r>
    </w:p>
    <w:p>
      <w:pPr>
        <w:spacing w:after="0" w:line="357" w:lineRule="auto"/>
        <w:jc w:val="both"/>
        <w:sectPr>
          <w:pgSz w:w="11910" w:h="16840"/>
          <w:pgMar w:header="816" w:footer="956" w:top="1160" w:bottom="1140" w:left="700" w:right="0"/>
        </w:sectPr>
      </w:pPr>
    </w:p>
    <w:p>
      <w:pPr>
        <w:spacing w:line="240" w:lineRule="auto" w:before="2"/>
        <w:rPr>
          <w:rFonts w:ascii="宋体" w:hAnsi="宋体" w:cs="宋体" w:eastAsia="宋体" w:hint="default"/>
          <w:sz w:val="10"/>
          <w:szCs w:val="10"/>
        </w:rPr>
      </w:pPr>
    </w:p>
    <w:p>
      <w:pPr>
        <w:pStyle w:val="BodyText"/>
        <w:spacing w:line="357" w:lineRule="auto" w:before="26"/>
        <w:ind w:right="1672"/>
        <w:jc w:val="both"/>
      </w:pPr>
      <w:r>
        <w:rPr>
          <w:spacing w:val="-3"/>
        </w:rPr>
        <w:t>资金存放在董事会决定的专项账户集中管理，公司及时与保荐机构、存放募集资</w:t>
      </w:r>
      <w:r>
        <w:rPr>
          <w:spacing w:val="-104"/>
        </w:rPr>
        <w:t> </w:t>
      </w:r>
      <w:r>
        <w:rPr>
          <w:spacing w:val="-104"/>
        </w:rPr>
      </w:r>
      <w:r>
        <w:rPr>
          <w:spacing w:val="-3"/>
        </w:rPr>
        <w:t>金的银行签订了三方监管协议；公司按照招股说明书承诺的募集资金投资计划使</w:t>
      </w:r>
      <w:r>
        <w:rPr>
          <w:spacing w:val="-104"/>
        </w:rPr>
        <w:t> </w:t>
      </w:r>
      <w:r>
        <w:rPr>
          <w:spacing w:val="-104"/>
        </w:rPr>
      </w:r>
      <w:r>
        <w:rPr>
          <w:spacing w:val="-6"/>
        </w:rPr>
        <w:t>用募集资金，无改变募集资金投向的情况；公司不存在募集资金违规使用的情形。</w:t>
      </w:r>
    </w:p>
    <w:p>
      <w:pPr>
        <w:pStyle w:val="BodyText"/>
        <w:spacing w:line="355" w:lineRule="auto" w:before="36"/>
        <w:ind w:left="618" w:right="4448"/>
        <w:jc w:val="left"/>
      </w:pPr>
      <w:r>
        <w:rPr>
          <w:rFonts w:ascii="宋体" w:hAnsi="宋体" w:cs="宋体" w:eastAsia="宋体" w:hint="default"/>
        </w:rPr>
        <w:t>6</w:t>
      </w:r>
      <w:r>
        <w:rPr/>
        <w:t>、报告期内无非募集资金项目的投资及进展情况 六、董事会日常工作情况</w:t>
      </w:r>
    </w:p>
    <w:p>
      <w:pPr>
        <w:pStyle w:val="BodyText"/>
        <w:spacing w:line="355" w:lineRule="auto" w:before="38"/>
        <w:ind w:left="618" w:right="1787"/>
        <w:jc w:val="left"/>
      </w:pPr>
      <w:r>
        <w:rPr/>
        <w:t>（一）报告期内董事会的会议情况及决议内容 报告期内，公司董事会共召开</w:t>
      </w:r>
      <w:r>
        <w:rPr>
          <w:rFonts w:ascii="宋体" w:hAnsi="宋体" w:cs="宋体" w:eastAsia="宋体" w:hint="default"/>
        </w:rPr>
        <w:t>9</w:t>
      </w:r>
      <w:r>
        <w:rPr/>
        <w:t>次董事会会议，会议召开的程序符合《公司</w:t>
      </w:r>
    </w:p>
    <w:p>
      <w:pPr>
        <w:pStyle w:val="BodyText"/>
        <w:spacing w:line="240" w:lineRule="auto" w:before="38"/>
        <w:ind w:right="0"/>
        <w:jc w:val="both"/>
      </w:pPr>
      <w:r>
        <w:rPr/>
        <w:t>法</w:t>
      </w:r>
      <w:r>
        <w:rPr>
          <w:spacing w:val="-120"/>
        </w:rPr>
        <w:t>》、</w:t>
      </w:r>
      <w:r>
        <w:rPr/>
        <w:t>《公司章程</w:t>
      </w:r>
      <w:r>
        <w:rPr>
          <w:spacing w:val="-120"/>
        </w:rPr>
        <w:t>》、</w:t>
      </w:r>
      <w:r>
        <w:rPr/>
        <w:t>《董事会议事规则》等规定，具体情况如下：</w:t>
      </w:r>
    </w:p>
    <w:p>
      <w:pPr>
        <w:spacing w:line="240" w:lineRule="auto" w:before="10"/>
        <w:rPr>
          <w:rFonts w:ascii="宋体" w:hAnsi="宋体" w:cs="宋体" w:eastAsia="宋体" w:hint="default"/>
          <w:sz w:val="20"/>
          <w:szCs w:val="20"/>
        </w:rPr>
      </w:pPr>
    </w:p>
    <w:p>
      <w:pPr>
        <w:pStyle w:val="BodyText"/>
        <w:spacing w:line="240" w:lineRule="auto" w:before="0"/>
        <w:ind w:left="618" w:right="1248"/>
        <w:jc w:val="left"/>
      </w:pPr>
      <w:r>
        <w:rPr>
          <w:rFonts w:ascii="宋体" w:hAnsi="宋体" w:cs="宋体" w:eastAsia="宋体" w:hint="default"/>
          <w:spacing w:val="-13"/>
        </w:rPr>
        <w:t>1</w:t>
      </w:r>
      <w:r>
        <w:rPr>
          <w:spacing w:val="-13"/>
        </w:rPr>
        <w:t>、</w:t>
      </w:r>
      <w:r>
        <w:rPr>
          <w:rFonts w:ascii="宋体" w:hAnsi="宋体" w:cs="宋体" w:eastAsia="宋体" w:hint="default"/>
          <w:spacing w:val="-13"/>
        </w:rPr>
        <w:t>2010</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4</w:t>
      </w:r>
      <w:r>
        <w:rPr>
          <w:rFonts w:ascii="宋体" w:hAnsi="宋体" w:cs="宋体" w:eastAsia="宋体" w:hint="default"/>
          <w:spacing w:val="-59"/>
        </w:rPr>
        <w:t> </w:t>
      </w:r>
      <w:r>
        <w:rPr>
          <w:spacing w:val="-3"/>
        </w:rPr>
        <w:t>日，在本公司四楼会议室召开第四届董事会第十七次会议，</w:t>
      </w:r>
    </w:p>
    <w:p>
      <w:pPr>
        <w:pStyle w:val="BodyText"/>
        <w:spacing w:line="355" w:lineRule="auto" w:before="154"/>
        <w:ind w:left="618" w:right="1775" w:hanging="480"/>
        <w:jc w:val="left"/>
      </w:pPr>
      <w:r>
        <w:rPr>
          <w:spacing w:val="-1"/>
        </w:rPr>
        <w:t>审</w:t>
      </w:r>
      <w:r>
        <w:rPr/>
        <w:t>议通过了《关于变更公司</w:t>
      </w:r>
      <w:r>
        <w:rPr>
          <w:spacing w:val="-60"/>
        </w:rPr>
        <w:t> </w:t>
      </w:r>
      <w:r>
        <w:rPr>
          <w:rFonts w:ascii="宋体" w:hAnsi="宋体" w:cs="宋体" w:eastAsia="宋体" w:hint="default"/>
        </w:rPr>
        <w:t>2009</w:t>
      </w:r>
      <w:r>
        <w:rPr>
          <w:rFonts w:ascii="宋体" w:hAnsi="宋体" w:cs="宋体" w:eastAsia="宋体" w:hint="default"/>
          <w:spacing w:val="-60"/>
        </w:rPr>
        <w:t> </w:t>
      </w:r>
      <w:r>
        <w:rPr/>
        <w:t>年度审计机构的议案</w:t>
      </w:r>
      <w:r>
        <w:rPr>
          <w:spacing w:val="-120"/>
        </w:rPr>
        <w:t>》</w:t>
      </w:r>
      <w:r>
        <w:rPr/>
        <w:t>。</w:t>
      </w:r>
      <w:r>
        <w:rPr/>
        <w:t> 本次会议决议公告刊登在</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6</w:t>
      </w:r>
      <w:r>
        <w:rPr/>
        <w:t>日</w:t>
      </w:r>
      <w:r>
        <w:rPr>
          <w:spacing w:val="-29"/>
        </w:rPr>
        <w:t>的</w:t>
      </w:r>
      <w:r>
        <w:rPr/>
        <w:t>《中国证券报</w:t>
      </w:r>
      <w:r>
        <w:rPr>
          <w:spacing w:val="-120"/>
        </w:rPr>
        <w:t>》</w:t>
      </w:r>
      <w:r>
        <w:rPr>
          <w:spacing w:val="-149"/>
        </w:rPr>
        <w:t>、</w:t>
      </w:r>
      <w:r>
        <w:rPr/>
        <w:t>《证券时报</w:t>
      </w:r>
      <w:r>
        <w:rPr>
          <w:spacing w:val="-29"/>
        </w:rPr>
        <w:t>》</w:t>
      </w:r>
      <w:r>
        <w:rPr/>
        <w:t>及巨</w:t>
      </w:r>
    </w:p>
    <w:p>
      <w:pPr>
        <w:pStyle w:val="BodyText"/>
        <w:spacing w:line="355" w:lineRule="auto" w:before="38"/>
        <w:ind w:left="618" w:right="1688" w:hanging="480"/>
        <w:jc w:val="left"/>
      </w:pPr>
      <w:r>
        <w:rPr/>
        <w:t>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 </w:t>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10</w:t>
      </w:r>
      <w:r>
        <w:rPr/>
        <w:t>日，在本公司四楼会议室召开第四届董事会第十八次会议，</w:t>
      </w:r>
    </w:p>
    <w:p>
      <w:pPr>
        <w:pStyle w:val="BodyText"/>
        <w:spacing w:line="357" w:lineRule="auto" w:before="38"/>
        <w:ind w:right="1671"/>
        <w:jc w:val="both"/>
      </w:pPr>
      <w:r>
        <w:rPr>
          <w:spacing w:val="4"/>
        </w:rPr>
        <w:t>审议通过了《</w:t>
      </w:r>
      <w:r>
        <w:rPr>
          <w:rFonts w:ascii="宋体" w:hAnsi="宋体" w:cs="宋体" w:eastAsia="宋体" w:hint="default"/>
        </w:rPr>
        <w:t>200</w:t>
      </w:r>
      <w:r>
        <w:rPr>
          <w:rFonts w:ascii="宋体" w:hAnsi="宋体" w:cs="宋体" w:eastAsia="宋体" w:hint="default"/>
          <w:spacing w:val="4"/>
        </w:rPr>
        <w:t>9</w:t>
      </w:r>
      <w:r>
        <w:rPr>
          <w:spacing w:val="4"/>
        </w:rPr>
        <w:t>年度董事会工作报</w:t>
      </w:r>
      <w:r>
        <w:rPr>
          <w:spacing w:val="5"/>
        </w:rPr>
        <w:t>告</w:t>
      </w:r>
      <w:r>
        <w:rPr>
          <w:spacing w:val="-116"/>
        </w:rPr>
        <w:t>》、</w:t>
      </w:r>
      <w:r>
        <w:rPr>
          <w:spacing w:val="5"/>
        </w:rPr>
        <w:t>《</w:t>
      </w:r>
      <w:r>
        <w:rPr>
          <w:rFonts w:ascii="宋体" w:hAnsi="宋体" w:cs="宋体" w:eastAsia="宋体" w:hint="default"/>
        </w:rPr>
        <w:t>200</w:t>
      </w:r>
      <w:r>
        <w:rPr>
          <w:rFonts w:ascii="宋体" w:hAnsi="宋体" w:cs="宋体" w:eastAsia="宋体" w:hint="default"/>
          <w:spacing w:val="4"/>
        </w:rPr>
        <w:t>9</w:t>
      </w:r>
      <w:r>
        <w:rPr>
          <w:spacing w:val="4"/>
        </w:rPr>
        <w:t>年度总经理工作报</w:t>
      </w:r>
      <w:r>
        <w:rPr>
          <w:spacing w:val="5"/>
        </w:rPr>
        <w:t>告</w:t>
      </w:r>
      <w:r>
        <w:rPr>
          <w:spacing w:val="-116"/>
        </w:rPr>
        <w:t>》、</w:t>
      </w:r>
      <w:r>
        <w:rPr>
          <w:spacing w:val="4"/>
        </w:rPr>
        <w:t>《</w:t>
      </w:r>
      <w:r>
        <w:rPr>
          <w:rFonts w:ascii="宋体" w:hAnsi="宋体" w:cs="宋体" w:eastAsia="宋体" w:hint="default"/>
        </w:rPr>
        <w:t>2009 </w:t>
      </w:r>
      <w:r>
        <w:rPr/>
        <w:t>年度财务决算报</w:t>
      </w:r>
      <w:r>
        <w:rPr>
          <w:spacing w:val="-1"/>
        </w:rPr>
        <w:t>告</w:t>
      </w:r>
      <w:r>
        <w:rPr>
          <w:spacing w:val="-120"/>
        </w:rPr>
        <w:t>》</w:t>
      </w:r>
      <w:r>
        <w:rPr>
          <w:spacing w:val="-164"/>
        </w:rPr>
        <w:t>、</w:t>
      </w:r>
      <w:r>
        <w:rPr/>
        <w:t>《关于公司</w:t>
      </w:r>
      <w:r>
        <w:rPr>
          <w:rFonts w:ascii="宋体" w:hAnsi="宋体" w:cs="宋体" w:eastAsia="宋体" w:hint="default"/>
        </w:rPr>
        <w:t>2009</w:t>
      </w:r>
      <w:r>
        <w:rPr/>
        <w:t>年度利润分配的预案</w:t>
      </w:r>
      <w:r>
        <w:rPr>
          <w:spacing w:val="-120"/>
        </w:rPr>
        <w:t>》</w:t>
      </w:r>
      <w:r>
        <w:rPr>
          <w:spacing w:val="-164"/>
        </w:rPr>
        <w:t>、</w:t>
      </w:r>
      <w:r>
        <w:rPr/>
        <w:t>《</w:t>
      </w:r>
      <w:r>
        <w:rPr>
          <w:rFonts w:ascii="宋体" w:hAnsi="宋体" w:cs="宋体" w:eastAsia="宋体" w:hint="default"/>
        </w:rPr>
        <w:t>2009</w:t>
      </w:r>
      <w:r>
        <w:rPr/>
        <w:t>年度内部控制 自我评价报</w:t>
      </w:r>
      <w:r>
        <w:rPr>
          <w:spacing w:val="-1"/>
        </w:rPr>
        <w:t>告</w:t>
      </w:r>
      <w:r>
        <w:rPr>
          <w:spacing w:val="-120"/>
        </w:rPr>
        <w:t>》</w:t>
      </w:r>
      <w:r>
        <w:rPr>
          <w:spacing w:val="-164"/>
        </w:rPr>
        <w:t>、</w:t>
      </w:r>
      <w:r>
        <w:rPr/>
        <w:t>《</w:t>
      </w:r>
      <w:r>
        <w:rPr>
          <w:rFonts w:ascii="宋体" w:hAnsi="宋体" w:cs="宋体" w:eastAsia="宋体" w:hint="default"/>
        </w:rPr>
        <w:t>2009</w:t>
      </w:r>
      <w:r>
        <w:rPr/>
        <w:t>年年度报告及摘要</w:t>
      </w:r>
      <w:r>
        <w:rPr>
          <w:spacing w:val="-120"/>
        </w:rPr>
        <w:t>》</w:t>
      </w:r>
      <w:r>
        <w:rPr>
          <w:spacing w:val="-164"/>
        </w:rPr>
        <w:t>、</w:t>
      </w:r>
      <w:r>
        <w:rPr/>
        <w:t>《</w:t>
      </w:r>
      <w:r>
        <w:rPr>
          <w:rFonts w:ascii="宋体" w:hAnsi="宋体" w:cs="宋体" w:eastAsia="宋体" w:hint="default"/>
        </w:rPr>
        <w:t>2009</w:t>
      </w:r>
      <w:r>
        <w:rPr/>
        <w:t>年年度募集资金存放及使用情 况专项报告</w:t>
      </w:r>
      <w:r>
        <w:rPr>
          <w:spacing w:val="-121"/>
        </w:rPr>
        <w:t>》</w:t>
      </w:r>
      <w:r>
        <w:rPr>
          <w:spacing w:val="-164"/>
        </w:rPr>
        <w:t>、</w:t>
      </w:r>
      <w:r>
        <w:rPr/>
        <w:t>《关于续聘公司</w:t>
      </w:r>
      <w:r>
        <w:rPr>
          <w:rFonts w:ascii="宋体" w:hAnsi="宋体" w:cs="宋体" w:eastAsia="宋体" w:hint="default"/>
        </w:rPr>
        <w:t>2010</w:t>
      </w:r>
      <w:r>
        <w:rPr/>
        <w:t>年财务审计机构的议案</w:t>
      </w:r>
      <w:r>
        <w:rPr>
          <w:spacing w:val="-120"/>
        </w:rPr>
        <w:t>》</w:t>
      </w:r>
      <w:r>
        <w:rPr>
          <w:spacing w:val="-164"/>
        </w:rPr>
        <w:t>、</w:t>
      </w:r>
      <w:r>
        <w:rPr/>
        <w:t>《年报信息披露重大</w:t>
      </w:r>
      <w:r>
        <w:rPr/>
        <w:t> </w:t>
      </w:r>
      <w:r>
        <w:rPr>
          <w:spacing w:val="4"/>
        </w:rPr>
        <w:t>差错责任追</w:t>
      </w:r>
      <w:r>
        <w:rPr>
          <w:spacing w:val="2"/>
        </w:rPr>
        <w:t>究</w:t>
      </w:r>
      <w:r>
        <w:rPr>
          <w:spacing w:val="4"/>
        </w:rPr>
        <w:t>制度</w:t>
      </w:r>
      <w:r>
        <w:rPr>
          <w:spacing w:val="-113"/>
        </w:rPr>
        <w:t>》</w:t>
      </w:r>
      <w:r>
        <w:rPr>
          <w:spacing w:val="-118"/>
        </w:rPr>
        <w:t>、</w:t>
      </w:r>
      <w:r>
        <w:rPr>
          <w:spacing w:val="2"/>
        </w:rPr>
        <w:t>《</w:t>
      </w:r>
      <w:r>
        <w:rPr>
          <w:spacing w:val="4"/>
        </w:rPr>
        <w:t>独立董事年</w:t>
      </w:r>
      <w:r>
        <w:rPr>
          <w:spacing w:val="2"/>
        </w:rPr>
        <w:t>报</w:t>
      </w:r>
      <w:r>
        <w:rPr>
          <w:spacing w:val="4"/>
        </w:rPr>
        <w:t>工作制</w:t>
      </w:r>
      <w:r>
        <w:rPr>
          <w:spacing w:val="2"/>
        </w:rPr>
        <w:t>度</w:t>
      </w:r>
      <w:r>
        <w:rPr>
          <w:spacing w:val="-113"/>
        </w:rPr>
        <w:t>》</w:t>
      </w:r>
      <w:r>
        <w:rPr>
          <w:spacing w:val="-116"/>
        </w:rPr>
        <w:t>、</w:t>
      </w:r>
      <w:r>
        <w:rPr>
          <w:spacing w:val="4"/>
        </w:rPr>
        <w:t>《审计</w:t>
      </w:r>
      <w:r>
        <w:rPr>
          <w:spacing w:val="2"/>
        </w:rPr>
        <w:t>委</w:t>
      </w:r>
      <w:r>
        <w:rPr>
          <w:spacing w:val="4"/>
        </w:rPr>
        <w:t>员会年</w:t>
      </w:r>
      <w:r>
        <w:rPr>
          <w:spacing w:val="2"/>
        </w:rPr>
        <w:t>报工</w:t>
      </w:r>
      <w:r>
        <w:rPr>
          <w:spacing w:val="4"/>
        </w:rPr>
        <w:t>作规程</w:t>
      </w:r>
      <w:r>
        <w:rPr>
          <w:spacing w:val="-112"/>
        </w:rPr>
        <w:t>》</w:t>
      </w:r>
      <w:r>
        <w:rPr/>
        <w:t>、</w:t>
      </w:r>
    </w:p>
    <w:p>
      <w:pPr>
        <w:pStyle w:val="BodyText"/>
        <w:spacing w:line="355" w:lineRule="auto" w:before="36"/>
        <w:ind w:right="1776"/>
        <w:jc w:val="left"/>
      </w:pPr>
      <w:r>
        <w:rPr/>
        <w:t>《重大资金往来内部控制制度</w:t>
      </w:r>
      <w:r>
        <w:rPr>
          <w:spacing w:val="-120"/>
        </w:rPr>
        <w:t>》</w:t>
      </w:r>
      <w:r>
        <w:rPr>
          <w:spacing w:val="-164"/>
        </w:rPr>
        <w:t>、</w:t>
      </w:r>
      <w:r>
        <w:rPr/>
        <w:t>《外部信息使用人管理制度</w:t>
      </w:r>
      <w:r>
        <w:rPr>
          <w:spacing w:val="-120"/>
        </w:rPr>
        <w:t>》</w:t>
      </w:r>
      <w:r>
        <w:rPr>
          <w:spacing w:val="-164"/>
        </w:rPr>
        <w:t>、</w:t>
      </w:r>
      <w:r>
        <w:rPr/>
        <w:t>《公司</w:t>
      </w:r>
      <w:r>
        <w:rPr>
          <w:rFonts w:ascii="宋体" w:hAnsi="宋体" w:cs="宋体" w:eastAsia="宋体" w:hint="default"/>
        </w:rPr>
        <w:t>2010</w:t>
      </w:r>
      <w:r>
        <w:rPr/>
        <w:t>年一季 度报</w:t>
      </w:r>
      <w:r>
        <w:rPr>
          <w:spacing w:val="-1"/>
        </w:rPr>
        <w:t>告</w:t>
      </w:r>
      <w:r>
        <w:rPr>
          <w:spacing w:val="-120"/>
        </w:rPr>
        <w:t>》、</w:t>
      </w:r>
      <w:r>
        <w:rPr/>
        <w:t>《关于召开</w:t>
      </w:r>
      <w:r>
        <w:rPr>
          <w:rFonts w:ascii="宋体" w:hAnsi="宋体" w:cs="宋体" w:eastAsia="宋体" w:hint="default"/>
        </w:rPr>
        <w:t>2009</w:t>
      </w:r>
      <w:r>
        <w:rPr/>
        <w:t>年年度股东大会的议案</w:t>
      </w:r>
      <w:r>
        <w:rPr>
          <w:spacing w:val="-120"/>
        </w:rPr>
        <w:t>》</w:t>
      </w:r>
      <w:r>
        <w:rPr/>
        <w:t>。</w:t>
      </w:r>
    </w:p>
    <w:p>
      <w:pPr>
        <w:pStyle w:val="BodyText"/>
        <w:spacing w:line="355" w:lineRule="auto" w:before="38"/>
        <w:ind w:right="1791" w:firstLine="479"/>
        <w:jc w:val="left"/>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13</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before="38"/>
        <w:ind w:right="1689" w:firstLine="479"/>
        <w:jc w:val="left"/>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26</w:t>
      </w:r>
      <w:r>
        <w:rPr/>
        <w:t>日，在本公司四楼会议室召开第四届董事会第十九次会议， </w:t>
      </w:r>
      <w:r>
        <w:rPr>
          <w:spacing w:val="-10"/>
        </w:rPr>
        <w:t>审议通过了《关于继续使用部分闲置募集资金暂时补充流动资金的议案》、《关于</w:t>
      </w:r>
      <w:r>
        <w:rPr>
          <w:spacing w:val="-87"/>
        </w:rPr>
        <w:t> </w:t>
      </w:r>
      <w:r>
        <w:rPr>
          <w:spacing w:val="-87"/>
        </w:rPr>
      </w:r>
      <w:r>
        <w:rPr>
          <w:spacing w:val="-9"/>
        </w:rPr>
        <w:t>为全资子公司提供担保额度的议案》、《关于召开</w:t>
      </w:r>
      <w:r>
        <w:rPr>
          <w:rFonts w:ascii="宋体" w:hAnsi="宋体" w:cs="宋体" w:eastAsia="宋体" w:hint="default"/>
          <w:spacing w:val="-9"/>
        </w:rPr>
        <w:t>2010</w:t>
      </w:r>
      <w:r>
        <w:rPr>
          <w:spacing w:val="-9"/>
        </w:rPr>
        <w:t>年第二次临时股东大会的议</w:t>
      </w:r>
      <w:r>
        <w:rPr>
          <w:spacing w:val="-107"/>
        </w:rPr>
        <w:t> </w:t>
      </w:r>
      <w:r>
        <w:rPr>
          <w:spacing w:val="-41"/>
        </w:rPr>
        <w:t>案》。</w:t>
      </w:r>
    </w:p>
    <w:p>
      <w:pPr>
        <w:pStyle w:val="BodyText"/>
        <w:spacing w:line="355" w:lineRule="auto" w:before="36"/>
        <w:ind w:right="1791" w:firstLine="479"/>
        <w:jc w:val="left"/>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28</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5" w:lineRule="auto" w:before="38"/>
        <w:ind w:right="1689" w:firstLine="479"/>
        <w:jc w:val="left"/>
      </w:pPr>
      <w:r>
        <w:rPr>
          <w:rFonts w:ascii="宋体" w:hAnsi="宋体" w:cs="宋体" w:eastAsia="宋体" w:hint="default"/>
        </w:rPr>
        <w:t>4</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27</w:t>
      </w:r>
      <w:r>
        <w:rPr/>
        <w:t>日，在本公司四楼会议室召开第四届董事会第二十次会议， </w:t>
      </w:r>
      <w:r>
        <w:rPr>
          <w:spacing w:val="-9"/>
        </w:rPr>
        <w:t>审议通过了《关于公司董事会换届选举的议案》、《</w:t>
      </w:r>
      <w:r>
        <w:rPr>
          <w:rFonts w:ascii="宋体" w:hAnsi="宋体" w:cs="宋体" w:eastAsia="宋体" w:hint="default"/>
          <w:spacing w:val="-9"/>
        </w:rPr>
        <w:t>2010</w:t>
      </w:r>
      <w:r>
        <w:rPr>
          <w:spacing w:val="-9"/>
        </w:rPr>
        <w:t>年半年度报告及摘要的议</w:t>
      </w:r>
    </w:p>
    <w:p>
      <w:pPr>
        <w:spacing w:after="0" w:line="355"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781" w:hanging="480"/>
        <w:jc w:val="left"/>
      </w:pPr>
      <w:r>
        <w:rPr>
          <w:spacing w:val="-1"/>
        </w:rPr>
        <w:t>案</w:t>
      </w:r>
      <w:r>
        <w:rPr>
          <w:spacing w:val="-120"/>
        </w:rPr>
        <w:t>》、</w:t>
      </w:r>
      <w:r>
        <w:rPr/>
        <w:t>《关于召开</w:t>
      </w:r>
      <w:r>
        <w:rPr>
          <w:rFonts w:ascii="宋体" w:hAnsi="宋体" w:cs="宋体" w:eastAsia="宋体" w:hint="default"/>
        </w:rPr>
        <w:t>2010</w:t>
      </w:r>
      <w:r>
        <w:rPr/>
        <w:t>年第三次临时股东大会的议案</w:t>
      </w:r>
      <w:r>
        <w:rPr>
          <w:spacing w:val="-120"/>
        </w:rPr>
        <w:t>》</w:t>
      </w:r>
      <w:r>
        <w:rPr/>
        <w:t>。</w:t>
      </w:r>
      <w:r>
        <w:rPr/>
        <w:t> 本次</w:t>
      </w:r>
      <w:r>
        <w:rPr>
          <w:spacing w:val="2"/>
        </w:rPr>
        <w:t>会</w:t>
      </w:r>
      <w:r>
        <w:rPr/>
        <w:t>议</w:t>
      </w:r>
      <w:r>
        <w:rPr>
          <w:spacing w:val="2"/>
        </w:rPr>
        <w:t>决</w:t>
      </w:r>
      <w:r>
        <w:rPr/>
        <w:t>议公</w:t>
      </w:r>
      <w:r>
        <w:rPr>
          <w:spacing w:val="2"/>
        </w:rPr>
        <w:t>告</w:t>
      </w:r>
      <w:r>
        <w:rPr/>
        <w:t>刊</w:t>
      </w:r>
      <w:r>
        <w:rPr>
          <w:spacing w:val="2"/>
        </w:rPr>
        <w:t>登</w:t>
      </w:r>
      <w:r>
        <w:rPr>
          <w:spacing w:val="1"/>
        </w:rPr>
        <w:t>在</w:t>
      </w:r>
      <w:r>
        <w:rPr>
          <w:rFonts w:ascii="宋体" w:hAnsi="宋体" w:cs="宋体" w:eastAsia="宋体" w:hint="default"/>
        </w:rPr>
        <w:t>2010</w:t>
      </w:r>
      <w:r>
        <w:rPr>
          <w:spacing w:val="2"/>
        </w:rPr>
        <w:t>年</w:t>
      </w:r>
      <w:r>
        <w:rPr>
          <w:rFonts w:ascii="宋体" w:hAnsi="宋体" w:cs="宋体" w:eastAsia="宋体" w:hint="default"/>
        </w:rPr>
        <w:t>7</w:t>
      </w:r>
      <w:r>
        <w:rPr/>
        <w:t>月</w:t>
      </w:r>
      <w:r>
        <w:rPr>
          <w:rFonts w:ascii="宋体" w:hAnsi="宋体" w:cs="宋体" w:eastAsia="宋体" w:hint="default"/>
          <w:spacing w:val="2"/>
        </w:rPr>
        <w:t>2</w:t>
      </w:r>
      <w:r>
        <w:rPr>
          <w:rFonts w:ascii="宋体" w:hAnsi="宋体" w:cs="宋体" w:eastAsia="宋体" w:hint="default"/>
        </w:rPr>
        <w:t>8</w:t>
      </w:r>
      <w:r>
        <w:rPr/>
        <w:t>日</w:t>
      </w:r>
      <w:r>
        <w:rPr>
          <w:spacing w:val="2"/>
        </w:rPr>
        <w:t>的《</w:t>
      </w:r>
      <w:r>
        <w:rPr/>
        <w:t>中国</w:t>
      </w:r>
      <w:r>
        <w:rPr>
          <w:spacing w:val="2"/>
        </w:rPr>
        <w:t>证</w:t>
      </w:r>
      <w:r>
        <w:rPr/>
        <w:t>券</w:t>
      </w:r>
      <w:r>
        <w:rPr>
          <w:spacing w:val="2"/>
        </w:rPr>
        <w:t>报</w:t>
      </w:r>
      <w:r>
        <w:rPr>
          <w:spacing w:val="-120"/>
        </w:rPr>
        <w:t>》、</w:t>
      </w:r>
      <w:r>
        <w:rPr>
          <w:spacing w:val="2"/>
        </w:rPr>
        <w:t>《</w:t>
      </w:r>
      <w:r>
        <w:rPr/>
        <w:t>证</w:t>
      </w:r>
      <w:r>
        <w:rPr>
          <w:spacing w:val="2"/>
        </w:rPr>
        <w:t>券时</w:t>
      </w:r>
      <w:r>
        <w:rPr/>
        <w:t>报》及</w:t>
      </w:r>
    </w:p>
    <w:p>
      <w:pPr>
        <w:pStyle w:val="BodyText"/>
        <w:spacing w:line="357" w:lineRule="auto"/>
        <w:ind w:left="618" w:right="1787" w:hanging="480"/>
        <w:jc w:val="left"/>
      </w:pPr>
      <w:r>
        <w:rPr/>
        <w:t>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 </w:t>
      </w:r>
      <w:r>
        <w:rPr>
          <w:rFonts w:ascii="宋体" w:hAnsi="宋体" w:cs="宋体" w:eastAsia="宋体" w:hint="default"/>
          <w:spacing w:val="-3"/>
        </w:rPr>
        <w:t>5</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12</w:t>
      </w:r>
      <w:r>
        <w:rPr>
          <w:spacing w:val="-3"/>
        </w:rPr>
        <w:t>日，在本公司四楼会议室召开第五届董事会第一次会议，审</w:t>
      </w:r>
    </w:p>
    <w:p>
      <w:pPr>
        <w:pStyle w:val="BodyText"/>
        <w:spacing w:line="357" w:lineRule="auto"/>
        <w:ind w:right="1791"/>
        <w:jc w:val="both"/>
      </w:pPr>
      <w:r>
        <w:rPr/>
        <w:t>议通过</w:t>
      </w:r>
      <w:r>
        <w:rPr>
          <w:spacing w:val="-44"/>
        </w:rPr>
        <w:t>了</w:t>
      </w:r>
      <w:r>
        <w:rPr/>
        <w:t>《关于选举第五届董事会董事长的议案</w:t>
      </w:r>
      <w:r>
        <w:rPr>
          <w:spacing w:val="-120"/>
        </w:rPr>
        <w:t>》</w:t>
      </w:r>
      <w:r>
        <w:rPr>
          <w:spacing w:val="-164"/>
        </w:rPr>
        <w:t>、</w:t>
      </w:r>
      <w:r>
        <w:rPr/>
        <w:t>《关于选举第五届董事会副董</w:t>
      </w:r>
      <w:r>
        <w:rPr/>
        <w:t> 事长的议案</w:t>
      </w:r>
      <w:r>
        <w:rPr>
          <w:spacing w:val="-120"/>
        </w:rPr>
        <w:t>》</w:t>
      </w:r>
      <w:r>
        <w:rPr>
          <w:spacing w:val="-164"/>
        </w:rPr>
        <w:t>、</w:t>
      </w:r>
      <w:r>
        <w:rPr/>
        <w:t>《关于董事会各专门委员会换届的议案</w:t>
      </w:r>
      <w:r>
        <w:rPr>
          <w:spacing w:val="-120"/>
        </w:rPr>
        <w:t>》</w:t>
      </w:r>
      <w:r>
        <w:rPr>
          <w:spacing w:val="-164"/>
        </w:rPr>
        <w:t>、</w:t>
      </w:r>
      <w:r>
        <w:rPr/>
        <w:t>《关于聘任公司总经理的</w:t>
      </w:r>
      <w:r>
        <w:rPr/>
        <w:t> 议案</w:t>
      </w:r>
      <w:r>
        <w:rPr>
          <w:spacing w:val="-22"/>
        </w:rPr>
        <w:t>》</w:t>
      </w:r>
      <w:r>
        <w:rPr>
          <w:spacing w:val="-44"/>
        </w:rPr>
        <w:t>、</w:t>
      </w:r>
      <w:r>
        <w:rPr/>
        <w:t>《关于聘任公司董事会秘书的议案</w:t>
      </w:r>
      <w:r>
        <w:rPr>
          <w:spacing w:val="-120"/>
        </w:rPr>
        <w:t>》</w:t>
      </w:r>
      <w:r>
        <w:rPr>
          <w:spacing w:val="-142"/>
        </w:rPr>
        <w:t>、</w:t>
      </w:r>
      <w:r>
        <w:rPr/>
        <w:t>《关于聘任公司高级管理人员的议</w:t>
      </w:r>
      <w:r>
        <w:rPr/>
        <w:t> 案</w:t>
      </w:r>
      <w:r>
        <w:rPr>
          <w:spacing w:val="-120"/>
        </w:rPr>
        <w:t>》、</w:t>
      </w:r>
      <w:r>
        <w:rPr/>
        <w:t>《关于调整公司独立董事津贴的议案</w:t>
      </w:r>
      <w:r>
        <w:rPr>
          <w:spacing w:val="-120"/>
        </w:rPr>
        <w:t>》</w:t>
      </w:r>
      <w:r>
        <w:rPr/>
        <w:t>。</w:t>
      </w:r>
    </w:p>
    <w:p>
      <w:pPr>
        <w:pStyle w:val="BodyText"/>
        <w:spacing w:line="357" w:lineRule="auto"/>
        <w:ind w:right="1796" w:firstLine="479"/>
        <w:jc w:val="both"/>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8</w:t>
      </w:r>
      <w:r>
        <w:rPr>
          <w:spacing w:val="-6"/>
        </w:rPr>
        <w:t>月</w:t>
      </w:r>
      <w:r>
        <w:rPr>
          <w:rFonts w:ascii="宋体" w:hAnsi="宋体" w:cs="宋体" w:eastAsia="宋体" w:hint="default"/>
          <w:spacing w:val="-6"/>
        </w:rPr>
        <w:t>13</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ind w:right="1791" w:firstLine="479"/>
        <w:jc w:val="both"/>
      </w:pPr>
      <w:r>
        <w:rPr>
          <w:rFonts w:ascii="宋体" w:hAnsi="宋体" w:cs="宋体" w:eastAsia="宋体" w:hint="default"/>
        </w:rPr>
        <w:t>6</w:t>
      </w:r>
      <w:r>
        <w:rPr/>
        <w:t>、</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13</w:t>
      </w:r>
      <w:r>
        <w:rPr/>
        <w:t>日，在本公司四楼会议室召开第五届董事会第二次会议， </w:t>
      </w:r>
      <w:r>
        <w:rPr>
          <w:spacing w:val="-10"/>
        </w:rPr>
        <w:t>审议通过了《安徽鑫龙电器股份有限公司治理专项活动整改报告》、《外部信息使</w:t>
      </w:r>
      <w:r>
        <w:rPr>
          <w:spacing w:val="-87"/>
        </w:rPr>
        <w:t> </w:t>
      </w:r>
      <w:r>
        <w:rPr>
          <w:spacing w:val="-87"/>
        </w:rPr>
      </w:r>
      <w:r>
        <w:rPr>
          <w:spacing w:val="-31"/>
        </w:rPr>
        <w:t>用人管理制度》。</w:t>
      </w:r>
      <w:r>
        <w:rPr/>
      </w:r>
    </w:p>
    <w:p>
      <w:pPr>
        <w:pStyle w:val="BodyText"/>
        <w:spacing w:line="357" w:lineRule="auto" w:before="36"/>
        <w:ind w:right="1791" w:firstLine="479"/>
        <w:jc w:val="both"/>
      </w:pPr>
      <w:r>
        <w:rPr>
          <w:spacing w:val="-9"/>
        </w:rPr>
        <w:t>本次会议决议公告刊登在</w:t>
      </w:r>
      <w:r>
        <w:rPr>
          <w:rFonts w:ascii="宋体" w:hAnsi="宋体" w:cs="宋体" w:eastAsia="宋体" w:hint="default"/>
          <w:spacing w:val="-9"/>
        </w:rPr>
        <w:t>2010</w:t>
      </w:r>
      <w:r>
        <w:rPr>
          <w:spacing w:val="-9"/>
        </w:rPr>
        <w:t>年</w:t>
      </w:r>
      <w:r>
        <w:rPr>
          <w:rFonts w:ascii="宋体" w:hAnsi="宋体" w:cs="宋体" w:eastAsia="宋体" w:hint="default"/>
          <w:spacing w:val="-9"/>
        </w:rPr>
        <w:t>10</w:t>
      </w:r>
      <w:r>
        <w:rPr>
          <w:spacing w:val="-9"/>
        </w:rPr>
        <w:t>月</w:t>
      </w:r>
      <w:r>
        <w:rPr>
          <w:rFonts w:ascii="宋体" w:hAnsi="宋体" w:cs="宋体" w:eastAsia="宋体" w:hint="default"/>
          <w:spacing w:val="-9"/>
        </w:rPr>
        <w:t>14</w:t>
      </w:r>
      <w:r>
        <w:rPr>
          <w:spacing w:val="-9"/>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ind w:right="1797" w:firstLine="479"/>
        <w:jc w:val="both"/>
      </w:pPr>
      <w:r>
        <w:rPr>
          <w:rFonts w:ascii="宋体" w:hAnsi="宋体" w:cs="宋体" w:eastAsia="宋体" w:hint="default"/>
        </w:rPr>
        <w:t>7</w:t>
      </w:r>
      <w:r>
        <w:rPr/>
        <w:t>、</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26</w:t>
      </w:r>
      <w:r>
        <w:rPr/>
        <w:t>日，在本公司四楼会议室召开第五届董事会第三次会议， </w:t>
      </w:r>
      <w:r>
        <w:rPr>
          <w:spacing w:val="-6"/>
        </w:rPr>
        <w:t>审议通过了《</w:t>
      </w:r>
      <w:r>
        <w:rPr>
          <w:rFonts w:ascii="宋体" w:hAnsi="宋体" w:cs="宋体" w:eastAsia="宋体" w:hint="default"/>
          <w:spacing w:val="-6"/>
        </w:rPr>
        <w:t>2010</w:t>
      </w:r>
      <w:r>
        <w:rPr>
          <w:spacing w:val="-6"/>
        </w:rPr>
        <w:t>年第三季度报告的议案》。</w:t>
      </w:r>
    </w:p>
    <w:p>
      <w:pPr>
        <w:pStyle w:val="BodyText"/>
        <w:spacing w:line="357" w:lineRule="auto"/>
        <w:ind w:right="1791" w:firstLine="479"/>
        <w:jc w:val="both"/>
      </w:pPr>
      <w:r>
        <w:rPr>
          <w:rFonts w:ascii="宋体" w:hAnsi="宋体" w:cs="宋体" w:eastAsia="宋体" w:hint="default"/>
        </w:rPr>
        <w:t>8</w:t>
      </w:r>
      <w:r>
        <w:rPr/>
        <w:t>、</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29</w:t>
      </w:r>
      <w:r>
        <w:rPr/>
        <w:t>日，在本公司四楼会议室召开第五届董事会第四次会议， </w:t>
      </w:r>
      <w:r>
        <w:rPr>
          <w:spacing w:val="-10"/>
        </w:rPr>
        <w:t>审议通过了《关于继续使用部分闲置募集资金暂时补充流动资金的议案》、《关于</w:t>
      </w:r>
      <w:r>
        <w:rPr>
          <w:spacing w:val="-87"/>
        </w:rPr>
        <w:t> </w:t>
      </w:r>
      <w:r>
        <w:rPr>
          <w:spacing w:val="-87"/>
        </w:rPr>
      </w:r>
      <w:r>
        <w:rPr>
          <w:spacing w:val="-12"/>
        </w:rPr>
        <w:t>修改公司章程》、《关于召开</w:t>
      </w:r>
      <w:r>
        <w:rPr>
          <w:rFonts w:ascii="宋体" w:hAnsi="宋体" w:cs="宋体" w:eastAsia="宋体" w:hint="default"/>
          <w:spacing w:val="-12"/>
        </w:rPr>
        <w:t>2010</w:t>
      </w:r>
      <w:r>
        <w:rPr>
          <w:spacing w:val="-12"/>
        </w:rPr>
        <w:t>年第四次临时股东大会的通知》。</w:t>
      </w:r>
    </w:p>
    <w:p>
      <w:pPr>
        <w:pStyle w:val="BodyText"/>
        <w:spacing w:line="355" w:lineRule="auto" w:before="36"/>
        <w:ind w:right="1791" w:firstLine="479"/>
        <w:jc w:val="both"/>
      </w:pPr>
      <w:r>
        <w:rPr>
          <w:spacing w:val="-9"/>
        </w:rPr>
        <w:t>本次会议决议公告刊登在</w:t>
      </w:r>
      <w:r>
        <w:rPr>
          <w:rFonts w:ascii="宋体" w:hAnsi="宋体" w:cs="宋体" w:eastAsia="宋体" w:hint="default"/>
          <w:spacing w:val="-9"/>
        </w:rPr>
        <w:t>2010</w:t>
      </w:r>
      <w:r>
        <w:rPr>
          <w:spacing w:val="-9"/>
        </w:rPr>
        <w:t>年</w:t>
      </w:r>
      <w:r>
        <w:rPr>
          <w:rFonts w:ascii="宋体" w:hAnsi="宋体" w:cs="宋体" w:eastAsia="宋体" w:hint="default"/>
          <w:spacing w:val="-9"/>
        </w:rPr>
        <w:t>11</w:t>
      </w:r>
      <w:r>
        <w:rPr>
          <w:spacing w:val="-9"/>
        </w:rPr>
        <w:t>月</w:t>
      </w:r>
      <w:r>
        <w:rPr>
          <w:rFonts w:ascii="宋体" w:hAnsi="宋体" w:cs="宋体" w:eastAsia="宋体" w:hint="default"/>
          <w:spacing w:val="-9"/>
        </w:rPr>
        <w:t>30</w:t>
      </w:r>
      <w:r>
        <w:rPr>
          <w:spacing w:val="-9"/>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before="38"/>
        <w:ind w:right="1791" w:firstLine="479"/>
        <w:jc w:val="both"/>
      </w:pPr>
      <w:r>
        <w:rPr>
          <w:rFonts w:ascii="宋体" w:hAnsi="宋体" w:cs="宋体" w:eastAsia="宋体" w:hint="default"/>
        </w:rPr>
        <w:t>9</w:t>
      </w:r>
      <w:r>
        <w:rPr/>
        <w:t>、</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16</w:t>
      </w:r>
      <w:r>
        <w:rPr/>
        <w:t>日，在本公司四楼会议室召开第五届董事会第五次会议， </w:t>
      </w:r>
      <w:r>
        <w:rPr>
          <w:spacing w:val="-3"/>
        </w:rPr>
        <w:t>审议通过了《关于</w:t>
      </w:r>
      <w:r>
        <w:rPr>
          <w:rFonts w:ascii="宋体" w:hAnsi="宋体" w:cs="宋体" w:eastAsia="宋体" w:hint="default"/>
          <w:spacing w:val="-3"/>
        </w:rPr>
        <w:t>&lt;</w:t>
      </w:r>
      <w:r>
        <w:rPr>
          <w:spacing w:val="-3"/>
        </w:rPr>
        <w:t>安徽鑫龙电器股份有限公司股票期权激励计划（草案）</w:t>
      </w:r>
      <w:r>
        <w:rPr>
          <w:rFonts w:ascii="宋体" w:hAnsi="宋体" w:cs="宋体" w:eastAsia="宋体" w:hint="default"/>
          <w:spacing w:val="-3"/>
        </w:rPr>
        <w:t>&gt;</w:t>
      </w:r>
      <w:r>
        <w:rPr>
          <w:spacing w:val="-3"/>
        </w:rPr>
        <w:t>及其</w:t>
      </w:r>
      <w:r>
        <w:rPr>
          <w:spacing w:val="-98"/>
        </w:rPr>
        <w:t> </w:t>
      </w:r>
      <w:r>
        <w:rPr>
          <w:spacing w:val="-6"/>
        </w:rPr>
        <w:t>摘要的议案》、《关于</w:t>
      </w:r>
      <w:r>
        <w:rPr>
          <w:rFonts w:ascii="宋体" w:hAnsi="宋体" w:cs="宋体" w:eastAsia="宋体" w:hint="default"/>
          <w:spacing w:val="-6"/>
        </w:rPr>
        <w:t>&lt;</w:t>
      </w:r>
      <w:r>
        <w:rPr>
          <w:spacing w:val="-6"/>
        </w:rPr>
        <w:t>安徽鑫龙电器股份有限公司股票期权激励计划实施考核管</w:t>
      </w:r>
      <w:r>
        <w:rPr/>
        <w:t> </w:t>
      </w:r>
      <w:r>
        <w:rPr>
          <w:spacing w:val="-6"/>
        </w:rPr>
        <w:t>理办法</w:t>
      </w:r>
      <w:r>
        <w:rPr>
          <w:rFonts w:ascii="宋体" w:hAnsi="宋体" w:cs="宋体" w:eastAsia="宋体" w:hint="default"/>
          <w:spacing w:val="-6"/>
        </w:rPr>
        <w:t>&gt;</w:t>
      </w:r>
      <w:r>
        <w:rPr>
          <w:spacing w:val="-6"/>
        </w:rPr>
        <w:t>的议案》、《关于提请股东大会授权董事会办理股票期权激励相关事宜的</w:t>
      </w:r>
      <w:r>
        <w:rPr/>
        <w:t> </w:t>
      </w:r>
      <w:r>
        <w:rPr>
          <w:spacing w:val="-31"/>
        </w:rPr>
        <w:t>议案》。</w:t>
      </w:r>
    </w:p>
    <w:p>
      <w:pPr>
        <w:pStyle w:val="BodyText"/>
        <w:spacing w:line="357" w:lineRule="auto"/>
        <w:ind w:right="1791" w:firstLine="479"/>
        <w:jc w:val="both"/>
      </w:pPr>
      <w:r>
        <w:rPr>
          <w:spacing w:val="-9"/>
        </w:rPr>
        <w:t>本次会议决议公告刊登在</w:t>
      </w:r>
      <w:r>
        <w:rPr>
          <w:rFonts w:ascii="宋体" w:hAnsi="宋体" w:cs="宋体" w:eastAsia="宋体" w:hint="default"/>
          <w:spacing w:val="-9"/>
        </w:rPr>
        <w:t>2010</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18</w:t>
      </w:r>
      <w:r>
        <w:rPr>
          <w:spacing w:val="-9"/>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ind w:left="618" w:right="1787"/>
        <w:jc w:val="left"/>
      </w:pPr>
      <w:r>
        <w:rPr/>
        <w:t>（二</w:t>
      </w:r>
      <w:r>
        <w:rPr>
          <w:spacing w:val="-120"/>
        </w:rPr>
        <w:t>）</w:t>
      </w:r>
      <w:r>
        <w:rPr/>
        <w:t>、董事会对股东大会决议执行情况</w:t>
      </w:r>
    </w:p>
    <w:p>
      <w:pPr>
        <w:spacing w:after="0" w:line="240"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right="1792" w:firstLine="479"/>
        <w:jc w:val="both"/>
      </w:pPr>
      <w:r>
        <w:rPr>
          <w:spacing w:val="-10"/>
        </w:rPr>
        <w:t>报告期内，公司董事会根据《公司法》、《证券法》等有关法律法规和《公司</w:t>
      </w:r>
      <w:r>
        <w:rPr/>
        <w:t> </w:t>
      </w:r>
      <w:r>
        <w:rPr>
          <w:spacing w:val="-3"/>
        </w:rPr>
        <w:t>章程》要求，严格按照股东大会的决议和授权，认真执行股东大会通过的各项决</w:t>
      </w:r>
      <w:r>
        <w:rPr>
          <w:spacing w:val="-102"/>
        </w:rPr>
        <w:t> </w:t>
      </w:r>
      <w:r>
        <w:rPr>
          <w:spacing w:val="-102"/>
        </w:rPr>
      </w:r>
      <w:r>
        <w:rPr/>
        <w:t>议。</w:t>
      </w:r>
    </w:p>
    <w:p>
      <w:pPr>
        <w:pStyle w:val="BodyText"/>
        <w:spacing w:line="240" w:lineRule="auto" w:before="36"/>
        <w:ind w:left="618" w:right="1787"/>
        <w:jc w:val="left"/>
      </w:pPr>
      <w:r>
        <w:rPr>
          <w:rFonts w:ascii="宋体" w:hAnsi="宋体" w:cs="宋体" w:eastAsia="宋体" w:hint="default"/>
        </w:rPr>
        <w:t>1</w:t>
      </w:r>
      <w:r>
        <w:rPr/>
        <w:t>、董事会下设专业委员会履职情况</w:t>
      </w:r>
    </w:p>
    <w:p>
      <w:pPr>
        <w:pStyle w:val="BodyText"/>
        <w:spacing w:line="357" w:lineRule="auto" w:before="151"/>
        <w:ind w:left="618" w:right="1787"/>
        <w:jc w:val="left"/>
      </w:pPr>
      <w:r>
        <w:rPr/>
        <w:t>（</w:t>
      </w:r>
      <w:r>
        <w:rPr>
          <w:rFonts w:ascii="宋体" w:hAnsi="宋体" w:cs="宋体" w:eastAsia="宋体" w:hint="default"/>
        </w:rPr>
        <w:t>1</w:t>
      </w:r>
      <w:r>
        <w:rPr/>
        <w:t>）审计委员会 </w:t>
      </w:r>
      <w:r>
        <w:rPr>
          <w:spacing w:val="-3"/>
        </w:rPr>
        <w:t>按照中国证券监督管理委员会《公开发行证券的公司信息披露内容与格式准</w:t>
      </w:r>
    </w:p>
    <w:p>
      <w:pPr>
        <w:pStyle w:val="BodyText"/>
        <w:spacing w:line="357" w:lineRule="auto"/>
        <w:ind w:right="1793"/>
        <w:jc w:val="both"/>
      </w:pPr>
      <w:r>
        <w:rPr/>
        <w:t>则第</w:t>
      </w:r>
      <w:r>
        <w:rPr>
          <w:rFonts w:ascii="宋体" w:hAnsi="宋体" w:cs="宋体" w:eastAsia="宋体" w:hint="default"/>
        </w:rPr>
        <w:t>2</w:t>
      </w:r>
      <w:r>
        <w:rPr/>
        <w:t>号</w:t>
      </w:r>
      <w:r>
        <w:rPr>
          <w:rFonts w:ascii="宋体" w:hAnsi="宋体" w:cs="宋体" w:eastAsia="宋体" w:hint="default"/>
        </w:rPr>
        <w:t>&lt;</w:t>
      </w:r>
      <w:r>
        <w:rPr/>
        <w:t>年度报告的内容与格式</w:t>
      </w:r>
      <w:r>
        <w:rPr>
          <w:rFonts w:ascii="宋体" w:hAnsi="宋体" w:cs="宋体" w:eastAsia="宋体" w:hint="default"/>
        </w:rPr>
        <w:t>&gt;</w:t>
      </w:r>
      <w:r>
        <w:rPr/>
        <w:t>》等制度的规定，审计委员会根据《安徽鑫龙</w:t>
      </w:r>
      <w:r>
        <w:rPr>
          <w:spacing w:val="-95"/>
        </w:rPr>
        <w:t> </w:t>
      </w:r>
      <w:r>
        <w:rPr>
          <w:spacing w:val="-95"/>
        </w:rPr>
      </w:r>
      <w:r>
        <w:rPr>
          <w:spacing w:val="-3"/>
        </w:rPr>
        <w:t>电器股份有限公司董事会审计委员会对年报的审计规程》的要求，对公司编制的</w:t>
      </w:r>
      <w:r>
        <w:rPr>
          <w:spacing w:val="-106"/>
        </w:rPr>
        <w:t> </w:t>
      </w:r>
      <w:r>
        <w:rPr>
          <w:spacing w:val="-106"/>
        </w:rPr>
      </w:r>
      <w:r>
        <w:rPr>
          <w:rFonts w:ascii="宋体" w:hAnsi="宋体" w:cs="宋体" w:eastAsia="宋体" w:hint="default"/>
        </w:rPr>
        <w:t>2010</w:t>
      </w:r>
      <w:r>
        <w:rPr/>
        <w:t>年度财务会计报表进行审阅，并于</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19</w:t>
      </w:r>
      <w:r>
        <w:rPr/>
        <w:t>日出具审计报告，认为公司</w:t>
      </w:r>
    </w:p>
    <w:p>
      <w:pPr>
        <w:pStyle w:val="BodyText"/>
        <w:spacing w:line="355" w:lineRule="auto" w:before="37"/>
        <w:ind w:right="1787"/>
        <w:jc w:val="left"/>
      </w:pPr>
      <w:r>
        <w:rPr>
          <w:rFonts w:ascii="宋体" w:hAnsi="宋体" w:cs="宋体" w:eastAsia="宋体" w:hint="default"/>
          <w:spacing w:val="3"/>
        </w:rPr>
        <w:t>2010</w:t>
      </w:r>
      <w:r>
        <w:rPr>
          <w:spacing w:val="3"/>
        </w:rPr>
        <w:t>年业绩快报的相关数据和指标不存在重大误差。审计委员会全体委员无异</w:t>
      </w:r>
      <w:r>
        <w:rPr>
          <w:spacing w:val="-96"/>
        </w:rPr>
        <w:t> </w:t>
      </w:r>
      <w:r>
        <w:rPr>
          <w:spacing w:val="-96"/>
        </w:rPr>
      </w:r>
      <w:r>
        <w:rPr/>
        <w:t>议，并通知会计师事务所对上述报表开展年度审计。</w:t>
      </w:r>
    </w:p>
    <w:p>
      <w:pPr>
        <w:pStyle w:val="BodyText"/>
        <w:spacing w:line="355" w:lineRule="auto" w:before="38"/>
        <w:ind w:right="1796" w:firstLine="479"/>
        <w:jc w:val="both"/>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19</w:t>
      </w:r>
      <w:r>
        <w:rPr/>
        <w:t>日，审计委员会与年审注册会计师进行电话沟通，确定年度财 务报告审计工作的进度安排。</w:t>
      </w:r>
    </w:p>
    <w:p>
      <w:pPr>
        <w:pStyle w:val="BodyText"/>
        <w:spacing w:line="357" w:lineRule="auto" w:before="38"/>
        <w:ind w:right="1801" w:firstLine="479"/>
        <w:jc w:val="both"/>
      </w:pP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14</w:t>
      </w:r>
      <w:r>
        <w:rPr/>
        <w:t>日，审计委员会与年审注册会计师召开了审计前的沟通会，听 取会计师对公司</w:t>
      </w:r>
      <w:r>
        <w:rPr>
          <w:rFonts w:ascii="宋体" w:hAnsi="宋体" w:cs="宋体" w:eastAsia="宋体" w:hint="default"/>
        </w:rPr>
        <w:t>2010</w:t>
      </w:r>
      <w:r>
        <w:rPr/>
        <w:t>年年报审计的时间安排，并达成一致意见。</w:t>
      </w:r>
    </w:p>
    <w:p>
      <w:pPr>
        <w:pStyle w:val="BodyText"/>
        <w:spacing w:line="357" w:lineRule="auto"/>
        <w:ind w:right="1791" w:firstLine="479"/>
        <w:jc w:val="both"/>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14</w:t>
      </w:r>
      <w:r>
        <w:rPr/>
        <w:t>日，年审注册会计师完成公司</w:t>
      </w:r>
      <w:r>
        <w:rPr>
          <w:rFonts w:ascii="宋体" w:hAnsi="宋体" w:cs="宋体" w:eastAsia="宋体" w:hint="default"/>
        </w:rPr>
        <w:t>2010</w:t>
      </w:r>
      <w:r>
        <w:rPr/>
        <w:t>年年报审计的工作后，审计 </w:t>
      </w:r>
      <w:r>
        <w:rPr>
          <w:spacing w:val="-3"/>
        </w:rPr>
        <w:t>委员会再次与年审注册会计师召开了审计后的沟通会，听取会计师对年报审计中</w:t>
      </w:r>
      <w:r>
        <w:rPr>
          <w:spacing w:val="-104"/>
        </w:rPr>
        <w:t> </w:t>
      </w:r>
      <w:r>
        <w:rPr>
          <w:spacing w:val="-104"/>
        </w:rPr>
      </w:r>
      <w:r>
        <w:rPr>
          <w:spacing w:val="-3"/>
        </w:rPr>
        <w:t>一些重要问题的处理办法，商讨并确定最终的处理方案，同时督促审计机构按时</w:t>
      </w:r>
      <w:r>
        <w:rPr>
          <w:spacing w:val="-102"/>
        </w:rPr>
        <w:t> </w:t>
      </w:r>
      <w:r>
        <w:rPr>
          <w:spacing w:val="-102"/>
        </w:rPr>
      </w:r>
      <w:r>
        <w:rPr/>
        <w:t>出具审计报告。</w:t>
      </w:r>
    </w:p>
    <w:p>
      <w:pPr>
        <w:pStyle w:val="BodyText"/>
        <w:spacing w:line="357" w:lineRule="auto"/>
        <w:ind w:right="1791" w:firstLine="479"/>
        <w:jc w:val="both"/>
      </w:pPr>
      <w:r>
        <w:rPr/>
        <w:t>公司董事会审计委员会于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20</w:t>
      </w:r>
      <w:r>
        <w:rPr/>
        <w:t>日召开会议，审议年审注册会计师的 </w:t>
      </w:r>
      <w:r>
        <w:rPr>
          <w:rFonts w:ascii="宋体" w:hAnsi="宋体" w:cs="宋体" w:eastAsia="宋体" w:hint="default"/>
          <w:spacing w:val="-3"/>
        </w:rPr>
        <w:t>2010</w:t>
      </w:r>
      <w:r>
        <w:rPr>
          <w:spacing w:val="-3"/>
        </w:rPr>
        <w:t>年度审计报告，经审计委员会全体委员讨论，一致同意将《公司</w:t>
      </w:r>
      <w:r>
        <w:rPr>
          <w:rFonts w:ascii="宋体" w:hAnsi="宋体" w:cs="宋体" w:eastAsia="宋体" w:hint="default"/>
          <w:spacing w:val="-3"/>
        </w:rPr>
        <w:t>2010</w:t>
      </w:r>
      <w:r>
        <w:rPr>
          <w:spacing w:val="-3"/>
        </w:rPr>
        <w:t>年度审</w:t>
      </w:r>
      <w:r>
        <w:rPr>
          <w:spacing w:val="-90"/>
        </w:rPr>
        <w:t> </w:t>
      </w:r>
      <w:r>
        <w:rPr>
          <w:spacing w:val="-3"/>
        </w:rPr>
        <w:t>计报告》提交公司第五届董事会第七次会议审议；同时对会计师事务所年报审计</w:t>
      </w:r>
      <w:r>
        <w:rPr>
          <w:spacing w:val="-103"/>
        </w:rPr>
        <w:t> </w:t>
      </w:r>
      <w:r>
        <w:rPr>
          <w:spacing w:val="-103"/>
        </w:rPr>
      </w:r>
      <w:r>
        <w:rPr>
          <w:spacing w:val="-3"/>
        </w:rPr>
        <w:t>工作情况进行了总结，同意续聘天健正信会计师事务所有限公司为公司</w:t>
      </w:r>
      <w:r>
        <w:rPr>
          <w:rFonts w:ascii="宋体" w:hAnsi="宋体" w:cs="宋体" w:eastAsia="宋体" w:hint="default"/>
          <w:spacing w:val="-3"/>
        </w:rPr>
        <w:t>2011</w:t>
      </w:r>
      <w:r>
        <w:rPr>
          <w:spacing w:val="-3"/>
        </w:rPr>
        <w:t>年度</w:t>
      </w:r>
      <w:r>
        <w:rPr>
          <w:spacing w:val="-98"/>
        </w:rPr>
        <w:t> </w:t>
      </w:r>
      <w:r>
        <w:rPr/>
        <w:t>财务审计机构并提交董事会及股东大会审议。</w:t>
      </w:r>
    </w:p>
    <w:p>
      <w:pPr>
        <w:pStyle w:val="BodyText"/>
        <w:spacing w:line="355" w:lineRule="auto" w:before="37"/>
        <w:ind w:left="618" w:right="1248"/>
        <w:jc w:val="left"/>
      </w:pPr>
      <w:r>
        <w:rPr/>
        <w:t>（</w:t>
      </w:r>
      <w:r>
        <w:rPr>
          <w:rFonts w:ascii="宋体" w:hAnsi="宋体" w:cs="宋体" w:eastAsia="宋体" w:hint="default"/>
        </w:rPr>
        <w:t>2</w:t>
      </w:r>
      <w:r>
        <w:rPr/>
        <w:t>）薪酬与考核委员会 </w:t>
      </w:r>
      <w:r>
        <w:rPr>
          <w:spacing w:val="-7"/>
        </w:rPr>
        <w:t>严格按照公司《董事会薪酬与考核委员会实施细则》开展工作，对公司董事、</w:t>
      </w:r>
    </w:p>
    <w:p>
      <w:pPr>
        <w:pStyle w:val="BodyText"/>
        <w:spacing w:line="357" w:lineRule="auto" w:before="38"/>
        <w:ind w:right="1688"/>
        <w:jc w:val="left"/>
      </w:pPr>
      <w:r>
        <w:rPr/>
        <w:t>监事和高级管理人员</w:t>
      </w:r>
      <w:r>
        <w:rPr>
          <w:rFonts w:ascii="宋体" w:hAnsi="宋体" w:cs="宋体" w:eastAsia="宋体" w:hint="default"/>
        </w:rPr>
        <w:t>2010</w:t>
      </w:r>
      <w:r>
        <w:rPr/>
        <w:t>年度的薪酬进行了核查，认为：薪酬数据合理、真实， </w:t>
      </w:r>
      <w:r>
        <w:rPr>
          <w:spacing w:val="-3"/>
        </w:rPr>
        <w:t>公司为董事、独立董事、监事、高级管理人员所发放的薪酬符合规定，与其履职</w:t>
      </w:r>
      <w:r>
        <w:rPr>
          <w:spacing w:val="-103"/>
        </w:rPr>
        <w:t> </w:t>
      </w:r>
      <w:r>
        <w:rPr>
          <w:spacing w:val="-103"/>
        </w:rPr>
      </w:r>
      <w:r>
        <w:rPr/>
        <w:t>尽责情况匹配。</w:t>
      </w:r>
    </w:p>
    <w:p>
      <w:pPr>
        <w:pStyle w:val="BodyText"/>
        <w:spacing w:line="240" w:lineRule="auto"/>
        <w:ind w:left="618" w:right="1787"/>
        <w:jc w:val="left"/>
      </w:pPr>
      <w:r>
        <w:rPr/>
        <w:t>（</w:t>
      </w:r>
      <w:r>
        <w:rPr>
          <w:rFonts w:ascii="宋体" w:hAnsi="宋体" w:cs="宋体" w:eastAsia="宋体" w:hint="default"/>
        </w:rPr>
        <w:t>3</w:t>
      </w:r>
      <w:r>
        <w:rPr/>
        <w:t>）提名委员会</w:t>
      </w:r>
    </w:p>
    <w:p>
      <w:pPr>
        <w:spacing w:after="0" w:line="240"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38" w:right="1791" w:firstLine="479"/>
        <w:jc w:val="both"/>
      </w:pPr>
      <w:r>
        <w:rPr>
          <w:spacing w:val="-3"/>
        </w:rPr>
        <w:t>严格按照公司《董事会提名委员会实施细则》开展工作，对公司管理层成员</w:t>
      </w:r>
      <w:r>
        <w:rPr/>
        <w:t> </w:t>
      </w:r>
      <w:r>
        <w:rPr>
          <w:spacing w:val="-3"/>
        </w:rPr>
        <w:t>的选聘提交了方案，为公司提供了业务素质与职业道德高且任职资格合法合规的</w:t>
      </w:r>
      <w:r>
        <w:rPr>
          <w:spacing w:val="-104"/>
        </w:rPr>
        <w:t> </w:t>
      </w:r>
      <w:r>
        <w:rPr>
          <w:spacing w:val="-104"/>
        </w:rPr>
      </w:r>
      <w:r>
        <w:rPr/>
        <w:t>管理层人选。</w:t>
      </w:r>
    </w:p>
    <w:p>
      <w:pPr>
        <w:pStyle w:val="BodyText"/>
        <w:spacing w:line="355" w:lineRule="auto" w:before="36"/>
        <w:ind w:left="1118" w:right="1787"/>
        <w:jc w:val="left"/>
      </w:pPr>
      <w:r>
        <w:rPr/>
        <w:t>（</w:t>
      </w:r>
      <w:r>
        <w:rPr>
          <w:rFonts w:ascii="宋体" w:hAnsi="宋体" w:cs="宋体" w:eastAsia="宋体" w:hint="default"/>
        </w:rPr>
        <w:t>4</w:t>
      </w:r>
      <w:r>
        <w:rPr/>
        <w:t>）战略委员会 </w:t>
      </w:r>
      <w:r>
        <w:rPr>
          <w:spacing w:val="-3"/>
        </w:rPr>
        <w:t>严格按照公司《董事会战略委员会实施细则》开展工作，对公司的发展战略</w:t>
      </w:r>
    </w:p>
    <w:p>
      <w:pPr>
        <w:pStyle w:val="BodyText"/>
        <w:spacing w:line="355" w:lineRule="auto" w:before="38"/>
        <w:ind w:left="1118" w:right="4328" w:hanging="480"/>
        <w:jc w:val="left"/>
      </w:pPr>
      <w:r>
        <w:rPr/>
        <w:t>提交了方案，为公司提供了适应公司发展的有效战略。 七、公司利润分配情况</w:t>
      </w:r>
    </w:p>
    <w:p>
      <w:pPr>
        <w:pStyle w:val="BodyText"/>
        <w:spacing w:line="355" w:lineRule="auto" w:before="38"/>
        <w:ind w:left="1118" w:right="1787"/>
        <w:jc w:val="left"/>
      </w:pPr>
      <w:r>
        <w:rPr>
          <w:rFonts w:ascii="宋体" w:hAnsi="宋体" w:cs="宋体" w:eastAsia="宋体" w:hint="default"/>
        </w:rPr>
        <w:t>1</w:t>
      </w:r>
      <w:r>
        <w:rPr/>
        <w:t>、</w:t>
      </w:r>
      <w:r>
        <w:rPr>
          <w:rFonts w:ascii="宋体" w:hAnsi="宋体" w:cs="宋体" w:eastAsia="宋体" w:hint="default"/>
        </w:rPr>
        <w:t>2010 </w:t>
      </w:r>
      <w:r>
        <w:rPr/>
        <w:t>年度利润分配预案 经天健正信会计师事务所审计</w:t>
      </w:r>
      <w:r>
        <w:rPr>
          <w:rFonts w:ascii="宋体" w:hAnsi="宋体" w:cs="宋体" w:eastAsia="宋体" w:hint="default"/>
        </w:rPr>
        <w:t>,2010</w:t>
      </w:r>
      <w:r>
        <w:rPr/>
        <w:t>年度公司实现合并报表归属母公司净利</w:t>
      </w:r>
    </w:p>
    <w:p>
      <w:pPr>
        <w:pStyle w:val="BodyText"/>
        <w:spacing w:line="357" w:lineRule="auto" w:before="39"/>
        <w:ind w:left="638" w:right="1666"/>
        <w:jc w:val="left"/>
      </w:pPr>
      <w:r>
        <w:rPr>
          <w:spacing w:val="-2"/>
        </w:rPr>
        <w:t>润</w:t>
      </w:r>
      <w:r>
        <w:rPr>
          <w:rFonts w:ascii="宋体" w:hAnsi="宋体" w:cs="宋体" w:eastAsia="宋体" w:hint="default"/>
          <w:spacing w:val="-2"/>
        </w:rPr>
        <w:t>42,735,587.61</w:t>
      </w:r>
      <w:r>
        <w:rPr>
          <w:spacing w:val="-2"/>
        </w:rPr>
        <w:t>元</w:t>
      </w:r>
      <w:r>
        <w:rPr>
          <w:rFonts w:ascii="宋体" w:hAnsi="宋体" w:cs="宋体" w:eastAsia="宋体" w:hint="default"/>
          <w:spacing w:val="-2"/>
        </w:rPr>
        <w:t>,</w:t>
      </w:r>
      <w:r>
        <w:rPr>
          <w:spacing w:val="-2"/>
        </w:rPr>
        <w:t>母公司实现税后利润</w:t>
      </w:r>
      <w:r>
        <w:rPr>
          <w:rFonts w:ascii="宋体" w:hAnsi="宋体" w:cs="宋体" w:eastAsia="宋体" w:hint="default"/>
          <w:spacing w:val="-2"/>
        </w:rPr>
        <w:t>32,468,564.03</w:t>
      </w:r>
      <w:r>
        <w:rPr>
          <w:spacing w:val="-2"/>
        </w:rPr>
        <w:t>元，根据国家有关法律、</w:t>
      </w:r>
      <w:r>
        <w:rPr>
          <w:spacing w:val="-112"/>
        </w:rPr>
        <w:t> </w:t>
      </w:r>
      <w:r>
        <w:rPr>
          <w:spacing w:val="-112"/>
        </w:rPr>
      </w:r>
      <w:r>
        <w:rPr>
          <w:spacing w:val="-3"/>
        </w:rPr>
        <w:t>法规、《公司法》和《公司章程》有关规定，公司按法定顺序进行分配，方案如</w:t>
      </w:r>
      <w:r>
        <w:rPr>
          <w:spacing w:val="-110"/>
        </w:rPr>
        <w:t> </w:t>
      </w:r>
      <w:r>
        <w:rPr>
          <w:spacing w:val="-110"/>
        </w:rPr>
      </w:r>
      <w:r>
        <w:rPr/>
        <w:t>下：</w:t>
      </w:r>
      <w:r>
        <w:rPr>
          <w:rFonts w:ascii="宋体" w:hAnsi="宋体" w:cs="宋体" w:eastAsia="宋体" w:hint="default"/>
        </w:rPr>
        <w:t>1</w:t>
      </w:r>
      <w:r>
        <w:rPr/>
        <w:t>、提取法定盈余公积：按</w:t>
      </w:r>
      <w:r>
        <w:rPr>
          <w:rFonts w:ascii="宋体" w:hAnsi="宋体" w:cs="宋体" w:eastAsia="宋体" w:hint="default"/>
        </w:rPr>
        <w:t>10%</w:t>
      </w:r>
      <w:r>
        <w:rPr/>
        <w:t>提取法定公积金</w:t>
      </w:r>
      <w:r>
        <w:rPr>
          <w:rFonts w:ascii="宋体" w:hAnsi="宋体" w:cs="宋体" w:eastAsia="宋体" w:hint="default"/>
        </w:rPr>
        <w:t>3,246,856.40</w:t>
      </w:r>
      <w:r>
        <w:rPr/>
        <w:t>元。</w:t>
      </w:r>
      <w:r>
        <w:rPr>
          <w:rFonts w:ascii="宋体" w:hAnsi="宋体" w:cs="宋体" w:eastAsia="宋体" w:hint="default"/>
        </w:rPr>
        <w:t>2</w:t>
      </w:r>
      <w:r>
        <w:rPr/>
        <w:t>、提取盈</w:t>
      </w:r>
      <w:r>
        <w:rPr>
          <w:spacing w:val="-97"/>
        </w:rPr>
        <w:t> </w:t>
      </w:r>
      <w:r>
        <w:rPr>
          <w:spacing w:val="-97"/>
        </w:rPr>
      </w:r>
      <w:r>
        <w:rPr/>
        <w:t>余公积金后，公司本年可供股东分配的利润为</w:t>
      </w:r>
      <w:r>
        <w:rPr>
          <w:rFonts w:ascii="宋体" w:hAnsi="宋体" w:cs="宋体" w:eastAsia="宋体" w:hint="default"/>
        </w:rPr>
        <w:t>29,221,707.63</w:t>
      </w:r>
      <w:r>
        <w:rPr/>
        <w:t>元，加年初未分配</w:t>
      </w:r>
      <w:r>
        <w:rPr>
          <w:spacing w:val="-91"/>
        </w:rPr>
        <w:t> </w:t>
      </w:r>
      <w:r>
        <w:rPr>
          <w:spacing w:val="-91"/>
        </w:rPr>
      </w:r>
      <w:r>
        <w:rPr>
          <w:spacing w:val="20"/>
        </w:rPr>
        <w:t>利润</w:t>
      </w:r>
      <w:r>
        <w:rPr>
          <w:spacing w:val="-80"/>
        </w:rPr>
        <w:t> </w:t>
      </w:r>
      <w:r>
        <w:rPr>
          <w:rFonts w:ascii="宋体" w:hAnsi="宋体" w:cs="宋体" w:eastAsia="宋体" w:hint="default"/>
        </w:rPr>
        <w:t>69,641,878.12</w:t>
      </w:r>
      <w:r>
        <w:rPr>
          <w:rFonts w:ascii="宋体" w:hAnsi="宋体" w:cs="宋体" w:eastAsia="宋体" w:hint="default"/>
          <w:spacing w:val="-81"/>
        </w:rPr>
        <w:t> </w:t>
      </w:r>
      <w:r>
        <w:rPr>
          <w:spacing w:val="19"/>
        </w:rPr>
        <w:t>元，</w:t>
      </w:r>
      <w:r>
        <w:rPr>
          <w:spacing w:val="-80"/>
        </w:rPr>
        <w:t> </w:t>
      </w:r>
      <w:r>
        <w:rPr/>
        <w:t>减</w:t>
      </w:r>
      <w:r>
        <w:rPr>
          <w:spacing w:val="-80"/>
        </w:rPr>
        <w:t> </w:t>
      </w:r>
      <w:r>
        <w:rPr>
          <w:spacing w:val="19"/>
        </w:rPr>
        <w:t>公司</w:t>
      </w:r>
      <w:r>
        <w:rPr>
          <w:spacing w:val="-80"/>
        </w:rPr>
        <w:t> </w:t>
      </w:r>
      <w:r>
        <w:rPr>
          <w:rFonts w:ascii="宋体" w:hAnsi="宋体" w:cs="宋体" w:eastAsia="宋体" w:hint="default"/>
        </w:rPr>
        <w:t>2010</w:t>
      </w:r>
      <w:r>
        <w:rPr>
          <w:rFonts w:ascii="宋体" w:hAnsi="宋体" w:cs="宋体" w:eastAsia="宋体" w:hint="default"/>
          <w:spacing w:val="-82"/>
        </w:rPr>
        <w:t> </w:t>
      </w:r>
      <w:r>
        <w:rPr/>
        <w:t>年</w:t>
      </w:r>
      <w:r>
        <w:rPr>
          <w:spacing w:val="-80"/>
        </w:rPr>
        <w:t> </w:t>
      </w:r>
      <w:r>
        <w:rPr/>
        <w:t>支</w:t>
      </w:r>
      <w:r>
        <w:rPr>
          <w:spacing w:val="-82"/>
        </w:rPr>
        <w:t> </w:t>
      </w:r>
      <w:r>
        <w:rPr/>
        <w:t>付</w:t>
      </w:r>
      <w:r>
        <w:rPr>
          <w:spacing w:val="-79"/>
        </w:rPr>
        <w:t> </w:t>
      </w:r>
      <w:r>
        <w:rPr>
          <w:rFonts w:ascii="宋体" w:hAnsi="宋体" w:cs="宋体" w:eastAsia="宋体" w:hint="default"/>
        </w:rPr>
        <w:t>2009</w:t>
      </w:r>
      <w:r>
        <w:rPr>
          <w:rFonts w:ascii="宋体" w:hAnsi="宋体" w:cs="宋体" w:eastAsia="宋体" w:hint="default"/>
          <w:spacing w:val="40"/>
        </w:rPr>
        <w:t> </w:t>
      </w:r>
      <w:r>
        <w:rPr/>
        <w:t>年</w:t>
      </w:r>
      <w:r>
        <w:rPr>
          <w:spacing w:val="-82"/>
        </w:rPr>
        <w:t> </w:t>
      </w:r>
      <w:r>
        <w:rPr/>
        <w:t>度</w:t>
      </w:r>
      <w:r>
        <w:rPr>
          <w:spacing w:val="-80"/>
        </w:rPr>
        <w:t> </w:t>
      </w:r>
      <w:r>
        <w:rPr/>
        <w:t>利</w:t>
      </w:r>
      <w:r>
        <w:rPr>
          <w:spacing w:val="-82"/>
        </w:rPr>
        <w:t> </w:t>
      </w:r>
      <w:r>
        <w:rPr/>
        <w:t>润</w:t>
      </w:r>
      <w:r>
        <w:rPr>
          <w:spacing w:val="-80"/>
        </w:rPr>
        <w:t> </w:t>
      </w:r>
      <w:r>
        <w:rPr/>
        <w:t>分</w:t>
      </w:r>
      <w:r>
        <w:rPr>
          <w:spacing w:val="-82"/>
        </w:rPr>
        <w:t> </w:t>
      </w:r>
      <w:r>
        <w:rPr/>
        <w:t>配</w:t>
      </w:r>
      <w:r>
        <w:rPr>
          <w:spacing w:val="-80"/>
        </w:rPr>
        <w:t> </w:t>
      </w:r>
      <w:r>
        <w:rPr/>
        <w:t>现</w:t>
      </w:r>
      <w:r>
        <w:rPr>
          <w:spacing w:val="-80"/>
        </w:rPr>
        <w:t> </w:t>
      </w:r>
      <w:r>
        <w:rPr/>
        <w:t>金</w:t>
      </w:r>
      <w:r>
        <w:rPr>
          <w:spacing w:val="-82"/>
        </w:rPr>
        <w:t> </w:t>
      </w:r>
      <w:r>
        <w:rPr/>
        <w:t>股</w:t>
      </w:r>
      <w:r>
        <w:rPr>
          <w:spacing w:val="-80"/>
        </w:rPr>
        <w:t> </w:t>
      </w:r>
      <w:r>
        <w:rPr/>
        <w:t>利</w:t>
      </w:r>
      <w:r>
        <w:rPr/>
        <w:t> </w:t>
      </w:r>
      <w:r>
        <w:rPr>
          <w:rFonts w:ascii="宋体" w:hAnsi="宋体" w:cs="宋体" w:eastAsia="宋体" w:hint="default"/>
        </w:rPr>
        <w:t>6,600,000.00</w:t>
      </w:r>
      <w:r>
        <w:rPr/>
        <w:t>元，合计未分配利润为</w:t>
      </w:r>
      <w:r>
        <w:rPr>
          <w:rFonts w:ascii="宋体" w:hAnsi="宋体" w:cs="宋体" w:eastAsia="宋体" w:hint="default"/>
        </w:rPr>
        <w:t>92,263,585.75</w:t>
      </w:r>
      <w:r>
        <w:rPr/>
        <w:t>元。以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w:t>
      </w:r>
      <w:r>
        <w:rPr>
          <w:spacing w:val="-94"/>
        </w:rPr>
        <w:t> </w:t>
      </w:r>
      <w:r>
        <w:rPr>
          <w:spacing w:val="-94"/>
        </w:rPr>
      </w:r>
      <w:r>
        <w:rPr>
          <w:spacing w:val="-8"/>
        </w:rPr>
        <w:t>本</w:t>
      </w:r>
      <w:r>
        <w:rPr>
          <w:rFonts w:ascii="宋体" w:hAnsi="宋体" w:cs="宋体" w:eastAsia="宋体" w:hint="default"/>
          <w:spacing w:val="-8"/>
        </w:rPr>
        <w:t>165,000,000</w:t>
      </w:r>
      <w:r>
        <w:rPr>
          <w:spacing w:val="-8"/>
        </w:rPr>
        <w:t>股为基数，向全体股东每</w:t>
      </w:r>
      <w:r>
        <w:rPr>
          <w:rFonts w:ascii="宋体" w:hAnsi="宋体" w:cs="宋体" w:eastAsia="宋体" w:hint="default"/>
          <w:spacing w:val="-8"/>
        </w:rPr>
        <w:t>10</w:t>
      </w:r>
      <w:r>
        <w:rPr>
          <w:spacing w:val="-8"/>
        </w:rPr>
        <w:t>股派发现金股利人民币</w:t>
      </w:r>
      <w:r>
        <w:rPr>
          <w:rFonts w:ascii="宋体" w:hAnsi="宋体" w:cs="宋体" w:eastAsia="宋体" w:hint="default"/>
          <w:spacing w:val="-8"/>
        </w:rPr>
        <w:t>0.80</w:t>
      </w:r>
      <w:r>
        <w:rPr>
          <w:spacing w:val="-8"/>
        </w:rPr>
        <w:t>元（含税），</w:t>
      </w:r>
      <w:r>
        <w:rPr>
          <w:spacing w:val="-89"/>
        </w:rPr>
        <w:t> </w:t>
      </w:r>
      <w:r>
        <w:rPr>
          <w:spacing w:val="-89"/>
        </w:rPr>
      </w:r>
      <w:r>
        <w:rPr>
          <w:spacing w:val="-2"/>
        </w:rPr>
        <w:t>共计派发现金</w:t>
      </w:r>
      <w:r>
        <w:rPr>
          <w:rFonts w:ascii="宋体" w:hAnsi="宋体" w:cs="宋体" w:eastAsia="宋体" w:hint="default"/>
          <w:spacing w:val="-2"/>
        </w:rPr>
        <w:t>13,200,000.00</w:t>
      </w:r>
      <w:r>
        <w:rPr>
          <w:spacing w:val="-2"/>
        </w:rPr>
        <w:t>元。剩余未分配利润</w:t>
      </w:r>
      <w:r>
        <w:rPr>
          <w:rFonts w:ascii="宋体" w:hAnsi="宋体" w:cs="宋体" w:eastAsia="宋体" w:hint="default"/>
          <w:spacing w:val="-2"/>
        </w:rPr>
        <w:t>79,063,585.75</w:t>
      </w:r>
      <w:r>
        <w:rPr>
          <w:spacing w:val="-2"/>
        </w:rPr>
        <w:t>元结转以后年度</w:t>
      </w:r>
      <w:r>
        <w:rPr>
          <w:spacing w:val="-114"/>
        </w:rPr>
        <w:t> </w:t>
      </w:r>
      <w:r>
        <w:rPr/>
        <w:t>使用。</w:t>
      </w:r>
    </w:p>
    <w:p>
      <w:pPr>
        <w:pStyle w:val="BodyText"/>
        <w:spacing w:line="357" w:lineRule="auto" w:before="36"/>
        <w:ind w:left="1118" w:right="3848"/>
        <w:jc w:val="left"/>
      </w:pPr>
      <w:r>
        <w:rPr>
          <w:rFonts w:ascii="宋体" w:hAnsi="宋体" w:cs="宋体" w:eastAsia="宋体" w:hint="default"/>
        </w:rPr>
        <w:t>2010</w:t>
      </w:r>
      <w:r>
        <w:rPr/>
        <w:t>年度公司不送红股也不进行资本公积金转增股本。 上述预案，尚需提交公司</w:t>
      </w:r>
      <w:r>
        <w:rPr>
          <w:rFonts w:ascii="宋体" w:hAnsi="宋体" w:cs="宋体" w:eastAsia="宋体" w:hint="default"/>
        </w:rPr>
        <w:t>2010</w:t>
      </w:r>
      <w:r>
        <w:rPr/>
        <w:t>年度股东大会审议。 </w:t>
      </w:r>
      <w:r>
        <w:rPr>
          <w:rFonts w:ascii="宋体" w:hAnsi="宋体" w:cs="宋体" w:eastAsia="宋体" w:hint="default"/>
        </w:rPr>
        <w:t>2</w:t>
      </w:r>
      <w:r>
        <w:rPr/>
        <w:t>、公司最近三年现金分红情况如下：</w:t>
      </w:r>
    </w:p>
    <w:p>
      <w:pPr>
        <w:spacing w:before="4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 元</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34"/>
        <w:gridCol w:w="1546"/>
        <w:gridCol w:w="2580"/>
        <w:gridCol w:w="2235"/>
        <w:gridCol w:w="1666"/>
      </w:tblGrid>
      <w:tr>
        <w:trPr>
          <w:trHeight w:val="82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24" w:hanging="212"/>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上市公司股东的净利润</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40" w:lineRule="auto"/>
              <w:ind w:left="902" w:right="58" w:hanging="840"/>
              <w:jc w:val="left"/>
              <w:rPr>
                <w:rFonts w:ascii="宋体" w:hAnsi="宋体" w:cs="宋体" w:eastAsia="宋体" w:hint="default"/>
                <w:sz w:val="21"/>
                <w:szCs w:val="21"/>
              </w:rPr>
            </w:pPr>
            <w:r>
              <w:rPr>
                <w:rFonts w:ascii="宋体" w:hAnsi="宋体" w:cs="宋体" w:eastAsia="宋体" w:hint="default"/>
                <w:spacing w:val="-2"/>
                <w:sz w:val="21"/>
                <w:szCs w:val="21"/>
              </w:rPr>
              <w:t>市公司股东的净利润的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1"/>
                <w:szCs w:val="21"/>
              </w:rPr>
            </w:pPr>
            <w:r>
              <w:rPr>
                <w:rFonts w:ascii="Times New Roman"/>
                <w:spacing w:val="-1"/>
                <w:sz w:val="21"/>
              </w:rPr>
              <w:t>6,600,000.00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37,986,548.08</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z w:val="21"/>
              </w:rPr>
              <w:t>17.37%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72,392,630.18</w:t>
            </w:r>
          </w:p>
        </w:tc>
      </w:tr>
      <w:tr>
        <w:trPr>
          <w:trHeight w:val="281"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z w:val="21"/>
              </w:rPr>
              <w:t>0.00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27,784,980.12</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47,244,304.24</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z w:val="21"/>
              </w:rPr>
              <w:t>0.00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23,954,210.90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25,435,159.56</w:t>
            </w:r>
          </w:p>
        </w:tc>
      </w:tr>
      <w:tr>
        <w:trPr>
          <w:trHeight w:val="283" w:hRule="exact"/>
        </w:trPr>
        <w:tc>
          <w:tcPr>
            <w:tcW w:w="5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最近三年累计现金分红金额占最近年均净利润的比例（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39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22.07%</w:t>
            </w:r>
          </w:p>
        </w:tc>
      </w:tr>
    </w:tbl>
    <w:p>
      <w:pPr>
        <w:pStyle w:val="BodyText"/>
        <w:spacing w:line="274" w:lineRule="exact" w:before="0"/>
        <w:ind w:left="1118" w:right="1787"/>
        <w:jc w:val="left"/>
      </w:pPr>
      <w:r>
        <w:rPr/>
        <w:t>八、投资者关系管理情况</w:t>
      </w:r>
    </w:p>
    <w:p>
      <w:pPr>
        <w:pStyle w:val="BodyText"/>
        <w:spacing w:line="357" w:lineRule="auto" w:before="151"/>
        <w:ind w:left="638" w:right="1704" w:firstLine="479"/>
        <w:jc w:val="both"/>
      </w:pPr>
      <w:r>
        <w:rPr>
          <w:spacing w:val="-3"/>
        </w:rPr>
        <w:t>公司按照上市公司监管部门的相关规定，建立了较完善的投资者关系管理制</w:t>
      </w:r>
      <w:r>
        <w:rPr/>
        <w:t> </w:t>
      </w:r>
      <w:r>
        <w:rPr>
          <w:spacing w:val="-3"/>
        </w:rPr>
        <w:t>度和接待流程，与投资者沟通渠道畅通，效果良好。公司董事会秘书为投资者关</w:t>
      </w:r>
      <w:r>
        <w:rPr>
          <w:spacing w:val="-101"/>
        </w:rPr>
        <w:t> </w:t>
      </w:r>
      <w:r>
        <w:rPr>
          <w:spacing w:val="-101"/>
        </w:rPr>
      </w:r>
      <w:r>
        <w:rPr/>
        <w:t>系管理负责人，公司董事会办公室负责投资者关系管理的日常事务。报告期内，</w:t>
      </w:r>
    </w:p>
    <w:p>
      <w:pPr>
        <w:spacing w:after="0" w:line="357" w:lineRule="auto"/>
        <w:jc w:val="both"/>
        <w:sectPr>
          <w:pgSz w:w="11910" w:h="16840"/>
          <w:pgMar w:header="816" w:footer="956" w:top="1160" w:bottom="1140" w:left="1160" w:right="0"/>
        </w:sectPr>
      </w:pPr>
    </w:p>
    <w:p>
      <w:pPr>
        <w:spacing w:line="240" w:lineRule="auto" w:before="2"/>
        <w:rPr>
          <w:rFonts w:ascii="宋体" w:hAnsi="宋体" w:cs="宋体" w:eastAsia="宋体" w:hint="default"/>
          <w:sz w:val="10"/>
          <w:szCs w:val="10"/>
        </w:rPr>
      </w:pPr>
    </w:p>
    <w:p>
      <w:pPr>
        <w:pStyle w:val="BodyText"/>
        <w:spacing w:line="240" w:lineRule="auto" w:before="26"/>
        <w:ind w:right="0"/>
        <w:jc w:val="both"/>
      </w:pPr>
      <w:r>
        <w:rPr>
          <w:spacing w:val="-3"/>
        </w:rPr>
        <w:t>安排专人接听投资者电话，及时合规的回答投资者关心问题；及时更新公司网站</w:t>
      </w:r>
    </w:p>
    <w:p>
      <w:pPr>
        <w:pStyle w:val="BodyText"/>
        <w:spacing w:line="357" w:lineRule="auto" w:before="154"/>
        <w:ind w:right="1792"/>
        <w:jc w:val="both"/>
      </w:pPr>
      <w:r>
        <w:rPr>
          <w:spacing w:val="-5"/>
        </w:rPr>
        <w:t>（</w:t>
      </w:r>
      <w:hyperlink r:id="rId14">
        <w:r>
          <w:rPr>
            <w:rFonts w:ascii="宋体" w:hAnsi="宋体" w:cs="宋体" w:eastAsia="宋体" w:hint="default"/>
            <w:spacing w:val="-5"/>
          </w:rPr>
          <w:t>http://www.ah-xinlong.com</w:t>
        </w:r>
      </w:hyperlink>
      <w:r>
        <w:rPr>
          <w:spacing w:val="-5"/>
        </w:rPr>
        <w:t>），让广大投资者及时了解公司最新动态。公司将</w:t>
      </w:r>
      <w:r>
        <w:rPr>
          <w:spacing w:val="-89"/>
        </w:rPr>
        <w:t> </w:t>
      </w:r>
      <w:r>
        <w:rPr>
          <w:spacing w:val="-89"/>
        </w:rPr>
      </w:r>
      <w:r>
        <w:rPr>
          <w:spacing w:val="-3"/>
        </w:rPr>
        <w:t>继续严格按照《中小企业板上市公司公平信息披露指引》和《公司投资者关系管</w:t>
      </w:r>
      <w:r>
        <w:rPr>
          <w:spacing w:val="-102"/>
        </w:rPr>
        <w:t> </w:t>
      </w:r>
      <w:r>
        <w:rPr>
          <w:spacing w:val="-102"/>
        </w:rPr>
      </w:r>
      <w:r>
        <w:rPr>
          <w:spacing w:val="-3"/>
        </w:rPr>
        <w:t>理制度》等规定做好投资者关系管理工作，与公司投资者和其他关心公司发展的</w:t>
      </w:r>
      <w:r>
        <w:rPr>
          <w:spacing w:val="-103"/>
        </w:rPr>
        <w:t> </w:t>
      </w:r>
      <w:r>
        <w:rPr>
          <w:spacing w:val="-103"/>
        </w:rPr>
      </w:r>
      <w:r>
        <w:rPr/>
        <w:t>人士保持良好的沟通。</w:t>
      </w:r>
    </w:p>
    <w:p>
      <w:pPr>
        <w:spacing w:after="0" w:line="357" w:lineRule="auto"/>
        <w:jc w:val="both"/>
        <w:sectPr>
          <w:pgSz w:w="11910" w:h="16840"/>
          <w:pgMar w:header="816" w:footer="956" w:top="1160" w:bottom="1140" w:left="1660" w:right="0"/>
        </w:sectPr>
      </w:pPr>
    </w:p>
    <w:p>
      <w:pPr>
        <w:spacing w:line="240" w:lineRule="auto" w:before="8"/>
        <w:rPr>
          <w:rFonts w:ascii="宋体" w:hAnsi="宋体" w:cs="宋体" w:eastAsia="宋体" w:hint="default"/>
          <w:sz w:val="29"/>
          <w:szCs w:val="29"/>
        </w:rPr>
      </w:pPr>
    </w:p>
    <w:p>
      <w:pPr>
        <w:pStyle w:val="Heading1"/>
        <w:spacing w:line="240" w:lineRule="auto"/>
        <w:ind w:left="2927" w:right="1787"/>
        <w:jc w:val="left"/>
        <w:rPr>
          <w:b w:val="0"/>
          <w:bCs w:val="0"/>
        </w:rPr>
      </w:pPr>
      <w:bookmarkStart w:name="_TOC_250002" w:id="8"/>
      <w:r>
        <w:rPr/>
        <w:t>第八节</w:t>
      </w:r>
      <w:r>
        <w:rPr>
          <w:spacing w:val="-6"/>
        </w:rPr>
        <w:t> </w:t>
      </w:r>
      <w:r>
        <w:rPr/>
        <w:t>监事会报告</w:t>
      </w:r>
      <w:bookmarkEnd w:id="8"/>
      <w:r>
        <w:rPr>
          <w:b w:val="0"/>
          <w:bCs w:val="0"/>
        </w:rPr>
      </w:r>
    </w:p>
    <w:p>
      <w:pPr>
        <w:spacing w:line="240" w:lineRule="auto" w:before="8"/>
        <w:rPr>
          <w:rFonts w:ascii="黑体" w:hAnsi="黑体" w:cs="黑体" w:eastAsia="黑体" w:hint="default"/>
          <w:b/>
          <w:bCs/>
          <w:sz w:val="25"/>
          <w:szCs w:val="25"/>
        </w:rPr>
      </w:pPr>
    </w:p>
    <w:p>
      <w:pPr>
        <w:pStyle w:val="BodyText"/>
        <w:spacing w:line="357" w:lineRule="auto" w:before="0"/>
        <w:ind w:right="1791" w:firstLine="479"/>
        <w:jc w:val="both"/>
      </w:pPr>
      <w:r>
        <w:rPr>
          <w:spacing w:val="-17"/>
        </w:rPr>
        <w:t>报告期内，公司监事会全体成员按照《公司法》、《公司章程》、《监事会议事</w:t>
      </w:r>
      <w:r>
        <w:rPr/>
        <w:t> </w:t>
      </w:r>
      <w:r>
        <w:rPr>
          <w:spacing w:val="-3"/>
        </w:rPr>
        <w:t>规则》等规定和要求，谨慎、认真地履行了自身职责，依法独立行使职权，以保</w:t>
      </w:r>
      <w:r>
        <w:rPr>
          <w:spacing w:val="-103"/>
        </w:rPr>
        <w:t> </w:t>
      </w:r>
      <w:r>
        <w:rPr>
          <w:spacing w:val="-103"/>
        </w:rPr>
      </w:r>
      <w:r>
        <w:rPr>
          <w:spacing w:val="-3"/>
        </w:rPr>
        <w:t>证公司规范运作，维护公司利益和投资者利益。监事会对公司经营计划、募集资</w:t>
      </w:r>
      <w:r>
        <w:rPr>
          <w:spacing w:val="-102"/>
        </w:rPr>
        <w:t> </w:t>
      </w:r>
      <w:r>
        <w:rPr>
          <w:spacing w:val="-102"/>
        </w:rPr>
      </w:r>
      <w:r>
        <w:rPr>
          <w:spacing w:val="-3"/>
        </w:rPr>
        <w:t>金使用情况、关联交易、公司生产经营活动、财务状况和公司董事、高级管理人</w:t>
      </w:r>
      <w:r>
        <w:rPr>
          <w:spacing w:val="-103"/>
        </w:rPr>
        <w:t> </w:t>
      </w:r>
      <w:r>
        <w:rPr>
          <w:spacing w:val="-103"/>
        </w:rPr>
      </w:r>
      <w:r>
        <w:rPr/>
        <w:t>员的履职情况、子公司的经营情况进行监督，促进公司规范运作和健康发展。</w:t>
      </w:r>
    </w:p>
    <w:p>
      <w:pPr>
        <w:pStyle w:val="BodyText"/>
        <w:spacing w:line="357" w:lineRule="auto"/>
        <w:ind w:left="618" w:right="1787"/>
        <w:jc w:val="left"/>
      </w:pPr>
      <w:r>
        <w:rPr/>
        <w:t>一、监事会会议情况及决议内容 报告期内，公司监事会共召开</w:t>
      </w:r>
      <w:r>
        <w:rPr>
          <w:rFonts w:ascii="宋体" w:hAnsi="宋体" w:cs="宋体" w:eastAsia="宋体" w:hint="default"/>
        </w:rPr>
        <w:t>8</w:t>
      </w:r>
      <w:r>
        <w:rPr/>
        <w:t>次会议，具体情况如下： </w:t>
      </w:r>
      <w:r>
        <w:rPr>
          <w:rFonts w:ascii="宋体" w:hAnsi="宋体" w:cs="宋体" w:eastAsia="宋体" w:hint="default"/>
        </w:rPr>
        <w:t>1</w:t>
      </w:r>
      <w:r>
        <w:rPr/>
        <w:t>、</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4</w:t>
      </w:r>
      <w:r>
        <w:rPr/>
        <w:t>日，在本公司四楼会议室召开了第四届监事会第九次会议，</w:t>
      </w:r>
    </w:p>
    <w:p>
      <w:pPr>
        <w:pStyle w:val="BodyText"/>
        <w:spacing w:line="355" w:lineRule="auto" w:before="36"/>
        <w:ind w:left="618" w:right="1688" w:hanging="480"/>
        <w:jc w:val="left"/>
      </w:pPr>
      <w:r>
        <w:rPr>
          <w:spacing w:val="-5"/>
        </w:rPr>
        <w:t>审议通过了《关于变更公司</w:t>
      </w:r>
      <w:r>
        <w:rPr>
          <w:rFonts w:ascii="宋体" w:hAnsi="宋体" w:cs="宋体" w:eastAsia="宋体" w:hint="default"/>
          <w:spacing w:val="-5"/>
        </w:rPr>
        <w:t>2009</w:t>
      </w:r>
      <w:r>
        <w:rPr>
          <w:spacing w:val="-5"/>
        </w:rPr>
        <w:t>年度审计机构的议案》。</w:t>
      </w:r>
      <w:r>
        <w:rPr>
          <w:spacing w:val="-105"/>
        </w:rPr>
        <w:t> </w:t>
      </w:r>
      <w:r>
        <w:rPr>
          <w:spacing w:val="-105"/>
        </w:rPr>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10</w:t>
      </w:r>
      <w:r>
        <w:rPr/>
        <w:t>日，在本公司四楼会议室召开了第四届监事会第十次会议，</w:t>
      </w:r>
    </w:p>
    <w:p>
      <w:pPr>
        <w:pStyle w:val="BodyText"/>
        <w:spacing w:line="357" w:lineRule="auto" w:before="38"/>
        <w:ind w:right="1791"/>
        <w:jc w:val="both"/>
      </w:pPr>
      <w:r>
        <w:rPr/>
        <w:t>审议通过</w:t>
      </w:r>
      <w:r>
        <w:rPr>
          <w:spacing w:val="-29"/>
        </w:rPr>
        <w:t>了</w:t>
      </w:r>
      <w:r>
        <w:rPr/>
        <w:t>《</w:t>
      </w:r>
      <w:r>
        <w:rPr>
          <w:rFonts w:ascii="宋体" w:hAnsi="宋体" w:cs="宋体" w:eastAsia="宋体" w:hint="default"/>
        </w:rPr>
        <w:t>2009</w:t>
      </w:r>
      <w:r>
        <w:rPr/>
        <w:t>年度监事会工作报告</w:t>
      </w:r>
      <w:r>
        <w:rPr>
          <w:spacing w:val="-120"/>
        </w:rPr>
        <w:t>》</w:t>
      </w:r>
      <w:r>
        <w:rPr>
          <w:spacing w:val="-149"/>
        </w:rPr>
        <w:t>、</w:t>
      </w:r>
      <w:r>
        <w:rPr/>
        <w:t>《</w:t>
      </w:r>
      <w:r>
        <w:rPr>
          <w:rFonts w:ascii="宋体" w:hAnsi="宋体" w:cs="宋体" w:eastAsia="宋体" w:hint="default"/>
        </w:rPr>
        <w:t>2009</w:t>
      </w:r>
      <w:r>
        <w:rPr/>
        <w:t>年度财务决算报告</w:t>
      </w:r>
      <w:r>
        <w:rPr>
          <w:spacing w:val="-120"/>
        </w:rPr>
        <w:t>》</w:t>
      </w:r>
      <w:r>
        <w:rPr>
          <w:spacing w:val="-149"/>
        </w:rPr>
        <w:t>、</w:t>
      </w:r>
      <w:r>
        <w:rPr/>
        <w:t>《关于公司</w:t>
      </w:r>
      <w:r>
        <w:rPr/>
        <w:t> </w:t>
      </w:r>
      <w:r>
        <w:rPr>
          <w:rFonts w:ascii="宋体" w:hAnsi="宋体" w:cs="宋体" w:eastAsia="宋体" w:hint="default"/>
        </w:rPr>
        <w:t>200</w:t>
      </w:r>
      <w:r>
        <w:rPr>
          <w:rFonts w:ascii="宋体" w:hAnsi="宋体" w:cs="宋体" w:eastAsia="宋体" w:hint="default"/>
          <w:spacing w:val="-1"/>
        </w:rPr>
        <w:t>9</w:t>
      </w:r>
      <w:r>
        <w:rPr/>
        <w:t>年度利润分配的预案</w:t>
      </w:r>
      <w:r>
        <w:rPr>
          <w:spacing w:val="-120"/>
        </w:rPr>
        <w:t>》</w:t>
      </w:r>
      <w:r>
        <w:rPr>
          <w:spacing w:val="-164"/>
        </w:rPr>
        <w:t>、</w:t>
      </w:r>
      <w:r>
        <w:rPr/>
        <w:t>《</w:t>
      </w:r>
      <w:r>
        <w:rPr>
          <w:rFonts w:ascii="宋体" w:hAnsi="宋体" w:cs="宋体" w:eastAsia="宋体" w:hint="default"/>
        </w:rPr>
        <w:t>2009</w:t>
      </w:r>
      <w:r>
        <w:rPr/>
        <w:t>年度内部控制自我评价报告</w:t>
      </w:r>
      <w:r>
        <w:rPr>
          <w:spacing w:val="-120"/>
        </w:rPr>
        <w:t>》</w:t>
      </w:r>
      <w:r>
        <w:rPr>
          <w:spacing w:val="-164"/>
        </w:rPr>
        <w:t>、</w:t>
      </w:r>
      <w:r>
        <w:rPr/>
        <w:t>《</w:t>
      </w:r>
      <w:r>
        <w:rPr>
          <w:rFonts w:ascii="宋体" w:hAnsi="宋体" w:cs="宋体" w:eastAsia="宋体" w:hint="default"/>
        </w:rPr>
        <w:t>2009</w:t>
      </w:r>
      <w:r>
        <w:rPr/>
        <w:t>年年度报 告及摘</w:t>
      </w:r>
      <w:r>
        <w:rPr>
          <w:spacing w:val="-1"/>
        </w:rPr>
        <w:t>要</w:t>
      </w:r>
      <w:r>
        <w:rPr>
          <w:spacing w:val="-120"/>
        </w:rPr>
        <w:t>》</w:t>
      </w:r>
      <w:r>
        <w:rPr>
          <w:spacing w:val="-164"/>
        </w:rPr>
        <w:t>、</w:t>
      </w:r>
      <w:r>
        <w:rPr/>
        <w:t>《募集资金年度使用情况专项报告</w:t>
      </w:r>
      <w:r>
        <w:rPr>
          <w:spacing w:val="-119"/>
        </w:rPr>
        <w:t>》</w:t>
      </w:r>
      <w:r>
        <w:rPr>
          <w:spacing w:val="-164"/>
        </w:rPr>
        <w:t>、</w:t>
      </w:r>
      <w:r>
        <w:rPr/>
        <w:t>《关于续聘公司</w:t>
      </w:r>
      <w:r>
        <w:rPr>
          <w:rFonts w:ascii="宋体" w:hAnsi="宋体" w:cs="宋体" w:eastAsia="宋体" w:hint="default"/>
        </w:rPr>
        <w:t>2010</w:t>
      </w:r>
      <w:r>
        <w:rPr/>
        <w:t>年财务审计 机构的议案</w:t>
      </w:r>
      <w:r>
        <w:rPr>
          <w:spacing w:val="-120"/>
        </w:rPr>
        <w:t>》</w:t>
      </w:r>
      <w:r>
        <w:rPr>
          <w:spacing w:val="-121"/>
        </w:rPr>
        <w:t>、</w:t>
      </w:r>
      <w:hyperlink r:id="rId15">
        <w:r>
          <w:rPr/>
          <w:t>《公司</w:t>
        </w:r>
        <w:r>
          <w:rPr>
            <w:rFonts w:ascii="宋体" w:hAnsi="宋体" w:cs="宋体" w:eastAsia="宋体" w:hint="default"/>
          </w:rPr>
          <w:t>2010</w:t>
        </w:r>
        <w:r>
          <w:rPr/>
          <w:t>年第一季度报告</w:t>
        </w:r>
      </w:hyperlink>
      <w:r>
        <w:rPr>
          <w:spacing w:val="-120"/>
        </w:rPr>
        <w:t>》</w:t>
      </w:r>
      <w:r>
        <w:rPr/>
        <w:t>。</w:t>
      </w:r>
    </w:p>
    <w:p>
      <w:pPr>
        <w:pStyle w:val="BodyText"/>
        <w:spacing w:line="355" w:lineRule="auto" w:before="36"/>
        <w:ind w:right="1791" w:firstLine="479"/>
        <w:jc w:val="left"/>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13</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before="38"/>
        <w:ind w:right="1660" w:firstLine="479"/>
        <w:jc w:val="left"/>
      </w:pPr>
      <w:r>
        <w:rPr>
          <w:rFonts w:ascii="宋体" w:hAnsi="宋体" w:cs="宋体" w:eastAsia="宋体" w:hint="default"/>
        </w:rPr>
        <w:t>3</w:t>
      </w:r>
      <w:r>
        <w:rPr>
          <w:spacing w:val="-104"/>
        </w:rPr>
        <w:t>、</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26</w:t>
      </w:r>
      <w:r>
        <w:rPr/>
        <w:t>日</w:t>
      </w:r>
      <w:r>
        <w:rPr>
          <w:spacing w:val="-104"/>
        </w:rPr>
        <w:t>，</w:t>
      </w:r>
      <w:r>
        <w:rPr/>
        <w:t>在</w:t>
      </w:r>
      <w:r>
        <w:rPr>
          <w:spacing w:val="-3"/>
        </w:rPr>
        <w:t>本</w:t>
      </w:r>
      <w:r>
        <w:rPr/>
        <w:t>公司四楼会议室召开了第四届监事会第十一次会议，</w:t>
      </w:r>
      <w:r>
        <w:rPr/>
        <w:t> 审议通过</w:t>
      </w:r>
      <w:r>
        <w:rPr>
          <w:spacing w:val="-44"/>
        </w:rPr>
        <w:t>了</w:t>
      </w:r>
      <w:r>
        <w:rPr/>
        <w:t>《关于继续使用部分闲置募集资金暂时补充流动资金的议案</w:t>
      </w:r>
      <w:r>
        <w:rPr>
          <w:spacing w:val="-119"/>
        </w:rPr>
        <w:t>》</w:t>
      </w:r>
      <w:r>
        <w:rPr>
          <w:spacing w:val="-164"/>
        </w:rPr>
        <w:t>、</w:t>
      </w:r>
      <w:r>
        <w:rPr/>
        <w:t>《关于</w:t>
      </w:r>
      <w:r>
        <w:rPr/>
        <w:t> 为全资子公司提供担保额度的议案</w:t>
      </w:r>
      <w:r>
        <w:rPr>
          <w:spacing w:val="-120"/>
        </w:rPr>
        <w:t>》</w:t>
      </w:r>
      <w:r>
        <w:rPr/>
        <w:t>。</w:t>
      </w:r>
    </w:p>
    <w:p>
      <w:pPr>
        <w:pStyle w:val="BodyText"/>
        <w:spacing w:line="355" w:lineRule="auto" w:before="36"/>
        <w:ind w:right="1791" w:firstLine="479"/>
        <w:jc w:val="left"/>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5</w:t>
      </w:r>
      <w:r>
        <w:rPr>
          <w:spacing w:val="-6"/>
        </w:rPr>
        <w:t>月</w:t>
      </w:r>
      <w:r>
        <w:rPr>
          <w:rFonts w:ascii="宋体" w:hAnsi="宋体" w:cs="宋体" w:eastAsia="宋体" w:hint="default"/>
          <w:spacing w:val="-6"/>
        </w:rPr>
        <w:t>28</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5" w:lineRule="auto" w:before="38"/>
        <w:ind w:right="1660" w:firstLine="479"/>
        <w:jc w:val="left"/>
      </w:pPr>
      <w:r>
        <w:rPr>
          <w:rFonts w:ascii="宋体" w:hAnsi="宋体" w:cs="宋体" w:eastAsia="宋体" w:hint="default"/>
        </w:rPr>
        <w:t>4</w:t>
      </w:r>
      <w:r>
        <w:rPr>
          <w:spacing w:val="-104"/>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27</w:t>
      </w:r>
      <w:r>
        <w:rPr/>
        <w:t>日</w:t>
      </w:r>
      <w:r>
        <w:rPr>
          <w:spacing w:val="-104"/>
        </w:rPr>
        <w:t>，</w:t>
      </w:r>
      <w:r>
        <w:rPr/>
        <w:t>在</w:t>
      </w:r>
      <w:r>
        <w:rPr>
          <w:spacing w:val="-3"/>
        </w:rPr>
        <w:t>本</w:t>
      </w:r>
      <w:r>
        <w:rPr/>
        <w:t>公司四楼会议室召开了第四届监事会第十二次会议，</w:t>
      </w:r>
      <w:r>
        <w:rPr/>
        <w:t> 审议通过</w:t>
      </w:r>
      <w:r>
        <w:rPr>
          <w:spacing w:val="-1"/>
        </w:rPr>
        <w:t>了</w:t>
      </w:r>
      <w:r>
        <w:rPr/>
        <w:t>《关于监事会换届选举的议案</w:t>
      </w:r>
      <w:r>
        <w:rPr>
          <w:spacing w:val="-120"/>
        </w:rPr>
        <w:t>》</w:t>
      </w:r>
      <w:r>
        <w:rPr>
          <w:spacing w:val="-119"/>
        </w:rPr>
        <w:t>、</w:t>
      </w:r>
      <w:r>
        <w:rPr/>
        <w:t>《</w:t>
      </w:r>
      <w:r>
        <w:rPr>
          <w:rFonts w:ascii="宋体" w:hAnsi="宋体" w:cs="宋体" w:eastAsia="宋体" w:hint="default"/>
        </w:rPr>
        <w:t>2010</w:t>
      </w:r>
      <w:r>
        <w:rPr/>
        <w:t>年半年度报告的议案</w:t>
      </w:r>
      <w:r>
        <w:rPr>
          <w:spacing w:val="-120"/>
        </w:rPr>
        <w:t>》</w:t>
      </w:r>
      <w:r>
        <w:rPr/>
        <w:t>。</w:t>
      </w:r>
    </w:p>
    <w:p>
      <w:pPr>
        <w:pStyle w:val="BodyText"/>
        <w:spacing w:line="355" w:lineRule="auto" w:before="38"/>
        <w:ind w:right="1791" w:firstLine="479"/>
        <w:jc w:val="left"/>
      </w:pPr>
      <w:r>
        <w:rPr>
          <w:spacing w:val="-6"/>
        </w:rPr>
        <w:t>本次会议决议公告刊登在</w:t>
      </w:r>
      <w:r>
        <w:rPr>
          <w:rFonts w:ascii="宋体" w:hAnsi="宋体" w:cs="宋体" w:eastAsia="宋体" w:hint="default"/>
          <w:spacing w:val="-6"/>
        </w:rPr>
        <w:t>2010</w:t>
      </w:r>
      <w:r>
        <w:rPr>
          <w:spacing w:val="-6"/>
        </w:rPr>
        <w:t>年</w:t>
      </w:r>
      <w:r>
        <w:rPr>
          <w:rFonts w:ascii="宋体" w:hAnsi="宋体" w:cs="宋体" w:eastAsia="宋体" w:hint="default"/>
          <w:spacing w:val="-6"/>
        </w:rPr>
        <w:t>7</w:t>
      </w:r>
      <w:r>
        <w:rPr>
          <w:spacing w:val="-6"/>
        </w:rPr>
        <w:t>月</w:t>
      </w:r>
      <w:r>
        <w:rPr>
          <w:rFonts w:ascii="宋体" w:hAnsi="宋体" w:cs="宋体" w:eastAsia="宋体" w:hint="default"/>
          <w:spacing w:val="-6"/>
        </w:rPr>
        <w:t>28</w:t>
      </w:r>
      <w:r>
        <w:rPr>
          <w:spacing w:val="-6"/>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5" w:lineRule="auto" w:before="38"/>
        <w:ind w:right="1689" w:firstLine="479"/>
        <w:jc w:val="left"/>
      </w:pPr>
      <w:r>
        <w:rPr>
          <w:rFonts w:ascii="宋体" w:hAnsi="宋体" w:cs="宋体" w:eastAsia="宋体" w:hint="default"/>
        </w:rPr>
        <w:t>5</w:t>
      </w:r>
      <w:r>
        <w:rPr/>
        <w:t>、</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12</w:t>
      </w:r>
      <w:r>
        <w:rPr/>
        <w:t>日，在本公司四楼会议室召开了第五届监事会第一次会议， </w:t>
      </w:r>
      <w:r>
        <w:rPr>
          <w:spacing w:val="-5"/>
        </w:rPr>
        <w:t>审议通过了《关于选举公司第五届监事会主席的议案》。</w:t>
      </w:r>
    </w:p>
    <w:p>
      <w:pPr>
        <w:pStyle w:val="BodyText"/>
        <w:spacing w:line="240" w:lineRule="auto" w:before="38"/>
        <w:ind w:left="618" w:right="1248"/>
        <w:jc w:val="left"/>
      </w:pPr>
      <w:r>
        <w:rPr/>
        <w:t>本次</w:t>
      </w:r>
      <w:r>
        <w:rPr>
          <w:spacing w:val="2"/>
        </w:rPr>
        <w:t>会</w:t>
      </w:r>
      <w:r>
        <w:rPr/>
        <w:t>议</w:t>
      </w:r>
      <w:r>
        <w:rPr>
          <w:spacing w:val="2"/>
        </w:rPr>
        <w:t>决</w:t>
      </w:r>
      <w:r>
        <w:rPr/>
        <w:t>议公</w:t>
      </w:r>
      <w:r>
        <w:rPr>
          <w:spacing w:val="2"/>
        </w:rPr>
        <w:t>告</w:t>
      </w:r>
      <w:r>
        <w:rPr/>
        <w:t>刊</w:t>
      </w:r>
      <w:r>
        <w:rPr>
          <w:spacing w:val="2"/>
        </w:rPr>
        <w:t>登</w:t>
      </w:r>
      <w:r>
        <w:rPr>
          <w:spacing w:val="1"/>
        </w:rPr>
        <w:t>在</w:t>
      </w:r>
      <w:r>
        <w:rPr>
          <w:rFonts w:ascii="宋体" w:hAnsi="宋体" w:cs="宋体" w:eastAsia="宋体" w:hint="default"/>
        </w:rPr>
        <w:t>2010</w:t>
      </w:r>
      <w:r>
        <w:rPr>
          <w:spacing w:val="2"/>
        </w:rPr>
        <w:t>年</w:t>
      </w:r>
      <w:r>
        <w:rPr>
          <w:rFonts w:ascii="宋体" w:hAnsi="宋体" w:cs="宋体" w:eastAsia="宋体" w:hint="default"/>
        </w:rPr>
        <w:t>8</w:t>
      </w:r>
      <w:r>
        <w:rPr/>
        <w:t>月</w:t>
      </w:r>
      <w:r>
        <w:rPr>
          <w:rFonts w:ascii="宋体" w:hAnsi="宋体" w:cs="宋体" w:eastAsia="宋体" w:hint="default"/>
          <w:spacing w:val="2"/>
        </w:rPr>
        <w:t>1</w:t>
      </w:r>
      <w:r>
        <w:rPr>
          <w:rFonts w:ascii="宋体" w:hAnsi="宋体" w:cs="宋体" w:eastAsia="宋体" w:hint="default"/>
        </w:rPr>
        <w:t>3</w:t>
      </w:r>
      <w:r>
        <w:rPr/>
        <w:t>日</w:t>
      </w:r>
      <w:r>
        <w:rPr>
          <w:spacing w:val="2"/>
        </w:rPr>
        <w:t>的《</w:t>
      </w:r>
      <w:r>
        <w:rPr/>
        <w:t>中国</w:t>
      </w:r>
      <w:r>
        <w:rPr>
          <w:spacing w:val="2"/>
        </w:rPr>
        <w:t>证</w:t>
      </w:r>
      <w:r>
        <w:rPr/>
        <w:t>券</w:t>
      </w:r>
      <w:r>
        <w:rPr>
          <w:spacing w:val="2"/>
        </w:rPr>
        <w:t>报</w:t>
      </w:r>
      <w:r>
        <w:rPr>
          <w:spacing w:val="-120"/>
        </w:rPr>
        <w:t>》、</w:t>
      </w:r>
      <w:r>
        <w:rPr>
          <w:spacing w:val="2"/>
        </w:rPr>
        <w:t>《</w:t>
      </w:r>
      <w:r>
        <w:rPr/>
        <w:t>证</w:t>
      </w:r>
      <w:r>
        <w:rPr>
          <w:spacing w:val="2"/>
        </w:rPr>
        <w:t>券时</w:t>
      </w:r>
      <w:r>
        <w:rPr/>
        <w:t>报》及</w:t>
      </w:r>
    </w:p>
    <w:p>
      <w:pPr>
        <w:spacing w:after="0" w:line="240"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248" w:hanging="480"/>
        <w:jc w:val="left"/>
      </w:pPr>
      <w:r>
        <w:rPr/>
        <w:pict>
          <v:group style="position:absolute;margin-left:161.899994pt;margin-top:17.29563pt;width:144.050pt;height:.1pt;mso-position-horizontal-relative:page;mso-position-vertical-relative:paragraph;z-index:-608080" coordorigin="3238,346" coordsize="2881,2">
            <v:shape style="position:absolute;left:3238;top:346;width:2881;height:2" coordorigin="3238,346" coordsize="2881,0" path="m3238,346l6118,346e" filled="false" stroked="true" strokeweight=".6pt" strokecolor="#0000ff">
              <v:path arrowok="t"/>
            </v:shape>
            <w10:wrap type="none"/>
          </v:group>
        </w:pict>
      </w:r>
      <w:r>
        <w:rPr/>
        <w:t>巨潮资讯网（</w:t>
      </w:r>
      <w:hyperlink r:id="rId15">
        <w:r>
          <w:rPr>
            <w:rFonts w:ascii="宋体" w:hAnsi="宋体" w:cs="宋体" w:eastAsia="宋体" w:hint="default"/>
            <w:color w:val="0000FF"/>
          </w:rPr>
          <w:t>http://www.cninfo.com.cn</w:t>
        </w:r>
      </w:hyperlink>
      <w:r>
        <w:rPr/>
        <w:t>）上。 </w:t>
      </w:r>
      <w:r>
        <w:rPr>
          <w:rFonts w:ascii="宋体" w:hAnsi="宋体" w:cs="宋体" w:eastAsia="宋体" w:hint="default"/>
          <w:spacing w:val="-3"/>
        </w:rPr>
        <w:t>6</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26</w:t>
      </w:r>
      <w:r>
        <w:rPr>
          <w:spacing w:val="-3"/>
        </w:rPr>
        <w:t>日，在本公司四楼会议室召开了第五届监事会第二次会议，</w:t>
      </w:r>
    </w:p>
    <w:p>
      <w:pPr>
        <w:pStyle w:val="BodyText"/>
        <w:spacing w:line="357" w:lineRule="auto"/>
        <w:ind w:left="618" w:right="1248" w:hanging="480"/>
        <w:jc w:val="left"/>
      </w:pPr>
      <w:r>
        <w:rPr>
          <w:spacing w:val="-6"/>
        </w:rPr>
        <w:t>审议通过了《</w:t>
      </w:r>
      <w:r>
        <w:rPr>
          <w:rFonts w:ascii="宋体" w:hAnsi="宋体" w:cs="宋体" w:eastAsia="宋体" w:hint="default"/>
          <w:spacing w:val="-6"/>
        </w:rPr>
        <w:t>2010</w:t>
      </w:r>
      <w:r>
        <w:rPr>
          <w:spacing w:val="-6"/>
        </w:rPr>
        <w:t>年第三季度报告的议案》。</w:t>
      </w:r>
      <w:r>
        <w:rPr>
          <w:spacing w:val="-109"/>
        </w:rPr>
        <w:t> </w:t>
      </w:r>
      <w:r>
        <w:rPr>
          <w:spacing w:val="-109"/>
        </w:rPr>
      </w:r>
      <w:r>
        <w:rPr>
          <w:rFonts w:ascii="宋体" w:hAnsi="宋体" w:cs="宋体" w:eastAsia="宋体" w:hint="default"/>
          <w:spacing w:val="-3"/>
        </w:rPr>
        <w:t>7</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29</w:t>
      </w:r>
      <w:r>
        <w:rPr>
          <w:spacing w:val="-3"/>
        </w:rPr>
        <w:t>日，在本公司四楼会议室召开了第五届监事会第三次会议，</w:t>
      </w:r>
    </w:p>
    <w:p>
      <w:pPr>
        <w:pStyle w:val="BodyText"/>
        <w:spacing w:line="357" w:lineRule="auto"/>
        <w:ind w:right="1775"/>
        <w:jc w:val="left"/>
      </w:pPr>
      <w:r>
        <w:rPr/>
        <w:t>审议通过</w:t>
      </w:r>
      <w:r>
        <w:rPr>
          <w:spacing w:val="-44"/>
        </w:rPr>
        <w:t>了</w:t>
      </w:r>
      <w:r>
        <w:rPr/>
        <w:t>《关于继续使用闲置募集资金暂时补充流动资</w:t>
      </w:r>
      <w:r>
        <w:rPr>
          <w:spacing w:val="1"/>
        </w:rPr>
        <w:t>金</w:t>
      </w:r>
      <w:r>
        <w:rPr>
          <w:spacing w:val="-120"/>
        </w:rPr>
        <w:t>》</w:t>
      </w:r>
      <w:r>
        <w:rPr>
          <w:spacing w:val="-164"/>
        </w:rPr>
        <w:t>、</w:t>
      </w:r>
      <w:r>
        <w:rPr/>
        <w:t>《关于变动公司监</w:t>
      </w:r>
      <w:r>
        <w:rPr/>
        <w:t> 事</w:t>
      </w:r>
      <w:r>
        <w:rPr>
          <w:spacing w:val="-121"/>
        </w:rPr>
        <w:t>》</w:t>
      </w:r>
      <w:r>
        <w:rPr>
          <w:spacing w:val="-120"/>
        </w:rPr>
        <w:t>、</w:t>
      </w:r>
      <w:r>
        <w:rPr/>
        <w:t>《关于修改</w:t>
      </w:r>
      <w:r>
        <w:rPr>
          <w:rFonts w:ascii="宋体" w:hAnsi="宋体" w:cs="宋体" w:eastAsia="宋体" w:hint="default"/>
        </w:rPr>
        <w:t>&lt;</w:t>
      </w:r>
      <w:r>
        <w:rPr/>
        <w:t>监事会议事规则</w:t>
      </w:r>
      <w:r>
        <w:rPr>
          <w:rFonts w:ascii="宋体" w:hAnsi="宋体" w:cs="宋体" w:eastAsia="宋体" w:hint="default"/>
        </w:rPr>
        <w:t>&gt;</w:t>
      </w:r>
      <w:r>
        <w:rPr>
          <w:spacing w:val="-120"/>
        </w:rPr>
        <w:t>》</w:t>
      </w:r>
      <w:r>
        <w:rPr/>
        <w:t>。</w:t>
      </w:r>
    </w:p>
    <w:p>
      <w:pPr>
        <w:pStyle w:val="BodyText"/>
        <w:spacing w:line="357" w:lineRule="auto"/>
        <w:ind w:right="1787" w:firstLine="479"/>
        <w:jc w:val="left"/>
      </w:pPr>
      <w:r>
        <w:rPr>
          <w:spacing w:val="-9"/>
        </w:rPr>
        <w:t>本次会议决议公告刊登在</w:t>
      </w:r>
      <w:r>
        <w:rPr>
          <w:rFonts w:ascii="宋体" w:hAnsi="宋体" w:cs="宋体" w:eastAsia="宋体" w:hint="default"/>
          <w:spacing w:val="-9"/>
        </w:rPr>
        <w:t>2010</w:t>
      </w:r>
      <w:r>
        <w:rPr>
          <w:spacing w:val="-9"/>
        </w:rPr>
        <w:t>年</w:t>
      </w:r>
      <w:r>
        <w:rPr>
          <w:rFonts w:ascii="宋体" w:hAnsi="宋体" w:cs="宋体" w:eastAsia="宋体" w:hint="default"/>
          <w:spacing w:val="-9"/>
        </w:rPr>
        <w:t>11</w:t>
      </w:r>
      <w:r>
        <w:rPr>
          <w:spacing w:val="-9"/>
        </w:rPr>
        <w:t>月</w:t>
      </w:r>
      <w:r>
        <w:rPr>
          <w:rFonts w:ascii="宋体" w:hAnsi="宋体" w:cs="宋体" w:eastAsia="宋体" w:hint="default"/>
          <w:spacing w:val="-9"/>
        </w:rPr>
        <w:t>30</w:t>
      </w:r>
      <w:r>
        <w:rPr>
          <w:spacing w:val="-9"/>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357" w:lineRule="auto"/>
        <w:ind w:right="1248" w:firstLine="479"/>
        <w:jc w:val="left"/>
      </w:pPr>
      <w:r>
        <w:rPr>
          <w:rFonts w:ascii="宋体" w:hAnsi="宋体" w:cs="宋体" w:eastAsia="宋体" w:hint="default"/>
          <w:spacing w:val="-3"/>
        </w:rPr>
        <w:t>8</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16</w:t>
      </w:r>
      <w:r>
        <w:rPr>
          <w:spacing w:val="-3"/>
        </w:rPr>
        <w:t>日，在本公司四楼会议室召开了第五届监事会第四次会议，</w:t>
      </w:r>
      <w:r>
        <w:rPr/>
        <w:t> </w:t>
      </w:r>
      <w:r>
        <w:rPr>
          <w:spacing w:val="-3"/>
        </w:rPr>
        <w:t>审议通过了《关于</w:t>
      </w:r>
      <w:r>
        <w:rPr>
          <w:rFonts w:ascii="宋体" w:hAnsi="宋体" w:cs="宋体" w:eastAsia="宋体" w:hint="default"/>
          <w:spacing w:val="-3"/>
        </w:rPr>
        <w:t>&lt;</w:t>
      </w:r>
      <w:r>
        <w:rPr>
          <w:spacing w:val="-3"/>
        </w:rPr>
        <w:t>安徽鑫龙电器股份有限公司股票期权激励计划（草案）</w:t>
      </w:r>
      <w:r>
        <w:rPr>
          <w:rFonts w:ascii="宋体" w:hAnsi="宋体" w:cs="宋体" w:eastAsia="宋体" w:hint="default"/>
          <w:spacing w:val="-3"/>
        </w:rPr>
        <w:t>&gt;</w:t>
      </w:r>
      <w:r>
        <w:rPr>
          <w:spacing w:val="-3"/>
        </w:rPr>
        <w:t>及其</w:t>
      </w:r>
      <w:r>
        <w:rPr>
          <w:spacing w:val="-98"/>
        </w:rPr>
        <w:t> </w:t>
      </w:r>
      <w:r>
        <w:rPr>
          <w:spacing w:val="-6"/>
        </w:rPr>
        <w:t>摘要的议案》、《关于</w:t>
      </w:r>
      <w:r>
        <w:rPr>
          <w:rFonts w:ascii="宋体" w:hAnsi="宋体" w:cs="宋体" w:eastAsia="宋体" w:hint="default"/>
          <w:spacing w:val="-6"/>
        </w:rPr>
        <w:t>&lt;</w:t>
      </w:r>
      <w:r>
        <w:rPr>
          <w:spacing w:val="-6"/>
        </w:rPr>
        <w:t>安徽鑫龙电器股份有限公司股票期权激励计划实施考核管</w:t>
      </w:r>
      <w:r>
        <w:rPr/>
        <w:t> </w:t>
      </w:r>
      <w:r>
        <w:rPr>
          <w:spacing w:val="-10"/>
        </w:rPr>
        <w:t>理办法</w:t>
      </w:r>
      <w:r>
        <w:rPr>
          <w:rFonts w:ascii="宋体" w:hAnsi="宋体" w:cs="宋体" w:eastAsia="宋体" w:hint="default"/>
          <w:spacing w:val="-10"/>
        </w:rPr>
        <w:t>&gt;</w:t>
      </w:r>
      <w:r>
        <w:rPr>
          <w:spacing w:val="-10"/>
        </w:rPr>
        <w:t>的议案》、</w:t>
      </w:r>
      <w:r>
        <w:rPr>
          <w:color w:val="333333"/>
          <w:spacing w:val="-10"/>
        </w:rPr>
        <w:t>《关于核实公司股票期权激励计划中的激励对象名单的议案》。</w:t>
      </w:r>
      <w:r>
        <w:rPr>
          <w:spacing w:val="-10"/>
        </w:rPr>
      </w:r>
    </w:p>
    <w:p>
      <w:pPr>
        <w:pStyle w:val="BodyText"/>
        <w:spacing w:line="357" w:lineRule="auto"/>
        <w:ind w:right="1787" w:firstLine="479"/>
        <w:jc w:val="left"/>
      </w:pPr>
      <w:r>
        <w:rPr>
          <w:spacing w:val="-9"/>
        </w:rPr>
        <w:t>本次会议决议公告刊登在</w:t>
      </w:r>
      <w:r>
        <w:rPr>
          <w:rFonts w:ascii="宋体" w:hAnsi="宋体" w:cs="宋体" w:eastAsia="宋体" w:hint="default"/>
          <w:spacing w:val="-9"/>
        </w:rPr>
        <w:t>2010</w:t>
      </w:r>
      <w:r>
        <w:rPr>
          <w:spacing w:val="-9"/>
        </w:rPr>
        <w:t>年</w:t>
      </w:r>
      <w:r>
        <w:rPr>
          <w:rFonts w:ascii="宋体" w:hAnsi="宋体" w:cs="宋体" w:eastAsia="宋体" w:hint="default"/>
          <w:spacing w:val="-9"/>
        </w:rPr>
        <w:t>12</w:t>
      </w:r>
      <w:r>
        <w:rPr>
          <w:spacing w:val="-9"/>
        </w:rPr>
        <w:t>月</w:t>
      </w:r>
      <w:r>
        <w:rPr>
          <w:rFonts w:ascii="宋体" w:hAnsi="宋体" w:cs="宋体" w:eastAsia="宋体" w:hint="default"/>
          <w:spacing w:val="-9"/>
        </w:rPr>
        <w:t>18</w:t>
      </w:r>
      <w:r>
        <w:rPr>
          <w:spacing w:val="-9"/>
        </w:rPr>
        <w:t>日的《中国证券报》、《证券时报》及</w:t>
      </w:r>
      <w:r>
        <w:rPr/>
        <w:t> 巨潮资讯网（</w:t>
      </w:r>
      <w:r>
        <w:rPr>
          <w:rFonts w:ascii="宋体" w:hAnsi="宋体" w:cs="宋体" w:eastAsia="宋体" w:hint="default"/>
          <w:color w:val="0000FF"/>
        </w:rPr>
      </w:r>
      <w:hyperlink r:id="rId15">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36"/>
        <w:ind w:left="618" w:right="1787"/>
        <w:jc w:val="left"/>
      </w:pPr>
      <w:r>
        <w:rPr/>
        <w:t>二、监事会对公司</w:t>
      </w:r>
      <w:r>
        <w:rPr>
          <w:rFonts w:ascii="宋体" w:hAnsi="宋体" w:cs="宋体" w:eastAsia="宋体" w:hint="default"/>
        </w:rPr>
        <w:t>2010</w:t>
      </w:r>
      <w:r>
        <w:rPr/>
        <w:t>年度有关事项发表的独立意见</w:t>
      </w:r>
    </w:p>
    <w:p>
      <w:pPr>
        <w:pStyle w:val="BodyText"/>
        <w:spacing w:line="357" w:lineRule="auto" w:before="151"/>
        <w:ind w:left="618" w:right="1248"/>
        <w:jc w:val="left"/>
      </w:pPr>
      <w:r>
        <w:rPr/>
        <w:t>（一）监事会对公司依法运作情况的独立意见 </w:t>
      </w:r>
      <w:r>
        <w:rPr>
          <w:spacing w:val="-8"/>
        </w:rPr>
        <w:t>公司监事会严格按照《公司法》、《公司章程》的有关规定，认真履行职责，</w:t>
      </w:r>
    </w:p>
    <w:p>
      <w:pPr>
        <w:pStyle w:val="BodyText"/>
        <w:spacing w:line="357" w:lineRule="auto"/>
        <w:ind w:right="1664"/>
        <w:jc w:val="left"/>
      </w:pPr>
      <w:r>
        <w:rPr>
          <w:spacing w:val="-3"/>
        </w:rPr>
        <w:t>积极参加股东大会，列席董事会会议，对公司</w:t>
      </w:r>
      <w:r>
        <w:rPr>
          <w:rFonts w:ascii="宋体" w:hAnsi="宋体" w:cs="宋体" w:eastAsia="宋体" w:hint="default"/>
          <w:spacing w:val="-3"/>
        </w:rPr>
        <w:t>2010</w:t>
      </w:r>
      <w:r>
        <w:rPr>
          <w:spacing w:val="-3"/>
        </w:rPr>
        <w:t>年依法运作情况进行监督，认</w:t>
      </w:r>
      <w:r>
        <w:rPr>
          <w:spacing w:val="-96"/>
        </w:rPr>
        <w:t> </w:t>
      </w:r>
      <w:r>
        <w:rPr>
          <w:spacing w:val="-96"/>
        </w:rPr>
      </w:r>
      <w:r>
        <w:rPr>
          <w:spacing w:val="3"/>
        </w:rPr>
        <w:t>为：公司依据企业实际情况和监管部门的要求不断完善内部控制制度并认真执</w:t>
      </w:r>
      <w:r>
        <w:rPr>
          <w:spacing w:val="-93"/>
        </w:rPr>
        <w:t> </w:t>
      </w:r>
      <w:r>
        <w:rPr>
          <w:spacing w:val="-93"/>
        </w:rPr>
      </w:r>
      <w:r>
        <w:rPr>
          <w:spacing w:val="-3"/>
        </w:rPr>
        <w:t>行；董事会运作规范、会议程序合法，认真执行股东大会决议；公司董事、高管</w:t>
      </w:r>
      <w:r>
        <w:rPr>
          <w:spacing w:val="-103"/>
        </w:rPr>
        <w:t> </w:t>
      </w:r>
      <w:r>
        <w:rPr>
          <w:spacing w:val="-103"/>
        </w:rPr>
      </w:r>
      <w:r>
        <w:rPr>
          <w:spacing w:val="-3"/>
        </w:rPr>
        <w:t>人员在执行公司职务时，能认真按照国家法律法规、《公司章程》和股东大会、</w:t>
      </w:r>
      <w:r>
        <w:rPr>
          <w:spacing w:val="-107"/>
        </w:rPr>
        <w:t> </w:t>
      </w:r>
      <w:r>
        <w:rPr>
          <w:spacing w:val="-107"/>
        </w:rPr>
      </w:r>
      <w:r>
        <w:rPr>
          <w:spacing w:val="-6"/>
        </w:rPr>
        <w:t>董事会的决议履行职责，未发现公司董事、高管人员在执行公司职务时违反法律、</w:t>
      </w:r>
      <w:r>
        <w:rPr>
          <w:spacing w:val="-115"/>
        </w:rPr>
        <w:t> </w:t>
      </w:r>
      <w:r>
        <w:rPr>
          <w:spacing w:val="-115"/>
        </w:rPr>
      </w:r>
      <w:r>
        <w:rPr>
          <w:spacing w:val="-6"/>
        </w:rPr>
        <w:t>法规、《公司章程》和损害公司、股东利益的行为。</w:t>
      </w:r>
    </w:p>
    <w:p>
      <w:pPr>
        <w:pStyle w:val="BodyText"/>
        <w:spacing w:line="357" w:lineRule="auto"/>
        <w:ind w:left="618" w:right="1787"/>
        <w:jc w:val="left"/>
      </w:pPr>
      <w:r>
        <w:rPr/>
        <w:t>（二）监事会对检查公司财务情况的独立意见 </w:t>
      </w:r>
      <w:r>
        <w:rPr>
          <w:spacing w:val="-3"/>
        </w:rPr>
        <w:t>公司监事会结合本公司实际情况，通过听取财务部门汇报、进行定期审计等</w:t>
      </w:r>
    </w:p>
    <w:p>
      <w:pPr>
        <w:pStyle w:val="BodyText"/>
        <w:spacing w:line="357" w:lineRule="auto"/>
        <w:ind w:right="1787"/>
        <w:jc w:val="left"/>
      </w:pPr>
      <w:r>
        <w:rPr>
          <w:spacing w:val="-3"/>
        </w:rPr>
        <w:t>方式，对公司本部、子公司的财务情况进行了检查，强化了对公司财务工作的监</w:t>
      </w:r>
      <w:r>
        <w:rPr>
          <w:spacing w:val="-102"/>
        </w:rPr>
        <w:t> </w:t>
      </w:r>
      <w:r>
        <w:rPr>
          <w:spacing w:val="-102"/>
        </w:rPr>
      </w:r>
      <w:r>
        <w:rPr/>
        <w:t>督。</w:t>
      </w:r>
    </w:p>
    <w:p>
      <w:pPr>
        <w:pStyle w:val="BodyText"/>
        <w:spacing w:line="357" w:lineRule="auto"/>
        <w:ind w:right="1689" w:firstLine="479"/>
        <w:jc w:val="left"/>
      </w:pPr>
      <w:r>
        <w:rPr/>
        <w:t>公司监事会认为，公司及各子公司设有独立的财务部门，有独立财务账册， </w:t>
      </w:r>
      <w:r>
        <w:rPr>
          <w:spacing w:val="-3"/>
        </w:rPr>
        <w:t>独立核算，遵守《会计法》和有关财务规章制度。</w:t>
      </w:r>
      <w:r>
        <w:rPr>
          <w:rFonts w:ascii="宋体" w:hAnsi="宋体" w:cs="宋体" w:eastAsia="宋体" w:hint="default"/>
          <w:spacing w:val="-3"/>
        </w:rPr>
        <w:t>2010</w:t>
      </w:r>
      <w:r>
        <w:rPr>
          <w:spacing w:val="-3"/>
        </w:rPr>
        <w:t>年的公司及各子公司财务</w:t>
      </w:r>
      <w:r>
        <w:rPr>
          <w:spacing w:val="-96"/>
        </w:rPr>
        <w:t> </w:t>
      </w:r>
      <w:r>
        <w:rPr/>
        <w:t>管理规范，会计报表真实、准确地反映了公司及各子公司的实际情况。</w:t>
      </w:r>
    </w:p>
    <w:p>
      <w:pPr>
        <w:spacing w:after="0" w:line="357" w:lineRule="auto"/>
        <w:jc w:val="left"/>
        <w:sectPr>
          <w:pgSz w:w="11910" w:h="16840"/>
          <w:pgMar w:header="816" w:footer="956" w:top="1160" w:bottom="1140" w:left="1660" w:right="0"/>
        </w:sectPr>
      </w:pPr>
    </w:p>
    <w:p>
      <w:pPr>
        <w:spacing w:line="240" w:lineRule="auto" w:before="2"/>
        <w:rPr>
          <w:rFonts w:ascii="宋体" w:hAnsi="宋体" w:cs="宋体" w:eastAsia="宋体" w:hint="default"/>
          <w:sz w:val="10"/>
          <w:szCs w:val="10"/>
        </w:rPr>
      </w:pPr>
    </w:p>
    <w:p>
      <w:pPr>
        <w:pStyle w:val="BodyText"/>
        <w:spacing w:line="357" w:lineRule="auto" w:before="26"/>
        <w:ind w:left="618" w:right="1787"/>
        <w:jc w:val="left"/>
      </w:pPr>
      <w:r>
        <w:rPr/>
        <w:t>（三）监事会对公司募集资金实际投向情况的独立意见 </w:t>
      </w:r>
      <w:r>
        <w:rPr>
          <w:spacing w:val="-3"/>
        </w:rPr>
        <w:t>公司严格按照《募集资金管理制度》的要求使用和管理募集资金，募集资金</w:t>
      </w:r>
    </w:p>
    <w:p>
      <w:pPr>
        <w:pStyle w:val="BodyText"/>
        <w:spacing w:line="357" w:lineRule="auto"/>
        <w:ind w:right="1791"/>
        <w:jc w:val="both"/>
      </w:pPr>
      <w:r>
        <w:rPr>
          <w:spacing w:val="-3"/>
        </w:rPr>
        <w:t>投入项目与承诺投入项目一致，报告期内公司募集资金运用得当，未有改变募集</w:t>
      </w:r>
      <w:r>
        <w:rPr>
          <w:spacing w:val="-101"/>
        </w:rPr>
        <w:t> </w:t>
      </w:r>
      <w:r>
        <w:rPr>
          <w:spacing w:val="-101"/>
        </w:rPr>
      </w:r>
      <w:r>
        <w:rPr/>
        <w:t>资金用途的情况。</w:t>
      </w:r>
    </w:p>
    <w:p>
      <w:pPr>
        <w:pStyle w:val="BodyText"/>
        <w:spacing w:line="357" w:lineRule="auto"/>
        <w:ind w:left="618" w:right="1787"/>
        <w:jc w:val="left"/>
      </w:pPr>
      <w:r>
        <w:rPr/>
        <w:t>（四）监事会对关联交易情况的独立意见 </w:t>
      </w:r>
      <w:r>
        <w:rPr>
          <w:spacing w:val="-3"/>
        </w:rPr>
        <w:t>报告期内，监事会对公司报告期内发生的关联交易进行了监督和核查，认为</w:t>
      </w:r>
    </w:p>
    <w:p>
      <w:pPr>
        <w:pStyle w:val="BodyText"/>
        <w:spacing w:line="357" w:lineRule="auto"/>
        <w:ind w:right="1791"/>
        <w:jc w:val="both"/>
      </w:pPr>
      <w:r>
        <w:rPr>
          <w:spacing w:val="-3"/>
        </w:rPr>
        <w:t>公司发生的关联交易决策程序合法，交易价格公允，未发现损害公司、股东利益</w:t>
      </w:r>
      <w:r>
        <w:rPr>
          <w:spacing w:val="-101"/>
        </w:rPr>
        <w:t> </w:t>
      </w:r>
      <w:r>
        <w:rPr>
          <w:spacing w:val="-101"/>
        </w:rPr>
      </w:r>
      <w:r>
        <w:rPr/>
        <w:t>和发生内幕交易行为。</w:t>
      </w:r>
    </w:p>
    <w:p>
      <w:pPr>
        <w:pStyle w:val="BodyText"/>
        <w:spacing w:line="357" w:lineRule="auto"/>
        <w:ind w:left="618" w:right="1787"/>
        <w:jc w:val="left"/>
      </w:pPr>
      <w:r>
        <w:rPr/>
        <w:t>（五）监事会对会计师事务所非标准意见的独立意见 </w:t>
      </w:r>
      <w:r>
        <w:rPr>
          <w:spacing w:val="-3"/>
        </w:rPr>
        <w:t>本年度，天健正信会计师事务所对公司年度报告作出了标准无保留意见的审</w:t>
      </w:r>
    </w:p>
    <w:p>
      <w:pPr>
        <w:pStyle w:val="BodyText"/>
        <w:spacing w:line="240" w:lineRule="auto"/>
        <w:ind w:right="0"/>
        <w:jc w:val="both"/>
      </w:pPr>
      <w:r>
        <w:rPr/>
        <w:t>计报告。</w:t>
      </w:r>
    </w:p>
    <w:p>
      <w:pPr>
        <w:pStyle w:val="BodyText"/>
        <w:spacing w:line="355" w:lineRule="auto" w:before="154"/>
        <w:ind w:left="618" w:right="1787"/>
        <w:jc w:val="left"/>
      </w:pPr>
      <w:r>
        <w:rPr/>
        <w:t>（六）监事会对</w:t>
      </w:r>
      <w:r>
        <w:rPr>
          <w:rFonts w:ascii="宋体" w:hAnsi="宋体" w:cs="宋体" w:eastAsia="宋体" w:hint="default"/>
        </w:rPr>
        <w:t>2010</w:t>
      </w:r>
      <w:r>
        <w:rPr/>
        <w:t>年年度报告专项审核意见 </w:t>
      </w:r>
      <w:r>
        <w:rPr>
          <w:spacing w:val="-3"/>
        </w:rPr>
        <w:t>根据深交所《关于做好上市公司</w:t>
      </w:r>
      <w:r>
        <w:rPr>
          <w:rFonts w:ascii="宋体" w:hAnsi="宋体" w:cs="宋体" w:eastAsia="宋体" w:hint="default"/>
          <w:spacing w:val="-3"/>
        </w:rPr>
        <w:t>2010</w:t>
      </w:r>
      <w:r>
        <w:rPr>
          <w:spacing w:val="-3"/>
        </w:rPr>
        <w:t>年年度报告工作的通知》精神，公司全</w:t>
      </w:r>
    </w:p>
    <w:p>
      <w:pPr>
        <w:pStyle w:val="BodyText"/>
        <w:spacing w:line="357" w:lineRule="auto" w:before="38"/>
        <w:ind w:right="1792"/>
        <w:jc w:val="both"/>
      </w:pPr>
      <w:r>
        <w:rPr>
          <w:spacing w:val="-3"/>
        </w:rPr>
        <w:t>体监事本着实事求是及对所有股东负责的态度，对公司</w:t>
      </w:r>
      <w:r>
        <w:rPr>
          <w:rFonts w:ascii="宋体" w:hAnsi="宋体" w:cs="宋体" w:eastAsia="宋体" w:hint="default"/>
          <w:spacing w:val="-3"/>
        </w:rPr>
        <w:t>2010</w:t>
      </w:r>
      <w:r>
        <w:rPr>
          <w:spacing w:val="-3"/>
        </w:rPr>
        <w:t>年年度报告进行了认</w:t>
      </w:r>
      <w:r>
        <w:rPr>
          <w:spacing w:val="-98"/>
        </w:rPr>
        <w:t> </w:t>
      </w:r>
      <w:r>
        <w:rPr>
          <w:spacing w:val="-3"/>
        </w:rPr>
        <w:t>真的审阅，认为公司董事会编制公司</w:t>
      </w:r>
      <w:r>
        <w:rPr>
          <w:rFonts w:ascii="宋体" w:hAnsi="宋体" w:cs="宋体" w:eastAsia="宋体" w:hint="default"/>
          <w:spacing w:val="-3"/>
        </w:rPr>
        <w:t>2010</w:t>
      </w:r>
      <w:r>
        <w:rPr>
          <w:spacing w:val="-3"/>
        </w:rPr>
        <w:t>年年度报告的程序符合法律、行政法规</w:t>
      </w:r>
      <w:r>
        <w:rPr>
          <w:spacing w:val="-97"/>
        </w:rPr>
        <w:t> </w:t>
      </w:r>
      <w:r>
        <w:rPr>
          <w:spacing w:val="-97"/>
        </w:rPr>
      </w:r>
      <w:r>
        <w:rPr>
          <w:spacing w:val="-3"/>
        </w:rPr>
        <w:t>及中国证监会的规定，报告内容真实、准确、完整地反映了公司的实际情况，不</w:t>
      </w:r>
      <w:r>
        <w:rPr>
          <w:spacing w:val="-104"/>
        </w:rPr>
        <w:t> </w:t>
      </w:r>
      <w:r>
        <w:rPr>
          <w:spacing w:val="-104"/>
        </w:rPr>
      </w:r>
      <w:r>
        <w:rPr/>
        <w:t>存在任何虚假记载、误导性陈述或者重大遗漏。</w:t>
      </w:r>
    </w:p>
    <w:p>
      <w:pPr>
        <w:pStyle w:val="BodyText"/>
        <w:spacing w:line="357" w:lineRule="auto"/>
        <w:ind w:left="618" w:right="1787"/>
        <w:jc w:val="left"/>
      </w:pPr>
      <w:r>
        <w:rPr/>
        <w:t>（七）对内部控制自我评价报告的意见 </w:t>
      </w:r>
      <w:r>
        <w:rPr>
          <w:spacing w:val="-3"/>
        </w:rPr>
        <w:t>公司监事会认为，公司已经建立了较为完善的法人治理结构，制定了较为完</w:t>
      </w:r>
    </w:p>
    <w:p>
      <w:pPr>
        <w:pStyle w:val="BodyText"/>
        <w:spacing w:line="357" w:lineRule="auto"/>
        <w:ind w:right="1706"/>
        <w:jc w:val="both"/>
      </w:pPr>
      <w:r>
        <w:rPr>
          <w:spacing w:val="-3"/>
        </w:rPr>
        <w:t>备的有关公司治理及内部控制的各项规章制度，并根据企业实际情况和监管要求</w:t>
      </w:r>
      <w:r>
        <w:rPr>
          <w:spacing w:val="-104"/>
        </w:rPr>
        <w:t> </w:t>
      </w:r>
      <w:r>
        <w:rPr>
          <w:spacing w:val="-104"/>
        </w:rPr>
      </w:r>
      <w:r>
        <w:rPr>
          <w:spacing w:val="-3"/>
        </w:rPr>
        <w:t>不断完善，公司内部控制制度执行情况良好，符合有关法律法规和证券监管部门</w:t>
      </w:r>
      <w:r>
        <w:rPr>
          <w:spacing w:val="-103"/>
        </w:rPr>
        <w:t> </w:t>
      </w:r>
      <w:r>
        <w:rPr>
          <w:spacing w:val="-103"/>
        </w:rPr>
      </w:r>
      <w:r>
        <w:rPr>
          <w:spacing w:val="-3"/>
        </w:rPr>
        <w:t>对上市公司内控制度管理的规范要求，公司董事会编写的《</w:t>
      </w:r>
      <w:r>
        <w:rPr>
          <w:rFonts w:ascii="宋体" w:hAnsi="宋体" w:cs="宋体" w:eastAsia="宋体" w:hint="default"/>
          <w:spacing w:val="-3"/>
        </w:rPr>
        <w:t>2010</w:t>
      </w:r>
      <w:r>
        <w:rPr>
          <w:spacing w:val="-3"/>
        </w:rPr>
        <w:t>年度内部控制自</w:t>
      </w:r>
      <w:r>
        <w:rPr>
          <w:spacing w:val="-97"/>
        </w:rPr>
        <w:t> </w:t>
      </w:r>
      <w:r>
        <w:rPr/>
        <w:t>我评价报告》全面、真实、客观地反映了公司内部控制制度的建设及运行情况。</w:t>
      </w:r>
    </w:p>
    <w:p>
      <w:pPr>
        <w:spacing w:after="0" w:line="357" w:lineRule="auto"/>
        <w:jc w:val="both"/>
        <w:sectPr>
          <w:pgSz w:w="11910" w:h="16840"/>
          <w:pgMar w:header="816" w:footer="956" w:top="1160" w:bottom="1140" w:left="1660" w:right="0"/>
        </w:sectPr>
      </w:pPr>
    </w:p>
    <w:p>
      <w:pPr>
        <w:spacing w:line="240" w:lineRule="auto" w:before="8"/>
        <w:rPr>
          <w:rFonts w:ascii="宋体" w:hAnsi="宋体" w:cs="宋体" w:eastAsia="宋体" w:hint="default"/>
          <w:sz w:val="29"/>
          <w:szCs w:val="29"/>
        </w:rPr>
      </w:pPr>
    </w:p>
    <w:p>
      <w:pPr>
        <w:pStyle w:val="Heading1"/>
        <w:spacing w:line="240" w:lineRule="auto"/>
        <w:ind w:left="3631" w:right="4727"/>
        <w:jc w:val="center"/>
        <w:rPr>
          <w:b w:val="0"/>
          <w:bCs w:val="0"/>
        </w:rPr>
      </w:pPr>
      <w:bookmarkStart w:name="_TOC_250001" w:id="9"/>
      <w:r>
        <w:rPr/>
        <w:t>第九节</w:t>
      </w:r>
      <w:r>
        <w:rPr>
          <w:spacing w:val="-2"/>
        </w:rPr>
        <w:t> </w:t>
      </w:r>
      <w:r>
        <w:rPr/>
        <w:t>重要事项</w:t>
      </w:r>
      <w:bookmarkEnd w:id="9"/>
      <w:r>
        <w:rPr>
          <w:b w:val="0"/>
          <w:bCs w:val="0"/>
        </w:rPr>
      </w:r>
    </w:p>
    <w:p>
      <w:pPr>
        <w:spacing w:line="240" w:lineRule="auto" w:before="8"/>
        <w:rPr>
          <w:rFonts w:ascii="黑体" w:hAnsi="黑体" w:cs="黑体" w:eastAsia="黑体" w:hint="default"/>
          <w:b/>
          <w:bCs/>
          <w:sz w:val="25"/>
          <w:szCs w:val="25"/>
        </w:rPr>
      </w:pPr>
    </w:p>
    <w:p>
      <w:pPr>
        <w:pStyle w:val="BodyText"/>
        <w:spacing w:line="357" w:lineRule="auto" w:before="0"/>
        <w:ind w:left="1178" w:right="2648"/>
        <w:jc w:val="left"/>
      </w:pPr>
      <w:r>
        <w:rPr/>
        <w:t>一、报告期内，本公司没有重大仲裁、诉讼情况发生。 二、报告期内，公司未发生破产重组等相关事项。 三、报告期内，公司持有拟上市公司及非上市金融企业股权情况：</w:t>
      </w:r>
    </w:p>
    <w:p>
      <w:pPr>
        <w:spacing w:line="240" w:lineRule="auto" w:before="9"/>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107"/>
        <w:gridCol w:w="1152"/>
        <w:gridCol w:w="898"/>
        <w:gridCol w:w="562"/>
        <w:gridCol w:w="1150"/>
        <w:gridCol w:w="1383"/>
        <w:gridCol w:w="1315"/>
        <w:gridCol w:w="1078"/>
        <w:gridCol w:w="835"/>
      </w:tblGrid>
      <w:tr>
        <w:trPr>
          <w:trHeight w:val="943" w:hRule="exact"/>
        </w:trPr>
        <w:tc>
          <w:tcPr>
            <w:tcW w:w="11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8" w:right="96"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初始投资金额</w:t>
            </w:r>
          </w:p>
        </w:tc>
        <w:tc>
          <w:tcPr>
            <w:tcW w:w="8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持有数量</w:t>
            </w:r>
          </w:p>
        </w:tc>
        <w:tc>
          <w:tcPr>
            <w:tcW w:w="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占该</w:t>
            </w:r>
          </w:p>
          <w:p>
            <w:pPr>
              <w:pStyle w:val="TableParagraph"/>
              <w:spacing w:line="237" w:lineRule="auto"/>
              <w:ind w:left="93" w:right="96"/>
              <w:jc w:val="both"/>
              <w:rPr>
                <w:rFonts w:ascii="宋体" w:hAnsi="宋体" w:cs="宋体" w:eastAsia="宋体" w:hint="default"/>
                <w:sz w:val="18"/>
                <w:szCs w:val="18"/>
              </w:rPr>
            </w:pPr>
            <w:r>
              <w:rPr>
                <w:rFonts w:ascii="宋体" w:hAnsi="宋体" w:cs="宋体" w:eastAsia="宋体" w:hint="default"/>
                <w:sz w:val="18"/>
                <w:szCs w:val="18"/>
              </w:rPr>
              <w:t>公司 股权 比例</w:t>
            </w:r>
          </w:p>
        </w:tc>
        <w:tc>
          <w:tcPr>
            <w:tcW w:w="11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13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1" w:right="23" w:hanging="360"/>
              <w:jc w:val="left"/>
              <w:rPr>
                <w:rFonts w:ascii="宋体" w:hAnsi="宋体" w:cs="宋体" w:eastAsia="宋体" w:hint="default"/>
                <w:sz w:val="18"/>
                <w:szCs w:val="18"/>
              </w:rPr>
            </w:pPr>
            <w:r>
              <w:rPr>
                <w:rFonts w:ascii="宋体" w:hAnsi="宋体" w:cs="宋体" w:eastAsia="宋体" w:hint="default"/>
                <w:sz w:val="18"/>
                <w:szCs w:val="18"/>
              </w:rPr>
              <w:t>报告期所有者权 益变动</w:t>
            </w:r>
          </w:p>
        </w:tc>
        <w:tc>
          <w:tcPr>
            <w:tcW w:w="1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4" w:right="8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8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946"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芜湖扬子农</w:t>
            </w:r>
          </w:p>
          <w:p>
            <w:pPr>
              <w:pStyle w:val="TableParagraph"/>
              <w:spacing w:line="237" w:lineRule="auto" w:before="2"/>
              <w:ind w:left="98" w:right="96"/>
              <w:jc w:val="center"/>
              <w:rPr>
                <w:rFonts w:ascii="宋体" w:hAnsi="宋体" w:cs="宋体" w:eastAsia="宋体" w:hint="default"/>
                <w:sz w:val="18"/>
                <w:szCs w:val="18"/>
              </w:rPr>
            </w:pPr>
            <w:r>
              <w:rPr>
                <w:rFonts w:ascii="宋体" w:hAnsi="宋体" w:cs="宋体" w:eastAsia="宋体" w:hint="default"/>
                <w:sz w:val="18"/>
                <w:szCs w:val="18"/>
              </w:rPr>
              <w:t>村商业银行 股份有限公 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1,000,000.00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0.61%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115,682,693.63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67,553,470.63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44" w:right="83" w:hanging="360"/>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现金购买</w:t>
            </w:r>
          </w:p>
        </w:tc>
      </w:tr>
      <w:tr>
        <w:trPr>
          <w:trHeight w:val="242" w:hRule="exact"/>
        </w:trPr>
        <w:tc>
          <w:tcPr>
            <w:tcW w:w="11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115,682,693.63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67,553,470.63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r>
    </w:tbl>
    <w:p>
      <w:pPr>
        <w:pStyle w:val="BodyText"/>
        <w:spacing w:line="274" w:lineRule="exact" w:before="0"/>
        <w:ind w:left="1178" w:right="1664"/>
        <w:jc w:val="left"/>
      </w:pPr>
      <w:r>
        <w:rPr/>
        <w:t>金融企业包括：证券公司、商业银行、保险公司、期货公司和信托公司等。</w:t>
      </w:r>
    </w:p>
    <w:p>
      <w:pPr>
        <w:pStyle w:val="BodyText"/>
        <w:spacing w:line="357" w:lineRule="auto" w:before="154"/>
        <w:ind w:left="1178" w:right="1664"/>
        <w:jc w:val="left"/>
      </w:pPr>
      <w:r>
        <w:rPr/>
        <w:t>四、报告期内，公司未有收购及出售资产的情况 五、报告期内，公司股权激励计划实施情况： </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16</w:t>
      </w:r>
      <w:r>
        <w:rPr/>
        <w:t>日，公司召开第五届董事会第五次会议，审议了《关于</w:t>
      </w:r>
      <w:r>
        <w:rPr>
          <w:rFonts w:ascii="宋体" w:hAnsi="宋体" w:cs="宋体" w:eastAsia="宋体" w:hint="default"/>
        </w:rPr>
        <w:t>&lt;</w:t>
      </w:r>
      <w:r>
        <w:rPr/>
        <w:t>安徽</w:t>
      </w:r>
    </w:p>
    <w:p>
      <w:pPr>
        <w:pStyle w:val="BodyText"/>
        <w:spacing w:line="357" w:lineRule="auto"/>
        <w:ind w:left="698" w:right="1664"/>
        <w:jc w:val="left"/>
      </w:pPr>
      <w:r>
        <w:rPr>
          <w:spacing w:val="-3"/>
        </w:rPr>
        <w:t>鑫龙电器股份有限公司股票期权激励计划（草案）</w:t>
      </w:r>
      <w:r>
        <w:rPr>
          <w:rFonts w:ascii="宋体" w:hAnsi="宋体" w:cs="宋体" w:eastAsia="宋体" w:hint="default"/>
          <w:spacing w:val="-3"/>
        </w:rPr>
        <w:t>&gt;</w:t>
      </w:r>
      <w:r>
        <w:rPr>
          <w:spacing w:val="-3"/>
        </w:rPr>
        <w:t>及其摘要的议案》、《关于</w:t>
      </w:r>
      <w:r>
        <w:rPr>
          <w:rFonts w:ascii="宋体" w:hAnsi="宋体" w:cs="宋体" w:eastAsia="宋体" w:hint="default"/>
          <w:spacing w:val="-3"/>
        </w:rPr>
        <w:t>&lt;</w:t>
      </w:r>
      <w:r>
        <w:rPr>
          <w:rFonts w:ascii="宋体" w:hAnsi="宋体" w:cs="宋体" w:eastAsia="宋体" w:hint="default"/>
          <w:spacing w:val="-118"/>
        </w:rPr>
        <w:t> </w:t>
      </w:r>
      <w:r>
        <w:rPr>
          <w:spacing w:val="-6"/>
        </w:rPr>
        <w:t>安徽鑫龙电器股份有限公司股票期权激励计划实施考核管理办法</w:t>
      </w:r>
      <w:r>
        <w:rPr>
          <w:rFonts w:ascii="宋体" w:hAnsi="宋体" w:cs="宋体" w:eastAsia="宋体" w:hint="default"/>
          <w:spacing w:val="-6"/>
        </w:rPr>
        <w:t>&gt;</w:t>
      </w:r>
      <w:r>
        <w:rPr>
          <w:spacing w:val="-6"/>
        </w:rPr>
        <w:t>的议案》、《关</w:t>
      </w:r>
      <w:r>
        <w:rPr>
          <w:spacing w:val="-116"/>
        </w:rPr>
        <w:t> </w:t>
      </w:r>
      <w:r>
        <w:rPr>
          <w:spacing w:val="-116"/>
        </w:rPr>
      </w:r>
      <w:r>
        <w:rPr>
          <w:spacing w:val="-6"/>
        </w:rPr>
        <w:t>于提请股东大会授权董事会办理股票期权激励相关事宜的议案》。公司独立董事、</w:t>
      </w:r>
      <w:r>
        <w:rPr>
          <w:spacing w:val="-113"/>
        </w:rPr>
        <w:t> </w:t>
      </w:r>
      <w:r>
        <w:rPr>
          <w:spacing w:val="-113"/>
        </w:rPr>
      </w:r>
      <w:r>
        <w:rPr>
          <w:spacing w:val="-3"/>
        </w:rPr>
        <w:t>监事会对本次股权激励计划发表意见；国元证券出具独立财务顾问报告、北京市</w:t>
      </w:r>
      <w:r>
        <w:rPr>
          <w:spacing w:val="-103"/>
        </w:rPr>
        <w:t> </w:t>
      </w:r>
      <w:r>
        <w:rPr>
          <w:spacing w:val="-103"/>
        </w:rPr>
      </w:r>
      <w:r>
        <w:rPr>
          <w:spacing w:val="-3"/>
        </w:rPr>
        <w:t>天银律师事务出具法律意见书；详细资料已经刊登在</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18</w:t>
      </w:r>
      <w:r>
        <w:rPr>
          <w:spacing w:val="-3"/>
        </w:rPr>
        <w:t>日的《中国证</w:t>
      </w:r>
      <w:r>
        <w:rPr>
          <w:spacing w:val="-90"/>
        </w:rPr>
        <w:t> </w:t>
      </w:r>
      <w:r>
        <w:rPr>
          <w:spacing w:val="-90"/>
        </w:rPr>
      </w:r>
      <w:r>
        <w:rPr>
          <w:spacing w:val="-6"/>
        </w:rPr>
        <w:t>券报》、《证券时报》及巨潮资讯网（</w:t>
      </w:r>
      <w:r>
        <w:rPr>
          <w:rFonts w:ascii="宋体" w:hAnsi="宋体" w:cs="宋体" w:eastAsia="宋体" w:hint="default"/>
          <w:color w:val="0000FF"/>
          <w:spacing w:val="-6"/>
        </w:rPr>
      </w:r>
      <w:hyperlink r:id="rId15">
        <w:r>
          <w:rPr>
            <w:rFonts w:ascii="宋体" w:hAnsi="宋体" w:cs="宋体" w:eastAsia="宋体" w:hint="default"/>
            <w:color w:val="0000FF"/>
            <w:spacing w:val="-6"/>
            <w:u w:val="single" w:color="0000FF"/>
          </w:rPr>
          <w:t>http://www.cninfo.com.cn</w:t>
        </w:r>
        <w:r>
          <w:rPr>
            <w:rFonts w:ascii="宋体" w:hAnsi="宋体" w:cs="宋体" w:eastAsia="宋体" w:hint="default"/>
            <w:color w:val="0000FF"/>
            <w:spacing w:val="-6"/>
          </w:rPr>
        </w:r>
      </w:hyperlink>
      <w:r>
        <w:rPr>
          <w:spacing w:val="-6"/>
        </w:rPr>
        <w:t>）上。</w:t>
      </w:r>
    </w:p>
    <w:p>
      <w:pPr>
        <w:pStyle w:val="BodyText"/>
        <w:spacing w:line="357" w:lineRule="auto"/>
        <w:ind w:left="1178" w:right="2888"/>
        <w:jc w:val="left"/>
      </w:pPr>
      <w:r>
        <w:rPr/>
        <w:t>本次股权激励计划相关资料已报中国证券监督管理委员会审核。 六、报告期内无重大关联交易事项 七、报告期内重大合同及履行情况：</w:t>
      </w:r>
    </w:p>
    <w:p>
      <w:pPr>
        <w:pStyle w:val="BodyText"/>
        <w:spacing w:line="357" w:lineRule="auto" w:before="36"/>
        <w:ind w:left="698" w:right="1664" w:firstLine="479"/>
        <w:jc w:val="left"/>
      </w:pPr>
      <w:r>
        <w:rPr>
          <w:rFonts w:ascii="宋体" w:hAnsi="宋体" w:cs="宋体" w:eastAsia="宋体" w:hint="default"/>
        </w:rPr>
        <w:t>1</w:t>
      </w:r>
      <w:r>
        <w:rPr/>
        <w:t>、报告期内，公司未发生且没有以前期间发生但延续到报告期内的重大托 管、承包等事项。</w:t>
      </w:r>
    </w:p>
    <w:p>
      <w:pPr>
        <w:pStyle w:val="BodyText"/>
        <w:spacing w:line="240" w:lineRule="auto"/>
        <w:ind w:left="1178" w:right="2648"/>
        <w:jc w:val="left"/>
      </w:pPr>
      <w:r>
        <w:rPr>
          <w:rFonts w:ascii="宋体" w:hAnsi="宋体" w:cs="宋体" w:eastAsia="宋体" w:hint="default"/>
        </w:rPr>
        <w:t>2</w:t>
      </w:r>
      <w:r>
        <w:rPr/>
        <w:t>、重大担保</w:t>
      </w:r>
    </w:p>
    <w:p>
      <w:pPr>
        <w:spacing w:before="160"/>
        <w:ind w:left="0" w:right="1791" w:firstLine="0"/>
        <w:jc w:val="right"/>
        <w:rPr>
          <w:rFonts w:ascii="宋体" w:hAnsi="宋体" w:cs="宋体" w:eastAsia="宋体" w:hint="default"/>
          <w:sz w:val="21"/>
          <w:szCs w:val="21"/>
        </w:rPr>
      </w:pPr>
      <w:r>
        <w:rPr>
          <w:rFonts w:ascii="宋体" w:hAnsi="宋体" w:cs="宋体" w:eastAsia="宋体" w:hint="default"/>
          <w:sz w:val="21"/>
          <w:szCs w:val="21"/>
        </w:rPr>
        <w:t>单位：人民币</w:t>
      </w:r>
      <w:r>
        <w:rPr>
          <w:rFonts w:ascii="宋体" w:hAnsi="宋体" w:cs="宋体" w:eastAsia="宋体" w:hint="default"/>
          <w:spacing w:val="1"/>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585" w:type="dxa"/>
        <w:tblLayout w:type="fixed"/>
        <w:tblCellMar>
          <w:top w:w="0" w:type="dxa"/>
          <w:left w:w="0" w:type="dxa"/>
          <w:bottom w:w="0" w:type="dxa"/>
          <w:right w:w="0" w:type="dxa"/>
        </w:tblCellMar>
        <w:tblLook w:val="01E0"/>
      </w:tblPr>
      <w:tblGrid>
        <w:gridCol w:w="6541"/>
        <w:gridCol w:w="1988"/>
      </w:tblGrid>
      <w:tr>
        <w:trPr>
          <w:trHeight w:val="449" w:hRule="exac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451"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1910" w:h="16840"/>
          <w:pgMar w:header="816" w:footer="956" w:top="1160" w:bottom="1140" w:left="1100" w:right="0"/>
        </w:sectPr>
      </w:pPr>
    </w:p>
    <w:p>
      <w:pPr>
        <w:spacing w:line="240" w:lineRule="auto" w:before="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6541"/>
        <w:gridCol w:w="1988"/>
      </w:tblGrid>
      <w:tr>
        <w:trPr>
          <w:trHeight w:val="452" w:hRule="exac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8"/>
              <w:jc w:val="center"/>
              <w:rPr>
                <w:rFonts w:ascii="宋体" w:hAnsi="宋体" w:cs="宋体" w:eastAsia="宋体" w:hint="default"/>
                <w:sz w:val="21"/>
                <w:szCs w:val="21"/>
              </w:rPr>
            </w:pPr>
            <w:r>
              <w:rPr>
                <w:rFonts w:ascii="宋体"/>
                <w:sz w:val="21"/>
              </w:rPr>
              <w:t>6300.00</w:t>
            </w:r>
          </w:p>
        </w:tc>
      </w:tr>
      <w:tr>
        <w:trPr>
          <w:trHeight w:val="451"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8"/>
              <w:jc w:val="center"/>
              <w:rPr>
                <w:rFonts w:ascii="宋体" w:hAnsi="宋体" w:cs="宋体" w:eastAsia="宋体" w:hint="default"/>
                <w:sz w:val="21"/>
                <w:szCs w:val="21"/>
              </w:rPr>
            </w:pPr>
            <w:r>
              <w:rPr>
                <w:rFonts w:ascii="宋体"/>
                <w:sz w:val="21"/>
              </w:rPr>
              <w:t>6300.00</w:t>
            </w:r>
          </w:p>
        </w:tc>
      </w:tr>
      <w:tr>
        <w:trPr>
          <w:trHeight w:val="449" w:hRule="exac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51"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8"/>
              <w:jc w:val="center"/>
              <w:rPr>
                <w:rFonts w:ascii="宋体" w:hAnsi="宋体" w:cs="宋体" w:eastAsia="宋体" w:hint="default"/>
                <w:sz w:val="21"/>
                <w:szCs w:val="21"/>
              </w:rPr>
            </w:pPr>
            <w:r>
              <w:rPr>
                <w:rFonts w:ascii="宋体"/>
                <w:sz w:val="21"/>
              </w:rPr>
              <w:t>6300.00</w:t>
            </w: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
              <w:jc w:val="center"/>
              <w:rPr>
                <w:rFonts w:ascii="宋体" w:hAnsi="宋体" w:cs="宋体" w:eastAsia="宋体" w:hint="default"/>
                <w:sz w:val="21"/>
                <w:szCs w:val="21"/>
              </w:rPr>
            </w:pPr>
            <w:r>
              <w:rPr>
                <w:rFonts w:ascii="宋体"/>
                <w:sz w:val="21"/>
              </w:rPr>
              <w:t>12.89%</w:t>
            </w:r>
          </w:p>
        </w:tc>
      </w:tr>
      <w:tr>
        <w:trPr>
          <w:trHeight w:val="451"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r>
        <w:trPr>
          <w:trHeight w:val="452"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5"/>
                <w:sz w:val="21"/>
                <w:szCs w:val="21"/>
              </w:rPr>
              <w:t> </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的被担保对象提供的债务担保金额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r>
        <w:trPr>
          <w:trHeight w:val="451"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r>
        <w:trPr>
          <w:trHeight w:val="449" w:hRule="exact"/>
        </w:trPr>
        <w:tc>
          <w:tcPr>
            <w:tcW w:w="65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w:t>
            </w:r>
          </w:p>
        </w:tc>
      </w:tr>
    </w:tbl>
    <w:p>
      <w:pPr>
        <w:pStyle w:val="BodyText"/>
        <w:spacing w:line="274" w:lineRule="exact" w:before="0"/>
        <w:ind w:left="218" w:right="1659" w:firstLine="479"/>
        <w:jc w:val="left"/>
      </w:pPr>
      <w:r>
        <w:rPr>
          <w:spacing w:val="-3"/>
        </w:rPr>
        <w:t>报告期内，公司担保均按《公司章程》等规定履行了法定审批程序，不存在</w:t>
      </w:r>
    </w:p>
    <w:p>
      <w:pPr>
        <w:pStyle w:val="BodyText"/>
        <w:spacing w:line="355" w:lineRule="auto" w:before="154"/>
        <w:ind w:left="218" w:right="1659"/>
        <w:jc w:val="left"/>
      </w:pPr>
      <w:r>
        <w:rPr/>
        <w:t>为股东、股东的控股子公司、股东的附属企业及本公司持股</w:t>
      </w:r>
      <w:r>
        <w:rPr>
          <w:rFonts w:ascii="宋体" w:hAnsi="宋体" w:cs="宋体" w:eastAsia="宋体" w:hint="default"/>
        </w:rPr>
        <w:t>50%</w:t>
      </w:r>
      <w:r>
        <w:rPr/>
        <w:t>以下的其他关联</w:t>
      </w:r>
      <w:r>
        <w:rPr>
          <w:spacing w:val="-92"/>
        </w:rPr>
        <w:t> </w:t>
      </w:r>
      <w:r>
        <w:rPr>
          <w:spacing w:val="-92"/>
        </w:rPr>
      </w:r>
      <w:r>
        <w:rPr/>
        <w:t>方、任何非法人单位或个人提供担保。</w:t>
      </w:r>
    </w:p>
    <w:p>
      <w:pPr>
        <w:pStyle w:val="BodyText"/>
        <w:spacing w:line="355" w:lineRule="auto" w:before="38"/>
        <w:ind w:left="218" w:right="1659" w:firstLine="479"/>
        <w:jc w:val="left"/>
      </w:pPr>
      <w:r>
        <w:rPr>
          <w:rFonts w:ascii="宋体" w:hAnsi="宋体" w:cs="宋体" w:eastAsia="宋体" w:hint="default"/>
        </w:rPr>
        <w:t>3</w:t>
      </w:r>
      <w:r>
        <w:rPr/>
        <w:t>、报告期内，公司未发生且没有以前期间发生但延续到报告期内的重大委 托他人进行现金资产管理的事项。</w:t>
      </w:r>
    </w:p>
    <w:p>
      <w:pPr>
        <w:pStyle w:val="BodyText"/>
        <w:spacing w:line="240" w:lineRule="auto" w:before="39"/>
        <w:ind w:left="698" w:right="1659"/>
        <w:jc w:val="left"/>
      </w:pPr>
      <w:r>
        <w:rPr>
          <w:spacing w:val="-3"/>
        </w:rPr>
        <w:t>八、公司或持股</w:t>
      </w:r>
      <w:r>
        <w:rPr>
          <w:rFonts w:ascii="宋体" w:hAnsi="宋体" w:cs="宋体" w:eastAsia="宋体" w:hint="default"/>
          <w:spacing w:val="-3"/>
        </w:rPr>
        <w:t>5%</w:t>
      </w:r>
      <w:r>
        <w:rPr>
          <w:spacing w:val="-3"/>
        </w:rPr>
        <w:t>以上股东在报告期内或持续到报告期的承诺事项及履行情</w:t>
      </w:r>
    </w:p>
    <w:p>
      <w:pPr>
        <w:spacing w:line="240" w:lineRule="auto" w:before="8"/>
        <w:rPr>
          <w:rFonts w:ascii="宋体" w:hAnsi="宋体" w:cs="宋体" w:eastAsia="宋体" w:hint="default"/>
          <w:sz w:val="9"/>
          <w:szCs w:val="9"/>
        </w:rPr>
      </w:pPr>
    </w:p>
    <w:p>
      <w:pPr>
        <w:pStyle w:val="BodyText"/>
        <w:spacing w:line="240" w:lineRule="auto" w:before="26"/>
        <w:ind w:left="218" w:right="1659"/>
        <w:jc w:val="left"/>
      </w:pPr>
      <w:r>
        <w:rPr/>
        <w:t>况</w:t>
      </w:r>
    </w:p>
    <w:p>
      <w:pPr>
        <w:pStyle w:val="BodyText"/>
        <w:spacing w:line="240" w:lineRule="auto" w:before="154"/>
        <w:ind w:left="698" w:right="0"/>
        <w:jc w:val="left"/>
      </w:pPr>
      <w:r>
        <w:rPr>
          <w:rFonts w:ascii="宋体" w:hAnsi="宋体" w:cs="宋体" w:eastAsia="宋体" w:hint="default"/>
          <w:spacing w:val="-3"/>
        </w:rPr>
        <w:t>1</w:t>
      </w:r>
      <w:r>
        <w:rPr>
          <w:spacing w:val="-3"/>
        </w:rPr>
        <w:t>、本公司控股股东束龙胜先生承诺：自公司股票上市之日起三十六个月内，</w:t>
      </w:r>
    </w:p>
    <w:p>
      <w:pPr>
        <w:spacing w:line="240" w:lineRule="auto" w:before="10"/>
        <w:rPr>
          <w:rFonts w:ascii="宋体" w:hAnsi="宋体" w:cs="宋体" w:eastAsia="宋体" w:hint="default"/>
          <w:sz w:val="9"/>
          <w:szCs w:val="9"/>
        </w:rPr>
      </w:pPr>
    </w:p>
    <w:p>
      <w:pPr>
        <w:pStyle w:val="BodyText"/>
        <w:spacing w:line="357" w:lineRule="auto" w:before="26"/>
        <w:ind w:left="218" w:right="1672"/>
        <w:jc w:val="both"/>
      </w:pPr>
      <w:r>
        <w:rPr>
          <w:spacing w:val="-3"/>
        </w:rPr>
        <w:t>不转让或者委托他人管理所直接和间接持有的公司股份，也不由公司收购该部分</w:t>
      </w:r>
      <w:r>
        <w:rPr>
          <w:spacing w:val="-104"/>
        </w:rPr>
        <w:t> </w:t>
      </w:r>
      <w:r>
        <w:rPr>
          <w:spacing w:val="-104"/>
        </w:rPr>
      </w:r>
      <w:r>
        <w:rPr>
          <w:spacing w:val="-3"/>
        </w:rPr>
        <w:t>股份；三十六个月锁定期满后，在任职董事期间每年转让的公司股份不超过其所</w:t>
      </w:r>
      <w:r>
        <w:rPr>
          <w:spacing w:val="-103"/>
        </w:rPr>
        <w:t> </w:t>
      </w:r>
      <w:r>
        <w:rPr>
          <w:spacing w:val="-103"/>
        </w:rPr>
      </w:r>
      <w:r>
        <w:rPr>
          <w:spacing w:val="-6"/>
        </w:rPr>
        <w:t>持有公司股份总数的百分之二十五；在离职后半年内，不转让所持有的公司股份。</w:t>
      </w:r>
    </w:p>
    <w:p>
      <w:pPr>
        <w:pStyle w:val="BodyText"/>
        <w:spacing w:line="357" w:lineRule="auto"/>
        <w:ind w:left="218" w:right="1790" w:firstLine="479"/>
        <w:jc w:val="both"/>
      </w:pPr>
      <w:r>
        <w:rPr>
          <w:spacing w:val="-3"/>
        </w:rPr>
        <w:t>束龙胜先生还承诺：自公司股票上市之日起三十六个月内，不转让或者委托</w:t>
      </w:r>
      <w:r>
        <w:rPr/>
        <w:t> </w:t>
      </w:r>
      <w:r>
        <w:rPr>
          <w:spacing w:val="-3"/>
        </w:rPr>
        <w:t>他人管理所持有的鑫诚科技股权；三十六个月锁定期满后，在任职鑫诚科技董事</w:t>
      </w:r>
      <w:r>
        <w:rPr>
          <w:spacing w:val="-103"/>
        </w:rPr>
        <w:t> </w:t>
      </w:r>
      <w:r>
        <w:rPr>
          <w:spacing w:val="-103"/>
        </w:rPr>
      </w:r>
      <w:r>
        <w:rPr>
          <w:spacing w:val="3"/>
        </w:rPr>
        <w:t>期间每年转让的鑫诚科技股权不超过其所持有鑫诚科技股权总数的百分之二十</w:t>
      </w:r>
      <w:r>
        <w:rPr>
          <w:spacing w:val="-93"/>
        </w:rPr>
        <w:t> </w:t>
      </w:r>
      <w:r>
        <w:rPr>
          <w:spacing w:val="-93"/>
        </w:rPr>
      </w:r>
      <w:r>
        <w:rPr/>
        <w:t>五；在离职后半年内，不转让所持有的鑫诚科技股权。</w:t>
      </w:r>
    </w:p>
    <w:p>
      <w:pPr>
        <w:pStyle w:val="BodyText"/>
        <w:spacing w:line="357" w:lineRule="auto"/>
        <w:ind w:left="698" w:right="1659"/>
        <w:jc w:val="left"/>
      </w:pPr>
      <w:r>
        <w:rPr/>
        <w:t>上述承诺在报告期内正在履行。 </w:t>
      </w:r>
      <w:r>
        <w:rPr>
          <w:rFonts w:ascii="宋体" w:hAnsi="宋体" w:cs="宋体" w:eastAsia="宋体" w:hint="default"/>
        </w:rPr>
        <w:t>2</w:t>
      </w:r>
      <w:r>
        <w:rPr/>
        <w:t>、本公司股东芜湖市鑫诚科技投资有限公司、合肥世纪创新投资有限公司</w:t>
      </w:r>
    </w:p>
    <w:p>
      <w:pPr>
        <w:pStyle w:val="BodyText"/>
        <w:spacing w:line="240" w:lineRule="auto"/>
        <w:ind w:left="218" w:right="0"/>
        <w:jc w:val="both"/>
      </w:pPr>
      <w:r>
        <w:rPr>
          <w:spacing w:val="-3"/>
        </w:rPr>
        <w:t>承诺：自公司股票上市之日起三十六个月内，不转让或者委托他人管理所持有的</w:t>
      </w:r>
    </w:p>
    <w:p>
      <w:pPr>
        <w:spacing w:after="0" w:line="240" w:lineRule="auto"/>
        <w:jc w:val="both"/>
        <w:sectPr>
          <w:pgSz w:w="11910" w:h="16840"/>
          <w:pgMar w:header="816" w:footer="956" w:top="1160" w:bottom="1140" w:left="1580" w:right="0"/>
        </w:sectPr>
      </w:pPr>
    </w:p>
    <w:p>
      <w:pPr>
        <w:spacing w:line="240" w:lineRule="auto" w:before="2"/>
        <w:rPr>
          <w:rFonts w:ascii="宋体" w:hAnsi="宋体" w:cs="宋体" w:eastAsia="宋体" w:hint="default"/>
          <w:sz w:val="10"/>
          <w:szCs w:val="10"/>
        </w:rPr>
      </w:pPr>
    </w:p>
    <w:p>
      <w:pPr>
        <w:pStyle w:val="BodyText"/>
        <w:spacing w:line="357" w:lineRule="auto" w:before="26"/>
        <w:ind w:left="1058" w:right="2888" w:hanging="480"/>
        <w:jc w:val="left"/>
      </w:pPr>
      <w:r>
        <w:rPr/>
        <w:t>公司股份，也不由公司收购该部分股份。 上述承诺在报告期内正在履行。 公司或持股</w:t>
      </w:r>
      <w:r>
        <w:rPr>
          <w:rFonts w:ascii="宋体" w:hAnsi="宋体" w:cs="宋体" w:eastAsia="宋体" w:hint="default"/>
        </w:rPr>
        <w:t>5%</w:t>
      </w:r>
      <w:r>
        <w:rPr/>
        <w:t>以上股东在报告期内或持续到报告期内的承诺事项</w:t>
      </w:r>
    </w:p>
    <w:p>
      <w:pPr>
        <w:spacing w:line="240" w:lineRule="auto" w:before="1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340"/>
        <w:gridCol w:w="5222"/>
        <w:gridCol w:w="1697"/>
      </w:tblGrid>
      <w:tr>
        <w:trPr>
          <w:trHeight w:val="410"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5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8"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收购报告书或权益变动报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告书中所作承诺</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10"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851"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2"/>
                <w:sz w:val="18"/>
                <w:szCs w:val="18"/>
              </w:rPr>
              <w:t>本公司控股股东及实际控制人束龙胜先生承诺：自股票上市之日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起三十六个月内不转让或委托他人管理所直接和间接持有的股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份，也不由公司收购该部分股份；鑫诚科技、合肥创投承诺：自</w:t>
            </w:r>
          </w:p>
          <w:p>
            <w:pPr>
              <w:pStyle w:val="TableParagraph"/>
              <w:spacing w:line="240" w:lineRule="exact"/>
              <w:ind w:left="103" w:right="100"/>
              <w:jc w:val="both"/>
              <w:rPr>
                <w:rFonts w:ascii="宋体" w:hAnsi="宋体" w:cs="宋体" w:eastAsia="宋体" w:hint="default"/>
                <w:sz w:val="18"/>
                <w:szCs w:val="18"/>
              </w:rPr>
            </w:pPr>
            <w:r>
              <w:rPr>
                <w:rFonts w:ascii="宋体" w:hAnsi="宋体" w:cs="宋体" w:eastAsia="宋体" w:hint="default"/>
                <w:spacing w:val="-2"/>
                <w:sz w:val="18"/>
                <w:szCs w:val="18"/>
              </w:rPr>
              <w:t>股票上市之日起三十六个月内，不转让或委托他人管理所直接和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间接持有的股份，也不由公司收购该部分股份；芜湖建投、鸠江</w:t>
            </w:r>
          </w:p>
          <w:p>
            <w:pPr>
              <w:pStyle w:val="TableParagraph"/>
              <w:spacing w:line="238" w:lineRule="exact" w:before="1"/>
              <w:ind w:left="103" w:right="100"/>
              <w:jc w:val="both"/>
              <w:rPr>
                <w:rFonts w:ascii="宋体" w:hAnsi="宋体" w:cs="宋体" w:eastAsia="宋体" w:hint="default"/>
                <w:sz w:val="18"/>
                <w:szCs w:val="18"/>
              </w:rPr>
            </w:pPr>
            <w:r>
              <w:rPr>
                <w:rFonts w:ascii="宋体" w:hAnsi="宋体" w:cs="宋体" w:eastAsia="宋体" w:hint="default"/>
                <w:spacing w:val="-2"/>
                <w:sz w:val="18"/>
                <w:szCs w:val="18"/>
              </w:rPr>
              <w:t>建投承诺：自股票上市之日起十二个月内，不转让或委托他人管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理所直接和间接持有的股份，也不由公司收购该部分股份。</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2"/>
              <w:ind w:left="124" w:right="120"/>
              <w:jc w:val="both"/>
              <w:rPr>
                <w:rFonts w:ascii="宋体" w:hAnsi="宋体" w:cs="宋体" w:eastAsia="宋体" w:hint="default"/>
                <w:sz w:val="18"/>
                <w:szCs w:val="18"/>
              </w:rPr>
            </w:pPr>
            <w:r>
              <w:rPr>
                <w:rFonts w:ascii="宋体" w:hAnsi="宋体" w:cs="宋体" w:eastAsia="宋体" w:hint="default"/>
                <w:sz w:val="18"/>
                <w:szCs w:val="18"/>
              </w:rPr>
              <w:t>束龙胜先生、鑫诚 科技、合肥创投正 在按承诺履行中；</w:t>
            </w:r>
          </w:p>
          <w:p>
            <w:pPr>
              <w:pStyle w:val="TableParagraph"/>
              <w:spacing w:line="240" w:lineRule="auto" w:before="7"/>
              <w:ind w:right="0"/>
              <w:jc w:val="left"/>
              <w:rPr>
                <w:rFonts w:ascii="宋体" w:hAnsi="宋体" w:cs="宋体" w:eastAsia="宋体" w:hint="default"/>
                <w:sz w:val="12"/>
                <w:szCs w:val="12"/>
              </w:rPr>
            </w:pPr>
          </w:p>
          <w:p>
            <w:pPr>
              <w:pStyle w:val="TableParagraph"/>
              <w:spacing w:line="242" w:lineRule="auto"/>
              <w:ind w:left="213" w:right="120" w:hanging="89"/>
              <w:jc w:val="both"/>
              <w:rPr>
                <w:rFonts w:ascii="宋体" w:hAnsi="宋体" w:cs="宋体" w:eastAsia="宋体" w:hint="default"/>
                <w:sz w:val="18"/>
                <w:szCs w:val="18"/>
              </w:rPr>
            </w:pPr>
            <w:r>
              <w:rPr>
                <w:rFonts w:ascii="宋体" w:hAnsi="宋体" w:cs="宋体" w:eastAsia="宋体" w:hint="default"/>
                <w:sz w:val="18"/>
                <w:szCs w:val="18"/>
              </w:rPr>
              <w:t>芜湖建投、鸠江建 投已履行完毕。</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其他对公司中小股东所作</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74" w:lineRule="exact" w:before="0"/>
        <w:ind w:left="1058" w:right="2888"/>
        <w:jc w:val="left"/>
      </w:pPr>
      <w:r>
        <w:rPr/>
        <w:t>九、聘任会计师事务所情况</w:t>
      </w:r>
    </w:p>
    <w:p>
      <w:pPr>
        <w:pStyle w:val="BodyText"/>
        <w:spacing w:line="357" w:lineRule="auto" w:before="151"/>
        <w:ind w:left="578" w:right="1793" w:firstLine="479"/>
        <w:jc w:val="both"/>
      </w:pPr>
      <w:r>
        <w:rPr>
          <w:spacing w:val="-3"/>
        </w:rPr>
        <w:t>公司聘请的</w:t>
      </w:r>
      <w:r>
        <w:rPr>
          <w:rFonts w:ascii="宋体" w:hAnsi="宋体" w:cs="宋体" w:eastAsia="宋体" w:hint="default"/>
          <w:spacing w:val="-3"/>
        </w:rPr>
        <w:t>2010</w:t>
      </w:r>
      <w:r>
        <w:rPr>
          <w:spacing w:val="-3"/>
        </w:rPr>
        <w:t>年度审计机构为天健正信会计师事务所有限公司，经公司第</w:t>
      </w:r>
      <w:r>
        <w:rPr/>
        <w:t> </w:t>
      </w:r>
      <w:r>
        <w:rPr>
          <w:spacing w:val="-3"/>
        </w:rPr>
        <w:t>五届董事会第七次会议审议通过，董事会拟继续聘任天健正信会计师事务所有限</w:t>
      </w:r>
      <w:r>
        <w:rPr>
          <w:spacing w:val="-104"/>
        </w:rPr>
        <w:t> </w:t>
      </w:r>
      <w:r>
        <w:rPr>
          <w:spacing w:val="-104"/>
        </w:rPr>
      </w:r>
      <w:r>
        <w:rPr/>
        <w:t>公司为公司</w:t>
      </w:r>
      <w:r>
        <w:rPr>
          <w:rFonts w:ascii="宋体" w:hAnsi="宋体" w:cs="宋体" w:eastAsia="宋体" w:hint="default"/>
        </w:rPr>
        <w:t>2011</w:t>
      </w:r>
      <w:r>
        <w:rPr/>
        <w:t>年度的审计机构，将提交公司</w:t>
      </w:r>
      <w:r>
        <w:rPr>
          <w:rFonts w:ascii="宋体" w:hAnsi="宋体" w:cs="宋体" w:eastAsia="宋体" w:hint="default"/>
        </w:rPr>
        <w:t>2010</w:t>
      </w:r>
      <w:r>
        <w:rPr/>
        <w:t>年度股东大会进行审议。</w:t>
      </w:r>
    </w:p>
    <w:p>
      <w:pPr>
        <w:pStyle w:val="BodyText"/>
        <w:spacing w:line="355" w:lineRule="auto" w:before="36"/>
        <w:ind w:left="1058" w:right="1787"/>
        <w:jc w:val="left"/>
      </w:pPr>
      <w:r>
        <w:rPr>
          <w:rFonts w:ascii="宋体" w:hAnsi="宋体" w:cs="宋体" w:eastAsia="宋体" w:hint="default"/>
        </w:rPr>
        <w:t>2011</w:t>
      </w:r>
      <w:r>
        <w:rPr/>
        <w:t>年度公司将续聘天健正信会计师事务所有限公司为公司审计机构。 </w:t>
      </w:r>
      <w:r>
        <w:rPr>
          <w:spacing w:val="-3"/>
        </w:rPr>
        <w:t>十、报告期内，公司、董事、监事、高管人员没有受到中国证监会稽查、中</w:t>
      </w:r>
    </w:p>
    <w:p>
      <w:pPr>
        <w:pStyle w:val="BodyText"/>
        <w:spacing w:line="355" w:lineRule="auto" w:before="38"/>
        <w:ind w:left="578" w:right="1792"/>
        <w:jc w:val="both"/>
      </w:pPr>
      <w:r>
        <w:rPr>
          <w:spacing w:val="-3"/>
        </w:rPr>
        <w:t>国证监会行政处罚、通报批评、证券交易所公开谴责的情形。公司董事、管理层</w:t>
      </w:r>
      <w:r>
        <w:rPr>
          <w:spacing w:val="-103"/>
        </w:rPr>
        <w:t> </w:t>
      </w:r>
      <w:r>
        <w:rPr>
          <w:spacing w:val="-103"/>
        </w:rPr>
      </w:r>
      <w:r>
        <w:rPr/>
        <w:t>有关人员没有被采取司法强制措施的情况。</w:t>
      </w:r>
    </w:p>
    <w:p>
      <w:pPr>
        <w:pStyle w:val="BodyText"/>
        <w:spacing w:line="357" w:lineRule="auto" w:before="38"/>
        <w:ind w:left="1058" w:right="1787"/>
        <w:jc w:val="left"/>
      </w:pPr>
      <w:r>
        <w:rPr/>
        <w:t>十一、报告期内其他重大事项 </w:t>
      </w:r>
      <w:r>
        <w:rPr>
          <w:rFonts w:ascii="宋体" w:hAnsi="宋体" w:cs="宋体" w:eastAsia="宋体" w:hint="default"/>
        </w:rPr>
        <w:t>1</w:t>
      </w:r>
      <w:r>
        <w:rPr/>
        <w:t>、公司独立董事对关联方资金往来和对外担保发表的独立意见 </w:t>
      </w:r>
      <w:r>
        <w:rPr>
          <w:spacing w:val="-3"/>
        </w:rPr>
        <w:t>根据《关于规范上市公司与关联方资金往来及上市公司对外担保若干问题的</w:t>
      </w:r>
    </w:p>
    <w:p>
      <w:pPr>
        <w:pStyle w:val="BodyText"/>
        <w:spacing w:line="357" w:lineRule="auto"/>
        <w:ind w:left="578" w:right="1792"/>
        <w:jc w:val="both"/>
      </w:pPr>
      <w:r>
        <w:rPr>
          <w:spacing w:val="-8"/>
        </w:rPr>
        <w:t>通知》（证监发</w:t>
      </w:r>
      <w:r>
        <w:rPr>
          <w:rFonts w:ascii="宋体" w:hAnsi="宋体" w:cs="宋体" w:eastAsia="宋体" w:hint="default"/>
          <w:spacing w:val="-8"/>
        </w:rPr>
        <w:t>[2003]56</w:t>
      </w:r>
      <w:r>
        <w:rPr>
          <w:rFonts w:ascii="宋体" w:hAnsi="宋体" w:cs="宋体" w:eastAsia="宋体" w:hint="default"/>
          <w:spacing w:val="21"/>
        </w:rPr>
        <w:t> </w:t>
      </w:r>
      <w:r>
        <w:rPr>
          <w:spacing w:val="-5"/>
        </w:rPr>
        <w:t>号）和《关于规范上市公司对外担保行为的通知》（证</w:t>
      </w:r>
      <w:r>
        <w:rPr>
          <w:spacing w:val="-118"/>
        </w:rPr>
        <w:t> </w:t>
      </w:r>
      <w:r>
        <w:rPr>
          <w:spacing w:val="-118"/>
        </w:rPr>
      </w:r>
      <w:r>
        <w:rPr/>
        <w:t>监发</w:t>
      </w:r>
      <w:r>
        <w:rPr>
          <w:rFonts w:ascii="宋体" w:hAnsi="宋体" w:cs="宋体" w:eastAsia="宋体" w:hint="default"/>
        </w:rPr>
        <w:t>[2005]120</w:t>
      </w:r>
      <w:r>
        <w:rPr>
          <w:rFonts w:ascii="宋体" w:hAnsi="宋体" w:cs="宋体" w:eastAsia="宋体" w:hint="default"/>
          <w:spacing w:val="22"/>
        </w:rPr>
        <w:t> </w:t>
      </w:r>
      <w:r>
        <w:rPr>
          <w:spacing w:val="-4"/>
        </w:rPr>
        <w:t>号）的要求，作为公司的独立董事，我们对公司报告期内的对外</w:t>
      </w:r>
      <w:r>
        <w:rPr/>
        <w:t> </w:t>
      </w:r>
      <w:r>
        <w:rPr>
          <w:spacing w:val="-3"/>
        </w:rPr>
        <w:t>担保情况和控股股东及其他关联方占用资金情况进行了认真的了解和查验，相关</w:t>
      </w:r>
      <w:r>
        <w:rPr>
          <w:spacing w:val="-104"/>
        </w:rPr>
        <w:t> </w:t>
      </w:r>
      <w:r>
        <w:rPr>
          <w:spacing w:val="-104"/>
        </w:rPr>
      </w:r>
      <w:r>
        <w:rPr/>
        <w:t>说明及独立意见如下：</w:t>
      </w:r>
    </w:p>
    <w:p>
      <w:pPr>
        <w:pStyle w:val="BodyText"/>
        <w:spacing w:line="357" w:lineRule="auto" w:before="36"/>
        <w:ind w:left="578" w:right="1792" w:firstLine="479"/>
        <w:jc w:val="both"/>
      </w:pPr>
      <w:r>
        <w:rPr>
          <w:spacing w:val="-3"/>
        </w:rPr>
        <w:t>报告期内，公司担保均按《公司章程》等规定履行了法定审批程序，不存在</w:t>
      </w:r>
      <w:r>
        <w:rPr/>
        <w:t> 为股东、股东的控股子公司、股东的附属企业及本公司持股</w:t>
      </w:r>
      <w:r>
        <w:rPr>
          <w:rFonts w:ascii="宋体" w:hAnsi="宋体" w:cs="宋体" w:eastAsia="宋体" w:hint="default"/>
        </w:rPr>
        <w:t>50%</w:t>
      </w:r>
      <w:r>
        <w:rPr/>
        <w:t>以下的其他关联</w:t>
      </w:r>
      <w:r>
        <w:rPr>
          <w:spacing w:val="-91"/>
        </w:rPr>
        <w:t> </w:t>
      </w:r>
      <w:r>
        <w:rPr>
          <w:spacing w:val="-91"/>
        </w:rPr>
      </w:r>
      <w:r>
        <w:rPr/>
        <w:t>方、任何非法人单位或个人提供担保。</w:t>
      </w:r>
    </w:p>
    <w:p>
      <w:pPr>
        <w:spacing w:after="0" w:line="357" w:lineRule="auto"/>
        <w:jc w:val="both"/>
        <w:sectPr>
          <w:pgSz w:w="11910" w:h="16840"/>
          <w:pgMar w:header="816" w:footer="956" w:top="1160" w:bottom="1140" w:left="1220" w:right="0"/>
        </w:sectPr>
      </w:pPr>
    </w:p>
    <w:p>
      <w:pPr>
        <w:spacing w:line="240" w:lineRule="auto" w:before="2"/>
        <w:rPr>
          <w:rFonts w:ascii="宋体" w:hAnsi="宋体" w:cs="宋体" w:eastAsia="宋体" w:hint="default"/>
          <w:sz w:val="10"/>
          <w:szCs w:val="10"/>
        </w:rPr>
      </w:pPr>
    </w:p>
    <w:p>
      <w:pPr>
        <w:pStyle w:val="BodyText"/>
        <w:spacing w:line="357" w:lineRule="auto" w:before="26"/>
        <w:ind w:left="1438" w:right="1688"/>
        <w:jc w:val="left"/>
      </w:pPr>
      <w:r>
        <w:rPr/>
        <w:t>报告期内，公司不存在控股股东及其它关联方非正常占用公司资金的情况。 </w:t>
      </w:r>
      <w:r>
        <w:rPr>
          <w:rFonts w:ascii="宋体" w:hAnsi="宋体" w:cs="宋体" w:eastAsia="宋体" w:hint="default"/>
        </w:rPr>
        <w:t>2</w:t>
      </w:r>
      <w:r>
        <w:rPr/>
        <w:t>、注册会计师对公司控股股东及其他关联方占用资金情况的说明 </w:t>
      </w:r>
      <w:r>
        <w:rPr>
          <w:spacing w:val="-3"/>
        </w:rPr>
        <w:t>经天健正信会计师事务所有限公司审计，在所有重大方面未发现不一致，并</w:t>
      </w:r>
    </w:p>
    <w:p>
      <w:pPr>
        <w:pStyle w:val="BodyText"/>
        <w:spacing w:line="355" w:lineRule="auto" w:before="36"/>
        <w:ind w:left="958" w:right="1793"/>
        <w:jc w:val="left"/>
      </w:pPr>
      <w:r>
        <w:rPr>
          <w:spacing w:val="-3"/>
        </w:rPr>
        <w:t>出具了《关于安徽鑫龙电器股份有限公司控股股东及其他关联方资金占用情况的</w:t>
      </w:r>
      <w:r>
        <w:rPr>
          <w:spacing w:val="-104"/>
        </w:rPr>
        <w:t> </w:t>
      </w:r>
      <w:r>
        <w:rPr>
          <w:spacing w:val="-104"/>
        </w:rPr>
      </w:r>
      <w:r>
        <w:rPr>
          <w:spacing w:val="-9"/>
        </w:rPr>
        <w:t>专项说明》（天健正信审（</w:t>
      </w:r>
      <w:r>
        <w:rPr>
          <w:rFonts w:ascii="宋体" w:hAnsi="宋体" w:cs="宋体" w:eastAsia="宋体" w:hint="default"/>
          <w:spacing w:val="-9"/>
        </w:rPr>
        <w:t>2011</w:t>
      </w:r>
      <w:r>
        <w:rPr>
          <w:spacing w:val="-9"/>
        </w:rPr>
        <w:t>）特字第</w:t>
      </w:r>
      <w:r>
        <w:rPr>
          <w:rFonts w:ascii="宋体" w:hAnsi="宋体" w:cs="宋体" w:eastAsia="宋体" w:hint="default"/>
          <w:spacing w:val="-9"/>
        </w:rPr>
        <w:t>100014</w:t>
      </w:r>
      <w:r>
        <w:rPr>
          <w:spacing w:val="-9"/>
        </w:rPr>
        <w:t>号）。</w:t>
      </w:r>
    </w:p>
    <w:p>
      <w:pPr>
        <w:pStyle w:val="BodyText"/>
        <w:spacing w:line="355" w:lineRule="auto" w:before="38"/>
        <w:ind w:left="1438" w:right="3248"/>
        <w:jc w:val="left"/>
      </w:pPr>
      <w:r>
        <w:rPr>
          <w:rFonts w:ascii="宋体" w:hAnsi="宋体" w:cs="宋体" w:eastAsia="宋体" w:hint="default"/>
        </w:rPr>
        <w:t>3</w:t>
      </w:r>
      <w:r>
        <w:rPr/>
        <w:t>、与最近一期年度报告相比，合并范围发生变化的具体说明 本期合并范围未发生变化。</w:t>
      </w:r>
    </w:p>
    <w:p>
      <w:pPr>
        <w:pStyle w:val="BodyText"/>
        <w:spacing w:line="355" w:lineRule="auto" w:before="38"/>
        <w:ind w:left="1438" w:right="7328"/>
        <w:jc w:val="left"/>
      </w:pPr>
      <w:r>
        <w:rPr>
          <w:rFonts w:ascii="宋体" w:hAnsi="宋体" w:cs="宋体" w:eastAsia="宋体" w:hint="default"/>
        </w:rPr>
        <w:t>4</w:t>
      </w:r>
      <w:r>
        <w:rPr/>
        <w:t>、其他综合收益细目 不适用</w:t>
      </w:r>
    </w:p>
    <w:p>
      <w:pPr>
        <w:pStyle w:val="BodyText"/>
        <w:spacing w:line="355" w:lineRule="auto" w:before="39"/>
        <w:ind w:left="1438" w:right="1788"/>
        <w:jc w:val="left"/>
      </w:pPr>
      <w:r>
        <w:rPr>
          <w:rFonts w:ascii="宋体" w:hAnsi="宋体" w:cs="宋体" w:eastAsia="宋体" w:hint="default"/>
        </w:rPr>
        <w:t>5</w:t>
      </w:r>
      <w:r>
        <w:rPr/>
        <w:t>、报告期内，公司重要信息索引。 </w:t>
      </w:r>
      <w:r>
        <w:rPr>
          <w:spacing w:val="-10"/>
        </w:rPr>
        <w:t>公司信息披露报纸为《证券时报》、《中国证券报》，信息披露网站为巨潮资</w:t>
      </w:r>
    </w:p>
    <w:p>
      <w:pPr>
        <w:pStyle w:val="BodyText"/>
        <w:spacing w:line="240" w:lineRule="auto" w:before="38"/>
        <w:ind w:left="958" w:right="1688"/>
        <w:jc w:val="left"/>
      </w:pPr>
      <w:r>
        <w:rPr/>
        <w:t>讯网</w:t>
      </w:r>
      <w:r>
        <w:rPr>
          <w:spacing w:val="-1"/>
        </w:rPr>
        <w:t>（</w:t>
      </w:r>
      <w:hyperlink r:id="rId15">
        <w:r>
          <w:rPr>
            <w:rFonts w:ascii="宋体" w:hAnsi="宋体" w:cs="宋体" w:eastAsia="宋体" w:hint="default"/>
          </w:rPr>
          <w:t>www.cninfo.com.cn</w:t>
        </w:r>
      </w:hyperlink>
      <w:r>
        <w:rPr>
          <w:spacing w:val="-120"/>
        </w:rPr>
        <w:t>）。</w:t>
      </w:r>
      <w:r>
        <w:rPr/>
      </w:r>
    </w:p>
    <w:p>
      <w:pPr>
        <w:spacing w:line="240" w:lineRule="auto" w:before="9"/>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502"/>
        <w:gridCol w:w="1541"/>
        <w:gridCol w:w="6062"/>
        <w:gridCol w:w="1879"/>
      </w:tblGrid>
      <w:tr>
        <w:trPr>
          <w:trHeight w:val="55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年业绩快报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2010-1-18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第四届董事会第十七次会议决议公告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1" w:right="0"/>
              <w:jc w:val="left"/>
              <w:rPr>
                <w:rFonts w:ascii="宋体" w:hAnsi="宋体" w:cs="宋体" w:eastAsia="宋体" w:hint="default"/>
                <w:sz w:val="21"/>
                <w:szCs w:val="21"/>
              </w:rPr>
            </w:pPr>
            <w:r>
              <w:rPr>
                <w:rFonts w:ascii="宋体"/>
                <w:sz w:val="21"/>
              </w:rPr>
              <w:t>2010-2-6</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年第一次临时股东大会的通知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1" w:right="0"/>
              <w:jc w:val="left"/>
              <w:rPr>
                <w:rFonts w:ascii="宋体" w:hAnsi="宋体" w:cs="宋体" w:eastAsia="宋体" w:hint="default"/>
                <w:sz w:val="21"/>
                <w:szCs w:val="21"/>
              </w:rPr>
            </w:pPr>
            <w:r>
              <w:rPr>
                <w:rFonts w:ascii="宋体"/>
                <w:sz w:val="21"/>
              </w:rPr>
              <w:t>2010-2-6</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w w:val="100"/>
                <w:sz w:val="21"/>
              </w:rPr>
              <w:t>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sz w:val="21"/>
              </w:rPr>
              <w:t>2010-004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第四届监事会第九次会议决议公告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11" w:right="0"/>
              <w:jc w:val="left"/>
              <w:rPr>
                <w:rFonts w:ascii="宋体" w:hAnsi="宋体" w:cs="宋体" w:eastAsia="宋体" w:hint="default"/>
                <w:sz w:val="21"/>
                <w:szCs w:val="21"/>
              </w:rPr>
            </w:pPr>
            <w:r>
              <w:rPr>
                <w:rFonts w:ascii="宋体"/>
                <w:sz w:val="21"/>
              </w:rPr>
              <w:t>2010-2-6</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1" w:right="0"/>
              <w:jc w:val="left"/>
              <w:rPr>
                <w:rFonts w:ascii="宋体" w:hAnsi="宋体" w:cs="宋体" w:eastAsia="宋体" w:hint="default"/>
                <w:sz w:val="21"/>
                <w:szCs w:val="21"/>
              </w:rPr>
            </w:pPr>
            <w:r>
              <w:rPr>
                <w:rFonts w:ascii="宋体"/>
                <w:sz w:val="21"/>
              </w:rPr>
              <w:t>2010-3-6</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第四届董事会第十八次会议决议公告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第四届监事会第十次会议决议公告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2010-4-13</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w w:val="100"/>
                <w:sz w:val="21"/>
              </w:rPr>
              <w:t>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2010-008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年度业绩网上说明会公告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8" w:right="0"/>
              <w:jc w:val="left"/>
              <w:rPr>
                <w:rFonts w:ascii="宋体" w:hAnsi="宋体" w:cs="宋体" w:eastAsia="宋体" w:hint="default"/>
                <w:sz w:val="21"/>
                <w:szCs w:val="21"/>
              </w:rPr>
            </w:pPr>
            <w:r>
              <w:rPr>
                <w:rFonts w:ascii="宋体"/>
                <w:sz w:val="21"/>
              </w:rPr>
              <w:t>2010-4-13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w w:val="100"/>
                <w:sz w:val="21"/>
              </w:rPr>
              <w:t>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2010-009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年年度股东大会的通知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2010-4-13</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年年度报告及摘要</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年一季度正文公告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2010-4-13</w:t>
            </w:r>
          </w:p>
        </w:tc>
      </w:tr>
      <w:tr>
        <w:trPr>
          <w:trHeight w:val="44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12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sz w:val="21"/>
              </w:rPr>
              <w:t>2010-012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年度募集资金使用情况专项报告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8" w:right="0"/>
              <w:jc w:val="left"/>
              <w:rPr>
                <w:rFonts w:ascii="宋体" w:hAnsi="宋体" w:cs="宋体" w:eastAsia="宋体" w:hint="default"/>
                <w:sz w:val="21"/>
                <w:szCs w:val="21"/>
              </w:rPr>
            </w:pPr>
            <w:r>
              <w:rPr>
                <w:rFonts w:ascii="宋体"/>
                <w:sz w:val="21"/>
              </w:rPr>
              <w:t>2010-4-13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董事辞职公告（宋志刚）</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2010-4-26</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11" w:right="0"/>
              <w:jc w:val="left"/>
              <w:rPr>
                <w:rFonts w:ascii="宋体" w:hAnsi="宋体" w:cs="宋体" w:eastAsia="宋体" w:hint="default"/>
                <w:sz w:val="21"/>
                <w:szCs w:val="21"/>
              </w:rPr>
            </w:pPr>
            <w:r>
              <w:rPr>
                <w:rFonts w:ascii="宋体"/>
                <w:sz w:val="21"/>
              </w:rPr>
              <w:t>2010-5-6</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2010-5-21</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第四届董事会第十九次会议决议公告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2010-5-28</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第四届监事会第十一次会议决议公告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21"/>
                <w:szCs w:val="21"/>
              </w:rPr>
            </w:pPr>
            <w:r>
              <w:rPr>
                <w:rFonts w:ascii="宋体"/>
                <w:sz w:val="21"/>
              </w:rPr>
              <w:t>2010-5-28</w:t>
            </w:r>
          </w:p>
        </w:tc>
      </w:tr>
    </w:tbl>
    <w:p>
      <w:pPr>
        <w:spacing w:after="0" w:line="240" w:lineRule="auto"/>
        <w:jc w:val="left"/>
        <w:rPr>
          <w:rFonts w:ascii="宋体" w:hAnsi="宋体" w:cs="宋体" w:eastAsia="宋体" w:hint="default"/>
          <w:sz w:val="21"/>
          <w:szCs w:val="21"/>
        </w:rPr>
        <w:sectPr>
          <w:pgSz w:w="11910" w:h="16840"/>
          <w:pgMar w:header="816" w:footer="956" w:top="1160" w:bottom="1140" w:left="840" w:right="0"/>
        </w:sectPr>
      </w:pPr>
    </w:p>
    <w:p>
      <w:pPr>
        <w:spacing w:line="240" w:lineRule="auto" w:before="4"/>
        <w:rPr>
          <w:rFonts w:ascii="Times New Roman" w:hAnsi="Times New Roman" w:cs="Times New Roman" w:eastAsia="Times New Roman"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502"/>
        <w:gridCol w:w="1541"/>
        <w:gridCol w:w="6062"/>
        <w:gridCol w:w="1879"/>
      </w:tblGrid>
      <w:tr>
        <w:trPr>
          <w:trHeight w:val="44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
              <w:jc w:val="center"/>
              <w:rPr>
                <w:rFonts w:ascii="宋体" w:hAnsi="宋体" w:cs="宋体" w:eastAsia="宋体" w:hint="default"/>
                <w:sz w:val="21"/>
                <w:szCs w:val="21"/>
              </w:rPr>
            </w:pPr>
            <w:r>
              <w:rPr>
                <w:rFonts w:ascii="宋体" w:hAnsi="宋体" w:cs="宋体" w:eastAsia="宋体" w:hint="default"/>
                <w:sz w:val="21"/>
                <w:szCs w:val="21"/>
              </w:rPr>
              <w:t>关于继续使用部分闲置募集资金补充流动资金的公告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2010-5-28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2010-019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关于为全资子公司提供担保额度的公告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2010-5-29</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年第二次临时股东大会的通知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2010-5-29</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二〇〇九年度权益分派实施公告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2010-6-3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年第二次临时股东大会通知的提示性公告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2010-6-10</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2010-6-19</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第四届董事会第二十次会议决议公告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第四届监事会第十二次会议决议公告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年半年度报告摘要公告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关于选举第五届监事会职工代表监事的公告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年第三次临时股东大会的通知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关于完成注册资本工商变更登记的公告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2010-7-28</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2010-8-13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第五届董事会第一次会议决议的公告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2010-8-13</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第五届监事会第一次会议决议的公告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2010-8-13</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关于高级管理人员金元生先生逝世的公告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2010-9-1</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限售股份上市流通提示性公告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2010-9-21</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第五届董事会第二次会议决议公告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2010-10-14</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2010-10-27</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2010-11-19</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第五届董事会第四次会议决议公告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2010-11-30</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39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2010-039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第五届监事会第三次会议决议的公告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2010-11-30</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关于继续使用部分闲置募集资金暂时补充流动资金的公告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2010-11-30</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年第四次临时股东大会的通知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2010-11-30</w:t>
            </w:r>
          </w:p>
        </w:tc>
      </w:tr>
      <w:tr>
        <w:trPr>
          <w:trHeight w:val="447"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关于监事辞职的公告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2010-11-30</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关于职工监事辞职及职工代表大会决议的公告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2010-12-7</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年第四次临时股东大会通知的提示性公告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2010-12-11</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年第四次临时股东大会决议公告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2010-12-16</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停牌公告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2010-12-16</w:t>
            </w:r>
          </w:p>
        </w:tc>
      </w:tr>
      <w:tr>
        <w:trPr>
          <w:trHeight w:val="446"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第五届董事会第五次会议决议公告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2010-12-18</w:t>
            </w:r>
          </w:p>
        </w:tc>
      </w:tr>
      <w:tr>
        <w:trPr>
          <w:trHeight w:val="444" w:hRule="exact"/>
        </w:trPr>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2010-048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第五届监事会第四次会议决议的公告</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2010-12-18</w:t>
            </w:r>
          </w:p>
        </w:tc>
      </w:tr>
    </w:tbl>
    <w:p>
      <w:pPr>
        <w:spacing w:after="0" w:line="240" w:lineRule="auto"/>
        <w:jc w:val="center"/>
        <w:rPr>
          <w:rFonts w:ascii="宋体" w:hAnsi="宋体" w:cs="宋体" w:eastAsia="宋体" w:hint="default"/>
          <w:sz w:val="21"/>
          <w:szCs w:val="21"/>
        </w:rPr>
        <w:sectPr>
          <w:pgSz w:w="11910" w:h="16840"/>
          <w:pgMar w:header="816" w:footer="956" w:top="1160" w:bottom="1140" w:left="840" w:right="0"/>
        </w:sectPr>
      </w:pPr>
    </w:p>
    <w:p>
      <w:pPr>
        <w:spacing w:line="240" w:lineRule="auto" w:before="7"/>
        <w:rPr>
          <w:rFonts w:ascii="Times New Roman" w:hAnsi="Times New Roman" w:cs="Times New Roman" w:eastAsia="Times New Roman" w:hint="default"/>
          <w:sz w:val="11"/>
          <w:szCs w:val="11"/>
        </w:rPr>
      </w:pPr>
    </w:p>
    <w:p>
      <w:pPr>
        <w:pStyle w:val="BodyText"/>
        <w:spacing w:line="357" w:lineRule="auto" w:before="26"/>
        <w:ind w:left="1778" w:right="1788"/>
        <w:jc w:val="left"/>
      </w:pPr>
      <w:r>
        <w:rPr>
          <w:rFonts w:ascii="宋体" w:hAnsi="宋体" w:cs="宋体" w:eastAsia="宋体" w:hint="default"/>
        </w:rPr>
        <w:t>6</w:t>
      </w:r>
      <w:r>
        <w:rPr/>
        <w:t>、报告期内接待调研、沟通、采访等活动登记表 </w:t>
      </w:r>
      <w:r>
        <w:rPr>
          <w:spacing w:val="-10"/>
        </w:rPr>
        <w:t>报告期内，公司严格按照《投资者关系管理制度》、《信息披露管理制度》的</w:t>
      </w:r>
    </w:p>
    <w:p>
      <w:pPr>
        <w:pStyle w:val="BodyText"/>
        <w:spacing w:line="357" w:lineRule="auto"/>
        <w:ind w:left="1778" w:right="1787" w:hanging="480"/>
        <w:jc w:val="left"/>
      </w:pPr>
      <w:r>
        <w:rPr/>
        <w:t>相关要求，认真作好投资者关系管理工作。 </w:t>
      </w:r>
      <w:r>
        <w:rPr>
          <w:spacing w:val="-3"/>
        </w:rPr>
        <w:t>指定董事会秘书作为投资者关系管理负责人，安排专人作好投资者来访接待</w:t>
      </w:r>
    </w:p>
    <w:p>
      <w:pPr>
        <w:pStyle w:val="BodyText"/>
        <w:spacing w:line="240" w:lineRule="auto"/>
        <w:ind w:left="1298" w:right="1788"/>
        <w:jc w:val="left"/>
      </w:pPr>
      <w:r>
        <w:rPr/>
        <w:t>工作，并作好各次接待的资料存档工作。报告期内接待调研、沟通情况如下：</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908"/>
        <w:gridCol w:w="679"/>
        <w:gridCol w:w="1119"/>
        <w:gridCol w:w="4140"/>
        <w:gridCol w:w="2837"/>
      </w:tblGrid>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接待</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地点</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中信建投证券有限责任公司行业分析员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公司基本情况、发展趋势、行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业状况等</w:t>
            </w:r>
          </w:p>
        </w:tc>
      </w:tr>
      <w:tr>
        <w:trPr>
          <w:trHeight w:val="555"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东海证券有限责任公司行业研究员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公司基本情况、发展趋势、行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业状况等</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厦门普尔投资管理有限责任公司行业研究员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公司基本情况、发展趋势、行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业状况等</w:t>
            </w:r>
          </w:p>
        </w:tc>
      </w:tr>
      <w:tr>
        <w:trPr>
          <w:trHeight w:val="554"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易方达基金管理有限公司行业研究员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公司基本情况、发展趋势、行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业状况等</w:t>
            </w:r>
          </w:p>
        </w:tc>
      </w:tr>
      <w:tr>
        <w:trPr>
          <w:trHeight w:val="55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易方达基金管理有限公司行业研究员</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公司基本情况、发展趋势、行</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业状况等</w:t>
            </w:r>
          </w:p>
        </w:tc>
      </w:tr>
    </w:tbl>
    <w:p>
      <w:pPr>
        <w:spacing w:after="0" w:line="273" w:lineRule="exact"/>
        <w:jc w:val="left"/>
        <w:rPr>
          <w:rFonts w:ascii="宋体" w:hAnsi="宋体" w:cs="宋体" w:eastAsia="宋体" w:hint="default"/>
          <w:sz w:val="21"/>
          <w:szCs w:val="21"/>
        </w:rPr>
        <w:sectPr>
          <w:pgSz w:w="11910" w:h="16840"/>
          <w:pgMar w:header="816" w:footer="956" w:top="1160" w:bottom="1140" w:left="500" w:right="0"/>
        </w:sectPr>
      </w:pPr>
    </w:p>
    <w:p>
      <w:pPr>
        <w:spacing w:line="240" w:lineRule="auto" w:before="8"/>
        <w:rPr>
          <w:rFonts w:ascii="宋体" w:hAnsi="宋体" w:cs="宋体" w:eastAsia="宋体" w:hint="default"/>
          <w:sz w:val="29"/>
          <w:szCs w:val="29"/>
        </w:rPr>
      </w:pPr>
    </w:p>
    <w:p>
      <w:pPr>
        <w:tabs>
          <w:tab w:pos="1286" w:val="left" w:leader="none"/>
        </w:tabs>
        <w:spacing w:before="0"/>
        <w:ind w:left="0" w:right="1658" w:firstLine="0"/>
        <w:jc w:val="center"/>
        <w:rPr>
          <w:rFonts w:ascii="黑体" w:hAnsi="黑体" w:cs="黑体" w:eastAsia="黑体" w:hint="default"/>
          <w:sz w:val="32"/>
          <w:szCs w:val="32"/>
        </w:rPr>
      </w:pPr>
      <w:r>
        <w:rPr>
          <w:rFonts w:ascii="黑体" w:hAnsi="黑体" w:cs="黑体" w:eastAsia="黑体" w:hint="default"/>
          <w:b/>
          <w:bCs/>
          <w:w w:val="95"/>
          <w:sz w:val="32"/>
          <w:szCs w:val="32"/>
        </w:rPr>
        <w:t>第十节</w:t>
        <w:tab/>
      </w:r>
      <w:r>
        <w:rPr>
          <w:rFonts w:ascii="黑体" w:hAnsi="黑体" w:cs="黑体" w:eastAsia="黑体" w:hint="default"/>
          <w:b/>
          <w:bCs/>
          <w:sz w:val="32"/>
          <w:szCs w:val="32"/>
        </w:rPr>
        <w:t>财务报告</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before="264"/>
        <w:ind w:left="0" w:right="1658"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4"/>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4"/>
        <w:rPr>
          <w:rFonts w:ascii="宋体" w:hAnsi="宋体" w:cs="宋体" w:eastAsia="宋体" w:hint="default"/>
          <w:b/>
          <w:bCs/>
          <w:sz w:val="14"/>
          <w:szCs w:val="14"/>
        </w:rPr>
      </w:pPr>
    </w:p>
    <w:p>
      <w:pPr>
        <w:spacing w:before="36"/>
        <w:ind w:left="4737" w:right="1248" w:firstLine="0"/>
        <w:jc w:val="left"/>
        <w:rPr>
          <w:rFonts w:ascii="黑体" w:hAnsi="黑体" w:cs="黑体" w:eastAsia="黑体" w:hint="default"/>
          <w:sz w:val="21"/>
          <w:szCs w:val="21"/>
        </w:rPr>
      </w:pPr>
      <w:r>
        <w:rPr>
          <w:rFonts w:ascii="黑体" w:hAnsi="黑体" w:cs="黑体" w:eastAsia="黑体" w:hint="default"/>
          <w:b/>
          <w:bCs/>
          <w:sz w:val="21"/>
          <w:szCs w:val="21"/>
        </w:rPr>
        <w:t>天健正信审（</w:t>
      </w:r>
      <w:r>
        <w:rPr>
          <w:rFonts w:ascii="Arial" w:hAnsi="Arial" w:cs="Arial" w:eastAsia="Arial" w:hint="default"/>
          <w:b/>
          <w:bCs/>
          <w:sz w:val="21"/>
          <w:szCs w:val="21"/>
        </w:rPr>
        <w:t>2011</w:t>
      </w:r>
      <w:r>
        <w:rPr>
          <w:rFonts w:ascii="黑体" w:hAnsi="黑体" w:cs="黑体" w:eastAsia="黑体" w:hint="default"/>
          <w:b/>
          <w:bCs/>
          <w:sz w:val="21"/>
          <w:szCs w:val="21"/>
        </w:rPr>
        <w:t>）</w:t>
      </w:r>
      <w:r>
        <w:rPr>
          <w:rFonts w:ascii="Arial" w:hAnsi="Arial" w:cs="Arial" w:eastAsia="Arial" w:hint="default"/>
          <w:b/>
          <w:bCs/>
          <w:sz w:val="21"/>
          <w:szCs w:val="21"/>
        </w:rPr>
        <w:t>GF</w:t>
      </w:r>
      <w:r>
        <w:rPr>
          <w:rFonts w:ascii="Arial" w:hAnsi="Arial" w:cs="Arial" w:eastAsia="Arial" w:hint="default"/>
          <w:b/>
          <w:bCs/>
          <w:spacing w:val="-12"/>
          <w:sz w:val="21"/>
          <w:szCs w:val="21"/>
        </w:rPr>
        <w:t> </w:t>
      </w:r>
      <w:r>
        <w:rPr>
          <w:rFonts w:ascii="黑体" w:hAnsi="黑体" w:cs="黑体" w:eastAsia="黑体" w:hint="default"/>
          <w:b/>
          <w:bCs/>
          <w:sz w:val="21"/>
          <w:szCs w:val="21"/>
        </w:rPr>
        <w:t>字第</w:t>
      </w:r>
      <w:r>
        <w:rPr>
          <w:rFonts w:ascii="黑体" w:hAnsi="黑体" w:cs="黑体" w:eastAsia="黑体" w:hint="default"/>
          <w:b/>
          <w:bCs/>
          <w:spacing w:val="-57"/>
          <w:sz w:val="21"/>
          <w:szCs w:val="21"/>
        </w:rPr>
        <w:t> </w:t>
      </w:r>
      <w:r>
        <w:rPr>
          <w:rFonts w:ascii="Arial" w:hAnsi="Arial" w:cs="Arial" w:eastAsia="Arial" w:hint="default"/>
          <w:b/>
          <w:bCs/>
          <w:sz w:val="21"/>
          <w:szCs w:val="21"/>
        </w:rPr>
        <w:t>100014</w:t>
      </w:r>
      <w:r>
        <w:rPr>
          <w:rFonts w:ascii="Arial" w:hAnsi="Arial" w:cs="Arial" w:eastAsia="Arial" w:hint="default"/>
          <w:b/>
          <w:bCs/>
          <w:spacing w:val="-12"/>
          <w:sz w:val="21"/>
          <w:szCs w:val="21"/>
        </w:rPr>
        <w:t> </w:t>
      </w:r>
      <w:r>
        <w:rPr>
          <w:rFonts w:ascii="黑体" w:hAnsi="黑体" w:cs="黑体" w:eastAsia="黑体" w:hint="default"/>
          <w:b/>
          <w:bCs/>
          <w:sz w:val="21"/>
          <w:szCs w:val="21"/>
        </w:rPr>
        <w:t>号</w:t>
      </w:r>
      <w:r>
        <w:rPr>
          <w:rFonts w:ascii="黑体" w:hAnsi="黑体" w:cs="黑体" w:eastAsia="黑体" w:hint="default"/>
          <w:sz w:val="21"/>
          <w:szCs w:val="21"/>
        </w:rPr>
      </w:r>
    </w:p>
    <w:p>
      <w:pPr>
        <w:spacing w:before="112"/>
        <w:ind w:left="138" w:right="1787" w:firstLine="0"/>
        <w:jc w:val="left"/>
        <w:rPr>
          <w:rFonts w:ascii="宋体" w:hAnsi="宋体" w:cs="宋体" w:eastAsia="宋体" w:hint="default"/>
          <w:sz w:val="24"/>
          <w:szCs w:val="24"/>
        </w:rPr>
      </w:pPr>
      <w:r>
        <w:rPr>
          <w:rFonts w:ascii="宋体" w:hAnsi="宋体" w:cs="宋体" w:eastAsia="宋体" w:hint="default"/>
          <w:b/>
          <w:bCs/>
          <w:w w:val="99"/>
          <w:sz w:val="24"/>
          <w:szCs w:val="24"/>
        </w:rPr>
      </w:r>
      <w:r>
        <w:rPr>
          <w:rFonts w:ascii="宋体" w:hAnsi="宋体" w:cs="宋体" w:eastAsia="宋体" w:hint="default"/>
          <w:b/>
          <w:bCs/>
          <w:sz w:val="24"/>
          <w:szCs w:val="24"/>
          <w:u w:val="single" w:color="000000"/>
        </w:rPr>
        <w:t>安徽鑫龙电器股份有限公司全体股东：</w:t>
      </w:r>
      <w:r>
        <w:rPr>
          <w:rFonts w:ascii="宋体" w:hAnsi="宋体" w:cs="宋体" w:eastAsia="宋体" w:hint="default"/>
          <w:b/>
          <w:bCs/>
          <w:sz w:val="24"/>
          <w:szCs w:val="24"/>
        </w:rPr>
      </w:r>
      <w:r>
        <w:rPr>
          <w:rFonts w:ascii="宋体" w:hAnsi="宋体" w:cs="宋体" w:eastAsia="宋体" w:hint="default"/>
          <w:sz w:val="24"/>
          <w:szCs w:val="24"/>
        </w:rPr>
      </w:r>
    </w:p>
    <w:p>
      <w:pPr>
        <w:spacing w:line="240" w:lineRule="auto" w:before="6"/>
        <w:rPr>
          <w:rFonts w:ascii="宋体" w:hAnsi="宋体" w:cs="宋体" w:eastAsia="宋体" w:hint="default"/>
          <w:b/>
          <w:bCs/>
          <w:sz w:val="9"/>
          <w:szCs w:val="9"/>
        </w:rPr>
      </w:pPr>
    </w:p>
    <w:p>
      <w:pPr>
        <w:spacing w:line="350" w:lineRule="auto" w:before="36"/>
        <w:ind w:left="138" w:right="1788" w:firstLine="419"/>
        <w:jc w:val="both"/>
        <w:rPr>
          <w:rFonts w:ascii="宋体" w:hAnsi="宋体" w:cs="宋体" w:eastAsia="宋体" w:hint="default"/>
          <w:sz w:val="21"/>
          <w:szCs w:val="21"/>
        </w:rPr>
      </w:pPr>
      <w:r>
        <w:rPr>
          <w:rFonts w:ascii="宋体" w:hAnsi="宋体" w:cs="宋体" w:eastAsia="宋体" w:hint="default"/>
          <w:spacing w:val="-4"/>
          <w:sz w:val="21"/>
          <w:szCs w:val="21"/>
        </w:rPr>
        <w:t>我们审计了后附的安徽鑫龙电器股份有限公司（以下简称鑫龙电器公司）财务报表，包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日的资产负债表、合并资产负债表，</w:t>
      </w:r>
      <w:r>
        <w:rPr>
          <w:rFonts w:ascii="Arial" w:hAnsi="Arial" w:cs="Arial" w:eastAsia="Arial" w:hint="default"/>
          <w:sz w:val="21"/>
          <w:szCs w:val="21"/>
        </w:rPr>
        <w:t>2010</w:t>
      </w:r>
      <w:r>
        <w:rPr>
          <w:rFonts w:ascii="Arial" w:hAnsi="Arial" w:cs="Arial" w:eastAsia="Arial" w:hint="default"/>
          <w:spacing w:val="-2"/>
          <w:sz w:val="21"/>
          <w:szCs w:val="21"/>
        </w:rPr>
        <w:t> </w:t>
      </w:r>
      <w:r>
        <w:rPr>
          <w:rFonts w:ascii="宋体" w:hAnsi="宋体" w:cs="宋体" w:eastAsia="宋体" w:hint="default"/>
          <w:sz w:val="21"/>
          <w:szCs w:val="21"/>
        </w:rPr>
        <w:t>年度的利润表、合并利润表</w:t>
      </w:r>
      <w:r>
        <w:rPr>
          <w:rFonts w:ascii="宋体" w:hAnsi="宋体" w:cs="宋体" w:eastAsia="宋体" w:hint="default"/>
          <w:w w:val="100"/>
          <w:sz w:val="21"/>
          <w:szCs w:val="21"/>
        </w:rPr>
        <w:t> </w:t>
      </w:r>
      <w:r>
        <w:rPr>
          <w:rFonts w:ascii="宋体" w:hAnsi="宋体" w:cs="宋体" w:eastAsia="宋体" w:hint="default"/>
          <w:spacing w:val="-4"/>
          <w:sz w:val="21"/>
          <w:szCs w:val="21"/>
        </w:rPr>
        <w:t>和现金流量表、合并现金流量表及股东权益变动表、合并股东权益变动表，以及财务报表附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注。</w:t>
      </w:r>
    </w:p>
    <w:p>
      <w:pPr>
        <w:spacing w:line="357" w:lineRule="auto" w:before="36"/>
        <w:ind w:left="558" w:right="1248"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按照企业会计准则的规定编制财务报表是鑫龙电器公司管理层的责任。这种责任包括：</w:t>
      </w:r>
    </w:p>
    <w:p>
      <w:pPr>
        <w:spacing w:line="338" w:lineRule="auto" w:before="30"/>
        <w:ind w:left="138" w:right="1787"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w:hAnsi="Arial" w:cs="Arial" w:eastAsia="Arial" w:hint="default"/>
          <w:spacing w:val="-2"/>
          <w:sz w:val="21"/>
          <w:szCs w:val="21"/>
        </w:rPr>
        <w:t>1</w:t>
      </w:r>
      <w:r>
        <w:rPr>
          <w:rFonts w:ascii="宋体" w:hAnsi="宋体" w:cs="宋体" w:eastAsia="宋体" w:hint="default"/>
          <w:spacing w:val="-2"/>
          <w:sz w:val="21"/>
          <w:szCs w:val="21"/>
        </w:rPr>
        <w:t>）设计、实施和维护与财务报表编制相关的内部控制，以使财务报表不存在由于舞弊或</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7"/>
          <w:w w:val="100"/>
          <w:sz w:val="21"/>
          <w:szCs w:val="21"/>
        </w:rPr>
        <w:t>错误而导致的重大错报；（</w:t>
      </w:r>
      <w:r>
        <w:rPr>
          <w:rFonts w:ascii="Arial" w:hAnsi="Arial" w:cs="Arial" w:eastAsia="Arial" w:hint="default"/>
          <w:spacing w:val="-7"/>
          <w:w w:val="100"/>
          <w:sz w:val="21"/>
          <w:szCs w:val="21"/>
        </w:rPr>
        <w:t>2</w:t>
      </w:r>
      <w:r>
        <w:rPr>
          <w:rFonts w:ascii="宋体" w:hAnsi="宋体" w:cs="宋体" w:eastAsia="宋体" w:hint="default"/>
          <w:spacing w:val="-7"/>
          <w:w w:val="100"/>
          <w:sz w:val="21"/>
          <w:szCs w:val="21"/>
        </w:rPr>
        <w:t>）选择和运用恰当的会计政策；（</w:t>
      </w:r>
      <w:r>
        <w:rPr>
          <w:rFonts w:ascii="Arial" w:hAnsi="Arial" w:cs="Arial" w:eastAsia="Arial" w:hint="default"/>
          <w:spacing w:val="-7"/>
          <w:w w:val="100"/>
          <w:sz w:val="21"/>
          <w:szCs w:val="21"/>
        </w:rPr>
        <w:t>3</w:t>
      </w:r>
      <w:r>
        <w:rPr>
          <w:rFonts w:ascii="宋体" w:hAnsi="宋体" w:cs="宋体" w:eastAsia="宋体" w:hint="default"/>
          <w:spacing w:val="-7"/>
          <w:w w:val="100"/>
          <w:sz w:val="21"/>
          <w:szCs w:val="21"/>
        </w:rPr>
        <w:t>）做出合理的会计估计。</w:t>
      </w:r>
    </w:p>
    <w:p>
      <w:pPr>
        <w:spacing w:line="357" w:lineRule="auto" w:before="22"/>
        <w:ind w:left="558" w:right="1787"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我们的责任是在实施审计工作的基础上对财务报表发表审计意见。我们按照中国注册会</w:t>
      </w:r>
    </w:p>
    <w:p>
      <w:pPr>
        <w:spacing w:line="355" w:lineRule="auto" w:before="30"/>
        <w:ind w:left="138" w:right="1787"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范，计划和实施审计工作以对财务报表是否不存在重大错报获取合理保证。</w:t>
      </w:r>
    </w:p>
    <w:p>
      <w:pPr>
        <w:spacing w:line="357" w:lineRule="auto" w:before="32"/>
        <w:ind w:left="138" w:right="1248" w:firstLine="419"/>
        <w:jc w:val="left"/>
        <w:rPr>
          <w:rFonts w:ascii="宋体" w:hAnsi="宋体" w:cs="宋体" w:eastAsia="宋体" w:hint="default"/>
          <w:sz w:val="21"/>
          <w:szCs w:val="21"/>
        </w:rPr>
      </w:pPr>
      <w:r>
        <w:rPr>
          <w:rFonts w:ascii="宋体" w:hAnsi="宋体" w:cs="宋体" w:eastAsia="宋体" w:hint="default"/>
          <w:spacing w:val="-4"/>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z w:val="21"/>
          <w:szCs w:val="21"/>
        </w:rPr>
        <w:t>程序取决于注册会计师的判断，包括对由于舞弊或错误导致的财务报表重大错报风险的评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7"/>
          <w:sz w:val="21"/>
          <w:szCs w:val="21"/>
        </w:rPr>
        <w:t>估。在进行风险评估时，我们考虑与财务报表编制相关的内部控制，以设计恰当的审计程序，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w w:val="100"/>
          <w:sz w:val="21"/>
          <w:szCs w:val="21"/>
        </w:rPr>
        <w:t>但目的并非对内部控制的有效性发表意见。审计工作还包括评价管理层选用会计政策的恰当</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性和做出会计估计的合理性，以及评价财务报表的总体列报。</w:t>
      </w:r>
    </w:p>
    <w:p>
      <w:pPr>
        <w:spacing w:line="357" w:lineRule="auto" w:before="30"/>
        <w:ind w:left="558" w:right="1787"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w w:val="100"/>
          <w:sz w:val="21"/>
          <w:szCs w:val="21"/>
        </w:rPr>
        <w:t> </w:t>
      </w:r>
      <w:r>
        <w:rPr>
          <w:rFonts w:ascii="宋体" w:hAnsi="宋体" w:cs="宋体" w:eastAsia="宋体" w:hint="default"/>
          <w:b/>
          <w:bCs/>
          <w:sz w:val="21"/>
          <w:szCs w:val="21"/>
        </w:rPr>
        <w:t>三、审计意见</w:t>
      </w:r>
      <w:r>
        <w:rPr>
          <w:rFonts w:ascii="宋体" w:hAnsi="宋体" w:cs="宋体" w:eastAsia="宋体" w:hint="default"/>
          <w:b/>
          <w:bCs/>
          <w:spacing w:val="-104"/>
          <w:sz w:val="21"/>
          <w:szCs w:val="21"/>
        </w:rPr>
        <w:t> </w:t>
      </w:r>
      <w:r>
        <w:rPr>
          <w:rFonts w:ascii="宋体" w:hAnsi="宋体" w:cs="宋体" w:eastAsia="宋体" w:hint="default"/>
          <w:spacing w:val="-4"/>
          <w:sz w:val="21"/>
          <w:szCs w:val="21"/>
        </w:rPr>
        <w:t>我们认为，鑫龙电器公司财务报表已经按照企业会计准则的规定编制，在所有重大方面</w:t>
      </w:r>
    </w:p>
    <w:p>
      <w:pPr>
        <w:spacing w:line="338" w:lineRule="auto" w:before="31"/>
        <w:ind w:left="138" w:right="1787" w:firstLine="0"/>
        <w:jc w:val="left"/>
        <w:rPr>
          <w:rFonts w:ascii="宋体" w:hAnsi="宋体" w:cs="宋体" w:eastAsia="宋体" w:hint="default"/>
          <w:sz w:val="21"/>
          <w:szCs w:val="21"/>
        </w:rPr>
      </w:pPr>
      <w:r>
        <w:rPr>
          <w:rFonts w:ascii="宋体" w:hAnsi="宋体" w:cs="宋体" w:eastAsia="宋体" w:hint="default"/>
          <w:sz w:val="21"/>
          <w:szCs w:val="21"/>
        </w:rPr>
        <w:t>公允反映了鑫龙电器公司</w:t>
      </w:r>
      <w:r>
        <w:rPr>
          <w:rFonts w:ascii="宋体" w:hAnsi="宋体" w:cs="宋体" w:eastAsia="宋体" w:hint="default"/>
          <w:spacing w:val="-58"/>
          <w:sz w:val="21"/>
          <w:szCs w:val="21"/>
        </w:rPr>
        <w:t> </w:t>
      </w: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31</w:t>
      </w:r>
      <w:r>
        <w:rPr>
          <w:rFonts w:ascii="Arial" w:hAnsi="Arial" w:cs="Arial" w:eastAsia="Arial" w:hint="default"/>
          <w:spacing w:val="-12"/>
          <w:sz w:val="21"/>
          <w:szCs w:val="21"/>
        </w:rPr>
        <w:t> </w:t>
      </w:r>
      <w:r>
        <w:rPr>
          <w:rFonts w:ascii="宋体" w:hAnsi="宋体" w:cs="宋体" w:eastAsia="宋体" w:hint="default"/>
          <w:sz w:val="21"/>
          <w:szCs w:val="21"/>
        </w:rPr>
        <w:t>日的财务状况以及</w:t>
      </w:r>
      <w:r>
        <w:rPr>
          <w:rFonts w:ascii="宋体" w:hAnsi="宋体" w:cs="宋体" w:eastAsia="宋体" w:hint="default"/>
          <w:spacing w:val="-56"/>
          <w:sz w:val="21"/>
          <w:szCs w:val="21"/>
        </w:rPr>
        <w:t> </w:t>
      </w: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年度的经营成果和现金</w:t>
      </w:r>
      <w:r>
        <w:rPr>
          <w:rFonts w:ascii="宋体" w:hAnsi="宋体" w:cs="宋体" w:eastAsia="宋体" w:hint="default"/>
          <w:w w:val="100"/>
          <w:sz w:val="21"/>
          <w:szCs w:val="21"/>
        </w:rPr>
        <w:t> </w:t>
      </w:r>
      <w:r>
        <w:rPr>
          <w:rFonts w:ascii="宋体" w:hAnsi="宋体" w:cs="宋体" w:eastAsia="宋体" w:hint="default"/>
          <w:sz w:val="21"/>
          <w:szCs w:val="21"/>
        </w:rPr>
        <w:t>流量。</w:t>
      </w:r>
    </w:p>
    <w:p>
      <w:pPr>
        <w:spacing w:before="47"/>
        <w:ind w:left="3516" w:right="1658" w:firstLine="0"/>
        <w:jc w:val="center"/>
        <w:rPr>
          <w:rFonts w:ascii="宋体" w:hAnsi="宋体" w:cs="宋体" w:eastAsia="宋体" w:hint="default"/>
          <w:sz w:val="21"/>
          <w:szCs w:val="21"/>
        </w:rPr>
      </w:pPr>
      <w:r>
        <w:rPr>
          <w:rFonts w:ascii="宋体" w:hAnsi="宋体" w:cs="宋体" w:eastAsia="宋体" w:hint="default"/>
          <w:b/>
          <w:bCs/>
          <w:sz w:val="21"/>
          <w:szCs w:val="21"/>
        </w:rPr>
        <w:t>中国注册会计师</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tabs>
          <w:tab w:pos="5253" w:val="left" w:leader="none"/>
          <w:tab w:pos="7459" w:val="left" w:leader="none"/>
        </w:tabs>
        <w:spacing w:before="0"/>
        <w:ind w:left="243" w:right="1787" w:firstLine="0"/>
        <w:jc w:val="left"/>
        <w:rPr>
          <w:rFonts w:ascii="宋体" w:hAnsi="宋体" w:cs="宋体" w:eastAsia="宋体" w:hint="default"/>
          <w:sz w:val="21"/>
          <w:szCs w:val="21"/>
        </w:rPr>
      </w:pPr>
      <w:r>
        <w:rPr>
          <w:rFonts w:ascii="宋体" w:hAnsi="宋体" w:cs="宋体" w:eastAsia="宋体" w:hint="default"/>
          <w:b/>
          <w:bCs/>
          <w:spacing w:val="-1"/>
          <w:sz w:val="21"/>
          <w:szCs w:val="21"/>
        </w:rPr>
        <w:t>天健正信会计师事务所有限公司</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（吴琳）</w:t>
      </w:r>
      <w:r>
        <w:rPr>
          <w:rFonts w:ascii="宋体" w:hAnsi="宋体" w:cs="宋体" w:eastAsia="宋体" w:hint="default"/>
          <w:spacing w:val="-1"/>
          <w:sz w:val="21"/>
          <w:szCs w:val="21"/>
        </w:rPr>
      </w:r>
    </w:p>
    <w:p>
      <w:pPr>
        <w:spacing w:line="240" w:lineRule="auto" w:before="8"/>
        <w:rPr>
          <w:rFonts w:ascii="宋体" w:hAnsi="宋体" w:cs="宋体" w:eastAsia="宋体" w:hint="default"/>
          <w:sz w:val="16"/>
          <w:szCs w:val="16"/>
        </w:rPr>
      </w:pPr>
    </w:p>
    <w:p>
      <w:pPr>
        <w:tabs>
          <w:tab w:pos="1493" w:val="left" w:leader="none"/>
          <w:tab w:pos="1913" w:val="left" w:leader="none"/>
          <w:tab w:pos="5358" w:val="left" w:leader="none"/>
        </w:tabs>
        <w:spacing w:before="36"/>
        <w:ind w:left="860" w:right="1787" w:firstLine="0"/>
        <w:jc w:val="left"/>
        <w:rPr>
          <w:rFonts w:ascii="宋体" w:hAnsi="宋体" w:cs="宋体" w:eastAsia="宋体" w:hint="default"/>
          <w:sz w:val="21"/>
          <w:szCs w:val="21"/>
        </w:rPr>
      </w:pPr>
      <w:r>
        <w:rPr>
          <w:rFonts w:ascii="宋体" w:hAnsi="宋体" w:cs="宋体" w:eastAsia="宋体" w:hint="default"/>
          <w:b/>
          <w:bCs/>
          <w:sz w:val="21"/>
          <w:szCs w:val="21"/>
        </w:rPr>
        <w:t>中国</w:t>
        <w:tab/>
        <w:t>·</w:t>
        <w:tab/>
        <w:t>北京</w:t>
        <w:tab/>
        <w:t>中国注册会计师</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tabs>
          <w:tab w:pos="7459" w:val="left" w:leader="none"/>
        </w:tabs>
        <w:spacing w:line="272" w:lineRule="exact" w:before="0"/>
        <w:ind w:left="5359" w:right="1942"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（李静）</w:t>
      </w:r>
      <w:r>
        <w:rPr>
          <w:rFonts w:ascii="宋体" w:hAnsi="宋体" w:cs="宋体" w:eastAsia="宋体" w:hint="default"/>
          <w:w w:val="100"/>
          <w:sz w:val="21"/>
          <w:szCs w:val="21"/>
        </w:rPr>
      </w:r>
      <w:r>
        <w:rPr>
          <w:rFonts w:ascii="宋体" w:hAnsi="宋体" w:cs="宋体" w:eastAsia="宋体" w:hint="default"/>
          <w:w w:val="100"/>
          <w:sz w:val="21"/>
          <w:szCs w:val="21"/>
        </w:rPr>
        <w:t> </w:t>
      </w:r>
      <w:r>
        <w:rPr>
          <w:rFonts w:ascii="宋体" w:hAnsi="宋体" w:cs="宋体" w:eastAsia="宋体" w:hint="default"/>
          <w:b/>
          <w:bCs/>
          <w:sz w:val="21"/>
          <w:szCs w:val="21"/>
        </w:rPr>
        <w:t>报告日期：</w:t>
      </w:r>
      <w:r>
        <w:rPr>
          <w:rFonts w:ascii="宋体" w:hAnsi="宋体" w:cs="宋体" w:eastAsia="宋体" w:hint="default"/>
          <w:b/>
          <w:bCs/>
          <w:spacing w:val="1"/>
          <w:sz w:val="21"/>
          <w:szCs w:val="21"/>
        </w:rPr>
        <w:t> </w:t>
      </w:r>
      <w:r>
        <w:rPr>
          <w:rFonts w:ascii="Arial" w:hAnsi="Arial" w:cs="Arial" w:eastAsia="Arial" w:hint="default"/>
          <w:b/>
          <w:bCs/>
          <w:spacing w:val="-4"/>
          <w:sz w:val="21"/>
          <w:szCs w:val="21"/>
        </w:rPr>
        <w:t>2011</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2"/>
          <w:sz w:val="21"/>
          <w:szCs w:val="21"/>
        </w:rPr>
        <w:t> </w:t>
      </w:r>
      <w:r>
        <w:rPr>
          <w:rFonts w:ascii="Arial" w:hAnsi="Arial" w:cs="Arial" w:eastAsia="Arial" w:hint="default"/>
          <w:b/>
          <w:bCs/>
          <w:sz w:val="21"/>
          <w:szCs w:val="21"/>
        </w:rPr>
        <w:t>3</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Arial" w:hAnsi="Arial" w:cs="Arial" w:eastAsia="Arial" w:hint="default"/>
          <w:b/>
          <w:bCs/>
          <w:sz w:val="21"/>
          <w:szCs w:val="21"/>
        </w:rPr>
        <w:t>29</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pgSz w:w="11910" w:h="16840"/>
          <w:pgMar w:header="816" w:footer="956" w:top="1160" w:bottom="1140" w:left="1660" w:right="0"/>
        </w:sectPr>
      </w:pPr>
    </w:p>
    <w:p>
      <w:pPr>
        <w:spacing w:line="240" w:lineRule="auto" w:before="2"/>
        <w:rPr>
          <w:rFonts w:ascii="宋体" w:hAnsi="宋体" w:cs="宋体" w:eastAsia="宋体" w:hint="default"/>
          <w:b/>
          <w:bCs/>
          <w:sz w:val="11"/>
          <w:szCs w:val="11"/>
        </w:rPr>
      </w:pPr>
    </w:p>
    <w:p>
      <w:pPr>
        <w:pStyle w:val="Heading3"/>
        <w:spacing w:line="240" w:lineRule="auto"/>
        <w:ind w:right="1238"/>
        <w:jc w:val="center"/>
        <w:rPr>
          <w:b w:val="0"/>
          <w:bCs w:val="0"/>
        </w:rPr>
      </w:pPr>
      <w:r>
        <w:rPr/>
        <w:t>资产负债表</w:t>
      </w:r>
      <w:r>
        <w:rPr>
          <w:b w:val="0"/>
          <w:bCs w:val="0"/>
        </w:rPr>
      </w:r>
    </w:p>
    <w:p>
      <w:pPr>
        <w:tabs>
          <w:tab w:pos="7676" w:val="left" w:leader="none"/>
        </w:tabs>
        <w:spacing w:before="50"/>
        <w:ind w:left="0" w:right="1233"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116" w:type="dxa"/>
        <w:tblLayout w:type="fixed"/>
        <w:tblCellMar>
          <w:top w:w="0" w:type="dxa"/>
          <w:left w:w="0" w:type="dxa"/>
          <w:bottom w:w="0" w:type="dxa"/>
          <w:right w:w="0" w:type="dxa"/>
        </w:tblCellMar>
        <w:tblLook w:val="01E0"/>
      </w:tblPr>
      <w:tblGrid>
        <w:gridCol w:w="1495"/>
        <w:gridCol w:w="617"/>
        <w:gridCol w:w="824"/>
        <w:gridCol w:w="1646"/>
        <w:gridCol w:w="1479"/>
        <w:gridCol w:w="1613"/>
        <w:gridCol w:w="1478"/>
      </w:tblGrid>
      <w:tr>
        <w:trPr>
          <w:trHeight w:val="389" w:hRule="exact"/>
        </w:trPr>
        <w:tc>
          <w:tcPr>
            <w:tcW w:w="1495" w:type="dxa"/>
            <w:vMerge w:val="restart"/>
            <w:tcBorders>
              <w:top w:val="single" w:sz="17" w:space="0" w:color="000000"/>
              <w:left w:val="single" w:sz="17"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2"/>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144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312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1"/>
              <w:ind w:left="100"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3092"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1"/>
              <w:ind w:left="116"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406" w:hRule="exact"/>
        </w:trPr>
        <w:tc>
          <w:tcPr>
            <w:tcW w:w="1495" w:type="dxa"/>
            <w:vMerge/>
            <w:tcBorders>
              <w:left w:val="single" w:sz="17"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15"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1"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1"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4"/>
              <w:ind w:left="331"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86"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4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1</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192,355,016.67</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245,685,055.33</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166,355,042.46</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200,130,406.91</w:t>
            </w:r>
            <w:r>
              <w:rPr>
                <w:rFonts w:ascii="Arial Narrow"/>
                <w:sz w:val="20"/>
              </w:rPr>
            </w: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422" w:right="0"/>
              <w:jc w:val="left"/>
              <w:rPr>
                <w:rFonts w:ascii="宋体" w:hAnsi="宋体" w:cs="宋体" w:eastAsia="宋体" w:hint="default"/>
                <w:sz w:val="16"/>
                <w:szCs w:val="16"/>
              </w:rPr>
            </w:pPr>
            <w:r>
              <w:rPr>
                <w:rFonts w:ascii="宋体" w:hAnsi="宋体" w:cs="宋体" w:eastAsia="宋体" w:hint="default"/>
                <w:sz w:val="16"/>
                <w:szCs w:val="16"/>
              </w:rPr>
              <w:t>交易性金融</w:t>
            </w:r>
          </w:p>
          <w:p>
            <w:pPr>
              <w:pStyle w:val="TableParagraph"/>
              <w:spacing w:line="208" w:lineRule="exact"/>
              <w:ind w:left="422" w:right="0"/>
              <w:jc w:val="left"/>
              <w:rPr>
                <w:rFonts w:ascii="宋体" w:hAnsi="宋体" w:cs="宋体" w:eastAsia="宋体" w:hint="default"/>
                <w:sz w:val="16"/>
                <w:szCs w:val="16"/>
              </w:rPr>
            </w:pPr>
            <w:r>
              <w:rPr>
                <w:rFonts w:ascii="宋体" w:hAnsi="宋体" w:cs="宋体" w:eastAsia="宋体" w:hint="default"/>
                <w:sz w:val="16"/>
                <w:szCs w:val="16"/>
              </w:rPr>
              <w:t>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4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2</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21,592,718.90</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Arial Narrow" w:hAnsi="Arial Narrow" w:cs="Arial Narrow" w:eastAsia="Arial Narrow" w:hint="default"/>
                <w:sz w:val="20"/>
                <w:szCs w:val="20"/>
              </w:rPr>
            </w:pPr>
            <w:r>
              <w:rPr>
                <w:rFonts w:ascii="Arial Narrow"/>
                <w:spacing w:val="-1"/>
                <w:w w:val="95"/>
                <w:sz w:val="20"/>
              </w:rPr>
              <w:t>11,208,700.00</w:t>
            </w:r>
            <w:r>
              <w:rPr>
                <w:rFonts w:ascii="Arial Narrow"/>
                <w:spacing w:val="-1"/>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17,271,132.50</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4"/>
              <w:jc w:val="right"/>
              <w:rPr>
                <w:rFonts w:ascii="Arial Narrow" w:hAnsi="Arial Narrow" w:cs="Arial Narrow" w:eastAsia="Arial Narrow" w:hint="default"/>
                <w:sz w:val="20"/>
                <w:szCs w:val="20"/>
              </w:rPr>
            </w:pPr>
            <w:r>
              <w:rPr>
                <w:rFonts w:ascii="Arial Narrow"/>
                <w:w w:val="95"/>
                <w:sz w:val="20"/>
              </w:rPr>
              <w:t>8,407,020.00</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4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8" w:right="0"/>
              <w:jc w:val="center"/>
              <w:rPr>
                <w:rFonts w:ascii="宋体" w:hAnsi="宋体" w:cs="宋体" w:eastAsia="宋体" w:hint="default"/>
                <w:sz w:val="16"/>
                <w:szCs w:val="16"/>
              </w:rPr>
            </w:pPr>
            <w:r>
              <w:rPr>
                <w:rFonts w:ascii="宋体" w:hAnsi="宋体" w:cs="宋体" w:eastAsia="宋体" w:hint="default"/>
                <w:spacing w:val="-26"/>
                <w:sz w:val="16"/>
                <w:szCs w:val="16"/>
              </w:rPr>
              <w:t>五．</w:t>
            </w:r>
            <w:r>
              <w:rPr>
                <w:rFonts w:ascii="宋体" w:hAnsi="宋体" w:cs="宋体" w:eastAsia="宋体" w:hint="default"/>
                <w:spacing w:val="-26"/>
                <w:sz w:val="16"/>
                <w:szCs w:val="16"/>
              </w:rPr>
              <w:t>36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285,757,698.47</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129,778,355.52</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278,590,662.86</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4"/>
              <w:jc w:val="right"/>
              <w:rPr>
                <w:rFonts w:ascii="Arial Narrow" w:hAnsi="Arial Narrow" w:cs="Arial Narrow" w:eastAsia="Arial Narrow" w:hint="default"/>
                <w:sz w:val="20"/>
                <w:szCs w:val="20"/>
              </w:rPr>
            </w:pPr>
            <w:r>
              <w:rPr>
                <w:rFonts w:ascii="Arial Narrow"/>
                <w:w w:val="95"/>
                <w:sz w:val="20"/>
              </w:rPr>
              <w:t>122,689,459.64</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42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4</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18,916,987.51</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26,474,990.93</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18,931,807.25</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4"/>
              <w:jc w:val="right"/>
              <w:rPr>
                <w:rFonts w:ascii="Arial Narrow" w:hAnsi="Arial Narrow" w:cs="Arial Narrow" w:eastAsia="Arial Narrow" w:hint="default"/>
                <w:sz w:val="20"/>
                <w:szCs w:val="20"/>
              </w:rPr>
            </w:pPr>
            <w:r>
              <w:rPr>
                <w:rFonts w:ascii="Arial Narrow"/>
                <w:w w:val="95"/>
                <w:sz w:val="20"/>
              </w:rPr>
              <w:t>36,227,295.23</w:t>
            </w:r>
            <w:r>
              <w:rPr>
                <w:rFonts w:ascii="Arial Narrow"/>
                <w:sz w:val="20"/>
              </w:rPr>
            </w:r>
          </w:p>
        </w:tc>
      </w:tr>
      <w:tr>
        <w:trPr>
          <w:trHeight w:val="293"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4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
              <w:ind w:left="4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 w:right="0"/>
              <w:jc w:val="center"/>
              <w:rPr>
                <w:rFonts w:ascii="宋体" w:hAnsi="宋体" w:cs="宋体" w:eastAsia="宋体" w:hint="default"/>
                <w:sz w:val="16"/>
                <w:szCs w:val="16"/>
              </w:rPr>
            </w:pPr>
            <w:r>
              <w:rPr>
                <w:rFonts w:ascii="宋体" w:hAnsi="宋体" w:cs="宋体" w:eastAsia="宋体" w:hint="default"/>
                <w:spacing w:val="-26"/>
                <w:sz w:val="16"/>
                <w:szCs w:val="16"/>
              </w:rPr>
              <w:t>五．</w:t>
            </w:r>
            <w:r>
              <w:rPr>
                <w:rFonts w:ascii="宋体" w:hAnsi="宋体" w:cs="宋体" w:eastAsia="宋体" w:hint="default"/>
                <w:spacing w:val="-26"/>
                <w:sz w:val="16"/>
                <w:szCs w:val="16"/>
              </w:rPr>
              <w:t>37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Narrow" w:hAnsi="Arial Narrow" w:cs="Arial Narrow" w:eastAsia="Arial Narrow" w:hint="default"/>
                <w:sz w:val="20"/>
                <w:szCs w:val="20"/>
              </w:rPr>
            </w:pPr>
            <w:r>
              <w:rPr>
                <w:rFonts w:ascii="Arial Narrow"/>
                <w:w w:val="95"/>
                <w:sz w:val="20"/>
              </w:rPr>
              <w:t>21,034,250.86</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Narrow" w:hAnsi="Arial Narrow" w:cs="Arial Narrow" w:eastAsia="Arial Narrow" w:hint="default"/>
                <w:sz w:val="20"/>
                <w:szCs w:val="20"/>
              </w:rPr>
            </w:pPr>
            <w:r>
              <w:rPr>
                <w:rFonts w:ascii="Arial Narrow"/>
                <w:w w:val="95"/>
                <w:sz w:val="20"/>
              </w:rPr>
              <w:t>16,684,031.23</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Arial Narrow" w:hAnsi="Arial Narrow" w:cs="Arial Narrow" w:eastAsia="Arial Narrow" w:hint="default"/>
                <w:sz w:val="20"/>
                <w:szCs w:val="20"/>
              </w:rPr>
            </w:pPr>
            <w:r>
              <w:rPr>
                <w:rFonts w:ascii="Arial Narrow"/>
                <w:w w:val="95"/>
                <w:sz w:val="20"/>
              </w:rPr>
              <w:t>17,661,225.14</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Arial Narrow" w:hAnsi="Arial Narrow" w:cs="Arial Narrow" w:eastAsia="Arial Narrow" w:hint="default"/>
                <w:sz w:val="20"/>
                <w:szCs w:val="20"/>
              </w:rPr>
            </w:pPr>
            <w:r>
              <w:rPr>
                <w:rFonts w:ascii="Arial Narrow"/>
                <w:w w:val="95"/>
                <w:sz w:val="20"/>
              </w:rPr>
              <w:t>14,474,688.55</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6</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469,582,038.48</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324,902,984.01</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461,052,172.32</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313,460,475.96</w:t>
            </w:r>
            <w:r>
              <w:rPr>
                <w:rFonts w:ascii="Arial Narrow"/>
                <w:sz w:val="20"/>
              </w:rPr>
            </w:r>
          </w:p>
        </w:tc>
      </w:tr>
      <w:tr>
        <w:trPr>
          <w:trHeight w:val="634"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3" w:lineRule="exact"/>
              <w:ind w:left="422" w:right="0"/>
              <w:jc w:val="left"/>
              <w:rPr>
                <w:rFonts w:ascii="宋体" w:hAnsi="宋体" w:cs="宋体" w:eastAsia="宋体" w:hint="default"/>
                <w:sz w:val="16"/>
                <w:szCs w:val="16"/>
              </w:rPr>
            </w:pPr>
            <w:r>
              <w:rPr>
                <w:rFonts w:ascii="宋体" w:hAnsi="宋体" w:cs="宋体" w:eastAsia="宋体" w:hint="default"/>
                <w:sz w:val="16"/>
                <w:szCs w:val="16"/>
              </w:rPr>
              <w:t>一年内到期</w:t>
            </w:r>
          </w:p>
          <w:p>
            <w:pPr>
              <w:pStyle w:val="TableParagraph"/>
              <w:spacing w:line="206" w:lineRule="exact" w:before="21"/>
              <w:ind w:left="422" w:right="242"/>
              <w:jc w:val="left"/>
              <w:rPr>
                <w:rFonts w:ascii="宋体" w:hAnsi="宋体" w:cs="宋体" w:eastAsia="宋体" w:hint="default"/>
                <w:sz w:val="16"/>
                <w:szCs w:val="16"/>
              </w:rPr>
            </w:pPr>
            <w:r>
              <w:rPr>
                <w:rFonts w:ascii="宋体" w:hAnsi="宋体" w:cs="宋体" w:eastAsia="宋体" w:hint="default"/>
                <w:sz w:val="16"/>
                <w:szCs w:val="16"/>
              </w:rPr>
              <w:t>的非流动资</w:t>
            </w:r>
            <w:r>
              <w:rPr>
                <w:rFonts w:ascii="宋体" w:hAnsi="宋体" w:cs="宋体" w:eastAsia="宋体" w:hint="default"/>
                <w:w w:val="100"/>
                <w:sz w:val="16"/>
                <w:szCs w:val="16"/>
              </w:rPr>
              <w:t> </w:t>
            </w:r>
            <w:r>
              <w:rPr>
                <w:rFonts w:ascii="宋体" w:hAnsi="宋体" w:cs="宋体" w:eastAsia="宋体" w:hint="default"/>
                <w:sz w:val="16"/>
                <w:szCs w:val="16"/>
              </w:rPr>
              <w:t>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422" w:right="0"/>
              <w:jc w:val="left"/>
              <w:rPr>
                <w:rFonts w:ascii="宋体" w:hAnsi="宋体" w:cs="宋体" w:eastAsia="宋体" w:hint="default"/>
                <w:sz w:val="16"/>
                <w:szCs w:val="16"/>
              </w:rPr>
            </w:pPr>
            <w:r>
              <w:rPr>
                <w:rFonts w:ascii="宋体" w:hAnsi="宋体" w:cs="宋体" w:eastAsia="宋体" w:hint="default"/>
                <w:sz w:val="16"/>
                <w:szCs w:val="16"/>
              </w:rPr>
              <w:t>其他流动资</w:t>
            </w:r>
          </w:p>
          <w:p>
            <w:pPr>
              <w:pStyle w:val="TableParagraph"/>
              <w:spacing w:line="208" w:lineRule="exact"/>
              <w:ind w:left="422" w:right="0"/>
              <w:jc w:val="left"/>
              <w:rPr>
                <w:rFonts w:ascii="宋体" w:hAnsi="宋体" w:cs="宋体" w:eastAsia="宋体" w:hint="default"/>
                <w:sz w:val="16"/>
                <w:szCs w:val="16"/>
              </w:rPr>
            </w:pPr>
            <w:r>
              <w:rPr>
                <w:rFonts w:ascii="宋体" w:hAnsi="宋体" w:cs="宋体" w:eastAsia="宋体" w:hint="default"/>
                <w:w w:val="100"/>
                <w:sz w:val="16"/>
                <w:szCs w:val="16"/>
              </w:rPr>
              <w:t>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244" w:right="0"/>
              <w:jc w:val="left"/>
              <w:rPr>
                <w:rFonts w:ascii="宋体" w:hAnsi="宋体" w:cs="宋体" w:eastAsia="宋体" w:hint="default"/>
                <w:sz w:val="16"/>
                <w:szCs w:val="16"/>
              </w:rPr>
            </w:pPr>
            <w:r>
              <w:rPr>
                <w:rFonts w:ascii="宋体" w:hAnsi="宋体" w:cs="宋体" w:eastAsia="宋体" w:hint="default"/>
                <w:sz w:val="16"/>
                <w:szCs w:val="16"/>
              </w:rPr>
              <w:t>流动资产合计</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sz w:val="20"/>
              </w:rPr>
              <w:t>1,009,238,710.89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spacing w:val="-1"/>
                <w:w w:val="95"/>
                <w:sz w:val="20"/>
              </w:rPr>
              <w:t>754,734,117.02</w:t>
            </w:r>
            <w:r>
              <w:rPr>
                <w:rFonts w:ascii="Arial Narrow"/>
                <w:spacing w:val="-1"/>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959,862,042.53</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695,389,346.29</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86"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可供出售金</w:t>
            </w:r>
          </w:p>
          <w:p>
            <w:pPr>
              <w:pStyle w:val="TableParagraph"/>
              <w:spacing w:line="208" w:lineRule="exact"/>
              <w:ind w:left="520" w:right="0"/>
              <w:jc w:val="left"/>
              <w:rPr>
                <w:rFonts w:ascii="宋体" w:hAnsi="宋体" w:cs="宋体" w:eastAsia="宋体" w:hint="default"/>
                <w:sz w:val="16"/>
                <w:szCs w:val="16"/>
              </w:rPr>
            </w:pPr>
            <w:r>
              <w:rPr>
                <w:rFonts w:ascii="宋体" w:hAnsi="宋体" w:cs="宋体" w:eastAsia="宋体" w:hint="default"/>
                <w:sz w:val="16"/>
                <w:szCs w:val="16"/>
              </w:rPr>
              <w:t>融资产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持有至到期</w:t>
            </w:r>
          </w:p>
          <w:p>
            <w:pPr>
              <w:pStyle w:val="TableParagraph"/>
              <w:spacing w:line="208" w:lineRule="exact"/>
              <w:ind w:right="103"/>
              <w:jc w:val="center"/>
              <w:rPr>
                <w:rFonts w:ascii="宋体" w:hAnsi="宋体" w:cs="宋体" w:eastAsia="宋体" w:hint="default"/>
                <w:sz w:val="16"/>
                <w:szCs w:val="16"/>
              </w:rPr>
            </w:pPr>
            <w:r>
              <w:rPr>
                <w:rFonts w:ascii="宋体" w:hAnsi="宋体" w:cs="宋体" w:eastAsia="宋体" w:hint="default"/>
                <w:sz w:val="16"/>
                <w:szCs w:val="16"/>
              </w:rPr>
              <w:t>投资</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144"/>
              <w:jc w:val="right"/>
              <w:rPr>
                <w:rFonts w:ascii="宋体" w:hAnsi="宋体" w:cs="宋体" w:eastAsia="宋体" w:hint="default"/>
                <w:sz w:val="16"/>
                <w:szCs w:val="16"/>
              </w:rPr>
            </w:pPr>
            <w:r>
              <w:rPr>
                <w:rFonts w:ascii="宋体" w:hAnsi="宋体" w:cs="宋体" w:eastAsia="宋体" w:hint="default"/>
                <w:spacing w:val="-1"/>
                <w:sz w:val="16"/>
                <w:szCs w:val="16"/>
              </w:rPr>
              <w:t>长期应收款</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长期股权投</w:t>
            </w:r>
          </w:p>
          <w:p>
            <w:pPr>
              <w:pStyle w:val="TableParagraph"/>
              <w:spacing w:line="208" w:lineRule="exact"/>
              <w:ind w:right="264"/>
              <w:jc w:val="center"/>
              <w:rPr>
                <w:rFonts w:ascii="宋体" w:hAnsi="宋体" w:cs="宋体" w:eastAsia="宋体" w:hint="default"/>
                <w:sz w:val="16"/>
                <w:szCs w:val="16"/>
              </w:rPr>
            </w:pPr>
            <w:r>
              <w:rPr>
                <w:rFonts w:ascii="宋体" w:hAnsi="宋体" w:cs="宋体" w:eastAsia="宋体" w:hint="default"/>
                <w:w w:val="100"/>
                <w:sz w:val="16"/>
                <w:szCs w:val="16"/>
              </w:rPr>
              <w:t>资</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 w:right="0"/>
              <w:jc w:val="center"/>
              <w:rPr>
                <w:rFonts w:ascii="宋体" w:hAnsi="宋体" w:cs="宋体" w:eastAsia="宋体" w:hint="default"/>
                <w:sz w:val="16"/>
                <w:szCs w:val="16"/>
              </w:rPr>
            </w:pPr>
            <w:r>
              <w:rPr>
                <w:rFonts w:ascii="宋体" w:hAnsi="宋体" w:cs="宋体" w:eastAsia="宋体" w:hint="default"/>
                <w:spacing w:val="-26"/>
                <w:sz w:val="16"/>
                <w:szCs w:val="16"/>
              </w:rPr>
              <w:t>五．</w:t>
            </w:r>
            <w:r>
              <w:rPr>
                <w:rFonts w:ascii="宋体" w:hAnsi="宋体" w:cs="宋体" w:eastAsia="宋体" w:hint="default"/>
                <w:spacing w:val="-26"/>
                <w:sz w:val="16"/>
                <w:szCs w:val="16"/>
              </w:rPr>
              <w:t>38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Arial Narrow" w:hAnsi="Arial Narrow" w:cs="Arial Narrow" w:eastAsia="Arial Narrow" w:hint="default"/>
                <w:sz w:val="20"/>
                <w:szCs w:val="20"/>
              </w:rPr>
            </w:pPr>
            <w:r>
              <w:rPr>
                <w:rFonts w:ascii="Arial Narrow"/>
                <w:w w:val="95"/>
                <w:sz w:val="20"/>
              </w:rPr>
              <w:t>6,000,000.00</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Arial Narrow" w:hAnsi="Arial Narrow" w:cs="Arial Narrow" w:eastAsia="Arial Narrow" w:hint="default"/>
                <w:sz w:val="20"/>
                <w:szCs w:val="20"/>
              </w:rPr>
            </w:pPr>
            <w:r>
              <w:rPr>
                <w:rFonts w:ascii="Arial Narrow"/>
                <w:w w:val="95"/>
                <w:sz w:val="20"/>
              </w:rPr>
              <w:t>9,000,000.00</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20"/>
                <w:szCs w:val="20"/>
              </w:rPr>
            </w:pPr>
            <w:r>
              <w:rPr>
                <w:rFonts w:ascii="Arial Narrow"/>
                <w:w w:val="95"/>
                <w:sz w:val="20"/>
              </w:rPr>
              <w:t>125,555,862.19</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9"/>
              <w:ind w:right="83"/>
              <w:jc w:val="right"/>
              <w:rPr>
                <w:rFonts w:ascii="Arial Narrow" w:hAnsi="Arial Narrow" w:cs="Arial Narrow" w:eastAsia="Arial Narrow" w:hint="default"/>
                <w:sz w:val="20"/>
                <w:szCs w:val="20"/>
              </w:rPr>
            </w:pPr>
            <w:r>
              <w:rPr>
                <w:rFonts w:ascii="Arial Narrow"/>
                <w:w w:val="95"/>
                <w:sz w:val="20"/>
              </w:rPr>
              <w:t>128,555,862.19</w:t>
            </w:r>
            <w:r>
              <w:rPr>
                <w:rFonts w:ascii="Arial Narrow"/>
                <w:sz w:val="20"/>
              </w:rPr>
            </w: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投资性房地</w:t>
            </w:r>
          </w:p>
          <w:p>
            <w:pPr>
              <w:pStyle w:val="TableParagraph"/>
              <w:spacing w:line="208" w:lineRule="exact"/>
              <w:ind w:right="264"/>
              <w:jc w:val="center"/>
              <w:rPr>
                <w:rFonts w:ascii="宋体" w:hAnsi="宋体" w:cs="宋体" w:eastAsia="宋体" w:hint="default"/>
                <w:sz w:val="16"/>
                <w:szCs w:val="16"/>
              </w:rPr>
            </w:pPr>
            <w:r>
              <w:rPr>
                <w:rFonts w:ascii="宋体" w:hAnsi="宋体" w:cs="宋体" w:eastAsia="宋体" w:hint="default"/>
                <w:w w:val="100"/>
                <w:sz w:val="16"/>
                <w:szCs w:val="16"/>
              </w:rPr>
              <w:t>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7</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57,833,880.97</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54,744,377.65</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49,590,282.75</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47,591,820.59</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8</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45,777,610.50</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152,356.60</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24,463,437.25</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152,356.60</w:t>
            </w:r>
            <w:r>
              <w:rPr>
                <w:rFonts w:ascii="Arial Narrow"/>
                <w:sz w:val="20"/>
              </w:rPr>
            </w: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固定资产清</w:t>
            </w:r>
          </w:p>
          <w:p>
            <w:pPr>
              <w:pStyle w:val="TableParagraph"/>
              <w:spacing w:line="208" w:lineRule="exact"/>
              <w:ind w:right="264"/>
              <w:jc w:val="center"/>
              <w:rPr>
                <w:rFonts w:ascii="宋体" w:hAnsi="宋体" w:cs="宋体" w:eastAsia="宋体" w:hint="default"/>
                <w:sz w:val="16"/>
                <w:szCs w:val="16"/>
              </w:rPr>
            </w:pPr>
            <w:r>
              <w:rPr>
                <w:rFonts w:ascii="宋体" w:hAnsi="宋体" w:cs="宋体" w:eastAsia="宋体" w:hint="default"/>
                <w:w w:val="100"/>
                <w:sz w:val="16"/>
                <w:szCs w:val="16"/>
              </w:rPr>
              <w:t>理</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生产性生物</w:t>
            </w:r>
          </w:p>
          <w:p>
            <w:pPr>
              <w:pStyle w:val="TableParagraph"/>
              <w:spacing w:line="208" w:lineRule="exact"/>
              <w:ind w:right="103"/>
              <w:jc w:val="center"/>
              <w:rPr>
                <w:rFonts w:ascii="宋体" w:hAnsi="宋体" w:cs="宋体" w:eastAsia="宋体" w:hint="default"/>
                <w:sz w:val="16"/>
                <w:szCs w:val="16"/>
              </w:rPr>
            </w:pPr>
            <w:r>
              <w:rPr>
                <w:rFonts w:ascii="宋体" w:hAnsi="宋体" w:cs="宋体" w:eastAsia="宋体" w:hint="default"/>
                <w:sz w:val="16"/>
                <w:szCs w:val="16"/>
              </w:rPr>
              <w:t>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公益性生物</w:t>
            </w:r>
          </w:p>
          <w:p>
            <w:pPr>
              <w:pStyle w:val="TableParagraph"/>
              <w:spacing w:line="208" w:lineRule="exact"/>
              <w:ind w:right="103"/>
              <w:jc w:val="center"/>
              <w:rPr>
                <w:rFonts w:ascii="宋体" w:hAnsi="宋体" w:cs="宋体" w:eastAsia="宋体" w:hint="default"/>
                <w:sz w:val="16"/>
                <w:szCs w:val="16"/>
              </w:rPr>
            </w:pPr>
            <w:r>
              <w:rPr>
                <w:rFonts w:ascii="宋体" w:hAnsi="宋体" w:cs="宋体" w:eastAsia="宋体" w:hint="default"/>
                <w:sz w:val="16"/>
                <w:szCs w:val="16"/>
              </w:rPr>
              <w:t>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20"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53" w:right="0"/>
              <w:jc w:val="left"/>
              <w:rPr>
                <w:rFonts w:ascii="宋体" w:hAnsi="宋体" w:cs="宋体" w:eastAsia="宋体" w:hint="default"/>
                <w:sz w:val="16"/>
                <w:szCs w:val="16"/>
              </w:rPr>
            </w:pPr>
            <w:r>
              <w:rPr>
                <w:rFonts w:ascii="宋体" w:hAnsi="宋体" w:cs="宋体" w:eastAsia="宋体" w:hint="default"/>
                <w:spacing w:val="-28"/>
                <w:sz w:val="16"/>
                <w:szCs w:val="16"/>
              </w:rPr>
              <w:t>五．</w:t>
            </w:r>
            <w:r>
              <w:rPr>
                <w:rFonts w:ascii="宋体" w:hAnsi="宋体" w:cs="宋体" w:eastAsia="宋体" w:hint="default"/>
                <w:spacing w:val="-28"/>
                <w:sz w:val="16"/>
                <w:szCs w:val="16"/>
              </w:rPr>
              <w:t>9</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37,451,725.68</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38,263,021.01</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16,481,225.68</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16,772,321.01</w:t>
            </w:r>
            <w:r>
              <w:rPr>
                <w:rFonts w:ascii="Arial Narrow"/>
                <w:sz w:val="20"/>
              </w:rPr>
            </w:r>
          </w:p>
        </w:tc>
      </w:tr>
      <w:tr>
        <w:trPr>
          <w:trHeight w:val="296"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3"/>
              <w:ind w:left="520"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103"/>
              <w:jc w:val="center"/>
              <w:rPr>
                <w:rFonts w:ascii="宋体" w:hAnsi="宋体" w:cs="宋体" w:eastAsia="宋体" w:hint="default"/>
                <w:sz w:val="16"/>
                <w:szCs w:val="16"/>
              </w:rPr>
            </w:pPr>
            <w:r>
              <w:rPr>
                <w:rFonts w:ascii="宋体" w:hAnsi="宋体" w:cs="宋体" w:eastAsia="宋体" w:hint="default"/>
                <w:sz w:val="16"/>
                <w:szCs w:val="16"/>
              </w:rPr>
              <w:t>商誉</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长期待摊费</w:t>
            </w:r>
          </w:p>
          <w:p>
            <w:pPr>
              <w:pStyle w:val="TableParagraph"/>
              <w:spacing w:line="208" w:lineRule="exact"/>
              <w:ind w:right="264"/>
              <w:jc w:val="center"/>
              <w:rPr>
                <w:rFonts w:ascii="宋体" w:hAnsi="宋体" w:cs="宋体" w:eastAsia="宋体" w:hint="default"/>
                <w:sz w:val="16"/>
                <w:szCs w:val="16"/>
              </w:rPr>
            </w:pPr>
            <w:r>
              <w:rPr>
                <w:rFonts w:ascii="宋体" w:hAnsi="宋体" w:cs="宋体" w:eastAsia="宋体" w:hint="default"/>
                <w:w w:val="100"/>
                <w:sz w:val="16"/>
                <w:szCs w:val="16"/>
              </w:rPr>
              <w:t>用</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递延所得税</w:t>
            </w:r>
          </w:p>
          <w:p>
            <w:pPr>
              <w:pStyle w:val="TableParagraph"/>
              <w:spacing w:line="208" w:lineRule="exact"/>
              <w:ind w:right="103"/>
              <w:jc w:val="center"/>
              <w:rPr>
                <w:rFonts w:ascii="宋体" w:hAnsi="宋体" w:cs="宋体" w:eastAsia="宋体" w:hint="default"/>
                <w:sz w:val="16"/>
                <w:szCs w:val="16"/>
              </w:rPr>
            </w:pPr>
            <w:r>
              <w:rPr>
                <w:rFonts w:ascii="宋体" w:hAnsi="宋体" w:cs="宋体" w:eastAsia="宋体" w:hint="default"/>
                <w:sz w:val="16"/>
                <w:szCs w:val="16"/>
              </w:rPr>
              <w:t>资产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宋体" w:hAnsi="宋体" w:cs="宋体" w:eastAsia="宋体" w:hint="default"/>
                <w:sz w:val="16"/>
                <w:szCs w:val="16"/>
              </w:rPr>
            </w:pPr>
            <w:r>
              <w:rPr>
                <w:rFonts w:ascii="宋体" w:hAnsi="宋体" w:cs="宋体" w:eastAsia="宋体" w:hint="default"/>
                <w:spacing w:val="-26"/>
                <w:sz w:val="16"/>
                <w:szCs w:val="16"/>
              </w:rPr>
              <w:t>五．</w:t>
            </w:r>
            <w:r>
              <w:rPr>
                <w:rFonts w:ascii="宋体" w:hAnsi="宋体" w:cs="宋体" w:eastAsia="宋体" w:hint="default"/>
                <w:spacing w:val="-26"/>
                <w:sz w:val="16"/>
                <w:szCs w:val="16"/>
              </w:rPr>
              <w:t>10</w:t>
            </w: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Narrow" w:hAnsi="Arial Narrow" w:cs="Arial Narrow" w:eastAsia="Arial Narrow" w:hint="default"/>
                <w:sz w:val="20"/>
                <w:szCs w:val="20"/>
              </w:rPr>
            </w:pPr>
            <w:r>
              <w:rPr>
                <w:rFonts w:ascii="Arial Narrow"/>
                <w:w w:val="95"/>
                <w:sz w:val="20"/>
              </w:rPr>
              <w:t>1,676,416.68</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Narrow" w:hAnsi="Arial Narrow" w:cs="Arial Narrow" w:eastAsia="Arial Narrow" w:hint="default"/>
                <w:sz w:val="20"/>
                <w:szCs w:val="20"/>
              </w:rPr>
            </w:pPr>
            <w:r>
              <w:rPr>
                <w:rFonts w:ascii="Arial Narrow"/>
                <w:w w:val="95"/>
                <w:sz w:val="20"/>
              </w:rPr>
              <w:t>1,065,019.72</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Narrow" w:hAnsi="Arial Narrow" w:cs="Arial Narrow" w:eastAsia="Arial Narrow" w:hint="default"/>
                <w:sz w:val="20"/>
                <w:szCs w:val="20"/>
              </w:rPr>
            </w:pPr>
            <w:r>
              <w:rPr>
                <w:rFonts w:ascii="Arial Narrow"/>
                <w:w w:val="95"/>
                <w:sz w:val="20"/>
              </w:rPr>
              <w:t>1,546,147.00</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4"/>
              <w:jc w:val="right"/>
              <w:rPr>
                <w:rFonts w:ascii="Arial Narrow" w:hAnsi="Arial Narrow" w:cs="Arial Narrow" w:eastAsia="Arial Narrow" w:hint="default"/>
                <w:sz w:val="20"/>
                <w:szCs w:val="20"/>
              </w:rPr>
            </w:pPr>
            <w:r>
              <w:rPr>
                <w:rFonts w:ascii="Arial Narrow"/>
                <w:w w:val="95"/>
                <w:sz w:val="20"/>
              </w:rPr>
              <w:t>929,332.60</w:t>
            </w:r>
            <w:r>
              <w:rPr>
                <w:rFonts w:ascii="Arial Narrow"/>
                <w:sz w:val="20"/>
              </w:rPr>
            </w:r>
          </w:p>
        </w:tc>
      </w:tr>
      <w:tr>
        <w:trPr>
          <w:trHeight w:val="42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520" w:right="0"/>
              <w:jc w:val="left"/>
              <w:rPr>
                <w:rFonts w:ascii="宋体" w:hAnsi="宋体" w:cs="宋体" w:eastAsia="宋体" w:hint="default"/>
                <w:sz w:val="16"/>
                <w:szCs w:val="16"/>
              </w:rPr>
            </w:pPr>
            <w:r>
              <w:rPr>
                <w:rFonts w:ascii="宋体" w:hAnsi="宋体" w:cs="宋体" w:eastAsia="宋体" w:hint="default"/>
                <w:sz w:val="16"/>
                <w:szCs w:val="16"/>
              </w:rPr>
              <w:t>其他非流动</w:t>
            </w:r>
          </w:p>
          <w:p>
            <w:pPr>
              <w:pStyle w:val="TableParagraph"/>
              <w:spacing w:line="208" w:lineRule="exact"/>
              <w:ind w:right="103"/>
              <w:jc w:val="center"/>
              <w:rPr>
                <w:rFonts w:ascii="宋体" w:hAnsi="宋体" w:cs="宋体" w:eastAsia="宋体" w:hint="default"/>
                <w:sz w:val="16"/>
                <w:szCs w:val="16"/>
              </w:rPr>
            </w:pPr>
            <w:r>
              <w:rPr>
                <w:rFonts w:ascii="宋体" w:hAnsi="宋体" w:cs="宋体" w:eastAsia="宋体" w:hint="default"/>
                <w:sz w:val="16"/>
                <w:szCs w:val="16"/>
              </w:rPr>
              <w:t>资产</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14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177"/>
              <w:jc w:val="right"/>
              <w:rPr>
                <w:rFonts w:ascii="宋体" w:hAnsi="宋体" w:cs="宋体" w:eastAsia="宋体" w:hint="default"/>
                <w:sz w:val="16"/>
                <w:szCs w:val="16"/>
              </w:rPr>
            </w:pPr>
            <w:r>
              <w:rPr>
                <w:rFonts w:ascii="宋体" w:hAnsi="宋体" w:cs="宋体" w:eastAsia="宋体" w:hint="default"/>
                <w:spacing w:val="-1"/>
                <w:sz w:val="16"/>
                <w:szCs w:val="16"/>
              </w:rPr>
              <w:t>非流动资产合计</w:t>
            </w:r>
          </w:p>
        </w:tc>
        <w:tc>
          <w:tcPr>
            <w:tcW w:w="617"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148,739,633.83</w:t>
            </w:r>
            <w:r>
              <w:rPr>
                <w:rFonts w:ascii="Arial Narrow"/>
                <w:sz w:val="20"/>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103,224,774.98</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217,636,954.87</w:t>
            </w:r>
            <w:r>
              <w:rPr>
                <w:rFonts w:ascii="Arial Narrow"/>
                <w:sz w:val="20"/>
              </w:rPr>
            </w:r>
          </w:p>
        </w:tc>
        <w:tc>
          <w:tcPr>
            <w:tcW w:w="14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194,001,692.99</w:t>
            </w:r>
            <w:r>
              <w:rPr>
                <w:rFonts w:ascii="Arial Narrow"/>
                <w:sz w:val="20"/>
              </w:rPr>
            </w:r>
          </w:p>
        </w:tc>
      </w:tr>
      <w:tr>
        <w:trPr>
          <w:trHeight w:val="326" w:hRule="exact"/>
        </w:trPr>
        <w:tc>
          <w:tcPr>
            <w:tcW w:w="149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9"/>
              <w:ind w:left="405" w:right="0"/>
              <w:jc w:val="left"/>
              <w:rPr>
                <w:rFonts w:ascii="宋体" w:hAnsi="宋体" w:cs="宋体" w:eastAsia="宋体" w:hint="default"/>
                <w:sz w:val="16"/>
                <w:szCs w:val="16"/>
              </w:rPr>
            </w:pPr>
            <w:r>
              <w:rPr>
                <w:rFonts w:ascii="宋体" w:hAnsi="宋体" w:cs="宋体" w:eastAsia="宋体" w:hint="default"/>
                <w:sz w:val="16"/>
                <w:szCs w:val="16"/>
              </w:rPr>
              <w:t>资产总计</w:t>
            </w:r>
          </w:p>
        </w:tc>
        <w:tc>
          <w:tcPr>
            <w:tcW w:w="617" w:type="dxa"/>
            <w:tcBorders>
              <w:top w:val="single" w:sz="4" w:space="0" w:color="000000"/>
              <w:left w:val="single" w:sz="4" w:space="0" w:color="000000"/>
              <w:bottom w:val="single" w:sz="17" w:space="0" w:color="000000"/>
              <w:right w:val="single" w:sz="4" w:space="0" w:color="000000"/>
            </w:tcBorders>
          </w:tcPr>
          <w:p>
            <w:pPr/>
          </w:p>
        </w:tc>
        <w:tc>
          <w:tcPr>
            <w:tcW w:w="824" w:type="dxa"/>
            <w:tcBorders>
              <w:top w:val="single" w:sz="4" w:space="0" w:color="000000"/>
              <w:left w:val="single" w:sz="4" w:space="0" w:color="000000"/>
              <w:bottom w:val="single" w:sz="17" w:space="0" w:color="000000"/>
              <w:right w:val="single" w:sz="4" w:space="0" w:color="000000"/>
            </w:tcBorders>
          </w:tcPr>
          <w:p>
            <w:pPr/>
          </w:p>
        </w:tc>
        <w:tc>
          <w:tcPr>
            <w:tcW w:w="164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1"/>
              <w:jc w:val="right"/>
              <w:rPr>
                <w:rFonts w:ascii="Arial Narrow" w:hAnsi="Arial Narrow" w:cs="Arial Narrow" w:eastAsia="Arial Narrow" w:hint="default"/>
                <w:sz w:val="20"/>
                <w:szCs w:val="20"/>
              </w:rPr>
            </w:pPr>
            <w:r>
              <w:rPr>
                <w:rFonts w:ascii="Arial Narrow"/>
                <w:spacing w:val="-1"/>
                <w:sz w:val="20"/>
              </w:rPr>
              <w:t>1,157,978,344.72</w:t>
            </w:r>
          </w:p>
        </w:tc>
        <w:tc>
          <w:tcPr>
            <w:tcW w:w="147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1"/>
              <w:jc w:val="right"/>
              <w:rPr>
                <w:rFonts w:ascii="Arial Narrow" w:hAnsi="Arial Narrow" w:cs="Arial Narrow" w:eastAsia="Arial Narrow" w:hint="default"/>
                <w:sz w:val="20"/>
                <w:szCs w:val="20"/>
              </w:rPr>
            </w:pPr>
            <w:r>
              <w:rPr>
                <w:rFonts w:ascii="Arial Narrow"/>
                <w:w w:val="95"/>
                <w:sz w:val="20"/>
              </w:rPr>
              <w:t>857,958,892.00</w:t>
            </w:r>
            <w:r>
              <w:rPr>
                <w:rFonts w:ascii="Arial Narrow"/>
                <w:sz w:val="20"/>
              </w:rPr>
            </w:r>
          </w:p>
        </w:tc>
        <w:tc>
          <w:tcPr>
            <w:tcW w:w="161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101"/>
              <w:jc w:val="right"/>
              <w:rPr>
                <w:rFonts w:ascii="Arial Narrow" w:hAnsi="Arial Narrow" w:cs="Arial Narrow" w:eastAsia="Arial Narrow" w:hint="default"/>
                <w:sz w:val="20"/>
                <w:szCs w:val="20"/>
              </w:rPr>
            </w:pPr>
            <w:r>
              <w:rPr>
                <w:rFonts w:ascii="Arial Narrow"/>
                <w:spacing w:val="-1"/>
                <w:sz w:val="20"/>
              </w:rPr>
              <w:t>1,177,498,997.40</w:t>
            </w:r>
          </w:p>
        </w:tc>
        <w:tc>
          <w:tcPr>
            <w:tcW w:w="147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1"/>
              <w:ind w:right="84"/>
              <w:jc w:val="right"/>
              <w:rPr>
                <w:rFonts w:ascii="Arial Narrow" w:hAnsi="Arial Narrow" w:cs="Arial Narrow" w:eastAsia="Arial Narrow" w:hint="default"/>
                <w:sz w:val="20"/>
                <w:szCs w:val="20"/>
              </w:rPr>
            </w:pPr>
            <w:r>
              <w:rPr>
                <w:rFonts w:ascii="Arial Narrow"/>
                <w:w w:val="95"/>
                <w:sz w:val="20"/>
              </w:rPr>
              <w:t>889,391,039.28</w:t>
            </w:r>
            <w:r>
              <w:rPr>
                <w:rFonts w:ascii="Arial Narrow"/>
                <w:sz w:val="20"/>
              </w:rPr>
            </w:r>
          </w:p>
        </w:tc>
      </w:tr>
    </w:tbl>
    <w:p>
      <w:pPr>
        <w:spacing w:before="13"/>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8.6pt;height:1pt;mso-position-horizontal-relative:char;mso-position-vertical-relative:line" coordorigin="0,0" coordsize="9172,20">
            <v:group style="position:absolute;left:10;top:10;width:9153;height:2" coordorigin="10,10" coordsize="9153,2">
              <v:shape style="position:absolute;left:10;top:10;width:9153;height:2" coordorigin="10,10" coordsize="9153,0" path="m10,10l9162,10e" filled="false" stroked="true" strokeweight=".96002pt" strokecolor="#000000">
                <v:path arrowok="t"/>
              </v:shape>
            </v:group>
          </v:group>
        </w:pict>
      </w:r>
      <w:r>
        <w:rPr>
          <w:rFonts w:ascii="宋体" w:hAnsi="宋体" w:cs="宋体" w:eastAsia="宋体" w:hint="default"/>
          <w:sz w:val="2"/>
          <w:szCs w:val="2"/>
        </w:rPr>
      </w:r>
    </w:p>
    <w:p>
      <w:pPr>
        <w:tabs>
          <w:tab w:pos="3140" w:val="left" w:leader="none"/>
          <w:tab w:pos="6575" w:val="left" w:leader="none"/>
        </w:tabs>
        <w:spacing w:before="0"/>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16" w:footer="956" w:top="1160" w:bottom="1140" w:left="1240" w:right="0"/>
        </w:sectPr>
      </w:pPr>
    </w:p>
    <w:p>
      <w:pPr>
        <w:spacing w:line="240" w:lineRule="auto" w:before="2"/>
        <w:rPr>
          <w:rFonts w:ascii="宋体" w:hAnsi="宋体" w:cs="宋体" w:eastAsia="宋体" w:hint="default"/>
          <w:b/>
          <w:bCs/>
          <w:sz w:val="11"/>
          <w:szCs w:val="11"/>
        </w:rPr>
      </w:pPr>
    </w:p>
    <w:p>
      <w:pPr>
        <w:pStyle w:val="Heading3"/>
        <w:spacing w:line="240" w:lineRule="auto"/>
        <w:ind w:right="1236"/>
        <w:jc w:val="center"/>
        <w:rPr>
          <w:b w:val="0"/>
          <w:bCs w:val="0"/>
        </w:rPr>
      </w:pPr>
      <w:r>
        <w:rPr/>
        <w:t>资产负债表（续）</w:t>
      </w:r>
      <w:r>
        <w:rPr>
          <w:b w:val="0"/>
          <w:bCs w:val="0"/>
        </w:rPr>
      </w:r>
    </w:p>
    <w:p>
      <w:pPr>
        <w:tabs>
          <w:tab w:pos="7674" w:val="left" w:leader="none"/>
        </w:tabs>
        <w:spacing w:before="50"/>
        <w:ind w:left="0" w:right="1235"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单位：人民币元</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116" w:type="dxa"/>
        <w:tblLayout w:type="fixed"/>
        <w:tblCellMar>
          <w:top w:w="0" w:type="dxa"/>
          <w:left w:w="0" w:type="dxa"/>
          <w:bottom w:w="0" w:type="dxa"/>
          <w:right w:w="0" w:type="dxa"/>
        </w:tblCellMar>
        <w:tblLook w:val="01E0"/>
      </w:tblPr>
      <w:tblGrid>
        <w:gridCol w:w="2098"/>
        <w:gridCol w:w="634"/>
        <w:gridCol w:w="826"/>
        <w:gridCol w:w="1493"/>
        <w:gridCol w:w="1378"/>
        <w:gridCol w:w="1369"/>
        <w:gridCol w:w="1356"/>
      </w:tblGrid>
      <w:tr>
        <w:trPr>
          <w:trHeight w:val="360" w:hRule="exact"/>
        </w:trPr>
        <w:tc>
          <w:tcPr>
            <w:tcW w:w="2098" w:type="dxa"/>
            <w:vMerge w:val="restart"/>
            <w:tcBorders>
              <w:top w:val="single" w:sz="17" w:space="0" w:color="000000"/>
              <w:left w:val="single" w:sz="17" w:space="0" w:color="000000"/>
              <w:right w:val="single" w:sz="4" w:space="0" w:color="000000"/>
            </w:tcBorders>
          </w:tcPr>
          <w:p>
            <w:pPr>
              <w:pStyle w:val="TableParagraph"/>
              <w:spacing w:line="240" w:lineRule="auto" w:before="172"/>
              <w:ind w:left="324" w:right="0"/>
              <w:jc w:val="left"/>
              <w:rPr>
                <w:rFonts w:ascii="宋体" w:hAnsi="宋体" w:cs="宋体" w:eastAsia="宋体" w:hint="default"/>
                <w:sz w:val="20"/>
                <w:szCs w:val="20"/>
              </w:rPr>
            </w:pPr>
            <w:r>
              <w:rPr>
                <w:rFonts w:ascii="宋体" w:hAnsi="宋体" w:cs="宋体" w:eastAsia="宋体" w:hint="default"/>
                <w:b/>
                <w:bCs/>
                <w:sz w:val="20"/>
                <w:szCs w:val="20"/>
              </w:rPr>
              <w:t>负债及股东权益</w:t>
            </w:r>
            <w:r>
              <w:rPr>
                <w:rFonts w:ascii="宋体" w:hAnsi="宋体" w:cs="宋体" w:eastAsia="宋体" w:hint="default"/>
                <w:sz w:val="20"/>
                <w:szCs w:val="20"/>
              </w:rPr>
            </w:r>
          </w:p>
        </w:tc>
        <w:tc>
          <w:tcPr>
            <w:tcW w:w="146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87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725"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
              <w:ind w:left="120"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329" w:hRule="exact"/>
        </w:trPr>
        <w:tc>
          <w:tcPr>
            <w:tcW w:w="2098" w:type="dxa"/>
            <w:vMerge/>
            <w:tcBorders>
              <w:left w:val="single" w:sz="17"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6"/>
              <w:jc w:val="right"/>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36"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80"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26"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268"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86"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13</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9" w:right="0"/>
              <w:jc w:val="left"/>
              <w:rPr>
                <w:rFonts w:ascii="Arial Narrow" w:hAnsi="Arial Narrow" w:cs="Arial Narrow" w:eastAsia="Arial Narrow" w:hint="default"/>
                <w:sz w:val="20"/>
                <w:szCs w:val="20"/>
              </w:rPr>
            </w:pPr>
            <w:r>
              <w:rPr>
                <w:rFonts w:ascii="Arial Narrow"/>
                <w:sz w:val="20"/>
              </w:rPr>
              <w:t>360,800,000.00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147,800,000.00</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287,800,000.00</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120,000,000.00</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14</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0" w:right="0"/>
              <w:jc w:val="left"/>
              <w:rPr>
                <w:rFonts w:ascii="Arial Narrow" w:hAnsi="Arial Narrow" w:cs="Arial Narrow" w:eastAsia="Arial Narrow" w:hint="default"/>
                <w:sz w:val="20"/>
                <w:szCs w:val="20"/>
              </w:rPr>
            </w:pPr>
            <w:r>
              <w:rPr>
                <w:rFonts w:ascii="Arial Narrow"/>
                <w:sz w:val="20"/>
              </w:rPr>
              <w:t>75,910,000.00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68,322,755.80</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75,910,000.00</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52,029,205.00</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15</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0" w:right="0"/>
              <w:jc w:val="left"/>
              <w:rPr>
                <w:rFonts w:ascii="Arial Narrow" w:hAnsi="Arial Narrow" w:cs="Arial Narrow" w:eastAsia="Arial Narrow" w:hint="default"/>
                <w:sz w:val="20"/>
                <w:szCs w:val="20"/>
              </w:rPr>
            </w:pPr>
            <w:r>
              <w:rPr>
                <w:rFonts w:ascii="Arial Narrow"/>
                <w:sz w:val="20"/>
              </w:rPr>
              <w:t>89,302,034.86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spacing w:val="-1"/>
                <w:w w:val="95"/>
                <w:sz w:val="20"/>
              </w:rPr>
              <w:t>96,117,854.57</w:t>
            </w:r>
            <w:r>
              <w:rPr>
                <w:rFonts w:ascii="Arial Narrow"/>
                <w:spacing w:val="-1"/>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127,824,724.68</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140,349,740.69</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16</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Arial Narrow" w:hAnsi="Arial Narrow" w:cs="Arial Narrow" w:eastAsia="Arial Narrow" w:hint="default"/>
                <w:sz w:val="20"/>
                <w:szCs w:val="20"/>
              </w:rPr>
            </w:pPr>
            <w:r>
              <w:rPr>
                <w:rFonts w:ascii="Arial Narrow"/>
                <w:sz w:val="20"/>
              </w:rPr>
              <w:t>123,792,332.73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77,609,240.30</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Arial Narrow" w:hAnsi="Arial Narrow" w:cs="Arial Narrow" w:eastAsia="Arial Narrow" w:hint="default"/>
                <w:sz w:val="20"/>
                <w:szCs w:val="20"/>
              </w:rPr>
            </w:pPr>
            <w:r>
              <w:rPr>
                <w:rFonts w:ascii="Arial Narrow"/>
                <w:spacing w:val="-2"/>
                <w:w w:val="95"/>
                <w:sz w:val="20"/>
              </w:rPr>
              <w:t>111,899,095.88</w:t>
            </w:r>
            <w:r>
              <w:rPr>
                <w:rFonts w:ascii="Arial Narrow"/>
                <w:spacing w:val="-2"/>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69,942,875.82</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17</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Arial Narrow" w:hAnsi="Arial Narrow" w:cs="Arial Narrow" w:eastAsia="Arial Narrow" w:hint="default"/>
                <w:sz w:val="20"/>
                <w:szCs w:val="20"/>
              </w:rPr>
            </w:pPr>
            <w:r>
              <w:rPr>
                <w:rFonts w:ascii="Arial Narrow"/>
                <w:sz w:val="20"/>
              </w:rPr>
              <w:t>5,718,465.02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3,624,931.95</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4,926,478.08</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3,014,204.08</w:t>
            </w:r>
            <w:r>
              <w:rPr>
                <w:rFonts w:ascii="Arial Narrow"/>
                <w:sz w:val="20"/>
              </w:rPr>
            </w:r>
          </w:p>
        </w:tc>
      </w:tr>
      <w:tr>
        <w:trPr>
          <w:trHeight w:val="293"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应付税费</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18</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Arial Narrow" w:hAnsi="Arial Narrow" w:cs="Arial Narrow" w:eastAsia="Arial Narrow" w:hint="default"/>
                <w:sz w:val="20"/>
                <w:szCs w:val="20"/>
              </w:rPr>
            </w:pPr>
            <w:r>
              <w:rPr>
                <w:rFonts w:ascii="Arial Narrow"/>
                <w:sz w:val="20"/>
              </w:rPr>
              <w:t>5,715,569.86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6,738,159.63</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Arial Narrow" w:hAnsi="Arial Narrow" w:cs="Arial Narrow" w:eastAsia="Arial Narrow" w:hint="default"/>
                <w:sz w:val="20"/>
                <w:szCs w:val="20"/>
              </w:rPr>
            </w:pPr>
            <w:r>
              <w:rPr>
                <w:rFonts w:ascii="Arial Narrow"/>
                <w:w w:val="95"/>
                <w:sz w:val="20"/>
              </w:rPr>
              <w:t>2,691,892.71</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5,344,232.96</w:t>
            </w:r>
            <w:r>
              <w:rPr>
                <w:rFonts w:ascii="Arial Narrow"/>
                <w:sz w:val="20"/>
              </w:rPr>
            </w:r>
          </w:p>
        </w:tc>
      </w:tr>
      <w:tr>
        <w:trPr>
          <w:trHeight w:val="296"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58" w:right="0"/>
              <w:jc w:val="left"/>
              <w:rPr>
                <w:rFonts w:ascii="Arial Narrow" w:hAnsi="Arial Narrow" w:cs="Arial Narrow" w:eastAsia="Arial Narrow" w:hint="default"/>
                <w:sz w:val="20"/>
                <w:szCs w:val="20"/>
              </w:rPr>
            </w:pPr>
            <w:r>
              <w:rPr>
                <w:rFonts w:ascii="Arial Narrow"/>
                <w:sz w:val="20"/>
              </w:rPr>
              <w:t>563,062.50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218,981.05</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441,969.00</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186,014.38</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19</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21" w:right="0"/>
              <w:jc w:val="left"/>
              <w:rPr>
                <w:rFonts w:ascii="Arial Narrow" w:hAnsi="Arial Narrow" w:cs="Arial Narrow" w:eastAsia="Arial Narrow" w:hint="default"/>
                <w:sz w:val="20"/>
                <w:szCs w:val="20"/>
              </w:rPr>
            </w:pPr>
            <w:r>
              <w:rPr>
                <w:rFonts w:ascii="Arial Narrow"/>
                <w:sz w:val="20"/>
              </w:rPr>
              <w:t>4,452,177.74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2,276,241.74</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spacing w:val="-1"/>
                <w:w w:val="95"/>
                <w:sz w:val="20"/>
              </w:rPr>
              <w:t>117,486,707.33</w:t>
            </w:r>
            <w:r>
              <w:rPr>
                <w:rFonts w:ascii="Arial Narrow"/>
                <w:spacing w:val="-1"/>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75,875,200.66</w:t>
            </w:r>
            <w:r>
              <w:rPr>
                <w:rFonts w:ascii="Arial Narrow"/>
                <w:sz w:val="20"/>
              </w:rPr>
            </w:r>
          </w:p>
        </w:tc>
      </w:tr>
      <w:tr>
        <w:trPr>
          <w:trHeight w:val="42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183" w:lineRule="exact"/>
              <w:ind w:left="321" w:right="0"/>
              <w:jc w:val="left"/>
              <w:rPr>
                <w:rFonts w:ascii="宋体" w:hAnsi="宋体" w:cs="宋体" w:eastAsia="宋体" w:hint="default"/>
                <w:sz w:val="16"/>
                <w:szCs w:val="16"/>
              </w:rPr>
            </w:pPr>
            <w:r>
              <w:rPr>
                <w:rFonts w:ascii="宋体" w:hAnsi="宋体" w:cs="宋体" w:eastAsia="宋体" w:hint="default"/>
                <w:sz w:val="16"/>
                <w:szCs w:val="16"/>
              </w:rPr>
              <w:t>一年内到期的非流动负</w:t>
            </w:r>
          </w:p>
          <w:p>
            <w:pPr>
              <w:pStyle w:val="TableParagraph"/>
              <w:spacing w:line="209" w:lineRule="exact"/>
              <w:ind w:left="321" w:right="0"/>
              <w:jc w:val="left"/>
              <w:rPr>
                <w:rFonts w:ascii="宋体" w:hAnsi="宋体" w:cs="宋体" w:eastAsia="宋体" w:hint="default"/>
                <w:sz w:val="16"/>
                <w:szCs w:val="16"/>
              </w:rPr>
            </w:pPr>
            <w:r>
              <w:rPr>
                <w:rFonts w:ascii="宋体" w:hAnsi="宋体" w:cs="宋体" w:eastAsia="宋体" w:hint="default"/>
                <w:w w:val="100"/>
                <w:sz w:val="16"/>
                <w:szCs w:val="16"/>
              </w:rPr>
              <w:t>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47" w:right="0"/>
              <w:jc w:val="left"/>
              <w:rPr>
                <w:rFonts w:ascii="宋体" w:hAnsi="宋体" w:cs="宋体" w:eastAsia="宋体" w:hint="default"/>
                <w:sz w:val="16"/>
                <w:szCs w:val="16"/>
              </w:rPr>
            </w:pPr>
            <w:r>
              <w:rPr>
                <w:rFonts w:ascii="宋体" w:hAnsi="宋体" w:cs="宋体" w:eastAsia="宋体" w:hint="default"/>
                <w:sz w:val="16"/>
                <w:szCs w:val="16"/>
              </w:rPr>
              <w:t>流动负债合计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666,253,642.71</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402,708,165.04</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728,980,867.68</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20"/>
                <w:szCs w:val="20"/>
              </w:rPr>
            </w:pPr>
            <w:r>
              <w:rPr>
                <w:rFonts w:ascii="Arial Narrow"/>
                <w:w w:val="95"/>
                <w:sz w:val="20"/>
              </w:rPr>
              <w:t>466,741,473.59</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86"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3"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465" w:right="0"/>
              <w:jc w:val="left"/>
              <w:rPr>
                <w:rFonts w:ascii="宋体" w:hAnsi="宋体" w:cs="宋体" w:eastAsia="宋体" w:hint="default"/>
                <w:sz w:val="16"/>
                <w:szCs w:val="16"/>
              </w:rPr>
            </w:pPr>
            <w:r>
              <w:rPr>
                <w:rFonts w:ascii="宋体" w:hAnsi="宋体" w:cs="宋体" w:eastAsia="宋体" w:hint="default"/>
                <w:sz w:val="16"/>
                <w:szCs w:val="16"/>
              </w:rPr>
              <w:t>非流动负债合计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right="14"/>
              <w:jc w:val="center"/>
              <w:rPr>
                <w:rFonts w:ascii="宋体" w:hAnsi="宋体" w:cs="宋体" w:eastAsia="宋体" w:hint="default"/>
                <w:sz w:val="16"/>
                <w:szCs w:val="16"/>
              </w:rPr>
            </w:pPr>
            <w:r>
              <w:rPr>
                <w:rFonts w:ascii="宋体" w:hAnsi="宋体" w:cs="宋体" w:eastAsia="宋体" w:hint="default"/>
                <w:sz w:val="16"/>
                <w:szCs w:val="16"/>
              </w:rPr>
              <w:t>负债合计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666,253,642.71</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402,708,165.04</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728,980,867.68</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466,741,473.59</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86" w:right="0"/>
              <w:jc w:val="left"/>
              <w:rPr>
                <w:rFonts w:ascii="宋体" w:hAnsi="宋体" w:cs="宋体" w:eastAsia="宋体" w:hint="default"/>
                <w:sz w:val="16"/>
                <w:szCs w:val="16"/>
              </w:rPr>
            </w:pPr>
            <w:r>
              <w:rPr>
                <w:rFonts w:ascii="宋体" w:hAnsi="宋体" w:cs="宋体" w:eastAsia="宋体" w:hint="default"/>
                <w:sz w:val="16"/>
                <w:szCs w:val="16"/>
              </w:rPr>
              <w:t>股东权益：</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20</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165,000,000.00</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spacing w:val="-1"/>
                <w:w w:val="95"/>
                <w:sz w:val="20"/>
              </w:rPr>
              <w:t>110,000,000.00</w:t>
            </w:r>
            <w:r>
              <w:rPr>
                <w:rFonts w:ascii="Arial Narrow"/>
                <w:spacing w:val="-1"/>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165,000,000.00</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5"/>
              <w:jc w:val="right"/>
              <w:rPr>
                <w:rFonts w:ascii="Arial Narrow" w:hAnsi="Arial Narrow" w:cs="Arial Narrow" w:eastAsia="Arial Narrow" w:hint="default"/>
                <w:sz w:val="20"/>
                <w:szCs w:val="20"/>
              </w:rPr>
            </w:pPr>
            <w:r>
              <w:rPr>
                <w:rFonts w:ascii="Arial Narrow"/>
                <w:spacing w:val="-1"/>
                <w:w w:val="95"/>
                <w:sz w:val="20"/>
              </w:rPr>
              <w:t>110,000,000.00</w:t>
            </w:r>
            <w:r>
              <w:rPr>
                <w:rFonts w:ascii="Arial Narrow"/>
                <w:spacing w:val="-1"/>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5"/>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21</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spacing w:val="-1"/>
                <w:w w:val="95"/>
                <w:sz w:val="20"/>
              </w:rPr>
              <w:t>171,611,234.10</w:t>
            </w:r>
            <w:r>
              <w:rPr>
                <w:rFonts w:ascii="Arial Narrow"/>
                <w:spacing w:val="-1"/>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spacing w:val="-1"/>
                <w:w w:val="95"/>
                <w:sz w:val="20"/>
              </w:rPr>
              <w:t>226,611,234.10</w:t>
            </w:r>
            <w:r>
              <w:rPr>
                <w:rFonts w:ascii="Arial Narrow"/>
                <w:spacing w:val="-1"/>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171,284,055.25</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226,284,055.25</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22</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21,448,598.97</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18,201,742.57</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19,970,488.72</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16,723,632.32</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23</w:t>
            </w:r>
            <w:r>
              <w:rPr>
                <w:rFonts w:ascii="宋体" w:hAnsi="宋体" w:cs="宋体" w:eastAsia="宋体" w:hint="default"/>
                <w:sz w:val="16"/>
                <w:szCs w:val="16"/>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130,624,580.94</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97,735,849.73</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92,263,585.75</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3"/>
              <w:jc w:val="right"/>
              <w:rPr>
                <w:rFonts w:ascii="Arial Narrow" w:hAnsi="Arial Narrow" w:cs="Arial Narrow" w:eastAsia="Arial Narrow" w:hint="default"/>
                <w:sz w:val="20"/>
                <w:szCs w:val="20"/>
              </w:rPr>
            </w:pPr>
            <w:r>
              <w:rPr>
                <w:rFonts w:ascii="Arial Narrow"/>
                <w:w w:val="95"/>
                <w:sz w:val="20"/>
              </w:rPr>
              <w:t>69,641,878.12</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外币报表折算差额</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42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321"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p>
            <w:pPr>
              <w:pStyle w:val="TableParagraph"/>
              <w:spacing w:line="208" w:lineRule="exact"/>
              <w:ind w:left="321"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Arial Narrow" w:hAnsi="Arial Narrow" w:cs="Arial Narrow" w:eastAsia="Arial Narrow" w:hint="default"/>
                <w:sz w:val="20"/>
                <w:szCs w:val="20"/>
              </w:rPr>
            </w:pPr>
            <w:r>
              <w:rPr>
                <w:rFonts w:ascii="Arial Narrow"/>
                <w:w w:val="95"/>
                <w:sz w:val="20"/>
              </w:rPr>
              <w:t>488,684,414.01</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Arial Narrow" w:hAnsi="Arial Narrow" w:cs="Arial Narrow" w:eastAsia="Arial Narrow" w:hint="default"/>
                <w:sz w:val="20"/>
                <w:szCs w:val="20"/>
              </w:rPr>
            </w:pPr>
            <w:r>
              <w:rPr>
                <w:rFonts w:ascii="Arial Narrow"/>
                <w:w w:val="95"/>
                <w:sz w:val="20"/>
              </w:rPr>
              <w:t>452,548,826.40</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Arial Narrow" w:hAnsi="Arial Narrow" w:cs="Arial Narrow" w:eastAsia="Arial Narrow" w:hint="default"/>
                <w:sz w:val="20"/>
                <w:szCs w:val="20"/>
              </w:rPr>
            </w:pPr>
            <w:r>
              <w:rPr>
                <w:rFonts w:ascii="Arial Narrow"/>
                <w:w w:val="95"/>
                <w:sz w:val="20"/>
              </w:rPr>
              <w:t>448,518,129.72</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3"/>
              <w:jc w:val="right"/>
              <w:rPr>
                <w:rFonts w:ascii="Arial Narrow" w:hAnsi="Arial Narrow" w:cs="Arial Narrow" w:eastAsia="Arial Narrow" w:hint="default"/>
                <w:sz w:val="20"/>
                <w:szCs w:val="20"/>
              </w:rPr>
            </w:pPr>
            <w:r>
              <w:rPr>
                <w:rFonts w:ascii="Arial Narrow"/>
                <w:w w:val="95"/>
                <w:sz w:val="20"/>
              </w:rPr>
              <w:t>422,649,565.69</w:t>
            </w:r>
            <w:r>
              <w:rPr>
                <w:rFonts w:ascii="Arial Narrow"/>
                <w:sz w:val="20"/>
              </w:rPr>
            </w: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3,040,288.00</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2,701,900.56</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09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547" w:right="0"/>
              <w:jc w:val="left"/>
              <w:rPr>
                <w:rFonts w:ascii="宋体" w:hAnsi="宋体" w:cs="宋体" w:eastAsia="宋体" w:hint="default"/>
                <w:sz w:val="16"/>
                <w:szCs w:val="16"/>
              </w:rPr>
            </w:pPr>
            <w:r>
              <w:rPr>
                <w:rFonts w:ascii="宋体" w:hAnsi="宋体" w:cs="宋体" w:eastAsia="宋体" w:hint="default"/>
                <w:sz w:val="16"/>
                <w:szCs w:val="16"/>
              </w:rPr>
              <w:t>股东权益合计</w:t>
            </w:r>
          </w:p>
        </w:tc>
        <w:tc>
          <w:tcPr>
            <w:tcW w:w="63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491,724,702.01</w:t>
            </w:r>
            <w:r>
              <w:rPr>
                <w:rFonts w:ascii="Arial Narrow"/>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455,250,726.96</w:t>
            </w:r>
            <w:r>
              <w:rPr>
                <w:rFonts w:ascii="Arial Narrow"/>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448,518,129.72</w:t>
            </w:r>
            <w:r>
              <w:rPr>
                <w:rFonts w:ascii="Arial Narrow"/>
                <w:sz w:val="20"/>
              </w:rPr>
            </w:r>
          </w:p>
        </w:tc>
        <w:tc>
          <w:tcPr>
            <w:tcW w:w="13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right="83"/>
              <w:jc w:val="right"/>
              <w:rPr>
                <w:rFonts w:ascii="Arial Narrow" w:hAnsi="Arial Narrow" w:cs="Arial Narrow" w:eastAsia="Arial Narrow" w:hint="default"/>
                <w:sz w:val="20"/>
                <w:szCs w:val="20"/>
              </w:rPr>
            </w:pPr>
            <w:r>
              <w:rPr>
                <w:rFonts w:ascii="Arial Narrow"/>
                <w:w w:val="95"/>
                <w:sz w:val="20"/>
              </w:rPr>
              <w:t>422,649,565.69</w:t>
            </w:r>
            <w:r>
              <w:rPr>
                <w:rFonts w:ascii="Arial Narrow"/>
                <w:sz w:val="20"/>
              </w:rPr>
            </w:r>
          </w:p>
        </w:tc>
      </w:tr>
      <w:tr>
        <w:trPr>
          <w:trHeight w:val="326" w:hRule="exact"/>
        </w:trPr>
        <w:tc>
          <w:tcPr>
            <w:tcW w:w="2098"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9"/>
              <w:ind w:left="307" w:right="0"/>
              <w:jc w:val="left"/>
              <w:rPr>
                <w:rFonts w:ascii="宋体" w:hAnsi="宋体" w:cs="宋体" w:eastAsia="宋体" w:hint="default"/>
                <w:sz w:val="16"/>
                <w:szCs w:val="16"/>
              </w:rPr>
            </w:pPr>
            <w:r>
              <w:rPr>
                <w:rFonts w:ascii="宋体" w:hAnsi="宋体" w:cs="宋体" w:eastAsia="宋体" w:hint="default"/>
                <w:sz w:val="16"/>
                <w:szCs w:val="16"/>
              </w:rPr>
              <w:t>负债和股东权益合计</w:t>
            </w:r>
          </w:p>
        </w:tc>
        <w:tc>
          <w:tcPr>
            <w:tcW w:w="634" w:type="dxa"/>
            <w:tcBorders>
              <w:top w:val="single" w:sz="4" w:space="0" w:color="000000"/>
              <w:left w:val="single" w:sz="4" w:space="0" w:color="000000"/>
              <w:bottom w:val="single" w:sz="17" w:space="0" w:color="000000"/>
              <w:right w:val="single" w:sz="4" w:space="0" w:color="000000"/>
            </w:tcBorders>
          </w:tcPr>
          <w:p>
            <w:pPr/>
          </w:p>
        </w:tc>
        <w:tc>
          <w:tcPr>
            <w:tcW w:w="826" w:type="dxa"/>
            <w:tcBorders>
              <w:top w:val="single" w:sz="4" w:space="0" w:color="000000"/>
              <w:left w:val="single" w:sz="4" w:space="0" w:color="000000"/>
              <w:bottom w:val="single" w:sz="17" w:space="0" w:color="000000"/>
              <w:right w:val="single" w:sz="4" w:space="0" w:color="000000"/>
            </w:tcBorders>
          </w:tcPr>
          <w:p>
            <w:pPr/>
          </w:p>
        </w:tc>
        <w:tc>
          <w:tcPr>
            <w:tcW w:w="14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left="100" w:right="0"/>
              <w:jc w:val="left"/>
              <w:rPr>
                <w:rFonts w:ascii="Arial Narrow" w:hAnsi="Arial Narrow" w:cs="Arial Narrow" w:eastAsia="Arial Narrow" w:hint="default"/>
                <w:sz w:val="20"/>
                <w:szCs w:val="20"/>
              </w:rPr>
            </w:pPr>
            <w:r>
              <w:rPr>
                <w:rFonts w:ascii="Arial Narrow"/>
                <w:sz w:val="20"/>
              </w:rPr>
              <w:t>1,157,978,344.72</w:t>
            </w:r>
          </w:p>
        </w:tc>
        <w:tc>
          <w:tcPr>
            <w:tcW w:w="13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100"/>
              <w:jc w:val="right"/>
              <w:rPr>
                <w:rFonts w:ascii="Arial Narrow" w:hAnsi="Arial Narrow" w:cs="Arial Narrow" w:eastAsia="Arial Narrow" w:hint="default"/>
                <w:sz w:val="20"/>
                <w:szCs w:val="20"/>
              </w:rPr>
            </w:pPr>
            <w:r>
              <w:rPr>
                <w:rFonts w:ascii="Arial Narrow"/>
                <w:w w:val="95"/>
                <w:sz w:val="20"/>
              </w:rPr>
              <w:t>857,958,892.00</w:t>
            </w:r>
            <w:r>
              <w:rPr>
                <w:rFonts w:ascii="Arial Narrow"/>
                <w:sz w:val="20"/>
              </w:rPr>
            </w:r>
          </w:p>
        </w:tc>
        <w:tc>
          <w:tcPr>
            <w:tcW w:w="13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5"/>
              <w:ind w:right="105"/>
              <w:jc w:val="right"/>
              <w:rPr>
                <w:rFonts w:ascii="Arial Narrow" w:hAnsi="Arial Narrow" w:cs="Arial Narrow" w:eastAsia="Arial Narrow" w:hint="default"/>
                <w:sz w:val="18"/>
                <w:szCs w:val="18"/>
              </w:rPr>
            </w:pPr>
            <w:r>
              <w:rPr>
                <w:rFonts w:ascii="Arial Narrow"/>
                <w:spacing w:val="-1"/>
                <w:sz w:val="18"/>
              </w:rPr>
              <w:t>1,177,498,997.40</w:t>
            </w:r>
          </w:p>
        </w:tc>
        <w:tc>
          <w:tcPr>
            <w:tcW w:w="135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8"/>
              <w:ind w:right="83"/>
              <w:jc w:val="right"/>
              <w:rPr>
                <w:rFonts w:ascii="Arial Narrow" w:hAnsi="Arial Narrow" w:cs="Arial Narrow" w:eastAsia="Arial Narrow" w:hint="default"/>
                <w:sz w:val="20"/>
                <w:szCs w:val="20"/>
              </w:rPr>
            </w:pPr>
            <w:r>
              <w:rPr>
                <w:rFonts w:ascii="Arial Narrow"/>
                <w:w w:val="95"/>
                <w:sz w:val="20"/>
              </w:rPr>
              <w:t>889,391,039.28</w:t>
            </w:r>
            <w:r>
              <w:rPr>
                <w:rFonts w:ascii="Arial Narrow"/>
                <w:sz w:val="20"/>
              </w:rPr>
            </w:r>
          </w:p>
        </w:tc>
      </w:tr>
    </w:tbl>
    <w:p>
      <w:pPr>
        <w:spacing w:line="240" w:lineRule="auto" w:before="11"/>
        <w:rPr>
          <w:rFonts w:ascii="宋体" w:hAnsi="宋体" w:cs="宋体" w:eastAsia="宋体" w:hint="default"/>
          <w:b/>
          <w:bCs/>
          <w:sz w:val="29"/>
          <w:szCs w:val="29"/>
        </w:rPr>
      </w:pPr>
    </w:p>
    <w:p>
      <w:pPr>
        <w:spacing w:before="44"/>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spacing w:line="240" w:lineRule="auto" w:before="4"/>
        <w:rPr>
          <w:rFonts w:ascii="宋体" w:hAnsi="宋体" w:cs="宋体" w:eastAsia="宋体" w:hint="default"/>
          <w:b/>
          <w:bCs/>
          <w:sz w:val="11"/>
          <w:szCs w:val="1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58.6pt;height:1pt;mso-position-horizontal-relative:char;mso-position-vertical-relative:line" coordorigin="0,0" coordsize="9172,20">
            <v:group style="position:absolute;left:10;top:10;width:9153;height:2" coordorigin="10,10" coordsize="9153,2">
              <v:shape style="position:absolute;left:10;top:10;width:9153;height:2" coordorigin="10,10" coordsize="9153,0" path="m10,10l9162,10e" filled="false" stroked="true" strokeweight=".96002pt" strokecolor="#000000">
                <v:path arrowok="t"/>
              </v:shape>
            </v:group>
          </v:group>
        </w:pict>
      </w:r>
      <w:r>
        <w:rPr>
          <w:rFonts w:ascii="宋体" w:hAnsi="宋体" w:cs="宋体" w:eastAsia="宋体" w:hint="default"/>
          <w:sz w:val="2"/>
          <w:szCs w:val="2"/>
        </w:rPr>
      </w:r>
    </w:p>
    <w:p>
      <w:pPr>
        <w:tabs>
          <w:tab w:pos="3323" w:val="left" w:leader="none"/>
          <w:tab w:pos="7118" w:val="left" w:leader="none"/>
        </w:tabs>
        <w:spacing w:line="231" w:lineRule="exact" w:before="0"/>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line="231" w:lineRule="exact"/>
        <w:jc w:val="left"/>
        <w:rPr>
          <w:rFonts w:ascii="宋体" w:hAnsi="宋体" w:cs="宋体" w:eastAsia="宋体" w:hint="default"/>
          <w:sz w:val="18"/>
          <w:szCs w:val="18"/>
        </w:rPr>
        <w:sectPr>
          <w:pgSz w:w="11910" w:h="16840"/>
          <w:pgMar w:header="816" w:footer="956" w:top="1160" w:bottom="1140" w:left="1240" w:right="0"/>
        </w:sectPr>
      </w:pPr>
    </w:p>
    <w:p>
      <w:pPr>
        <w:spacing w:line="240" w:lineRule="auto" w:before="2"/>
        <w:rPr>
          <w:rFonts w:ascii="宋体" w:hAnsi="宋体" w:cs="宋体" w:eastAsia="宋体" w:hint="default"/>
          <w:b/>
          <w:bCs/>
          <w:sz w:val="11"/>
          <w:szCs w:val="11"/>
        </w:rPr>
      </w:pPr>
    </w:p>
    <w:p>
      <w:pPr>
        <w:pStyle w:val="Heading3"/>
        <w:spacing w:line="240" w:lineRule="auto"/>
        <w:ind w:right="1178"/>
        <w:jc w:val="center"/>
        <w:rPr>
          <w:b w:val="0"/>
          <w:bCs w:val="0"/>
        </w:rPr>
      </w:pPr>
      <w:r>
        <w:rPr/>
        <w:t>利润表</w:t>
      </w:r>
      <w:r>
        <w:rPr>
          <w:b w:val="0"/>
          <w:bCs w:val="0"/>
        </w:rPr>
      </w:r>
    </w:p>
    <w:p>
      <w:pPr>
        <w:tabs>
          <w:tab w:pos="4430" w:val="left" w:leader="none"/>
          <w:tab w:pos="7878" w:val="left" w:leader="none"/>
        </w:tabs>
        <w:spacing w:before="50"/>
        <w:ind w:left="0" w:right="1149"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编制单位：安徽鑫龙电器股份有限公司</w:t>
        <w:tab/>
      </w:r>
      <w:r>
        <w:rPr>
          <w:rFonts w:ascii="宋体" w:hAnsi="宋体" w:cs="宋体" w:eastAsia="宋体" w:hint="default"/>
          <w:b/>
          <w:bCs/>
          <w:sz w:val="18"/>
          <w:szCs w:val="18"/>
        </w:rPr>
        <w:t>2010</w:t>
      </w:r>
      <w:r>
        <w:rPr>
          <w:rFonts w:ascii="宋体" w:hAnsi="宋体" w:cs="宋体" w:eastAsia="宋体" w:hint="default"/>
          <w:b/>
          <w:bCs/>
          <w:spacing w:val="-52"/>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116" w:type="dxa"/>
        <w:tblLayout w:type="fixed"/>
        <w:tblCellMar>
          <w:top w:w="0" w:type="dxa"/>
          <w:left w:w="0" w:type="dxa"/>
          <w:bottom w:w="0" w:type="dxa"/>
          <w:right w:w="0" w:type="dxa"/>
        </w:tblCellMar>
        <w:tblLook w:val="01E0"/>
      </w:tblPr>
      <w:tblGrid>
        <w:gridCol w:w="691"/>
        <w:gridCol w:w="2368"/>
        <w:gridCol w:w="674"/>
        <w:gridCol w:w="847"/>
        <w:gridCol w:w="1188"/>
        <w:gridCol w:w="1186"/>
        <w:gridCol w:w="1184"/>
        <w:gridCol w:w="1224"/>
      </w:tblGrid>
      <w:tr>
        <w:trPr>
          <w:trHeight w:val="360" w:hRule="exact"/>
        </w:trPr>
        <w:tc>
          <w:tcPr>
            <w:tcW w:w="3058" w:type="dxa"/>
            <w:gridSpan w:val="2"/>
            <w:vMerge w:val="restart"/>
            <w:tcBorders>
              <w:top w:val="single" w:sz="17" w:space="0" w:color="000000"/>
              <w:left w:val="single" w:sz="17" w:space="0" w:color="000000"/>
              <w:right w:val="single" w:sz="4" w:space="0" w:color="000000"/>
            </w:tcBorders>
          </w:tcPr>
          <w:p>
            <w:pPr>
              <w:pStyle w:val="TableParagraph"/>
              <w:spacing w:line="240" w:lineRule="auto" w:before="172"/>
              <w:ind w:right="1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2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37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left="98"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408"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
              <w:ind w:left="115"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329" w:hRule="exact"/>
        </w:trPr>
        <w:tc>
          <w:tcPr>
            <w:tcW w:w="3058" w:type="dxa"/>
            <w:gridSpan w:val="2"/>
            <w:vMerge/>
            <w:tcBorders>
              <w:left w:val="single" w:sz="17"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4"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left="204"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一、营业收入</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24</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39</w:t>
            </w:r>
            <w:r>
              <w:rPr>
                <w:rFonts w:ascii="宋体" w:hAnsi="宋体" w:cs="宋体" w:eastAsia="宋体" w:hint="default"/>
                <w:sz w:val="16"/>
                <w:szCs w:val="16"/>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32" w:right="0"/>
              <w:jc w:val="left"/>
              <w:rPr>
                <w:rFonts w:ascii="Arial Narrow" w:hAnsi="Arial Narrow" w:cs="Arial Narrow" w:eastAsia="Arial Narrow" w:hint="default"/>
                <w:sz w:val="16"/>
                <w:szCs w:val="16"/>
              </w:rPr>
            </w:pPr>
            <w:r>
              <w:rPr>
                <w:rFonts w:ascii="Arial Narrow"/>
                <w:sz w:val="16"/>
              </w:rPr>
              <w:t>609,526,619.84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8" w:right="0"/>
              <w:jc w:val="left"/>
              <w:rPr>
                <w:rFonts w:ascii="Arial Narrow" w:hAnsi="Arial Narrow" w:cs="Arial Narrow" w:eastAsia="Arial Narrow" w:hint="default"/>
                <w:sz w:val="16"/>
                <w:szCs w:val="16"/>
              </w:rPr>
            </w:pPr>
            <w:r>
              <w:rPr>
                <w:rFonts w:ascii="Arial Narrow"/>
                <w:sz w:val="16"/>
              </w:rPr>
              <w:t>512,854,330.10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554,133,175.74</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5"/>
              <w:jc w:val="right"/>
              <w:rPr>
                <w:rFonts w:ascii="Arial Narrow" w:hAnsi="Arial Narrow" w:cs="Arial Narrow" w:eastAsia="Arial Narrow" w:hint="default"/>
                <w:sz w:val="16"/>
                <w:szCs w:val="16"/>
              </w:rPr>
            </w:pPr>
            <w:r>
              <w:rPr>
                <w:rFonts w:ascii="Arial Narrow"/>
                <w:spacing w:val="-1"/>
                <w:sz w:val="16"/>
              </w:rPr>
              <w:t>462,675,778.63</w:t>
            </w:r>
          </w:p>
        </w:tc>
      </w:tr>
      <w:tr>
        <w:trPr>
          <w:trHeight w:val="425" w:hRule="exact"/>
        </w:trPr>
        <w:tc>
          <w:tcPr>
            <w:tcW w:w="691" w:type="dxa"/>
            <w:tcBorders>
              <w:top w:val="single" w:sz="4" w:space="0" w:color="000000"/>
              <w:left w:val="single" w:sz="17" w:space="0" w:color="000000"/>
              <w:bottom w:val="single" w:sz="4" w:space="0" w:color="000000"/>
              <w:right w:val="nil" w:sz="6" w:space="0" w:color="auto"/>
            </w:tcBorders>
          </w:tcPr>
          <w:p>
            <w:pPr>
              <w:pStyle w:val="TableParagraph"/>
              <w:spacing w:line="183" w:lineRule="exact"/>
              <w:ind w:left="135" w:right="0"/>
              <w:jc w:val="center"/>
              <w:rPr>
                <w:rFonts w:ascii="宋体" w:hAnsi="宋体" w:cs="宋体" w:eastAsia="宋体" w:hint="default"/>
                <w:sz w:val="16"/>
                <w:szCs w:val="16"/>
              </w:rPr>
            </w:pPr>
            <w:r>
              <w:rPr>
                <w:rFonts w:ascii="宋体" w:hAnsi="宋体" w:cs="宋体" w:eastAsia="宋体" w:hint="default"/>
                <w:w w:val="100"/>
                <w:sz w:val="16"/>
                <w:szCs w:val="16"/>
              </w:rPr>
              <w:t>减</w:t>
            </w:r>
          </w:p>
          <w:p>
            <w:pPr>
              <w:pStyle w:val="TableParagraph"/>
              <w:spacing w:line="209" w:lineRule="exact"/>
              <w:ind w:left="54" w:right="0"/>
              <w:jc w:val="center"/>
              <w:rPr>
                <w:rFonts w:ascii="宋体" w:hAnsi="宋体" w:cs="宋体" w:eastAsia="宋体" w:hint="default"/>
                <w:sz w:val="16"/>
                <w:szCs w:val="16"/>
              </w:rPr>
            </w:pPr>
            <w:r>
              <w:rPr>
                <w:rFonts w:ascii="宋体"/>
                <w:w w:val="100"/>
                <w:sz w:val="16"/>
              </w:rPr>
              <w:t>:</w:t>
            </w:r>
          </w:p>
        </w:tc>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6"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24</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39</w:t>
            </w:r>
            <w:r>
              <w:rPr>
                <w:rFonts w:ascii="宋体" w:hAnsi="宋体" w:cs="宋体" w:eastAsia="宋体" w:hint="default"/>
                <w:sz w:val="16"/>
                <w:szCs w:val="16"/>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Arial Narrow" w:hAnsi="Arial Narrow" w:cs="Arial Narrow" w:eastAsia="Arial Narrow" w:hint="default"/>
                <w:sz w:val="16"/>
                <w:szCs w:val="16"/>
              </w:rPr>
            </w:pPr>
            <w:r>
              <w:rPr>
                <w:rFonts w:ascii="Arial Narrow"/>
                <w:sz w:val="16"/>
              </w:rPr>
              <w:t>405,229,569.10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Arial Narrow" w:hAnsi="Arial Narrow" w:cs="Arial Narrow" w:eastAsia="Arial Narrow" w:hint="default"/>
                <w:sz w:val="16"/>
                <w:szCs w:val="16"/>
              </w:rPr>
            </w:pPr>
            <w:r>
              <w:rPr>
                <w:rFonts w:ascii="Arial Narrow"/>
                <w:sz w:val="16"/>
              </w:rPr>
              <w:t>342,652,217.05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Arial Narrow" w:hAnsi="Arial Narrow" w:cs="Arial Narrow" w:eastAsia="Arial Narrow" w:hint="default"/>
                <w:sz w:val="16"/>
                <w:szCs w:val="16"/>
              </w:rPr>
            </w:pPr>
            <w:r>
              <w:rPr>
                <w:rFonts w:ascii="Arial Narrow"/>
                <w:spacing w:val="-1"/>
                <w:sz w:val="16"/>
              </w:rPr>
              <w:t>397,551,151.88</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1"/>
              <w:ind w:right="83"/>
              <w:jc w:val="right"/>
              <w:rPr>
                <w:rFonts w:ascii="Arial Narrow" w:hAnsi="Arial Narrow" w:cs="Arial Narrow" w:eastAsia="Arial Narrow" w:hint="default"/>
                <w:sz w:val="16"/>
                <w:szCs w:val="16"/>
              </w:rPr>
            </w:pPr>
            <w:r>
              <w:rPr>
                <w:rFonts w:ascii="Arial Narrow"/>
                <w:spacing w:val="-1"/>
                <w:sz w:val="16"/>
              </w:rPr>
              <w:t>329,973,996.05</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25</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2,022,205.44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2,599,617.84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1,138,502.54</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2,010,093.19</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center"/>
              <w:rPr>
                <w:rFonts w:ascii="宋体" w:hAnsi="宋体" w:cs="宋体" w:eastAsia="宋体" w:hint="default"/>
                <w:sz w:val="16"/>
                <w:szCs w:val="16"/>
              </w:rPr>
            </w:pPr>
            <w:r>
              <w:rPr>
                <w:rFonts w:ascii="宋体" w:hAnsi="宋体" w:cs="宋体" w:eastAsia="宋体" w:hint="default"/>
                <w:spacing w:val="-26"/>
                <w:sz w:val="16"/>
                <w:szCs w:val="16"/>
              </w:rPr>
              <w:t>五．</w:t>
            </w:r>
            <w:r>
              <w:rPr>
                <w:rFonts w:ascii="宋体" w:hAnsi="宋体" w:cs="宋体" w:eastAsia="宋体" w:hint="default"/>
                <w:spacing w:val="-26"/>
                <w:sz w:val="16"/>
                <w:szCs w:val="16"/>
              </w:rPr>
              <w:t>26</w:t>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73,248,642.36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7" w:right="0"/>
              <w:jc w:val="left"/>
              <w:rPr>
                <w:rFonts w:ascii="Arial Narrow" w:hAnsi="Arial Narrow" w:cs="Arial Narrow" w:eastAsia="Arial Narrow" w:hint="default"/>
                <w:sz w:val="16"/>
                <w:szCs w:val="16"/>
              </w:rPr>
            </w:pPr>
            <w:r>
              <w:rPr>
                <w:rFonts w:ascii="Arial Narrow"/>
                <w:sz w:val="16"/>
              </w:rPr>
              <w:t>60,350,883.95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58,858,481.02</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51,661,740.97</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27</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67,028,638.03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7" w:right="0"/>
              <w:jc w:val="left"/>
              <w:rPr>
                <w:rFonts w:ascii="Arial Narrow" w:hAnsi="Arial Narrow" w:cs="Arial Narrow" w:eastAsia="Arial Narrow" w:hint="default"/>
                <w:sz w:val="16"/>
                <w:szCs w:val="16"/>
              </w:rPr>
            </w:pPr>
            <w:r>
              <w:rPr>
                <w:rFonts w:ascii="Arial Narrow"/>
                <w:sz w:val="16"/>
              </w:rPr>
              <w:t>48,902,219.87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49,053,947.58</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35,129,734.22</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28</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12,531,276.59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7" w:right="0"/>
              <w:jc w:val="left"/>
              <w:rPr>
                <w:rFonts w:ascii="Arial Narrow" w:hAnsi="Arial Narrow" w:cs="Arial Narrow" w:eastAsia="Arial Narrow" w:hint="default"/>
                <w:sz w:val="16"/>
                <w:szCs w:val="16"/>
              </w:rPr>
            </w:pPr>
            <w:r>
              <w:rPr>
                <w:rFonts w:ascii="Arial Narrow"/>
                <w:sz w:val="16"/>
              </w:rPr>
              <w:t>14,852,999.42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10,481,010.84</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12,399,650.62</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29</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4,072,826.68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Narrow" w:hAnsi="Arial Narrow" w:cs="Arial Narrow" w:eastAsia="Arial Narrow" w:hint="default"/>
                <w:sz w:val="16"/>
                <w:szCs w:val="16"/>
              </w:rPr>
            </w:pPr>
            <w:r>
              <w:rPr>
                <w:rFonts w:ascii="Arial Narrow"/>
                <w:spacing w:val="-1"/>
                <w:sz w:val="16"/>
              </w:rPr>
              <w:t>1,530,173.78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2"/>
                <w:sz w:val="16"/>
              </w:rPr>
              <w:t>4,118,490.32</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1,257,571.75</w:t>
            </w:r>
          </w:p>
        </w:tc>
      </w:tr>
      <w:tr>
        <w:trPr>
          <w:trHeight w:val="425" w:hRule="exact"/>
        </w:trPr>
        <w:tc>
          <w:tcPr>
            <w:tcW w:w="691" w:type="dxa"/>
            <w:tcBorders>
              <w:top w:val="single" w:sz="4" w:space="0" w:color="000000"/>
              <w:left w:val="single" w:sz="17" w:space="0" w:color="000000"/>
              <w:bottom w:val="single" w:sz="4" w:space="0" w:color="000000"/>
              <w:right w:val="nil" w:sz="6" w:space="0" w:color="auto"/>
            </w:tcBorders>
          </w:tcPr>
          <w:p>
            <w:pPr>
              <w:pStyle w:val="TableParagraph"/>
              <w:spacing w:line="182" w:lineRule="exact"/>
              <w:ind w:left="135" w:right="0"/>
              <w:jc w:val="center"/>
              <w:rPr>
                <w:rFonts w:ascii="宋体" w:hAnsi="宋体" w:cs="宋体" w:eastAsia="宋体" w:hint="default"/>
                <w:sz w:val="16"/>
                <w:szCs w:val="16"/>
              </w:rPr>
            </w:pPr>
            <w:r>
              <w:rPr>
                <w:rFonts w:ascii="宋体" w:hAnsi="宋体" w:cs="宋体" w:eastAsia="宋体" w:hint="default"/>
                <w:w w:val="100"/>
                <w:sz w:val="16"/>
                <w:szCs w:val="16"/>
              </w:rPr>
              <w:t>加</w:t>
            </w:r>
          </w:p>
          <w:p>
            <w:pPr>
              <w:pStyle w:val="TableParagraph"/>
              <w:spacing w:line="208" w:lineRule="exact"/>
              <w:ind w:left="54" w:right="0"/>
              <w:jc w:val="center"/>
              <w:rPr>
                <w:rFonts w:ascii="宋体" w:hAnsi="宋体" w:cs="宋体" w:eastAsia="宋体" w:hint="default"/>
                <w:sz w:val="16"/>
                <w:szCs w:val="16"/>
              </w:rPr>
            </w:pPr>
            <w:r>
              <w:rPr>
                <w:rFonts w:ascii="宋体"/>
                <w:w w:val="100"/>
                <w:sz w:val="16"/>
              </w:rPr>
              <w:t>:</w:t>
            </w:r>
          </w:p>
        </w:tc>
        <w:tc>
          <w:tcPr>
            <w:tcW w:w="2368"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06" w:right="0"/>
              <w:jc w:val="left"/>
              <w:rPr>
                <w:rFonts w:ascii="宋体" w:hAnsi="宋体" w:cs="宋体" w:eastAsia="宋体" w:hint="default"/>
                <w:sz w:val="16"/>
                <w:szCs w:val="16"/>
              </w:rPr>
            </w:pPr>
            <w:r>
              <w:rPr>
                <w:rFonts w:ascii="宋体" w:hAnsi="宋体" w:cs="宋体" w:eastAsia="宋体" w:hint="default"/>
                <w:sz w:val="16"/>
                <w:szCs w:val="16"/>
              </w:rPr>
              <w:t>公允变动收益（损失以</w:t>
            </w:r>
            <w:r>
              <w:rPr>
                <w:rFonts w:ascii="宋体" w:hAnsi="宋体" w:cs="宋体" w:eastAsia="宋体" w:hint="default"/>
                <w:sz w:val="16"/>
                <w:szCs w:val="16"/>
              </w:rPr>
              <w:t>"-"</w:t>
            </w:r>
            <w:r>
              <w:rPr>
                <w:rFonts w:ascii="宋体" w:hAnsi="宋体" w:cs="宋体" w:eastAsia="宋体" w:hint="default"/>
                <w:sz w:val="16"/>
                <w:szCs w:val="16"/>
              </w:rPr>
              <w:t>填</w:t>
            </w:r>
          </w:p>
          <w:p>
            <w:pPr>
              <w:pStyle w:val="TableParagraph"/>
              <w:spacing w:line="208" w:lineRule="exact"/>
              <w:ind w:left="106" w:right="0"/>
              <w:jc w:val="left"/>
              <w:rPr>
                <w:rFonts w:ascii="宋体" w:hAnsi="宋体" w:cs="宋体" w:eastAsia="宋体" w:hint="default"/>
                <w:sz w:val="16"/>
                <w:szCs w:val="16"/>
              </w:rPr>
            </w:pPr>
            <w:r>
              <w:rPr>
                <w:rFonts w:ascii="宋体" w:hAnsi="宋体" w:cs="宋体" w:eastAsia="宋体" w:hint="default"/>
                <w:sz w:val="16"/>
                <w:szCs w:val="16"/>
              </w:rPr>
              <w:t>列</w:t>
            </w:r>
            <w:r>
              <w:rPr>
                <w:rFonts w:ascii="宋体" w:hAnsi="宋体" w:cs="宋体" w:eastAsia="宋体" w:hint="default"/>
                <w:sz w:val="16"/>
                <w:szCs w:val="16"/>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75" w:right="0"/>
              <w:jc w:val="left"/>
              <w:rPr>
                <w:rFonts w:ascii="宋体" w:hAnsi="宋体" w:cs="宋体" w:eastAsia="宋体" w:hint="default"/>
                <w:sz w:val="16"/>
                <w:szCs w:val="16"/>
              </w:rPr>
            </w:pPr>
            <w:r>
              <w:rPr>
                <w:rFonts w:ascii="宋体" w:hAnsi="宋体" w:cs="宋体" w:eastAsia="宋体" w:hint="default"/>
                <w:sz w:val="16"/>
                <w:szCs w:val="16"/>
              </w:rPr>
              <w:t>投资收益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130,276.00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100,000.00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54" w:right="0"/>
              <w:jc w:val="left"/>
              <w:rPr>
                <w:rFonts w:ascii="Arial Narrow" w:hAnsi="Arial Narrow" w:cs="Arial Narrow" w:eastAsia="Arial Narrow" w:hint="default"/>
                <w:sz w:val="16"/>
                <w:szCs w:val="16"/>
              </w:rPr>
            </w:pPr>
            <w:r>
              <w:rPr>
                <w:rFonts w:ascii="Arial Narrow"/>
                <w:sz w:val="16"/>
              </w:rPr>
              <w:t>130,276.00</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5"/>
              <w:jc w:val="right"/>
              <w:rPr>
                <w:rFonts w:ascii="Arial Narrow" w:hAnsi="Arial Narrow" w:cs="Arial Narrow" w:eastAsia="Arial Narrow" w:hint="default"/>
                <w:sz w:val="16"/>
                <w:szCs w:val="16"/>
              </w:rPr>
            </w:pPr>
            <w:r>
              <w:rPr>
                <w:rFonts w:ascii="Arial Narrow"/>
                <w:spacing w:val="-1"/>
                <w:sz w:val="16"/>
              </w:rPr>
              <w:t>100,000.00</w:t>
            </w:r>
          </w:p>
        </w:tc>
      </w:tr>
      <w:tr>
        <w:trPr>
          <w:trHeight w:val="47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08" w:lineRule="exact" w:before="18"/>
              <w:ind w:left="775" w:right="253"/>
              <w:jc w:val="left"/>
              <w:rPr>
                <w:rFonts w:ascii="宋体" w:hAnsi="宋体" w:cs="宋体" w:eastAsia="宋体" w:hint="default"/>
                <w:sz w:val="16"/>
                <w:szCs w:val="16"/>
              </w:rPr>
            </w:pPr>
            <w:r>
              <w:rPr>
                <w:rFonts w:ascii="宋体" w:hAnsi="宋体" w:cs="宋体" w:eastAsia="宋体" w:hint="default"/>
                <w:sz w:val="16"/>
                <w:szCs w:val="16"/>
              </w:rPr>
              <w:t>其中</w:t>
            </w:r>
            <w:r>
              <w:rPr>
                <w:rFonts w:ascii="宋体" w:hAnsi="宋体" w:cs="宋体" w:eastAsia="宋体" w:hint="default"/>
                <w:sz w:val="16"/>
                <w:szCs w:val="16"/>
              </w:rPr>
              <w:t>:</w:t>
            </w:r>
            <w:r>
              <w:rPr>
                <w:rFonts w:ascii="宋体" w:hAnsi="宋体" w:cs="宋体" w:eastAsia="宋体" w:hint="default"/>
                <w:sz w:val="16"/>
                <w:szCs w:val="16"/>
              </w:rPr>
              <w:t>对联营企业和合营企业</w:t>
            </w:r>
            <w:r>
              <w:rPr>
                <w:rFonts w:ascii="宋体" w:hAnsi="宋体" w:cs="宋体" w:eastAsia="宋体" w:hint="default"/>
                <w:w w:val="100"/>
                <w:sz w:val="16"/>
                <w:szCs w:val="16"/>
              </w:rPr>
              <w:t> </w:t>
            </w:r>
            <w:r>
              <w:rPr>
                <w:rFonts w:ascii="宋体" w:hAnsi="宋体" w:cs="宋体" w:eastAsia="宋体" w:hint="default"/>
                <w:sz w:val="16"/>
                <w:szCs w:val="16"/>
              </w:rPr>
              <w:t>的投资收益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二、营业利润（亏损以</w:t>
            </w:r>
            <w:r>
              <w:rPr>
                <w:rFonts w:ascii="宋体" w:hAnsi="宋体" w:cs="宋体" w:eastAsia="宋体" w:hint="default"/>
                <w:sz w:val="16"/>
                <w:szCs w:val="16"/>
              </w:rPr>
              <w:t>"-"</w:t>
            </w:r>
            <w:r>
              <w:rPr>
                <w:rFonts w:ascii="宋体" w:hAnsi="宋体" w:cs="宋体" w:eastAsia="宋体" w:hint="default"/>
                <w:sz w:val="16"/>
                <w:szCs w:val="16"/>
              </w:rPr>
              <w:t>填列</w:t>
            </w:r>
            <w:r>
              <w:rPr>
                <w:rFonts w:ascii="宋体" w:hAnsi="宋体" w:cs="宋体" w:eastAsia="宋体" w:hint="default"/>
                <w:sz w:val="16"/>
                <w:szCs w:val="16"/>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45,523,737.64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42,066,218.19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33,061,867.56</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6"/>
              <w:jc w:val="right"/>
              <w:rPr>
                <w:rFonts w:ascii="Arial Narrow" w:hAnsi="Arial Narrow" w:cs="Arial Narrow" w:eastAsia="Arial Narrow" w:hint="default"/>
                <w:sz w:val="16"/>
                <w:szCs w:val="16"/>
              </w:rPr>
            </w:pPr>
            <w:r>
              <w:rPr>
                <w:rFonts w:ascii="Arial Narrow"/>
                <w:spacing w:val="-1"/>
                <w:sz w:val="16"/>
              </w:rPr>
              <w:t>30,342,991.83</w:t>
            </w:r>
          </w:p>
        </w:tc>
      </w:tr>
      <w:tr>
        <w:trPr>
          <w:trHeight w:val="293" w:hRule="exact"/>
        </w:trPr>
        <w:tc>
          <w:tcPr>
            <w:tcW w:w="691"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加</w:t>
            </w:r>
            <w:r>
              <w:rPr>
                <w:rFonts w:ascii="宋体" w:hAnsi="宋体" w:cs="宋体" w:eastAsia="宋体" w:hint="default"/>
                <w:sz w:val="16"/>
                <w:szCs w:val="16"/>
              </w:rPr>
              <w:t>:</w:t>
            </w:r>
          </w:p>
        </w:tc>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47" w:right="0"/>
              <w:jc w:val="left"/>
              <w:rPr>
                <w:rFonts w:ascii="宋体" w:hAnsi="宋体" w:cs="宋体" w:eastAsia="宋体" w:hint="default"/>
                <w:sz w:val="16"/>
                <w:szCs w:val="16"/>
              </w:rPr>
            </w:pPr>
            <w:r>
              <w:rPr>
                <w:rFonts w:ascii="宋体" w:hAnsi="宋体" w:cs="宋体" w:eastAsia="宋体" w:hint="default"/>
                <w:sz w:val="16"/>
                <w:szCs w:val="16"/>
              </w:rPr>
              <w:t>营业外收入</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30</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Narrow" w:hAnsi="Arial Narrow" w:cs="Arial Narrow" w:eastAsia="Arial Narrow" w:hint="default"/>
                <w:sz w:val="16"/>
                <w:szCs w:val="16"/>
              </w:rPr>
            </w:pPr>
            <w:r>
              <w:rPr>
                <w:rFonts w:ascii="Arial Narrow"/>
                <w:spacing w:val="-1"/>
                <w:sz w:val="16"/>
              </w:rPr>
              <w:t>4,901,680.09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2,093,712.00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4,890,197.01</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6"/>
              <w:jc w:val="right"/>
              <w:rPr>
                <w:rFonts w:ascii="Arial Narrow" w:hAnsi="Arial Narrow" w:cs="Arial Narrow" w:eastAsia="Arial Narrow" w:hint="default"/>
                <w:sz w:val="16"/>
                <w:szCs w:val="16"/>
              </w:rPr>
            </w:pPr>
            <w:r>
              <w:rPr>
                <w:rFonts w:ascii="Arial Narrow"/>
                <w:spacing w:val="-1"/>
                <w:sz w:val="16"/>
              </w:rPr>
              <w:t>1,405,330.00</w:t>
            </w:r>
          </w:p>
        </w:tc>
      </w:tr>
      <w:tr>
        <w:trPr>
          <w:trHeight w:val="295" w:hRule="exact"/>
        </w:trPr>
        <w:tc>
          <w:tcPr>
            <w:tcW w:w="691"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4"/>
              <w:ind w:right="104"/>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z w:val="16"/>
                <w:szCs w:val="16"/>
              </w:rPr>
              <w:t>:</w:t>
            </w:r>
          </w:p>
        </w:tc>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7" w:right="0"/>
              <w:jc w:val="left"/>
              <w:rPr>
                <w:rFonts w:ascii="宋体" w:hAnsi="宋体" w:cs="宋体" w:eastAsia="宋体" w:hint="default"/>
                <w:sz w:val="16"/>
                <w:szCs w:val="16"/>
              </w:rPr>
            </w:pPr>
            <w:r>
              <w:rPr>
                <w:rFonts w:ascii="宋体" w:hAnsi="宋体" w:cs="宋体" w:eastAsia="宋体" w:hint="default"/>
                <w:sz w:val="16"/>
                <w:szCs w:val="16"/>
              </w:rPr>
              <w:t>营业外支出</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31</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Arial Narrow" w:hAnsi="Arial Narrow" w:cs="Arial Narrow" w:eastAsia="Arial Narrow" w:hint="default"/>
                <w:sz w:val="16"/>
                <w:szCs w:val="16"/>
              </w:rPr>
            </w:pPr>
            <w:r>
              <w:rPr>
                <w:rFonts w:ascii="Arial Narrow"/>
                <w:spacing w:val="-1"/>
                <w:sz w:val="16"/>
              </w:rPr>
              <w:t>320,931.58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
              <w:jc w:val="right"/>
              <w:rPr>
                <w:rFonts w:ascii="Arial Narrow" w:hAnsi="Arial Narrow" w:cs="Arial Narrow" w:eastAsia="Arial Narrow" w:hint="default"/>
                <w:sz w:val="16"/>
                <w:szCs w:val="16"/>
              </w:rPr>
            </w:pPr>
            <w:r>
              <w:rPr>
                <w:rFonts w:ascii="Arial Narrow"/>
                <w:spacing w:val="-1"/>
                <w:sz w:val="16"/>
              </w:rPr>
              <w:t>100,077.28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Narrow" w:hAnsi="Arial Narrow" w:cs="Arial Narrow" w:eastAsia="Arial Narrow" w:hint="default"/>
                <w:sz w:val="16"/>
                <w:szCs w:val="16"/>
              </w:rPr>
            </w:pPr>
            <w:r>
              <w:rPr>
                <w:rFonts w:ascii="Arial Narrow"/>
                <w:spacing w:val="-1"/>
                <w:sz w:val="16"/>
              </w:rPr>
              <w:t>313,246.43</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5"/>
              <w:jc w:val="right"/>
              <w:rPr>
                <w:rFonts w:ascii="Arial Narrow" w:hAnsi="Arial Narrow" w:cs="Arial Narrow" w:eastAsia="Arial Narrow" w:hint="default"/>
                <w:sz w:val="16"/>
                <w:szCs w:val="16"/>
              </w:rPr>
            </w:pPr>
            <w:r>
              <w:rPr>
                <w:rFonts w:ascii="Arial Narrow"/>
                <w:spacing w:val="-1"/>
                <w:sz w:val="16"/>
              </w:rPr>
              <w:t>100,000.00</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916" w:right="0"/>
              <w:jc w:val="left"/>
              <w:rPr>
                <w:rFonts w:ascii="宋体" w:hAnsi="宋体" w:cs="宋体" w:eastAsia="宋体" w:hint="default"/>
                <w:sz w:val="16"/>
                <w:szCs w:val="16"/>
              </w:rPr>
            </w:pPr>
            <w:r>
              <w:rPr>
                <w:rFonts w:ascii="宋体" w:hAnsi="宋体" w:cs="宋体" w:eastAsia="宋体" w:hint="default"/>
                <w:sz w:val="16"/>
                <w:szCs w:val="16"/>
              </w:rPr>
              <w:t>其中：非流动资产处置损失</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三、利润总额（亏损以</w:t>
            </w:r>
            <w:r>
              <w:rPr>
                <w:rFonts w:ascii="宋体" w:hAnsi="宋体" w:cs="宋体" w:eastAsia="宋体" w:hint="default"/>
                <w:sz w:val="16"/>
                <w:szCs w:val="16"/>
              </w:rPr>
              <w:t>"-"</w:t>
            </w:r>
            <w:r>
              <w:rPr>
                <w:rFonts w:ascii="宋体" w:hAnsi="宋体" w:cs="宋体" w:eastAsia="宋体" w:hint="default"/>
                <w:sz w:val="16"/>
                <w:szCs w:val="16"/>
              </w:rPr>
              <w:t>填列</w:t>
            </w:r>
            <w:r>
              <w:rPr>
                <w:rFonts w:ascii="宋体" w:hAnsi="宋体" w:cs="宋体" w:eastAsia="宋体" w:hint="default"/>
                <w:sz w:val="16"/>
                <w:szCs w:val="16"/>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0" w:right="0"/>
              <w:jc w:val="left"/>
              <w:rPr>
                <w:rFonts w:ascii="Arial Narrow" w:hAnsi="Arial Narrow" w:cs="Arial Narrow" w:eastAsia="Arial Narrow" w:hint="default"/>
                <w:sz w:val="16"/>
                <w:szCs w:val="16"/>
              </w:rPr>
            </w:pPr>
            <w:r>
              <w:rPr>
                <w:rFonts w:ascii="Arial Narrow"/>
                <w:sz w:val="16"/>
              </w:rPr>
              <w:t>50,104,486.15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0" w:right="0"/>
              <w:jc w:val="left"/>
              <w:rPr>
                <w:rFonts w:ascii="Arial Narrow" w:hAnsi="Arial Narrow" w:cs="Arial Narrow" w:eastAsia="Arial Narrow" w:hint="default"/>
                <w:sz w:val="16"/>
                <w:szCs w:val="16"/>
              </w:rPr>
            </w:pPr>
            <w:r>
              <w:rPr>
                <w:rFonts w:ascii="Arial Narrow"/>
                <w:sz w:val="16"/>
              </w:rPr>
              <w:t>44,059,852.91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Narrow" w:hAnsi="Arial Narrow" w:cs="Arial Narrow" w:eastAsia="Arial Narrow" w:hint="default"/>
                <w:sz w:val="16"/>
                <w:szCs w:val="16"/>
              </w:rPr>
            </w:pPr>
            <w:r>
              <w:rPr>
                <w:rFonts w:ascii="Arial Narrow"/>
                <w:spacing w:val="-1"/>
                <w:sz w:val="16"/>
              </w:rPr>
              <w:t>37,638,818.14</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6"/>
              <w:jc w:val="right"/>
              <w:rPr>
                <w:rFonts w:ascii="Arial Narrow" w:hAnsi="Arial Narrow" w:cs="Arial Narrow" w:eastAsia="Arial Narrow" w:hint="default"/>
                <w:sz w:val="16"/>
                <w:szCs w:val="16"/>
              </w:rPr>
            </w:pPr>
            <w:r>
              <w:rPr>
                <w:rFonts w:ascii="Arial Narrow"/>
                <w:spacing w:val="-1"/>
                <w:sz w:val="16"/>
              </w:rPr>
              <w:t>31,648,321.83</w:t>
            </w:r>
          </w:p>
        </w:tc>
      </w:tr>
      <w:tr>
        <w:trPr>
          <w:trHeight w:val="295" w:hRule="exact"/>
        </w:trPr>
        <w:tc>
          <w:tcPr>
            <w:tcW w:w="691"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z w:val="16"/>
                <w:szCs w:val="16"/>
              </w:rPr>
              <w:t>:</w:t>
            </w:r>
          </w:p>
        </w:tc>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47"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32</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2"/>
                <w:sz w:val="16"/>
              </w:rPr>
              <w:t>7,030,511.10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5,378,360.68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2"/>
                <w:sz w:val="16"/>
              </w:rPr>
              <w:t>5,170,254.11</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4,140,801.27</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四、净利润（净亏损以</w:t>
            </w:r>
            <w:r>
              <w:rPr>
                <w:rFonts w:ascii="宋体" w:hAnsi="宋体" w:cs="宋体" w:eastAsia="宋体" w:hint="default"/>
                <w:sz w:val="16"/>
                <w:szCs w:val="16"/>
              </w:rPr>
              <w:t>"-"</w:t>
            </w:r>
            <w:r>
              <w:rPr>
                <w:rFonts w:ascii="宋体" w:hAnsi="宋体" w:cs="宋体" w:eastAsia="宋体" w:hint="default"/>
                <w:sz w:val="16"/>
                <w:szCs w:val="16"/>
              </w:rPr>
              <w:t>填列</w:t>
            </w:r>
            <w:r>
              <w:rPr>
                <w:rFonts w:ascii="宋体" w:hAnsi="宋体" w:cs="宋体" w:eastAsia="宋体" w:hint="default"/>
                <w:sz w:val="16"/>
                <w:szCs w:val="16"/>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43,073,975.05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7" w:right="0"/>
              <w:jc w:val="left"/>
              <w:rPr>
                <w:rFonts w:ascii="Arial Narrow" w:hAnsi="Arial Narrow" w:cs="Arial Narrow" w:eastAsia="Arial Narrow" w:hint="default"/>
                <w:sz w:val="16"/>
                <w:szCs w:val="16"/>
              </w:rPr>
            </w:pPr>
            <w:r>
              <w:rPr>
                <w:rFonts w:ascii="Arial Narrow"/>
                <w:sz w:val="16"/>
              </w:rPr>
              <w:t>38,681,492.23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32,468,564.03</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6"/>
              <w:jc w:val="right"/>
              <w:rPr>
                <w:rFonts w:ascii="Arial Narrow" w:hAnsi="Arial Narrow" w:cs="Arial Narrow" w:eastAsia="Arial Narrow" w:hint="default"/>
                <w:sz w:val="16"/>
                <w:szCs w:val="16"/>
              </w:rPr>
            </w:pPr>
            <w:r>
              <w:rPr>
                <w:rFonts w:ascii="Arial Narrow"/>
                <w:spacing w:val="-1"/>
                <w:sz w:val="16"/>
              </w:rPr>
              <w:t>27,507,520.56</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其中</w:t>
            </w:r>
            <w:r>
              <w:rPr>
                <w:rFonts w:ascii="宋体" w:hAnsi="宋体" w:cs="宋体" w:eastAsia="宋体" w:hint="default"/>
                <w:sz w:val="16"/>
                <w:szCs w:val="16"/>
              </w:rPr>
              <w:t>:</w:t>
            </w:r>
            <w:r>
              <w:rPr>
                <w:rFonts w:ascii="宋体" w:hAnsi="宋体" w:cs="宋体" w:eastAsia="宋体" w:hint="default"/>
                <w:sz w:val="16"/>
                <w:szCs w:val="16"/>
              </w:rPr>
              <w:t>归属于母公司的净利润</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42,735,587.61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37,986,548.08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32,468,564.03</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6"/>
              <w:jc w:val="right"/>
              <w:rPr>
                <w:rFonts w:ascii="Arial Narrow" w:hAnsi="Arial Narrow" w:cs="Arial Narrow" w:eastAsia="Arial Narrow" w:hint="default"/>
                <w:sz w:val="16"/>
                <w:szCs w:val="16"/>
              </w:rPr>
            </w:pPr>
            <w:r>
              <w:rPr>
                <w:rFonts w:ascii="Arial Narrow"/>
                <w:spacing w:val="-1"/>
                <w:sz w:val="16"/>
              </w:rPr>
              <w:t>27,507,520.56</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722"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5"/>
              <w:jc w:val="right"/>
              <w:rPr>
                <w:rFonts w:ascii="Arial Narrow" w:hAnsi="Arial Narrow" w:cs="Arial Narrow" w:eastAsia="Arial Narrow" w:hint="default"/>
                <w:sz w:val="16"/>
                <w:szCs w:val="16"/>
              </w:rPr>
            </w:pPr>
            <w:r>
              <w:rPr>
                <w:rFonts w:ascii="Arial Narrow"/>
                <w:spacing w:val="-1"/>
                <w:sz w:val="16"/>
              </w:rPr>
              <w:t>338,387.44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694,944.15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五、每股收益：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（一）基本每股收益</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33</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Narrow" w:hAnsi="Arial Narrow" w:cs="Arial Narrow" w:eastAsia="Arial Narrow" w:hint="default"/>
                <w:sz w:val="16"/>
                <w:szCs w:val="16"/>
              </w:rPr>
            </w:pPr>
            <w:r>
              <w:rPr>
                <w:rFonts w:ascii="Arial Narrow"/>
                <w:spacing w:val="-1"/>
                <w:sz w:val="16"/>
              </w:rPr>
              <w:t>0.2590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0.2845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0.1968</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0.2060</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（二）稀释每股收益</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33</w:t>
            </w:r>
            <w:r>
              <w:rPr>
                <w:rFonts w:ascii="宋体" w:hAnsi="宋体" w:cs="宋体" w:eastAsia="宋体" w:hint="default"/>
                <w:sz w:val="16"/>
                <w:szCs w:val="16"/>
              </w:rPr>
            </w: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Narrow" w:hAnsi="Arial Narrow" w:cs="Arial Narrow" w:eastAsia="Arial Narrow" w:hint="default"/>
                <w:sz w:val="16"/>
                <w:szCs w:val="16"/>
              </w:rPr>
            </w:pPr>
            <w:r>
              <w:rPr>
                <w:rFonts w:ascii="Arial Narrow"/>
                <w:spacing w:val="-1"/>
                <w:sz w:val="16"/>
              </w:rPr>
              <w:t>0.2590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0.2845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Arial Narrow" w:hAnsi="Arial Narrow" w:cs="Arial Narrow" w:eastAsia="Arial Narrow" w:hint="default"/>
                <w:sz w:val="16"/>
                <w:szCs w:val="16"/>
              </w:rPr>
            </w:pPr>
            <w:r>
              <w:rPr>
                <w:rFonts w:ascii="Arial Narrow"/>
                <w:spacing w:val="-1"/>
                <w:sz w:val="16"/>
              </w:rPr>
              <w:t>0.1968</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0.2060</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六、其他综合收益</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17" w:space="0" w:color="000000"/>
            </w:tcBorders>
          </w:tcPr>
          <w:p>
            <w:pPr/>
          </w:p>
        </w:tc>
      </w:tr>
      <w:tr>
        <w:trPr>
          <w:trHeight w:val="293"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七、综合收益总额</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43,073,975.05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0" w:right="0"/>
              <w:jc w:val="left"/>
              <w:rPr>
                <w:rFonts w:ascii="Arial Narrow" w:hAnsi="Arial Narrow" w:cs="Arial Narrow" w:eastAsia="Arial Narrow" w:hint="default"/>
                <w:sz w:val="16"/>
                <w:szCs w:val="16"/>
              </w:rPr>
            </w:pPr>
            <w:r>
              <w:rPr>
                <w:rFonts w:ascii="Arial Narrow"/>
                <w:sz w:val="16"/>
              </w:rPr>
              <w:t>38,681,492.23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Arial Narrow" w:hAnsi="Arial Narrow" w:cs="Arial Narrow" w:eastAsia="Arial Narrow" w:hint="default"/>
                <w:sz w:val="16"/>
                <w:szCs w:val="16"/>
              </w:rPr>
            </w:pPr>
            <w:r>
              <w:rPr>
                <w:rFonts w:ascii="Arial Narrow"/>
                <w:spacing w:val="-1"/>
                <w:sz w:val="16"/>
              </w:rPr>
              <w:t>32,468,564.03</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7"/>
              <w:ind w:right="83"/>
              <w:jc w:val="right"/>
              <w:rPr>
                <w:rFonts w:ascii="Arial Narrow" w:hAnsi="Arial Narrow" w:cs="Arial Narrow" w:eastAsia="Arial Narrow" w:hint="default"/>
                <w:sz w:val="16"/>
                <w:szCs w:val="16"/>
              </w:rPr>
            </w:pPr>
            <w:r>
              <w:rPr>
                <w:rFonts w:ascii="Arial Narrow"/>
                <w:spacing w:val="-1"/>
                <w:sz w:val="16"/>
              </w:rPr>
              <w:t>27,507,520.56</w:t>
            </w:r>
          </w:p>
        </w:tc>
      </w:tr>
      <w:tr>
        <w:trPr>
          <w:trHeight w:val="295" w:hRule="exact"/>
        </w:trPr>
        <w:tc>
          <w:tcPr>
            <w:tcW w:w="3058"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归属于母公司所有者的综合收益总额</w:t>
            </w:r>
          </w:p>
        </w:tc>
        <w:tc>
          <w:tcPr>
            <w:tcW w:w="67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0" w:right="0"/>
              <w:jc w:val="left"/>
              <w:rPr>
                <w:rFonts w:ascii="Arial Narrow" w:hAnsi="Arial Narrow" w:cs="Arial Narrow" w:eastAsia="Arial Narrow" w:hint="default"/>
                <w:sz w:val="16"/>
                <w:szCs w:val="16"/>
              </w:rPr>
            </w:pPr>
            <w:r>
              <w:rPr>
                <w:rFonts w:ascii="Arial Narrow"/>
                <w:sz w:val="16"/>
              </w:rPr>
              <w:t>42,735,587.61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0" w:right="0"/>
              <w:jc w:val="left"/>
              <w:rPr>
                <w:rFonts w:ascii="Arial Narrow" w:hAnsi="Arial Narrow" w:cs="Arial Narrow" w:eastAsia="Arial Narrow" w:hint="default"/>
                <w:sz w:val="16"/>
                <w:szCs w:val="16"/>
              </w:rPr>
            </w:pPr>
            <w:r>
              <w:rPr>
                <w:rFonts w:ascii="Arial Narrow"/>
                <w:sz w:val="16"/>
              </w:rPr>
              <w:t>37,986,548.08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Narrow" w:hAnsi="Arial Narrow" w:cs="Arial Narrow" w:eastAsia="Arial Narrow" w:hint="default"/>
                <w:sz w:val="16"/>
                <w:szCs w:val="16"/>
              </w:rPr>
            </w:pPr>
            <w:r>
              <w:rPr>
                <w:rFonts w:ascii="Arial Narrow"/>
                <w:spacing w:val="-1"/>
                <w:sz w:val="16"/>
              </w:rPr>
              <w:t>32,468,564.03</w:t>
            </w:r>
          </w:p>
        </w:tc>
        <w:tc>
          <w:tcPr>
            <w:tcW w:w="122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Arial Narrow" w:hAnsi="Arial Narrow" w:cs="Arial Narrow" w:eastAsia="Arial Narrow" w:hint="default"/>
                <w:sz w:val="16"/>
                <w:szCs w:val="16"/>
              </w:rPr>
            </w:pPr>
            <w:r>
              <w:rPr>
                <w:rFonts w:ascii="Arial Narrow"/>
                <w:spacing w:val="-1"/>
                <w:sz w:val="16"/>
              </w:rPr>
              <w:t>27,507,520.56</w:t>
            </w:r>
          </w:p>
        </w:tc>
      </w:tr>
      <w:tr>
        <w:trPr>
          <w:trHeight w:val="312" w:hRule="exact"/>
        </w:trPr>
        <w:tc>
          <w:tcPr>
            <w:tcW w:w="3058" w:type="dxa"/>
            <w:gridSpan w:val="2"/>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16"/>
                <w:szCs w:val="16"/>
              </w:rPr>
            </w:pPr>
            <w:r>
              <w:rPr>
                <w:rFonts w:ascii="宋体" w:hAnsi="宋体" w:cs="宋体" w:eastAsia="宋体" w:hint="default"/>
                <w:sz w:val="16"/>
                <w:szCs w:val="16"/>
              </w:rPr>
              <w:t>归属于少数股东的综合收益总额</w:t>
            </w:r>
          </w:p>
        </w:tc>
        <w:tc>
          <w:tcPr>
            <w:tcW w:w="674" w:type="dxa"/>
            <w:tcBorders>
              <w:top w:val="single" w:sz="4" w:space="0" w:color="000000"/>
              <w:left w:val="single" w:sz="4" w:space="0" w:color="000000"/>
              <w:bottom w:val="single" w:sz="17" w:space="0" w:color="000000"/>
              <w:right w:val="single" w:sz="4" w:space="0" w:color="000000"/>
            </w:tcBorders>
          </w:tcPr>
          <w:p>
            <w:pPr/>
          </w:p>
        </w:tc>
        <w:tc>
          <w:tcPr>
            <w:tcW w:w="847" w:type="dxa"/>
            <w:tcBorders>
              <w:top w:val="single" w:sz="4" w:space="0" w:color="000000"/>
              <w:left w:val="single" w:sz="4" w:space="0" w:color="000000"/>
              <w:bottom w:val="single" w:sz="17" w:space="0" w:color="000000"/>
              <w:right w:val="single" w:sz="4" w:space="0" w:color="000000"/>
            </w:tcBorders>
          </w:tcPr>
          <w:p>
            <w:pPr/>
          </w:p>
        </w:tc>
        <w:tc>
          <w:tcPr>
            <w:tcW w:w="11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105"/>
              <w:jc w:val="right"/>
              <w:rPr>
                <w:rFonts w:ascii="Arial Narrow" w:hAnsi="Arial Narrow" w:cs="Arial Narrow" w:eastAsia="Arial Narrow" w:hint="default"/>
                <w:sz w:val="16"/>
                <w:szCs w:val="16"/>
              </w:rPr>
            </w:pPr>
            <w:r>
              <w:rPr>
                <w:rFonts w:ascii="Arial Narrow"/>
                <w:spacing w:val="-1"/>
                <w:sz w:val="16"/>
              </w:rPr>
              <w:t>338,387.44</w:t>
            </w:r>
          </w:p>
        </w:tc>
        <w:tc>
          <w:tcPr>
            <w:tcW w:w="118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9"/>
              <w:ind w:right="102"/>
              <w:jc w:val="right"/>
              <w:rPr>
                <w:rFonts w:ascii="Arial Narrow" w:hAnsi="Arial Narrow" w:cs="Arial Narrow" w:eastAsia="Arial Narrow" w:hint="default"/>
                <w:sz w:val="16"/>
                <w:szCs w:val="16"/>
              </w:rPr>
            </w:pPr>
            <w:r>
              <w:rPr>
                <w:rFonts w:ascii="Arial Narrow"/>
                <w:spacing w:val="-1"/>
                <w:sz w:val="16"/>
              </w:rPr>
              <w:t>694,944.15</w:t>
            </w:r>
          </w:p>
        </w:tc>
        <w:tc>
          <w:tcPr>
            <w:tcW w:w="1184" w:type="dxa"/>
            <w:tcBorders>
              <w:top w:val="single" w:sz="4" w:space="0" w:color="000000"/>
              <w:left w:val="single" w:sz="4" w:space="0" w:color="000000"/>
              <w:bottom w:val="single" w:sz="17" w:space="0" w:color="000000"/>
              <w:right w:val="single" w:sz="4" w:space="0" w:color="000000"/>
            </w:tcBorders>
          </w:tcPr>
          <w:p>
            <w:pPr/>
          </w:p>
        </w:tc>
        <w:tc>
          <w:tcPr>
            <w:tcW w:w="1224" w:type="dxa"/>
            <w:tcBorders>
              <w:top w:val="single" w:sz="4" w:space="0" w:color="000000"/>
              <w:left w:val="single" w:sz="4" w:space="0" w:color="000000"/>
              <w:bottom w:val="single" w:sz="17" w:space="0" w:color="000000"/>
              <w:right w:val="single" w:sz="17"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spacing w:before="0"/>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140" w:val="left" w:leader="none"/>
          <w:tab w:pos="6938" w:val="left" w:leader="none"/>
        </w:tabs>
        <w:spacing w:before="141"/>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16" w:footer="956" w:top="1160" w:bottom="1140" w:left="1120" w:right="0"/>
        </w:sectPr>
      </w:pPr>
    </w:p>
    <w:p>
      <w:pPr>
        <w:spacing w:line="240" w:lineRule="auto" w:before="2"/>
        <w:rPr>
          <w:rFonts w:ascii="宋体" w:hAnsi="宋体" w:cs="宋体" w:eastAsia="宋体" w:hint="default"/>
          <w:b/>
          <w:bCs/>
          <w:sz w:val="11"/>
          <w:szCs w:val="11"/>
        </w:rPr>
      </w:pPr>
    </w:p>
    <w:p>
      <w:pPr>
        <w:pStyle w:val="Heading3"/>
        <w:spacing w:line="240" w:lineRule="auto"/>
        <w:ind w:right="1032"/>
        <w:jc w:val="center"/>
        <w:rPr>
          <w:b w:val="0"/>
          <w:bCs w:val="0"/>
        </w:rPr>
      </w:pPr>
      <w:r>
        <w:rPr/>
        <w:t>现金流量表</w:t>
      </w:r>
      <w:r>
        <w:rPr>
          <w:b w:val="0"/>
          <w:bCs w:val="0"/>
        </w:rPr>
      </w:r>
    </w:p>
    <w:p>
      <w:pPr>
        <w:tabs>
          <w:tab w:pos="4754" w:val="left" w:leader="none"/>
          <w:tab w:pos="7823" w:val="left" w:leader="none"/>
        </w:tabs>
        <w:spacing w:before="37"/>
        <w:ind w:left="0" w:right="1068"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2010</w:t>
      </w:r>
      <w:r>
        <w:rPr>
          <w:rFonts w:ascii="宋体" w:hAnsi="宋体" w:cs="宋体" w:eastAsia="宋体" w:hint="default"/>
          <w:b/>
          <w:bCs/>
          <w:spacing w:val="-52"/>
          <w:sz w:val="20"/>
          <w:szCs w:val="20"/>
        </w:rPr>
        <w:t> </w:t>
      </w:r>
      <w:r>
        <w:rPr>
          <w:rFonts w:ascii="宋体" w:hAnsi="宋体" w:cs="宋体" w:eastAsia="宋体" w:hint="default"/>
          <w:b/>
          <w:bCs/>
          <w:sz w:val="20"/>
          <w:szCs w:val="20"/>
        </w:rPr>
        <w:t>年度</w:t>
        <w:tab/>
        <w:t>单位：人民币元</w:t>
      </w:r>
      <w:r>
        <w:rPr>
          <w:rFonts w:ascii="宋体" w:hAnsi="宋体" w:cs="宋体" w:eastAsia="宋体" w:hint="default"/>
          <w:sz w:val="20"/>
          <w:szCs w:val="20"/>
        </w:rPr>
      </w:r>
    </w:p>
    <w:p>
      <w:pPr>
        <w:spacing w:line="240" w:lineRule="auto" w:before="9"/>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526"/>
        <w:gridCol w:w="2869"/>
        <w:gridCol w:w="590"/>
        <w:gridCol w:w="773"/>
        <w:gridCol w:w="1181"/>
        <w:gridCol w:w="1111"/>
        <w:gridCol w:w="1258"/>
        <w:gridCol w:w="1169"/>
      </w:tblGrid>
      <w:tr>
        <w:trPr>
          <w:trHeight w:val="329" w:hRule="exact"/>
        </w:trPr>
        <w:tc>
          <w:tcPr>
            <w:tcW w:w="3394" w:type="dxa"/>
            <w:gridSpan w:val="2"/>
            <w:vMerge w:val="restart"/>
            <w:tcBorders>
              <w:top w:val="single" w:sz="17" w:space="0" w:color="000000"/>
              <w:left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9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54" w:lineRule="exact"/>
              <w:ind w:left="98"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427"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54" w:lineRule="exact"/>
              <w:ind w:left="115"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564" w:hRule="exact"/>
        </w:trPr>
        <w:tc>
          <w:tcPr>
            <w:tcW w:w="3394" w:type="dxa"/>
            <w:gridSpan w:val="2"/>
            <w:vMerge/>
            <w:tcBorders>
              <w:left w:val="single" w:sz="17"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9"/>
              <w:ind w:left="187" w:right="192"/>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w w:val="99"/>
                <w:sz w:val="20"/>
                <w:szCs w:val="20"/>
              </w:rPr>
              <w:t> </w:t>
            </w:r>
            <w:r>
              <w:rPr>
                <w:rFonts w:ascii="宋体" w:hAnsi="宋体" w:cs="宋体" w:eastAsia="宋体" w:hint="default"/>
                <w:b/>
                <w:bCs/>
                <w:sz w:val="20"/>
                <w:szCs w:val="20"/>
              </w:rPr>
              <w:t>并</w:t>
            </w:r>
            <w:r>
              <w:rPr>
                <w:rFonts w:ascii="宋体" w:hAnsi="宋体" w:cs="宋体" w:eastAsia="宋体" w:hint="default"/>
                <w:sz w:val="20"/>
                <w:szCs w:val="20"/>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9"/>
              <w:ind w:left="278" w:right="180" w:hanging="101"/>
              <w:jc w:val="left"/>
              <w:rPr>
                <w:rFonts w:ascii="宋体" w:hAnsi="宋体" w:cs="宋体" w:eastAsia="宋体" w:hint="default"/>
                <w:sz w:val="20"/>
                <w:szCs w:val="20"/>
              </w:rPr>
            </w:pPr>
            <w:r>
              <w:rPr>
                <w:rFonts w:ascii="宋体" w:hAnsi="宋体" w:cs="宋体" w:eastAsia="宋体" w:hint="default"/>
                <w:b/>
                <w:bCs/>
                <w:sz w:val="20"/>
                <w:szCs w:val="20"/>
              </w:rPr>
              <w:t>母公</w:t>
            </w:r>
            <w:r>
              <w:rPr>
                <w:rFonts w:ascii="宋体" w:hAnsi="宋体" w:cs="宋体" w:eastAsia="宋体" w:hint="default"/>
                <w:b/>
                <w:bCs/>
                <w:spacing w:val="2"/>
                <w:w w:val="99"/>
                <w:sz w:val="20"/>
                <w:szCs w:val="20"/>
              </w:rPr>
              <w:t> </w:t>
            </w:r>
            <w:r>
              <w:rPr>
                <w:rFonts w:ascii="宋体" w:hAnsi="宋体" w:cs="宋体" w:eastAsia="宋体" w:hint="default"/>
                <w:b/>
                <w:bCs/>
                <w:sz w:val="20"/>
                <w:szCs w:val="20"/>
              </w:rPr>
              <w:t>司</w:t>
            </w:r>
            <w:r>
              <w:rPr>
                <w:rFonts w:ascii="宋体" w:hAnsi="宋体" w:cs="宋体" w:eastAsia="宋体" w:hint="default"/>
                <w:sz w:val="20"/>
                <w:szCs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35"/>
              <w:jc w:val="right"/>
              <w:rPr>
                <w:rFonts w:ascii="宋体" w:hAnsi="宋体" w:cs="宋体" w:eastAsia="宋体" w:hint="default"/>
                <w:sz w:val="20"/>
                <w:szCs w:val="20"/>
              </w:rPr>
            </w:pPr>
            <w:r>
              <w:rPr>
                <w:rFonts w:ascii="宋体" w:hAnsi="宋体" w:cs="宋体" w:eastAsia="宋体" w:hint="default"/>
                <w:b/>
                <w:bCs/>
                <w:w w:val="95"/>
                <w:sz w:val="20"/>
                <w:szCs w:val="20"/>
              </w:rPr>
              <w:t>本期金额</w:t>
            </w:r>
            <w:r>
              <w:rPr>
                <w:rFonts w:ascii="宋体" w:hAnsi="宋体" w:cs="宋体" w:eastAsia="宋体" w:hint="default"/>
                <w:sz w:val="20"/>
                <w:szCs w:val="20"/>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9"/>
              <w:ind w:left="448" w:right="197" w:hanging="152"/>
              <w:jc w:val="left"/>
              <w:rPr>
                <w:rFonts w:ascii="宋体" w:hAnsi="宋体" w:cs="宋体" w:eastAsia="宋体" w:hint="default"/>
                <w:sz w:val="20"/>
                <w:szCs w:val="20"/>
              </w:rPr>
            </w:pPr>
            <w:r>
              <w:rPr>
                <w:rFonts w:ascii="宋体" w:hAnsi="宋体" w:cs="宋体" w:eastAsia="宋体" w:hint="default"/>
                <w:b/>
                <w:bCs/>
                <w:spacing w:val="2"/>
                <w:sz w:val="20"/>
                <w:szCs w:val="20"/>
              </w:rPr>
              <w:t>上期金</w:t>
            </w:r>
            <w:r>
              <w:rPr>
                <w:rFonts w:ascii="宋体" w:hAnsi="宋体" w:cs="宋体" w:eastAsia="宋体" w:hint="default"/>
                <w:b/>
                <w:bCs/>
                <w:spacing w:val="2"/>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71"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33"/>
              <w:ind w:right="110"/>
              <w:jc w:val="right"/>
              <w:rPr>
                <w:rFonts w:ascii="宋体" w:hAnsi="宋体" w:cs="宋体" w:eastAsia="宋体" w:hint="default"/>
                <w:sz w:val="20"/>
                <w:szCs w:val="20"/>
              </w:rPr>
            </w:pPr>
            <w:r>
              <w:rPr>
                <w:rFonts w:ascii="宋体" w:hAnsi="宋体" w:cs="宋体" w:eastAsia="宋体" w:hint="default"/>
                <w:b/>
                <w:bCs/>
                <w:w w:val="95"/>
                <w:sz w:val="20"/>
                <w:szCs w:val="20"/>
              </w:rPr>
              <w:t>上期金额</w:t>
            </w:r>
            <w:r>
              <w:rPr>
                <w:rFonts w:ascii="宋体" w:hAnsi="宋体" w:cs="宋体" w:eastAsia="宋体" w:hint="default"/>
                <w:sz w:val="20"/>
                <w:szCs w:val="20"/>
              </w:rPr>
            </w:r>
          </w:p>
        </w:tc>
      </w:tr>
      <w:tr>
        <w:trPr>
          <w:trHeight w:val="295" w:hRule="exact"/>
        </w:trPr>
        <w:tc>
          <w:tcPr>
            <w:tcW w:w="526"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2"/>
              <w:ind w:right="7"/>
              <w:jc w:val="center"/>
              <w:rPr>
                <w:rFonts w:ascii="宋体" w:hAnsi="宋体" w:cs="宋体" w:eastAsia="宋体" w:hint="default"/>
                <w:sz w:val="16"/>
                <w:szCs w:val="16"/>
              </w:rPr>
            </w:pPr>
            <w:r>
              <w:rPr>
                <w:rFonts w:ascii="宋体" w:hAnsi="宋体" w:cs="宋体" w:eastAsia="宋体" w:hint="default"/>
                <w:sz w:val="16"/>
                <w:szCs w:val="16"/>
              </w:rPr>
              <w:t>一、</w:t>
            </w:r>
          </w:p>
        </w:tc>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95" w:right="0"/>
              <w:jc w:val="left"/>
              <w:rPr>
                <w:rFonts w:ascii="宋体" w:hAnsi="宋体" w:cs="宋体" w:eastAsia="宋体" w:hint="default"/>
                <w:sz w:val="16"/>
                <w:szCs w:val="16"/>
              </w:rPr>
            </w:pPr>
            <w:r>
              <w:rPr>
                <w:rFonts w:ascii="宋体" w:hAnsi="宋体" w:cs="宋体" w:eastAsia="宋体" w:hint="default"/>
                <w:sz w:val="16"/>
                <w:szCs w:val="16"/>
              </w:rPr>
              <w:t>经营活动产生的现金流量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595,835,751.52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576,977,886.52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Arial Narrow" w:hAnsi="Arial Narrow" w:cs="Arial Narrow" w:eastAsia="Arial Narrow" w:hint="default"/>
                <w:sz w:val="15"/>
                <w:szCs w:val="15"/>
              </w:rPr>
            </w:pPr>
            <w:r>
              <w:rPr>
                <w:rFonts w:ascii="Arial Narrow"/>
                <w:spacing w:val="-1"/>
                <w:sz w:val="15"/>
              </w:rPr>
              <w:t>528,357,984.49</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4"/>
              <w:ind w:right="84"/>
              <w:jc w:val="right"/>
              <w:rPr>
                <w:rFonts w:ascii="Arial Narrow" w:hAnsi="Arial Narrow" w:cs="Arial Narrow" w:eastAsia="Arial Narrow" w:hint="default"/>
                <w:sz w:val="15"/>
                <w:szCs w:val="15"/>
              </w:rPr>
            </w:pPr>
            <w:r>
              <w:rPr>
                <w:rFonts w:ascii="Arial Narrow"/>
                <w:spacing w:val="-1"/>
                <w:sz w:val="15"/>
              </w:rPr>
              <w:t>527,636,400.18</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Arial Narrow" w:hAnsi="Arial Narrow" w:cs="Arial Narrow" w:eastAsia="Arial Narrow" w:hint="default"/>
                <w:sz w:val="15"/>
                <w:szCs w:val="15"/>
              </w:rPr>
            </w:pPr>
            <w:r>
              <w:rPr>
                <w:rFonts w:ascii="Arial Narrow"/>
                <w:spacing w:val="-1"/>
                <w:sz w:val="15"/>
              </w:rPr>
              <w:t>31,565.25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收到的其他与经营活动有关的现金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34</w:t>
            </w:r>
            <w:r>
              <w:rPr>
                <w:rFonts w:ascii="宋体" w:hAnsi="宋体" w:cs="宋体" w:eastAsia="宋体" w:hint="default"/>
                <w:sz w:val="16"/>
                <w:szCs w:val="16"/>
              </w:rPr>
            </w: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Arial Narrow" w:hAnsi="Arial Narrow" w:cs="Arial Narrow" w:eastAsia="Arial Narrow" w:hint="default"/>
                <w:sz w:val="15"/>
                <w:szCs w:val="15"/>
              </w:rPr>
            </w:pPr>
            <w:r>
              <w:rPr>
                <w:rFonts w:ascii="Arial Narrow"/>
                <w:spacing w:val="-1"/>
                <w:sz w:val="15"/>
              </w:rPr>
              <w:t>4,813,184.00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2,025,202.00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43,030,477.84</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Times New Roman" w:hAnsi="Times New Roman" w:cs="Times New Roman" w:eastAsia="Times New Roman" w:hint="default"/>
                <w:sz w:val="15"/>
                <w:szCs w:val="15"/>
              </w:rPr>
            </w:pPr>
            <w:r>
              <w:rPr>
                <w:rFonts w:ascii="Times New Roman"/>
                <w:spacing w:val="-1"/>
                <w:sz w:val="15"/>
              </w:rPr>
              <w:t>30,141,499.61</w:t>
            </w:r>
          </w:p>
        </w:tc>
      </w:tr>
      <w:tr>
        <w:trPr>
          <w:trHeight w:val="35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41"/>
              <w:ind w:left="600"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Arial Narrow" w:hAnsi="Arial Narrow" w:cs="Arial Narrow" w:eastAsia="Arial Narrow" w:hint="default"/>
                <w:sz w:val="16"/>
                <w:szCs w:val="16"/>
              </w:rPr>
            </w:pPr>
            <w:r>
              <w:rPr>
                <w:rFonts w:ascii="Arial Narrow"/>
                <w:spacing w:val="-1"/>
                <w:sz w:val="16"/>
              </w:rPr>
              <w:t>600,648,935.52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Arial Narrow" w:hAnsi="Arial Narrow" w:cs="Arial Narrow" w:eastAsia="Arial Narrow" w:hint="default"/>
                <w:sz w:val="15"/>
                <w:szCs w:val="15"/>
              </w:rPr>
            </w:pPr>
            <w:r>
              <w:rPr>
                <w:rFonts w:ascii="Arial Narrow"/>
                <w:spacing w:val="-1"/>
                <w:sz w:val="15"/>
              </w:rPr>
              <w:t>579,034,653.77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2"/>
                <w:sz w:val="15"/>
              </w:rPr>
              <w:t>571,388,462.33</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85"/>
              <w:jc w:val="right"/>
              <w:rPr>
                <w:rFonts w:ascii="Times New Roman" w:hAnsi="Times New Roman" w:cs="Times New Roman" w:eastAsia="Times New Roman" w:hint="default"/>
                <w:sz w:val="15"/>
                <w:szCs w:val="15"/>
              </w:rPr>
            </w:pPr>
            <w:r>
              <w:rPr>
                <w:rFonts w:ascii="Times New Roman"/>
                <w:spacing w:val="-1"/>
                <w:sz w:val="15"/>
              </w:rPr>
              <w:t>557,777,899.79</w:t>
            </w:r>
          </w:p>
        </w:tc>
      </w:tr>
      <w:tr>
        <w:trPr>
          <w:trHeight w:val="293"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601,189,109.45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413,729,506.64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579,594,057.39</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5"/>
              <w:jc w:val="right"/>
              <w:rPr>
                <w:rFonts w:ascii="Times New Roman" w:hAnsi="Times New Roman" w:cs="Times New Roman" w:eastAsia="Times New Roman" w:hint="default"/>
                <w:sz w:val="15"/>
                <w:szCs w:val="15"/>
              </w:rPr>
            </w:pPr>
            <w:r>
              <w:rPr>
                <w:rFonts w:ascii="Times New Roman"/>
                <w:spacing w:val="-1"/>
                <w:sz w:val="15"/>
              </w:rPr>
              <w:t>390,451,172.43</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43,815,837.15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28,388,439.06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5"/>
                <w:szCs w:val="15"/>
              </w:rPr>
            </w:pPr>
            <w:r>
              <w:rPr>
                <w:rFonts w:ascii="Times New Roman"/>
                <w:spacing w:val="-1"/>
                <w:sz w:val="15"/>
              </w:rPr>
              <w:t>36,465,894.10</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3"/>
              <w:jc w:val="right"/>
              <w:rPr>
                <w:rFonts w:ascii="Times New Roman" w:hAnsi="Times New Roman" w:cs="Times New Roman" w:eastAsia="Times New Roman" w:hint="default"/>
                <w:sz w:val="15"/>
                <w:szCs w:val="15"/>
              </w:rPr>
            </w:pPr>
            <w:r>
              <w:rPr>
                <w:rFonts w:ascii="Times New Roman"/>
                <w:spacing w:val="-1"/>
                <w:sz w:val="15"/>
              </w:rPr>
              <w:t>23,522,959.26</w:t>
            </w:r>
          </w:p>
        </w:tc>
      </w:tr>
      <w:tr>
        <w:trPr>
          <w:trHeight w:val="296"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33,492,585.38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35,453,764.17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5"/>
                <w:szCs w:val="15"/>
              </w:rPr>
            </w:pPr>
            <w:r>
              <w:rPr>
                <w:rFonts w:ascii="Times New Roman"/>
                <w:spacing w:val="-1"/>
                <w:sz w:val="15"/>
              </w:rPr>
              <w:t>23,258,461.02</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3"/>
              <w:jc w:val="right"/>
              <w:rPr>
                <w:rFonts w:ascii="Times New Roman" w:hAnsi="Times New Roman" w:cs="Times New Roman" w:eastAsia="Times New Roman" w:hint="default"/>
                <w:sz w:val="15"/>
                <w:szCs w:val="15"/>
              </w:rPr>
            </w:pPr>
            <w:r>
              <w:rPr>
                <w:rFonts w:ascii="Times New Roman"/>
                <w:spacing w:val="-1"/>
                <w:sz w:val="15"/>
              </w:rPr>
              <w:t>28,247,414.53</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支付的其他与经营活动有关的现金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34</w:t>
            </w:r>
            <w:r>
              <w:rPr>
                <w:rFonts w:ascii="宋体" w:hAnsi="宋体" w:cs="宋体" w:eastAsia="宋体" w:hint="default"/>
                <w:sz w:val="16"/>
                <w:szCs w:val="16"/>
              </w:rPr>
            </w: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74,790,007.47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85,732,303.84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5"/>
                <w:szCs w:val="15"/>
              </w:rPr>
            </w:pPr>
            <w:r>
              <w:rPr>
                <w:rFonts w:ascii="Times New Roman"/>
                <w:spacing w:val="-1"/>
                <w:sz w:val="15"/>
              </w:rPr>
              <w:t>54,103,778.46</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3"/>
              <w:jc w:val="right"/>
              <w:rPr>
                <w:rFonts w:ascii="Times New Roman" w:hAnsi="Times New Roman" w:cs="Times New Roman" w:eastAsia="Times New Roman" w:hint="default"/>
                <w:sz w:val="15"/>
                <w:szCs w:val="15"/>
              </w:rPr>
            </w:pPr>
            <w:r>
              <w:rPr>
                <w:rFonts w:ascii="Times New Roman"/>
                <w:spacing w:val="-1"/>
                <w:sz w:val="15"/>
              </w:rPr>
              <w:t>68,668,291.43</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753,287,539.45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563,304,013.71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693,422,190.97</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5"/>
              <w:jc w:val="right"/>
              <w:rPr>
                <w:rFonts w:ascii="Times New Roman" w:hAnsi="Times New Roman" w:cs="Times New Roman" w:eastAsia="Times New Roman" w:hint="default"/>
                <w:sz w:val="15"/>
                <w:szCs w:val="15"/>
              </w:rPr>
            </w:pPr>
            <w:r>
              <w:rPr>
                <w:rFonts w:ascii="Times New Roman"/>
                <w:spacing w:val="-1"/>
                <w:sz w:val="15"/>
              </w:rPr>
              <w:t>510,889,837.65</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-152,638,603.93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15,730,640.06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5"/>
                <w:szCs w:val="15"/>
              </w:rPr>
            </w:pPr>
            <w:r>
              <w:rPr>
                <w:rFonts w:ascii="Times New Roman"/>
                <w:spacing w:val="-1"/>
                <w:sz w:val="15"/>
              </w:rPr>
              <w:t>-122,033,728.64</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3"/>
              <w:jc w:val="right"/>
              <w:rPr>
                <w:rFonts w:ascii="Times New Roman" w:hAnsi="Times New Roman" w:cs="Times New Roman" w:eastAsia="Times New Roman" w:hint="default"/>
                <w:sz w:val="15"/>
                <w:szCs w:val="15"/>
              </w:rPr>
            </w:pPr>
            <w:r>
              <w:rPr>
                <w:rFonts w:ascii="Times New Roman"/>
                <w:spacing w:val="-1"/>
                <w:sz w:val="15"/>
              </w:rPr>
              <w:t>46,888,062.14</w:t>
            </w:r>
          </w:p>
        </w:tc>
      </w:tr>
      <w:tr>
        <w:trPr>
          <w:trHeight w:val="295" w:hRule="exact"/>
        </w:trPr>
        <w:tc>
          <w:tcPr>
            <w:tcW w:w="526"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2"/>
              <w:ind w:right="7"/>
              <w:jc w:val="center"/>
              <w:rPr>
                <w:rFonts w:ascii="宋体" w:hAnsi="宋体" w:cs="宋体" w:eastAsia="宋体" w:hint="default"/>
                <w:sz w:val="16"/>
                <w:szCs w:val="16"/>
              </w:rPr>
            </w:pPr>
            <w:r>
              <w:rPr>
                <w:rFonts w:ascii="宋体" w:hAnsi="宋体" w:cs="宋体" w:eastAsia="宋体" w:hint="default"/>
                <w:sz w:val="16"/>
                <w:szCs w:val="16"/>
              </w:rPr>
              <w:t>二、</w:t>
            </w:r>
          </w:p>
        </w:tc>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95" w:right="0"/>
              <w:jc w:val="left"/>
              <w:rPr>
                <w:rFonts w:ascii="宋体" w:hAnsi="宋体" w:cs="宋体" w:eastAsia="宋体" w:hint="default"/>
                <w:sz w:val="16"/>
                <w:szCs w:val="16"/>
              </w:rPr>
            </w:pPr>
            <w:r>
              <w:rPr>
                <w:rFonts w:ascii="宋体" w:hAnsi="宋体" w:cs="宋体" w:eastAsia="宋体" w:hint="default"/>
                <w:sz w:val="16"/>
                <w:szCs w:val="16"/>
              </w:rPr>
              <w:t>投资活动产生的现金流量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收回投资所收到现金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spacing w:val="-1"/>
                <w:sz w:val="15"/>
              </w:rPr>
              <w:t>3,000,000.00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3,000,000.00</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2"/>
              <w:ind w:right="84"/>
              <w:jc w:val="right"/>
              <w:rPr>
                <w:rFonts w:ascii="Times New Roman" w:hAnsi="Times New Roman" w:cs="Times New Roman" w:eastAsia="Times New Roman" w:hint="default"/>
                <w:sz w:val="15"/>
                <w:szCs w:val="15"/>
              </w:rPr>
            </w:pPr>
            <w:r>
              <w:rPr>
                <w:rFonts w:ascii="Times New Roman"/>
                <w:w w:val="100"/>
                <w:sz w:val="15"/>
              </w:rPr>
              <w:t>-</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取得投资收益所收到现金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spacing w:val="-1"/>
                <w:sz w:val="15"/>
              </w:rPr>
              <w:t>130,276.00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130,276.00</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42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600" w:right="0"/>
              <w:jc w:val="left"/>
              <w:rPr>
                <w:rFonts w:ascii="宋体" w:hAnsi="宋体" w:cs="宋体" w:eastAsia="宋体" w:hint="default"/>
                <w:sz w:val="16"/>
                <w:szCs w:val="16"/>
              </w:rPr>
            </w:pPr>
            <w:r>
              <w:rPr>
                <w:rFonts w:ascii="宋体" w:hAnsi="宋体" w:cs="宋体" w:eastAsia="宋体" w:hint="default"/>
                <w:spacing w:val="-5"/>
                <w:sz w:val="16"/>
                <w:szCs w:val="16"/>
              </w:rPr>
              <w:t>处置固定资产、无形资产和其他长期资</w:t>
            </w:r>
          </w:p>
          <w:p>
            <w:pPr>
              <w:pStyle w:val="TableParagraph"/>
              <w:spacing w:line="208" w:lineRule="exact"/>
              <w:ind w:left="600" w:right="0"/>
              <w:jc w:val="left"/>
              <w:rPr>
                <w:rFonts w:ascii="宋体" w:hAnsi="宋体" w:cs="宋体" w:eastAsia="宋体" w:hint="default"/>
                <w:sz w:val="16"/>
                <w:szCs w:val="16"/>
              </w:rPr>
            </w:pPr>
            <w:r>
              <w:rPr>
                <w:rFonts w:ascii="宋体" w:hAnsi="宋体" w:cs="宋体" w:eastAsia="宋体" w:hint="default"/>
                <w:sz w:val="16"/>
                <w:szCs w:val="16"/>
              </w:rPr>
              <w:t>产而收回的现金净额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Narrow" w:hAnsi="Arial Narrow" w:cs="Arial Narrow" w:eastAsia="Arial Narrow" w:hint="default"/>
                <w:sz w:val="15"/>
                <w:szCs w:val="15"/>
              </w:rPr>
            </w:pPr>
            <w:r>
              <w:rPr>
                <w:rFonts w:ascii="Arial Narrow"/>
                <w:spacing w:val="-1"/>
                <w:sz w:val="15"/>
              </w:rPr>
              <w:t>149,920.00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Arial Narrow" w:hAnsi="Arial Narrow" w:cs="Arial Narrow" w:eastAsia="Arial Narrow" w:hint="default"/>
                <w:sz w:val="15"/>
                <w:szCs w:val="15"/>
              </w:rPr>
            </w:pPr>
            <w:r>
              <w:rPr>
                <w:rFonts w:ascii="Arial Narrow"/>
                <w:spacing w:val="-1"/>
                <w:sz w:val="15"/>
              </w:rPr>
              <w:t>85,000.00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Times New Roman" w:hAnsi="Times New Roman" w:cs="Times New Roman" w:eastAsia="Times New Roman" w:hint="default"/>
                <w:sz w:val="15"/>
                <w:szCs w:val="15"/>
              </w:rPr>
            </w:pPr>
            <w:r>
              <w:rPr>
                <w:rFonts w:ascii="Times New Roman"/>
                <w:spacing w:val="-1"/>
                <w:sz w:val="15"/>
              </w:rPr>
              <w:t>134,920.00</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4"/>
              <w:ind w:right="83"/>
              <w:jc w:val="right"/>
              <w:rPr>
                <w:rFonts w:ascii="Times New Roman" w:hAnsi="Times New Roman" w:cs="Times New Roman" w:eastAsia="Times New Roman" w:hint="default"/>
                <w:sz w:val="15"/>
                <w:szCs w:val="15"/>
              </w:rPr>
            </w:pPr>
            <w:r>
              <w:rPr>
                <w:rFonts w:ascii="Times New Roman"/>
                <w:spacing w:val="-1"/>
                <w:sz w:val="15"/>
              </w:rPr>
              <w:t>85,000.00</w:t>
            </w:r>
          </w:p>
        </w:tc>
      </w:tr>
      <w:tr>
        <w:trPr>
          <w:trHeight w:val="42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183" w:lineRule="exact"/>
              <w:ind w:left="600" w:right="0"/>
              <w:jc w:val="left"/>
              <w:rPr>
                <w:rFonts w:ascii="宋体" w:hAnsi="宋体" w:cs="宋体" w:eastAsia="宋体" w:hint="default"/>
                <w:sz w:val="16"/>
                <w:szCs w:val="16"/>
              </w:rPr>
            </w:pPr>
            <w:r>
              <w:rPr>
                <w:rFonts w:ascii="宋体" w:hAnsi="宋体" w:cs="宋体" w:eastAsia="宋体" w:hint="default"/>
                <w:sz w:val="16"/>
                <w:szCs w:val="16"/>
              </w:rPr>
              <w:t>处置子公司及其他经营单位收到的现</w:t>
            </w:r>
          </w:p>
          <w:p>
            <w:pPr>
              <w:pStyle w:val="TableParagraph"/>
              <w:spacing w:line="209" w:lineRule="exact"/>
              <w:ind w:left="600" w:right="0"/>
              <w:jc w:val="left"/>
              <w:rPr>
                <w:rFonts w:ascii="宋体" w:hAnsi="宋体" w:cs="宋体" w:eastAsia="宋体" w:hint="default"/>
                <w:sz w:val="16"/>
                <w:szCs w:val="16"/>
              </w:rPr>
            </w:pPr>
            <w:r>
              <w:rPr>
                <w:rFonts w:ascii="宋体" w:hAnsi="宋体" w:cs="宋体" w:eastAsia="宋体" w:hint="default"/>
                <w:sz w:val="16"/>
                <w:szCs w:val="16"/>
              </w:rPr>
              <w:t>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收到的其他与投资活动有关的现金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spacing w:val="-1"/>
                <w:sz w:val="15"/>
              </w:rPr>
              <w:t>3,280,196.00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185,000.00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3,265,196.00</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Times New Roman" w:hAnsi="Times New Roman" w:cs="Times New Roman" w:eastAsia="Times New Roman" w:hint="default"/>
                <w:sz w:val="15"/>
                <w:szCs w:val="15"/>
              </w:rPr>
            </w:pPr>
            <w:r>
              <w:rPr>
                <w:rFonts w:ascii="Times New Roman"/>
                <w:spacing w:val="-1"/>
                <w:sz w:val="15"/>
              </w:rPr>
              <w:t>185,000.00</w:t>
            </w:r>
          </w:p>
        </w:tc>
      </w:tr>
      <w:tr>
        <w:trPr>
          <w:trHeight w:val="42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600" w:right="0"/>
              <w:jc w:val="left"/>
              <w:rPr>
                <w:rFonts w:ascii="宋体" w:hAnsi="宋体" w:cs="宋体" w:eastAsia="宋体" w:hint="default"/>
                <w:sz w:val="16"/>
                <w:szCs w:val="16"/>
              </w:rPr>
            </w:pPr>
            <w:r>
              <w:rPr>
                <w:rFonts w:ascii="宋体" w:hAnsi="宋体" w:cs="宋体" w:eastAsia="宋体" w:hint="default"/>
                <w:spacing w:val="-5"/>
                <w:sz w:val="16"/>
                <w:szCs w:val="16"/>
              </w:rPr>
              <w:t>购建固定资产、无形资产和其他长期资</w:t>
            </w:r>
          </w:p>
          <w:p>
            <w:pPr>
              <w:pStyle w:val="TableParagraph"/>
              <w:spacing w:line="208" w:lineRule="exact"/>
              <w:ind w:left="600" w:right="0"/>
              <w:jc w:val="left"/>
              <w:rPr>
                <w:rFonts w:ascii="宋体" w:hAnsi="宋体" w:cs="宋体" w:eastAsia="宋体" w:hint="default"/>
                <w:sz w:val="16"/>
                <w:szCs w:val="16"/>
              </w:rPr>
            </w:pPr>
            <w:r>
              <w:rPr>
                <w:rFonts w:ascii="宋体" w:hAnsi="宋体" w:cs="宋体" w:eastAsia="宋体" w:hint="default"/>
                <w:sz w:val="16"/>
                <w:szCs w:val="16"/>
              </w:rPr>
              <w:t>产所支付的现金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Arial Narrow" w:hAnsi="Arial Narrow" w:cs="Arial Narrow" w:eastAsia="Arial Narrow" w:hint="default"/>
                <w:sz w:val="15"/>
                <w:szCs w:val="15"/>
              </w:rPr>
            </w:pPr>
            <w:r>
              <w:rPr>
                <w:rFonts w:ascii="Arial Narrow"/>
                <w:spacing w:val="-1"/>
                <w:sz w:val="15"/>
              </w:rPr>
              <w:t>65,749,937.73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3"/>
              <w:jc w:val="right"/>
              <w:rPr>
                <w:rFonts w:ascii="Arial Narrow" w:hAnsi="Arial Narrow" w:cs="Arial Narrow" w:eastAsia="Arial Narrow" w:hint="default"/>
                <w:sz w:val="15"/>
                <w:szCs w:val="15"/>
              </w:rPr>
            </w:pPr>
            <w:r>
              <w:rPr>
                <w:rFonts w:ascii="Arial Narrow"/>
                <w:spacing w:val="-1"/>
                <w:sz w:val="15"/>
              </w:rPr>
              <w:t>3,552,080.59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6"/>
              <w:jc w:val="right"/>
              <w:rPr>
                <w:rFonts w:ascii="Times New Roman" w:hAnsi="Times New Roman" w:cs="Times New Roman" w:eastAsia="Times New Roman" w:hint="default"/>
                <w:sz w:val="15"/>
                <w:szCs w:val="15"/>
              </w:rPr>
            </w:pPr>
            <w:r>
              <w:rPr>
                <w:rFonts w:ascii="Times New Roman"/>
                <w:spacing w:val="-1"/>
                <w:sz w:val="15"/>
              </w:rPr>
              <w:t>39,840,828.53</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4"/>
              <w:ind w:right="83"/>
              <w:jc w:val="right"/>
              <w:rPr>
                <w:rFonts w:ascii="Times New Roman" w:hAnsi="Times New Roman" w:cs="Times New Roman" w:eastAsia="Times New Roman" w:hint="default"/>
                <w:sz w:val="15"/>
                <w:szCs w:val="15"/>
              </w:rPr>
            </w:pPr>
            <w:r>
              <w:rPr>
                <w:rFonts w:ascii="Times New Roman"/>
                <w:spacing w:val="-1"/>
                <w:sz w:val="15"/>
              </w:rPr>
              <w:t>3,403,803.76</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投资所支付的现金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Times New Roman" w:hAnsi="Times New Roman" w:cs="Times New Roman" w:eastAsia="Times New Roman" w:hint="default"/>
                <w:sz w:val="15"/>
                <w:szCs w:val="15"/>
              </w:rPr>
            </w:pPr>
            <w:r>
              <w:rPr>
                <w:rFonts w:ascii="Times New Roman"/>
                <w:spacing w:val="-1"/>
                <w:sz w:val="15"/>
              </w:rPr>
              <w:t>57,000,000.00</w:t>
            </w:r>
          </w:p>
        </w:tc>
      </w:tr>
      <w:tr>
        <w:trPr>
          <w:trHeight w:val="42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182" w:lineRule="exact"/>
              <w:ind w:left="600" w:right="0"/>
              <w:jc w:val="left"/>
              <w:rPr>
                <w:rFonts w:ascii="宋体" w:hAnsi="宋体" w:cs="宋体" w:eastAsia="宋体" w:hint="default"/>
                <w:sz w:val="16"/>
                <w:szCs w:val="16"/>
              </w:rPr>
            </w:pPr>
            <w:r>
              <w:rPr>
                <w:rFonts w:ascii="宋体" w:hAnsi="宋体" w:cs="宋体" w:eastAsia="宋体" w:hint="default"/>
                <w:sz w:val="16"/>
                <w:szCs w:val="16"/>
              </w:rPr>
              <w:t>取得子公司及其他经营单位支付的现</w:t>
            </w:r>
          </w:p>
          <w:p>
            <w:pPr>
              <w:pStyle w:val="TableParagraph"/>
              <w:spacing w:line="208" w:lineRule="exact"/>
              <w:ind w:left="600" w:right="0"/>
              <w:jc w:val="left"/>
              <w:rPr>
                <w:rFonts w:ascii="宋体" w:hAnsi="宋体" w:cs="宋体" w:eastAsia="宋体" w:hint="default"/>
                <w:sz w:val="16"/>
                <w:szCs w:val="16"/>
              </w:rPr>
            </w:pPr>
            <w:r>
              <w:rPr>
                <w:rFonts w:ascii="宋体" w:hAnsi="宋体" w:cs="宋体" w:eastAsia="宋体" w:hint="default"/>
                <w:sz w:val="16"/>
                <w:szCs w:val="16"/>
              </w:rPr>
              <w:t>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Arial Narrow" w:hAnsi="Arial Narrow" w:cs="Arial Narrow" w:eastAsia="Arial Narrow" w:hint="default"/>
                <w:sz w:val="15"/>
                <w:szCs w:val="15"/>
              </w:rPr>
            </w:pPr>
            <w:r>
              <w:rPr>
                <w:rFonts w:ascii="Arial Narrow"/>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支付的其他与投资活动有关的现金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65,749,937.73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3,552,080.59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Times New Roman" w:hAnsi="Times New Roman" w:cs="Times New Roman" w:eastAsia="Times New Roman" w:hint="default"/>
                <w:sz w:val="15"/>
                <w:szCs w:val="15"/>
              </w:rPr>
            </w:pPr>
            <w:r>
              <w:rPr>
                <w:rFonts w:ascii="Times New Roman"/>
                <w:spacing w:val="-1"/>
                <w:sz w:val="15"/>
              </w:rPr>
              <w:t>39,840,828.53</w:t>
            </w:r>
          </w:p>
        </w:tc>
        <w:tc>
          <w:tcPr>
            <w:tcW w:w="116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9"/>
              <w:ind w:right="83"/>
              <w:jc w:val="right"/>
              <w:rPr>
                <w:rFonts w:ascii="Times New Roman" w:hAnsi="Times New Roman" w:cs="Times New Roman" w:eastAsia="Times New Roman" w:hint="default"/>
                <w:sz w:val="15"/>
                <w:szCs w:val="15"/>
              </w:rPr>
            </w:pPr>
            <w:r>
              <w:rPr>
                <w:rFonts w:ascii="Times New Roman"/>
                <w:spacing w:val="-1"/>
                <w:sz w:val="15"/>
              </w:rPr>
              <w:t>60,403,803.76</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-62,469,741.73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-3,367,080.59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-36,575,632.53</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91"/>
              <w:jc w:val="right"/>
              <w:rPr>
                <w:rFonts w:ascii="Times New Roman" w:hAnsi="Times New Roman" w:cs="Times New Roman" w:eastAsia="Times New Roman" w:hint="default"/>
                <w:sz w:val="15"/>
                <w:szCs w:val="15"/>
              </w:rPr>
            </w:pPr>
            <w:r>
              <w:rPr>
                <w:rFonts w:ascii="Times New Roman"/>
                <w:spacing w:val="-1"/>
                <w:sz w:val="15"/>
              </w:rPr>
              <w:t>-60,218,803.76</w:t>
            </w:r>
          </w:p>
        </w:tc>
      </w:tr>
      <w:tr>
        <w:trPr>
          <w:trHeight w:val="295" w:hRule="exact"/>
        </w:trPr>
        <w:tc>
          <w:tcPr>
            <w:tcW w:w="526"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12"/>
              <w:ind w:right="7"/>
              <w:jc w:val="center"/>
              <w:rPr>
                <w:rFonts w:ascii="宋体" w:hAnsi="宋体" w:cs="宋体" w:eastAsia="宋体" w:hint="default"/>
                <w:sz w:val="16"/>
                <w:szCs w:val="16"/>
              </w:rPr>
            </w:pPr>
            <w:r>
              <w:rPr>
                <w:rFonts w:ascii="宋体" w:hAnsi="宋体" w:cs="宋体" w:eastAsia="宋体" w:hint="default"/>
                <w:sz w:val="16"/>
                <w:szCs w:val="16"/>
              </w:rPr>
              <w:t>三、</w:t>
            </w:r>
          </w:p>
        </w:tc>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95" w:right="0"/>
              <w:jc w:val="left"/>
              <w:rPr>
                <w:rFonts w:ascii="宋体" w:hAnsi="宋体" w:cs="宋体" w:eastAsia="宋体" w:hint="default"/>
                <w:sz w:val="16"/>
                <w:szCs w:val="16"/>
              </w:rPr>
            </w:pPr>
            <w:r>
              <w:rPr>
                <w:rFonts w:ascii="宋体" w:hAnsi="宋体" w:cs="宋体" w:eastAsia="宋体" w:hint="default"/>
                <w:sz w:val="16"/>
                <w:szCs w:val="16"/>
              </w:rPr>
              <w:t>筹资活动产生的现金流量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吸收投资所收到的现金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Arial Narrow" w:hAnsi="Arial Narrow" w:cs="Arial Narrow" w:eastAsia="Arial Narrow" w:hint="default"/>
                <w:sz w:val="15"/>
                <w:szCs w:val="15"/>
              </w:rPr>
            </w:pPr>
            <w:r>
              <w:rPr>
                <w:rFonts w:ascii="Arial Narrow"/>
                <w:spacing w:val="-1"/>
                <w:sz w:val="15"/>
              </w:rPr>
              <w:t>240,139,715.94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90"/>
              <w:jc w:val="right"/>
              <w:rPr>
                <w:rFonts w:ascii="Times New Roman" w:hAnsi="Times New Roman" w:cs="Times New Roman" w:eastAsia="Times New Roman" w:hint="default"/>
                <w:sz w:val="15"/>
                <w:szCs w:val="15"/>
              </w:rPr>
            </w:pPr>
            <w:r>
              <w:rPr>
                <w:rFonts w:ascii="Times New Roman"/>
                <w:spacing w:val="-1"/>
                <w:sz w:val="15"/>
              </w:rPr>
              <w:t>240,139,715.94</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取得借款所收到的现金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366,800,000.00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291,800,000.00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293,800,000.00</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5"/>
                <w:szCs w:val="15"/>
              </w:rPr>
            </w:pPr>
            <w:r>
              <w:rPr>
                <w:rFonts w:ascii="Times New Roman"/>
                <w:spacing w:val="-1"/>
                <w:sz w:val="15"/>
              </w:rPr>
              <w:t>238,000,000.00</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收到的其他与筹资活动有关的现金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34</w:t>
            </w:r>
            <w:r>
              <w:rPr>
                <w:rFonts w:ascii="宋体" w:hAnsi="宋体" w:cs="宋体" w:eastAsia="宋体" w:hint="default"/>
                <w:sz w:val="16"/>
                <w:szCs w:val="16"/>
              </w:rPr>
            </w: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spacing w:val="-1"/>
                <w:sz w:val="15"/>
              </w:rPr>
              <w:t>1,214,264.83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1,270,401.66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962,269.54</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0"/>
              <w:jc w:val="right"/>
              <w:rPr>
                <w:rFonts w:ascii="Times New Roman" w:hAnsi="Times New Roman" w:cs="Times New Roman" w:eastAsia="Times New Roman" w:hint="default"/>
                <w:sz w:val="15"/>
                <w:szCs w:val="15"/>
              </w:rPr>
            </w:pPr>
            <w:r>
              <w:rPr>
                <w:rFonts w:ascii="Times New Roman"/>
                <w:spacing w:val="-1"/>
                <w:sz w:val="15"/>
              </w:rPr>
              <w:t>703,488.83</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368,014,264.83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533,210,117.60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294,762,269.54</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5"/>
                <w:szCs w:val="15"/>
              </w:rPr>
            </w:pPr>
            <w:r>
              <w:rPr>
                <w:rFonts w:ascii="Times New Roman"/>
                <w:spacing w:val="-1"/>
                <w:sz w:val="15"/>
              </w:rPr>
              <w:t>478,843,204.77</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偿还债务所支付的现金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153,800,000.00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363,000,000.00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126,000,000.00</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5"/>
                <w:szCs w:val="15"/>
              </w:rPr>
            </w:pPr>
            <w:r>
              <w:rPr>
                <w:rFonts w:ascii="Times New Roman"/>
                <w:spacing w:val="-1"/>
                <w:sz w:val="15"/>
              </w:rPr>
              <w:t>306,200,000.00</w:t>
            </w:r>
          </w:p>
        </w:tc>
      </w:tr>
      <w:tr>
        <w:trPr>
          <w:trHeight w:val="42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184" w:lineRule="exact"/>
              <w:ind w:left="600" w:right="0"/>
              <w:jc w:val="left"/>
              <w:rPr>
                <w:rFonts w:ascii="宋体" w:hAnsi="宋体" w:cs="宋体" w:eastAsia="宋体" w:hint="default"/>
                <w:sz w:val="16"/>
                <w:szCs w:val="16"/>
              </w:rPr>
            </w:pPr>
            <w:r>
              <w:rPr>
                <w:rFonts w:ascii="宋体" w:hAnsi="宋体" w:cs="宋体" w:eastAsia="宋体" w:hint="default"/>
                <w:spacing w:val="-5"/>
                <w:sz w:val="16"/>
                <w:szCs w:val="16"/>
              </w:rPr>
              <w:t>分配股利、利润和偿付利息所支付的现</w:t>
            </w:r>
          </w:p>
          <w:p>
            <w:pPr>
              <w:pStyle w:val="TableParagraph"/>
              <w:spacing w:line="209" w:lineRule="exact"/>
              <w:ind w:left="600" w:right="0"/>
              <w:jc w:val="left"/>
              <w:rPr>
                <w:rFonts w:ascii="宋体" w:hAnsi="宋体" w:cs="宋体" w:eastAsia="宋体" w:hint="default"/>
                <w:sz w:val="16"/>
                <w:szCs w:val="16"/>
              </w:rPr>
            </w:pPr>
            <w:r>
              <w:rPr>
                <w:rFonts w:ascii="宋体" w:hAnsi="宋体" w:cs="宋体" w:eastAsia="宋体" w:hint="default"/>
                <w:w w:val="100"/>
                <w:sz w:val="16"/>
                <w:szCs w:val="16"/>
              </w:rPr>
              <w:t>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5"/>
                <w:szCs w:val="15"/>
              </w:rPr>
            </w:pPr>
            <w:r>
              <w:rPr>
                <w:rFonts w:ascii="Arial Narrow"/>
                <w:spacing w:val="-1"/>
                <w:sz w:val="15"/>
              </w:rPr>
              <w:t>18,744,089.42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Arial Narrow" w:hAnsi="Arial Narrow" w:cs="Arial Narrow" w:eastAsia="Arial Narrow" w:hint="default"/>
                <w:sz w:val="15"/>
                <w:szCs w:val="15"/>
              </w:rPr>
            </w:pPr>
            <w:r>
              <w:rPr>
                <w:rFonts w:ascii="Arial Narrow"/>
                <w:spacing w:val="-1"/>
                <w:sz w:val="15"/>
              </w:rPr>
              <w:t>14,783,765.65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15"/>
                <w:szCs w:val="15"/>
              </w:rPr>
            </w:pPr>
            <w:r>
              <w:rPr>
                <w:rFonts w:ascii="Times New Roman"/>
                <w:spacing w:val="-1"/>
                <w:sz w:val="15"/>
              </w:rPr>
              <w:t>16,564,822.23</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7"/>
              <w:ind w:right="91"/>
              <w:jc w:val="right"/>
              <w:rPr>
                <w:rFonts w:ascii="Times New Roman" w:hAnsi="Times New Roman" w:cs="Times New Roman" w:eastAsia="Times New Roman" w:hint="default"/>
                <w:sz w:val="15"/>
                <w:szCs w:val="15"/>
              </w:rPr>
            </w:pPr>
            <w:r>
              <w:rPr>
                <w:rFonts w:ascii="Times New Roman"/>
                <w:spacing w:val="-1"/>
                <w:sz w:val="15"/>
              </w:rPr>
              <w:t>12,423,761.27</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
              <w:ind w:left="600" w:right="0"/>
              <w:jc w:val="left"/>
              <w:rPr>
                <w:rFonts w:ascii="宋体" w:hAnsi="宋体" w:cs="宋体" w:eastAsia="宋体" w:hint="default"/>
                <w:sz w:val="16"/>
                <w:szCs w:val="16"/>
              </w:rPr>
            </w:pPr>
            <w:r>
              <w:rPr>
                <w:rFonts w:ascii="宋体" w:hAnsi="宋体" w:cs="宋体" w:eastAsia="宋体" w:hint="default"/>
                <w:sz w:val="16"/>
                <w:szCs w:val="16"/>
              </w:rPr>
              <w:t>支付的其他与筹资活动有关的现金</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6"/>
                <w:szCs w:val="16"/>
              </w:rPr>
            </w:pPr>
            <w:r>
              <w:rPr>
                <w:rFonts w:ascii="宋体" w:hAnsi="宋体" w:cs="宋体" w:eastAsia="宋体" w:hint="default"/>
                <w:spacing w:val="-31"/>
                <w:sz w:val="16"/>
                <w:szCs w:val="16"/>
              </w:rPr>
              <w:t>五．</w:t>
            </w:r>
            <w:r>
              <w:rPr>
                <w:rFonts w:ascii="宋体" w:hAnsi="宋体" w:cs="宋体" w:eastAsia="宋体" w:hint="default"/>
                <w:spacing w:val="-31"/>
                <w:sz w:val="16"/>
                <w:szCs w:val="16"/>
              </w:rPr>
              <w:t>34</w:t>
            </w:r>
            <w:r>
              <w:rPr>
                <w:rFonts w:ascii="宋体" w:hAnsi="宋体" w:cs="宋体" w:eastAsia="宋体" w:hint="default"/>
                <w:sz w:val="16"/>
                <w:szCs w:val="16"/>
              </w:rPr>
            </w: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Narrow" w:hAnsi="Arial Narrow" w:cs="Arial Narrow" w:eastAsia="Arial Narrow" w:hint="default"/>
                <w:sz w:val="15"/>
                <w:szCs w:val="15"/>
              </w:rPr>
            </w:pPr>
            <w:r>
              <w:rPr>
                <w:rFonts w:ascii="Arial Narrow"/>
                <w:spacing w:val="-1"/>
                <w:sz w:val="15"/>
              </w:rPr>
              <w:t>883,847.26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Narrow" w:hAnsi="Arial Narrow" w:cs="Arial Narrow" w:eastAsia="Arial Narrow" w:hint="default"/>
                <w:sz w:val="15"/>
                <w:szCs w:val="15"/>
              </w:rPr>
            </w:pPr>
            <w:r>
              <w:rPr>
                <w:rFonts w:ascii="Arial Narrow"/>
                <w:spacing w:val="-1"/>
                <w:sz w:val="15"/>
              </w:rPr>
              <w:t>1,866,767.51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848,980.24</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5"/>
                <w:szCs w:val="15"/>
              </w:rPr>
            </w:pPr>
            <w:r>
              <w:rPr>
                <w:rFonts w:ascii="Times New Roman"/>
                <w:spacing w:val="-1"/>
                <w:sz w:val="15"/>
              </w:rPr>
              <w:t>14,016,631.74</w:t>
            </w:r>
          </w:p>
        </w:tc>
      </w:tr>
      <w:tr>
        <w:trPr>
          <w:trHeight w:val="295"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left="600" w:right="0"/>
              <w:jc w:val="left"/>
              <w:rPr>
                <w:rFonts w:ascii="宋体" w:hAnsi="宋体" w:cs="宋体" w:eastAsia="宋体" w:hint="default"/>
                <w:sz w:val="16"/>
                <w:szCs w:val="16"/>
              </w:rPr>
            </w:pPr>
            <w:r>
              <w:rPr>
                <w:rFonts w:ascii="宋体" w:hAnsi="宋体" w:cs="宋体" w:eastAsia="宋体" w:hint="default"/>
                <w:sz w:val="16"/>
                <w:szCs w:val="16"/>
              </w:rPr>
              <w:t>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Arial Narrow" w:hAnsi="Arial Narrow" w:cs="Arial Narrow" w:eastAsia="Arial Narrow" w:hint="default"/>
                <w:sz w:val="15"/>
                <w:szCs w:val="15"/>
              </w:rPr>
            </w:pPr>
            <w:r>
              <w:rPr>
                <w:rFonts w:ascii="Arial Narrow"/>
                <w:spacing w:val="-1"/>
                <w:sz w:val="15"/>
              </w:rPr>
              <w:t>173,427,936.68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Narrow" w:hAnsi="Arial Narrow" w:cs="Arial Narrow" w:eastAsia="Arial Narrow" w:hint="default"/>
                <w:sz w:val="15"/>
                <w:szCs w:val="15"/>
              </w:rPr>
            </w:pPr>
            <w:r>
              <w:rPr>
                <w:rFonts w:ascii="Arial Narrow"/>
                <w:spacing w:val="-1"/>
                <w:sz w:val="15"/>
              </w:rPr>
              <w:t>379,650,533.16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143,413,802.47</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Times New Roman" w:hAnsi="Times New Roman" w:cs="Times New Roman" w:eastAsia="Times New Roman" w:hint="default"/>
                <w:sz w:val="15"/>
                <w:szCs w:val="15"/>
              </w:rPr>
            </w:pPr>
            <w:r>
              <w:rPr>
                <w:rFonts w:ascii="Times New Roman"/>
                <w:spacing w:val="-1"/>
                <w:sz w:val="15"/>
              </w:rPr>
              <w:t>332,640,393.01</w:t>
            </w:r>
          </w:p>
        </w:tc>
      </w:tr>
      <w:tr>
        <w:trPr>
          <w:trHeight w:val="310" w:hRule="exact"/>
        </w:trPr>
        <w:tc>
          <w:tcPr>
            <w:tcW w:w="3394"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9"/>
              <w:ind w:left="600"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Arial Narrow" w:hAnsi="Arial Narrow" w:cs="Arial Narrow" w:eastAsia="Arial Narrow" w:hint="default"/>
                <w:sz w:val="15"/>
                <w:szCs w:val="15"/>
              </w:rPr>
            </w:pPr>
            <w:r>
              <w:rPr>
                <w:rFonts w:ascii="Arial Narrow"/>
                <w:spacing w:val="-1"/>
                <w:sz w:val="15"/>
              </w:rPr>
              <w:t>194,586,328.15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Arial Narrow" w:hAnsi="Arial Narrow" w:cs="Arial Narrow" w:eastAsia="Arial Narrow" w:hint="default"/>
                <w:sz w:val="15"/>
                <w:szCs w:val="15"/>
              </w:rPr>
            </w:pPr>
            <w:r>
              <w:rPr>
                <w:rFonts w:ascii="Arial Narrow"/>
                <w:spacing w:val="-1"/>
                <w:sz w:val="15"/>
              </w:rPr>
              <w:t>153,559,584.44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Times New Roman" w:hAnsi="Times New Roman" w:cs="Times New Roman" w:eastAsia="Times New Roman" w:hint="default"/>
                <w:sz w:val="15"/>
                <w:szCs w:val="15"/>
              </w:rPr>
            </w:pPr>
            <w:r>
              <w:rPr>
                <w:rFonts w:ascii="Times New Roman"/>
                <w:spacing w:val="-1"/>
                <w:sz w:val="15"/>
              </w:rPr>
              <w:t>151,348,467.07</w:t>
            </w:r>
          </w:p>
        </w:tc>
        <w:tc>
          <w:tcPr>
            <w:tcW w:w="11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91"/>
              <w:jc w:val="right"/>
              <w:rPr>
                <w:rFonts w:ascii="Times New Roman" w:hAnsi="Times New Roman" w:cs="Times New Roman" w:eastAsia="Times New Roman" w:hint="default"/>
                <w:sz w:val="15"/>
                <w:szCs w:val="15"/>
              </w:rPr>
            </w:pPr>
            <w:r>
              <w:rPr>
                <w:rFonts w:ascii="Times New Roman"/>
                <w:spacing w:val="-2"/>
                <w:sz w:val="15"/>
              </w:rPr>
              <w:t>146,202,811.76</w:t>
            </w:r>
          </w:p>
        </w:tc>
      </w:tr>
      <w:tr>
        <w:trPr>
          <w:trHeight w:val="310" w:hRule="exact"/>
        </w:trPr>
        <w:tc>
          <w:tcPr>
            <w:tcW w:w="526" w:type="dxa"/>
            <w:tcBorders>
              <w:top w:val="single" w:sz="4" w:space="0" w:color="000000"/>
              <w:left w:val="single" w:sz="17"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6"/>
                <w:szCs w:val="16"/>
              </w:rPr>
            </w:pPr>
            <w:r>
              <w:rPr>
                <w:rFonts w:ascii="宋体" w:hAnsi="宋体" w:cs="宋体" w:eastAsia="宋体" w:hint="default"/>
                <w:sz w:val="16"/>
                <w:szCs w:val="16"/>
              </w:rPr>
              <w:t>四、</w:t>
            </w:r>
          </w:p>
        </w:tc>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6"/>
                <w:szCs w:val="16"/>
              </w:rPr>
            </w:pPr>
            <w:r>
              <w:rPr>
                <w:rFonts w:ascii="宋体" w:hAnsi="宋体" w:cs="宋体" w:eastAsia="宋体" w:hint="default"/>
                <w:sz w:val="16"/>
                <w:szCs w:val="16"/>
              </w:rPr>
              <w:t>汇率变动对现金的影响</w:t>
            </w:r>
          </w:p>
        </w:tc>
        <w:tc>
          <w:tcPr>
            <w:tcW w:w="59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526" w:type="dxa"/>
            <w:tcBorders>
              <w:top w:val="single" w:sz="4" w:space="0" w:color="000000"/>
              <w:left w:val="single" w:sz="17" w:space="0" w:color="000000"/>
              <w:bottom w:val="single" w:sz="17" w:space="0" w:color="000000"/>
              <w:right w:val="nil" w:sz="6" w:space="0" w:color="auto"/>
            </w:tcBorders>
          </w:tcPr>
          <w:p>
            <w:pPr>
              <w:pStyle w:val="TableParagraph"/>
              <w:spacing w:line="240" w:lineRule="auto" w:before="22"/>
              <w:ind w:right="7"/>
              <w:jc w:val="center"/>
              <w:rPr>
                <w:rFonts w:ascii="宋体" w:hAnsi="宋体" w:cs="宋体" w:eastAsia="宋体" w:hint="default"/>
                <w:sz w:val="16"/>
                <w:szCs w:val="16"/>
              </w:rPr>
            </w:pPr>
            <w:r>
              <w:rPr>
                <w:rFonts w:ascii="宋体" w:hAnsi="宋体" w:cs="宋体" w:eastAsia="宋体" w:hint="default"/>
                <w:sz w:val="16"/>
                <w:szCs w:val="16"/>
              </w:rPr>
              <w:t>五、</w:t>
            </w:r>
          </w:p>
        </w:tc>
        <w:tc>
          <w:tcPr>
            <w:tcW w:w="286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95" w:right="0"/>
              <w:jc w:val="left"/>
              <w:rPr>
                <w:rFonts w:ascii="宋体" w:hAnsi="宋体" w:cs="宋体" w:eastAsia="宋体" w:hint="default"/>
                <w:sz w:val="16"/>
                <w:szCs w:val="16"/>
              </w:rPr>
            </w:pPr>
            <w:r>
              <w:rPr>
                <w:rFonts w:ascii="宋体" w:hAnsi="宋体" w:cs="宋体" w:eastAsia="宋体" w:hint="default"/>
                <w:sz w:val="16"/>
                <w:szCs w:val="16"/>
              </w:rPr>
              <w:t>现金及现金等价物净增加额</w:t>
            </w:r>
          </w:p>
        </w:tc>
        <w:tc>
          <w:tcPr>
            <w:tcW w:w="590" w:type="dxa"/>
            <w:tcBorders>
              <w:top w:val="single" w:sz="4" w:space="0" w:color="000000"/>
              <w:left w:val="single" w:sz="4" w:space="0" w:color="000000"/>
              <w:bottom w:val="single" w:sz="17" w:space="0" w:color="000000"/>
              <w:right w:val="single" w:sz="4" w:space="0" w:color="000000"/>
            </w:tcBorders>
          </w:tcPr>
          <w:p>
            <w:pPr/>
          </w:p>
        </w:tc>
        <w:tc>
          <w:tcPr>
            <w:tcW w:w="773" w:type="dxa"/>
            <w:tcBorders>
              <w:top w:val="single" w:sz="4" w:space="0" w:color="000000"/>
              <w:left w:val="single" w:sz="4" w:space="0" w:color="000000"/>
              <w:bottom w:val="single" w:sz="17" w:space="0" w:color="000000"/>
              <w:right w:val="single" w:sz="4" w:space="0" w:color="000000"/>
            </w:tcBorders>
          </w:tcPr>
          <w:p>
            <w:pPr/>
          </w:p>
        </w:tc>
        <w:tc>
          <w:tcPr>
            <w:tcW w:w="11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Arial Narrow" w:hAnsi="Arial Narrow" w:cs="Arial Narrow" w:eastAsia="Arial Narrow" w:hint="default"/>
                <w:sz w:val="15"/>
                <w:szCs w:val="15"/>
              </w:rPr>
            </w:pPr>
            <w:r>
              <w:rPr>
                <w:rFonts w:ascii="Arial Narrow"/>
                <w:spacing w:val="-1"/>
                <w:sz w:val="15"/>
              </w:rPr>
              <w:t>-20,522,017.51</w:t>
            </w:r>
          </w:p>
        </w:tc>
        <w:tc>
          <w:tcPr>
            <w:tcW w:w="11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3"/>
              <w:jc w:val="right"/>
              <w:rPr>
                <w:rFonts w:ascii="Arial Narrow" w:hAnsi="Arial Narrow" w:cs="Arial Narrow" w:eastAsia="Arial Narrow" w:hint="default"/>
                <w:sz w:val="15"/>
                <w:szCs w:val="15"/>
              </w:rPr>
            </w:pPr>
            <w:r>
              <w:rPr>
                <w:rFonts w:ascii="Arial Narrow"/>
                <w:spacing w:val="-1"/>
                <w:sz w:val="15"/>
              </w:rPr>
              <w:t>165,923,143.91</w:t>
            </w:r>
          </w:p>
        </w:tc>
        <w:tc>
          <w:tcPr>
            <w:tcW w:w="12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9"/>
              <w:ind w:right="103"/>
              <w:jc w:val="right"/>
              <w:rPr>
                <w:rFonts w:ascii="Times New Roman" w:hAnsi="Times New Roman" w:cs="Times New Roman" w:eastAsia="Times New Roman" w:hint="default"/>
                <w:sz w:val="15"/>
                <w:szCs w:val="15"/>
              </w:rPr>
            </w:pPr>
            <w:r>
              <w:rPr>
                <w:rFonts w:ascii="Times New Roman"/>
                <w:spacing w:val="-1"/>
                <w:sz w:val="15"/>
              </w:rPr>
              <w:t>-7,260,894.10</w:t>
            </w:r>
          </w:p>
        </w:tc>
        <w:tc>
          <w:tcPr>
            <w:tcW w:w="1169" w:type="dxa"/>
            <w:tcBorders>
              <w:top w:val="single" w:sz="4" w:space="0" w:color="000000"/>
              <w:left w:val="single" w:sz="4" w:space="0" w:color="000000"/>
              <w:bottom w:val="single" w:sz="17" w:space="0" w:color="000000"/>
              <w:right w:val="single" w:sz="12" w:space="0" w:color="000000"/>
            </w:tcBorders>
          </w:tcPr>
          <w:p>
            <w:pPr>
              <w:pStyle w:val="TableParagraph"/>
              <w:spacing w:line="240" w:lineRule="auto" w:before="59"/>
              <w:ind w:right="91"/>
              <w:jc w:val="right"/>
              <w:rPr>
                <w:rFonts w:ascii="Times New Roman" w:hAnsi="Times New Roman" w:cs="Times New Roman" w:eastAsia="Times New Roman" w:hint="default"/>
                <w:sz w:val="15"/>
                <w:szCs w:val="15"/>
              </w:rPr>
            </w:pPr>
            <w:r>
              <w:rPr>
                <w:rFonts w:ascii="Times New Roman"/>
                <w:spacing w:val="-1"/>
                <w:sz w:val="15"/>
              </w:rPr>
              <w:t>132,872,070.14</w:t>
            </w:r>
          </w:p>
        </w:tc>
      </w:tr>
    </w:tbl>
    <w:p>
      <w:pPr>
        <w:spacing w:line="240" w:lineRule="auto" w:before="1"/>
        <w:rPr>
          <w:rFonts w:ascii="宋体" w:hAnsi="宋体" w:cs="宋体" w:eastAsia="宋体" w:hint="default"/>
          <w:b/>
          <w:bCs/>
          <w:sz w:val="12"/>
          <w:szCs w:val="12"/>
        </w:rPr>
      </w:pPr>
    </w:p>
    <w:p>
      <w:pPr>
        <w:spacing w:before="44"/>
        <w:ind w:left="246"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232" w:val="left" w:leader="none"/>
          <w:tab w:pos="7026" w:val="left" w:leader="none"/>
        </w:tabs>
        <w:spacing w:before="141"/>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16" w:footer="956" w:top="1160" w:bottom="1140" w:left="1120" w:right="0"/>
        </w:sectPr>
      </w:pPr>
    </w:p>
    <w:p>
      <w:pPr>
        <w:spacing w:line="240" w:lineRule="auto" w:before="5"/>
        <w:rPr>
          <w:rFonts w:ascii="宋体" w:hAnsi="宋体" w:cs="宋体" w:eastAsia="宋体" w:hint="default"/>
          <w:b/>
          <w:bCs/>
          <w:sz w:val="14"/>
          <w:szCs w:val="14"/>
        </w:rPr>
      </w:pPr>
    </w:p>
    <w:p>
      <w:pPr>
        <w:spacing w:line="260" w:lineRule="exact" w:before="37"/>
        <w:ind w:left="0" w:right="249" w:firstLine="0"/>
        <w:jc w:val="center"/>
        <w:rPr>
          <w:rFonts w:ascii="宋体" w:hAnsi="宋体" w:cs="宋体" w:eastAsia="宋体" w:hint="default"/>
          <w:sz w:val="20"/>
          <w:szCs w:val="20"/>
        </w:rPr>
      </w:pPr>
      <w:r>
        <w:rPr>
          <w:rFonts w:ascii="宋体" w:hAnsi="宋体" w:cs="宋体" w:eastAsia="宋体" w:hint="default"/>
          <w:b/>
          <w:bCs/>
          <w:sz w:val="20"/>
          <w:szCs w:val="20"/>
        </w:rPr>
        <w:t>合并股东权益变动表</w:t>
      </w:r>
      <w:r>
        <w:rPr>
          <w:rFonts w:ascii="宋体" w:hAnsi="宋体" w:cs="宋体" w:eastAsia="宋体" w:hint="default"/>
          <w:sz w:val="20"/>
          <w:szCs w:val="20"/>
        </w:rPr>
      </w:r>
    </w:p>
    <w:p>
      <w:pPr>
        <w:tabs>
          <w:tab w:pos="13211" w:val="left" w:leader="none"/>
        </w:tabs>
        <w:spacing w:line="260" w:lineRule="exact" w:before="0"/>
        <w:ind w:left="0" w:right="25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3514"/>
        <w:gridCol w:w="1253"/>
        <w:gridCol w:w="1433"/>
        <w:gridCol w:w="1280"/>
        <w:gridCol w:w="1690"/>
        <w:gridCol w:w="1349"/>
        <w:gridCol w:w="1441"/>
        <w:gridCol w:w="1320"/>
        <w:gridCol w:w="1556"/>
      </w:tblGrid>
      <w:tr>
        <w:trPr>
          <w:trHeight w:val="269" w:hRule="exact"/>
        </w:trPr>
        <w:tc>
          <w:tcPr>
            <w:tcW w:w="3514"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6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320" w:type="dxa"/>
            <w:gridSpan w:val="8"/>
            <w:tcBorders>
              <w:top w:val="single" w:sz="17" w:space="0" w:color="000000"/>
              <w:left w:val="single" w:sz="4" w:space="0" w:color="000000"/>
              <w:bottom w:val="single" w:sz="4" w:space="0" w:color="000000"/>
              <w:right w:val="single" w:sz="17" w:space="0" w:color="000000"/>
            </w:tcBorders>
          </w:tcPr>
          <w:p>
            <w:pPr>
              <w:pStyle w:val="TableParagraph"/>
              <w:spacing w:line="200" w:lineRule="exact"/>
              <w:ind w:left="91" w:right="0"/>
              <w:jc w:val="center"/>
              <w:rPr>
                <w:rFonts w:ascii="宋体" w:hAnsi="宋体" w:cs="宋体" w:eastAsia="宋体" w:hint="default"/>
                <w:sz w:val="16"/>
                <w:szCs w:val="16"/>
              </w:rPr>
            </w:pPr>
            <w:r>
              <w:rPr>
                <w:rFonts w:ascii="宋体" w:hAnsi="宋体" w:cs="宋体" w:eastAsia="宋体" w:hint="default"/>
                <w:b/>
                <w:bCs/>
                <w:sz w:val="16"/>
                <w:szCs w:val="16"/>
              </w:rPr>
              <w:t>2010</w:t>
            </w:r>
            <w:r>
              <w:rPr>
                <w:rFonts w:ascii="宋体" w:hAnsi="宋体" w:cs="宋体" w:eastAsia="宋体" w:hint="default"/>
                <w:b/>
                <w:bCs/>
                <w:spacing w:val="-45"/>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250" w:hRule="exact"/>
        </w:trPr>
        <w:tc>
          <w:tcPr>
            <w:tcW w:w="3514" w:type="dxa"/>
            <w:vMerge/>
            <w:tcBorders>
              <w:left w:val="single" w:sz="17" w:space="0" w:color="000000"/>
              <w:right w:val="single" w:sz="4" w:space="0" w:color="000000"/>
            </w:tcBorders>
          </w:tcPr>
          <w:p>
            <w:pPr/>
          </w:p>
        </w:tc>
        <w:tc>
          <w:tcPr>
            <w:tcW w:w="84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76"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556" w:type="dxa"/>
            <w:vMerge w:val="restart"/>
            <w:tcBorders>
              <w:top w:val="single" w:sz="4" w:space="0" w:color="000000"/>
              <w:left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87"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15" w:hRule="exact"/>
        </w:trPr>
        <w:tc>
          <w:tcPr>
            <w:tcW w:w="3514" w:type="dxa"/>
            <w:vMerge/>
            <w:tcBorders>
              <w:left w:val="single" w:sz="17"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7"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9"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3"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59"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9" w:right="0"/>
              <w:jc w:val="center"/>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71"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320" w:type="dxa"/>
            <w:vMerge/>
            <w:tcBorders>
              <w:left w:val="single" w:sz="4" w:space="0" w:color="000000"/>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4" w:right="0"/>
              <w:jc w:val="center"/>
              <w:rPr>
                <w:rFonts w:ascii="Arial Narrow" w:hAnsi="Arial Narrow" w:cs="Arial Narrow" w:eastAsia="Arial Narrow" w:hint="default"/>
                <w:sz w:val="18"/>
                <w:szCs w:val="18"/>
              </w:rPr>
            </w:pPr>
            <w:r>
              <w:rPr>
                <w:rFonts w:ascii="Arial Narrow"/>
                <w:sz w:val="18"/>
              </w:rPr>
              <w:t>110,000,000.00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2"/>
                <w:sz w:val="18"/>
              </w:rPr>
              <w:t>226,611,234.10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18,201,742.57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center"/>
              <w:rPr>
                <w:rFonts w:ascii="Arial Narrow" w:hAnsi="Arial Narrow" w:cs="Arial Narrow" w:eastAsia="Arial Narrow" w:hint="default"/>
                <w:sz w:val="18"/>
                <w:szCs w:val="18"/>
              </w:rPr>
            </w:pPr>
            <w:r>
              <w:rPr>
                <w:rFonts w:ascii="Arial Narrow"/>
                <w:sz w:val="18"/>
              </w:rPr>
              <w:t>97,735,849.73</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2,701,900.56</w:t>
            </w: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455,250,726.96</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4" w:right="0"/>
              <w:jc w:val="center"/>
              <w:rPr>
                <w:rFonts w:ascii="Arial Narrow" w:hAnsi="Arial Narrow" w:cs="Arial Narrow" w:eastAsia="Arial Narrow" w:hint="default"/>
                <w:sz w:val="18"/>
                <w:szCs w:val="18"/>
              </w:rPr>
            </w:pPr>
            <w:r>
              <w:rPr>
                <w:rFonts w:ascii="Arial Narrow"/>
                <w:sz w:val="18"/>
              </w:rPr>
              <w:t>110,000,000.00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Arial Narrow" w:hAnsi="Arial Narrow" w:cs="Arial Narrow" w:eastAsia="Arial Narrow" w:hint="default"/>
                <w:sz w:val="18"/>
                <w:szCs w:val="18"/>
              </w:rPr>
            </w:pPr>
            <w:r>
              <w:rPr>
                <w:rFonts w:ascii="Arial Narrow"/>
                <w:spacing w:val="-2"/>
                <w:sz w:val="18"/>
              </w:rPr>
              <w:t>226,611,234.10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1"/>
                <w:sz w:val="18"/>
              </w:rPr>
              <w:t>18,201,742.57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82" w:right="0"/>
              <w:jc w:val="center"/>
              <w:rPr>
                <w:rFonts w:ascii="Arial Narrow" w:hAnsi="Arial Narrow" w:cs="Arial Narrow" w:eastAsia="Arial Narrow" w:hint="default"/>
                <w:sz w:val="18"/>
                <w:szCs w:val="18"/>
              </w:rPr>
            </w:pPr>
            <w:r>
              <w:rPr>
                <w:rFonts w:ascii="Arial Narrow"/>
                <w:sz w:val="18"/>
              </w:rPr>
              <w:t>97,735,849.73</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5"/>
              <w:jc w:val="right"/>
              <w:rPr>
                <w:rFonts w:ascii="Arial Narrow" w:hAnsi="Arial Narrow" w:cs="Arial Narrow" w:eastAsia="Arial Narrow" w:hint="default"/>
                <w:sz w:val="18"/>
                <w:szCs w:val="18"/>
              </w:rPr>
            </w:pPr>
            <w:r>
              <w:rPr>
                <w:rFonts w:ascii="Arial Narrow"/>
                <w:spacing w:val="-1"/>
                <w:sz w:val="18"/>
              </w:rPr>
              <w:t>2,701,900.56</w:t>
            </w: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
              <w:ind w:right="89"/>
              <w:jc w:val="right"/>
              <w:rPr>
                <w:rFonts w:ascii="Arial Narrow" w:hAnsi="Arial Narrow" w:cs="Arial Narrow" w:eastAsia="Arial Narrow" w:hint="default"/>
                <w:sz w:val="18"/>
                <w:szCs w:val="18"/>
              </w:rPr>
            </w:pPr>
            <w:r>
              <w:rPr>
                <w:rFonts w:ascii="Arial Narrow"/>
                <w:spacing w:val="-1"/>
                <w:sz w:val="18"/>
              </w:rPr>
              <w:t>455,250,726.96</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6"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-55,000,000.00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3,246,856.40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center"/>
              <w:rPr>
                <w:rFonts w:ascii="Arial Narrow" w:hAnsi="Arial Narrow" w:cs="Arial Narrow" w:eastAsia="Arial Narrow" w:hint="default"/>
                <w:sz w:val="18"/>
                <w:szCs w:val="18"/>
              </w:rPr>
            </w:pPr>
            <w:r>
              <w:rPr>
                <w:rFonts w:ascii="Arial Narrow"/>
                <w:sz w:val="18"/>
              </w:rPr>
              <w:t>32,888,731.21</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338,387.44</w:t>
            </w: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36,473,975.05</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center"/>
              <w:rPr>
                <w:rFonts w:ascii="Arial Narrow" w:hAnsi="Arial Narrow" w:cs="Arial Narrow" w:eastAsia="Arial Narrow" w:hint="default"/>
                <w:sz w:val="18"/>
                <w:szCs w:val="18"/>
              </w:rPr>
            </w:pPr>
            <w:r>
              <w:rPr>
                <w:rFonts w:ascii="Arial Narrow"/>
                <w:sz w:val="18"/>
              </w:rPr>
              <w:t>42,735,587.61</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338,387.44</w:t>
            </w: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43,073,975.05</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2" w:right="0"/>
              <w:jc w:val="center"/>
              <w:rPr>
                <w:rFonts w:ascii="Arial Narrow" w:hAnsi="Arial Narrow" w:cs="Arial Narrow" w:eastAsia="Arial Narrow" w:hint="default"/>
                <w:sz w:val="18"/>
                <w:szCs w:val="18"/>
              </w:rPr>
            </w:pPr>
            <w:r>
              <w:rPr>
                <w:rFonts w:ascii="Arial Narrow"/>
                <w:sz w:val="18"/>
              </w:rPr>
              <w:t>42,735,587.61</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338,387.44</w:t>
            </w: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43,073,975.05</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3,246,856.40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4" w:right="0"/>
              <w:jc w:val="center"/>
              <w:rPr>
                <w:rFonts w:ascii="Arial Narrow" w:hAnsi="Arial Narrow" w:cs="Arial Narrow" w:eastAsia="Arial Narrow" w:hint="default"/>
                <w:sz w:val="18"/>
                <w:szCs w:val="18"/>
              </w:rPr>
            </w:pPr>
            <w:r>
              <w:rPr>
                <w:rFonts w:ascii="Arial Narrow"/>
                <w:sz w:val="18"/>
              </w:rPr>
              <w:t>-9,846,856.40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-6,600,000.00</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3,246,856.40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4" w:right="0"/>
              <w:jc w:val="center"/>
              <w:rPr>
                <w:rFonts w:ascii="Arial Narrow" w:hAnsi="Arial Narrow" w:cs="Arial Narrow" w:eastAsia="Arial Narrow" w:hint="default"/>
                <w:sz w:val="18"/>
                <w:szCs w:val="18"/>
              </w:rPr>
            </w:pPr>
            <w:r>
              <w:rPr>
                <w:rFonts w:ascii="Arial Narrow"/>
                <w:sz w:val="18"/>
              </w:rPr>
              <w:t>-3,246,856.40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13" w:right="0"/>
              <w:jc w:val="center"/>
              <w:rPr>
                <w:rFonts w:ascii="Arial Narrow" w:hAnsi="Arial Narrow" w:cs="Arial Narrow" w:eastAsia="Arial Narrow" w:hint="default"/>
                <w:sz w:val="18"/>
                <w:szCs w:val="18"/>
              </w:rPr>
            </w:pPr>
            <w:r>
              <w:rPr>
                <w:rFonts w:ascii="Arial Narrow"/>
                <w:sz w:val="18"/>
              </w:rPr>
              <w:t>-6,600,000.00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
              <w:ind w:right="89"/>
              <w:jc w:val="right"/>
              <w:rPr>
                <w:rFonts w:ascii="Arial Narrow" w:hAnsi="Arial Narrow" w:cs="Arial Narrow" w:eastAsia="Arial Narrow" w:hint="default"/>
                <w:sz w:val="18"/>
                <w:szCs w:val="18"/>
              </w:rPr>
            </w:pPr>
            <w:r>
              <w:rPr>
                <w:rFonts w:ascii="Arial Narrow"/>
                <w:spacing w:val="-1"/>
                <w:sz w:val="18"/>
              </w:rPr>
              <w:t>-6,600,000.00</w:t>
            </w: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6"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-55,000,000.00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6" w:right="0"/>
              <w:jc w:val="center"/>
              <w:rPr>
                <w:rFonts w:ascii="Arial Narrow" w:hAnsi="Arial Narrow" w:cs="Arial Narrow" w:eastAsia="Arial Narrow" w:hint="default"/>
                <w:sz w:val="18"/>
                <w:szCs w:val="18"/>
              </w:rPr>
            </w:pPr>
            <w:r>
              <w:rPr>
                <w:rFonts w:ascii="Arial Narrow"/>
                <w:sz w:val="18"/>
              </w:rPr>
              <w:t>55,000,000.00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-55,000,000.00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14"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17" w:space="0" w:color="000000"/>
            </w:tcBorders>
          </w:tcPr>
          <w:p>
            <w:pPr/>
          </w:p>
        </w:tc>
      </w:tr>
      <w:tr>
        <w:trPr>
          <w:trHeight w:val="266" w:hRule="exact"/>
        </w:trPr>
        <w:tc>
          <w:tcPr>
            <w:tcW w:w="3514" w:type="dxa"/>
            <w:tcBorders>
              <w:top w:val="single" w:sz="4" w:space="0" w:color="000000"/>
              <w:left w:val="single" w:sz="17" w:space="0" w:color="000000"/>
              <w:bottom w:val="single" w:sz="17"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2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left="2" w:right="0"/>
              <w:jc w:val="center"/>
              <w:rPr>
                <w:rFonts w:ascii="Arial Narrow" w:hAnsi="Arial Narrow" w:cs="Arial Narrow" w:eastAsia="Arial Narrow" w:hint="default"/>
                <w:sz w:val="18"/>
                <w:szCs w:val="18"/>
              </w:rPr>
            </w:pPr>
            <w:r>
              <w:rPr>
                <w:rFonts w:ascii="Arial Narrow"/>
                <w:sz w:val="18"/>
              </w:rPr>
              <w:t>165,000,000.00</w:t>
            </w: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2"/>
                <w:sz w:val="18"/>
              </w:rPr>
              <w:t>171,611,234.10</w:t>
            </w:r>
          </w:p>
        </w:tc>
        <w:tc>
          <w:tcPr>
            <w:tcW w:w="1280" w:type="dxa"/>
            <w:tcBorders>
              <w:top w:val="single" w:sz="4" w:space="0" w:color="000000"/>
              <w:left w:val="single" w:sz="4" w:space="0" w:color="000000"/>
              <w:bottom w:val="single" w:sz="17" w:space="0" w:color="000000"/>
              <w:right w:val="single" w:sz="4" w:space="0" w:color="000000"/>
            </w:tcBorders>
          </w:tcPr>
          <w:p>
            <w:pPr/>
          </w:p>
        </w:tc>
        <w:tc>
          <w:tcPr>
            <w:tcW w:w="16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21,448,598.97</w:t>
            </w:r>
          </w:p>
        </w:tc>
        <w:tc>
          <w:tcPr>
            <w:tcW w:w="13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left="100" w:right="0"/>
              <w:jc w:val="center"/>
              <w:rPr>
                <w:rFonts w:ascii="Arial Narrow" w:hAnsi="Arial Narrow" w:cs="Arial Narrow" w:eastAsia="Arial Narrow" w:hint="default"/>
                <w:sz w:val="18"/>
                <w:szCs w:val="18"/>
              </w:rPr>
            </w:pPr>
            <w:r>
              <w:rPr>
                <w:rFonts w:ascii="Arial Narrow"/>
                <w:sz w:val="18"/>
              </w:rPr>
              <w:t>130,624,580.94</w:t>
            </w:r>
          </w:p>
        </w:tc>
        <w:tc>
          <w:tcPr>
            <w:tcW w:w="1441" w:type="dxa"/>
            <w:tcBorders>
              <w:top w:val="single" w:sz="4" w:space="0" w:color="000000"/>
              <w:left w:val="single" w:sz="4" w:space="0" w:color="000000"/>
              <w:bottom w:val="single" w:sz="17" w:space="0" w:color="000000"/>
              <w:right w:val="single" w:sz="4" w:space="0" w:color="000000"/>
            </w:tcBorders>
          </w:tcPr>
          <w:p>
            <w:pPr/>
          </w:p>
        </w:tc>
        <w:tc>
          <w:tcPr>
            <w:tcW w:w="13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3,040,288.00</w:t>
            </w:r>
          </w:p>
        </w:tc>
        <w:tc>
          <w:tcPr>
            <w:tcW w:w="155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491,724,702.01</w:t>
            </w:r>
          </w:p>
        </w:tc>
      </w:tr>
    </w:tbl>
    <w:p>
      <w:pPr>
        <w:spacing w:line="240" w:lineRule="auto" w:before="5"/>
        <w:rPr>
          <w:rFonts w:ascii="宋体" w:hAnsi="宋体" w:cs="宋体" w:eastAsia="宋体" w:hint="default"/>
          <w:b/>
          <w:bCs/>
          <w:sz w:val="19"/>
          <w:szCs w:val="19"/>
        </w:rPr>
      </w:pPr>
    </w:p>
    <w:p>
      <w:pPr>
        <w:tabs>
          <w:tab w:pos="5672" w:val="left" w:leader="none"/>
          <w:tab w:pos="11457" w:val="left" w:leader="none"/>
        </w:tabs>
        <w:spacing w:before="44"/>
        <w:ind w:left="428"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17"/>
          <w:footerReference w:type="default" r:id="rId18"/>
          <w:pgSz w:w="16840" w:h="11910" w:orient="landscape"/>
          <w:pgMar w:header="816" w:footer="956" w:top="1160" w:bottom="1140" w:left="1480" w:right="0"/>
          <w:pgNumType w:start="73"/>
        </w:sectPr>
      </w:pPr>
    </w:p>
    <w:p>
      <w:pPr>
        <w:spacing w:line="240" w:lineRule="auto" w:before="5"/>
        <w:rPr>
          <w:rFonts w:ascii="宋体" w:hAnsi="宋体" w:cs="宋体" w:eastAsia="宋体" w:hint="default"/>
          <w:b/>
          <w:bCs/>
          <w:sz w:val="14"/>
          <w:szCs w:val="14"/>
        </w:rPr>
      </w:pPr>
    </w:p>
    <w:p>
      <w:pPr>
        <w:spacing w:line="260" w:lineRule="exact" w:before="37"/>
        <w:ind w:left="0" w:right="543" w:firstLine="0"/>
        <w:jc w:val="center"/>
        <w:rPr>
          <w:rFonts w:ascii="宋体" w:hAnsi="宋体" w:cs="宋体" w:eastAsia="宋体" w:hint="default"/>
          <w:sz w:val="20"/>
          <w:szCs w:val="20"/>
        </w:rPr>
      </w:pPr>
      <w:r>
        <w:rPr>
          <w:rFonts w:ascii="宋体" w:hAnsi="宋体" w:cs="宋体" w:eastAsia="宋体" w:hint="default"/>
          <w:b/>
          <w:bCs/>
          <w:sz w:val="20"/>
          <w:szCs w:val="20"/>
        </w:rPr>
        <w:t>合并股东权益变动表</w:t>
      </w:r>
      <w:r>
        <w:rPr>
          <w:rFonts w:ascii="宋体" w:hAnsi="宋体" w:cs="宋体" w:eastAsia="宋体" w:hint="default"/>
          <w:sz w:val="20"/>
          <w:szCs w:val="20"/>
        </w:rPr>
      </w:r>
    </w:p>
    <w:p>
      <w:pPr>
        <w:tabs>
          <w:tab w:pos="12918" w:val="left" w:leader="none"/>
        </w:tabs>
        <w:spacing w:line="260" w:lineRule="exact" w:before="0"/>
        <w:ind w:left="0" w:right="543"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3548"/>
        <w:gridCol w:w="1477"/>
        <w:gridCol w:w="1445"/>
        <w:gridCol w:w="1092"/>
        <w:gridCol w:w="1260"/>
        <w:gridCol w:w="1260"/>
        <w:gridCol w:w="1417"/>
        <w:gridCol w:w="1615"/>
        <w:gridCol w:w="1428"/>
      </w:tblGrid>
      <w:tr>
        <w:trPr>
          <w:trHeight w:val="269" w:hRule="exact"/>
        </w:trPr>
        <w:tc>
          <w:tcPr>
            <w:tcW w:w="3548"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65"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994" w:type="dxa"/>
            <w:gridSpan w:val="8"/>
            <w:tcBorders>
              <w:top w:val="single" w:sz="17" w:space="0" w:color="000000"/>
              <w:left w:val="single" w:sz="4" w:space="0" w:color="000000"/>
              <w:bottom w:val="single" w:sz="4" w:space="0" w:color="000000"/>
              <w:right w:val="single" w:sz="17" w:space="0" w:color="000000"/>
            </w:tcBorders>
          </w:tcPr>
          <w:p>
            <w:pPr>
              <w:pStyle w:val="TableParagraph"/>
              <w:spacing w:line="200" w:lineRule="exact"/>
              <w:ind w:left="96" w:right="0"/>
              <w:jc w:val="center"/>
              <w:rPr>
                <w:rFonts w:ascii="宋体" w:hAnsi="宋体" w:cs="宋体" w:eastAsia="宋体" w:hint="default"/>
                <w:sz w:val="16"/>
                <w:szCs w:val="16"/>
              </w:rPr>
            </w:pPr>
            <w:r>
              <w:rPr>
                <w:rFonts w:ascii="宋体" w:hAnsi="宋体" w:cs="宋体" w:eastAsia="宋体" w:hint="default"/>
                <w:b/>
                <w:bCs/>
                <w:sz w:val="16"/>
                <w:szCs w:val="16"/>
              </w:rPr>
              <w:t>2009</w:t>
            </w:r>
            <w:r>
              <w:rPr>
                <w:rFonts w:ascii="宋体" w:hAnsi="宋体" w:cs="宋体" w:eastAsia="宋体" w:hint="default"/>
                <w:b/>
                <w:bCs/>
                <w:spacing w:val="-45"/>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250" w:hRule="exact"/>
        </w:trPr>
        <w:tc>
          <w:tcPr>
            <w:tcW w:w="3548" w:type="dxa"/>
            <w:vMerge/>
            <w:tcBorders>
              <w:left w:val="single" w:sz="17" w:space="0" w:color="000000"/>
              <w:right w:val="single" w:sz="4" w:space="0" w:color="000000"/>
            </w:tcBorders>
          </w:tcPr>
          <w:p>
            <w:pPr/>
          </w:p>
        </w:tc>
        <w:tc>
          <w:tcPr>
            <w:tcW w:w="79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81"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428" w:type="dxa"/>
            <w:vMerge w:val="restart"/>
            <w:tcBorders>
              <w:top w:val="single" w:sz="4" w:space="0" w:color="000000"/>
              <w:left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15" w:hRule="exact"/>
        </w:trPr>
        <w:tc>
          <w:tcPr>
            <w:tcW w:w="3548" w:type="dxa"/>
            <w:vMerge/>
            <w:tcBorders>
              <w:left w:val="single" w:sz="17"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9"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4"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29"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43"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3"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0"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615"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17" w:space="0" w:color="000000"/>
            </w:tcBorders>
          </w:tcPr>
          <w:p>
            <w:pPr/>
          </w:p>
        </w:tc>
      </w:tr>
      <w:tr>
        <w:trPr>
          <w:trHeight w:val="42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7"/>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82,000,000.00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Arial Narrow" w:hAnsi="Arial Narrow" w:cs="Arial Narrow" w:eastAsia="Arial Narrow" w:hint="default"/>
                <w:sz w:val="18"/>
                <w:szCs w:val="18"/>
              </w:rPr>
            </w:pPr>
            <w:r>
              <w:rPr>
                <w:rFonts w:ascii="Arial Narrow"/>
                <w:spacing w:val="-1"/>
                <w:sz w:val="18"/>
              </w:rPr>
              <w:t>14,471,518.16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15,450,990.51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Arial Narrow" w:hAnsi="Arial Narrow" w:cs="Arial Narrow" w:eastAsia="Arial Narrow" w:hint="default"/>
                <w:sz w:val="18"/>
                <w:szCs w:val="18"/>
              </w:rPr>
            </w:pPr>
            <w:r>
              <w:rPr>
                <w:rFonts w:ascii="Arial Narrow"/>
                <w:sz w:val="18"/>
              </w:rPr>
              <w:t>62,500,053.71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2,006,956.41</w:t>
            </w: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88"/>
              <w:jc w:val="right"/>
              <w:rPr>
                <w:rFonts w:ascii="Arial Narrow" w:hAnsi="Arial Narrow" w:cs="Arial Narrow" w:eastAsia="Arial Narrow" w:hint="default"/>
                <w:sz w:val="18"/>
                <w:szCs w:val="18"/>
              </w:rPr>
            </w:pPr>
            <w:r>
              <w:rPr>
                <w:rFonts w:ascii="Arial Narrow"/>
                <w:spacing w:val="-1"/>
                <w:sz w:val="18"/>
              </w:rPr>
              <w:t>176,429,518.79</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42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7"/>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82,000,000.00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Arial Narrow" w:hAnsi="Arial Narrow" w:cs="Arial Narrow" w:eastAsia="Arial Narrow" w:hint="default"/>
                <w:sz w:val="18"/>
                <w:szCs w:val="18"/>
              </w:rPr>
            </w:pPr>
            <w:r>
              <w:rPr>
                <w:rFonts w:ascii="Arial Narrow"/>
                <w:spacing w:val="-1"/>
                <w:sz w:val="18"/>
              </w:rPr>
              <w:t>14,471,518.16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15,450,990.51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Arial Narrow" w:hAnsi="Arial Narrow" w:cs="Arial Narrow" w:eastAsia="Arial Narrow" w:hint="default"/>
                <w:sz w:val="18"/>
                <w:szCs w:val="18"/>
              </w:rPr>
            </w:pPr>
            <w:r>
              <w:rPr>
                <w:rFonts w:ascii="Arial Narrow"/>
                <w:sz w:val="18"/>
              </w:rPr>
              <w:t>62,500,053.71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Arial Narrow" w:hAnsi="Arial Narrow" w:cs="Arial Narrow" w:eastAsia="Arial Narrow" w:hint="default"/>
                <w:sz w:val="18"/>
                <w:szCs w:val="18"/>
              </w:rPr>
            </w:pPr>
            <w:r>
              <w:rPr>
                <w:rFonts w:ascii="Arial Narrow"/>
                <w:spacing w:val="-1"/>
                <w:sz w:val="18"/>
              </w:rPr>
              <w:t>2,006,956.41</w:t>
            </w: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2"/>
              <w:ind w:right="88"/>
              <w:jc w:val="right"/>
              <w:rPr>
                <w:rFonts w:ascii="Arial Narrow" w:hAnsi="Arial Narrow" w:cs="Arial Narrow" w:eastAsia="Arial Narrow" w:hint="default"/>
                <w:sz w:val="18"/>
                <w:szCs w:val="18"/>
              </w:rPr>
            </w:pPr>
            <w:r>
              <w:rPr>
                <w:rFonts w:ascii="Arial Narrow"/>
                <w:spacing w:val="-1"/>
                <w:sz w:val="18"/>
              </w:rPr>
              <w:t>176,429,518.79</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28,000,000.00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212,139,715.94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2,750,752.06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03" w:right="0"/>
              <w:jc w:val="left"/>
              <w:rPr>
                <w:rFonts w:ascii="Arial Narrow" w:hAnsi="Arial Narrow" w:cs="Arial Narrow" w:eastAsia="Arial Narrow" w:hint="default"/>
                <w:sz w:val="18"/>
                <w:szCs w:val="18"/>
              </w:rPr>
            </w:pPr>
            <w:r>
              <w:rPr>
                <w:rFonts w:ascii="Arial Narrow"/>
                <w:sz w:val="18"/>
              </w:rPr>
              <w:t>35,235,796.02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694,944.15</w:t>
            </w: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278,821,208.17</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03" w:right="0"/>
              <w:jc w:val="left"/>
              <w:rPr>
                <w:rFonts w:ascii="Arial Narrow" w:hAnsi="Arial Narrow" w:cs="Arial Narrow" w:eastAsia="Arial Narrow" w:hint="default"/>
                <w:sz w:val="18"/>
                <w:szCs w:val="18"/>
              </w:rPr>
            </w:pPr>
            <w:r>
              <w:rPr>
                <w:rFonts w:ascii="Arial Narrow"/>
                <w:sz w:val="18"/>
              </w:rPr>
              <w:t>37,986,548.08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694,944.15</w:t>
            </w: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38,681,492.23</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03" w:right="0"/>
              <w:jc w:val="left"/>
              <w:rPr>
                <w:rFonts w:ascii="Arial Narrow" w:hAnsi="Arial Narrow" w:cs="Arial Narrow" w:eastAsia="Arial Narrow" w:hint="default"/>
                <w:sz w:val="18"/>
                <w:szCs w:val="18"/>
              </w:rPr>
            </w:pPr>
            <w:r>
              <w:rPr>
                <w:rFonts w:ascii="Arial Narrow"/>
                <w:sz w:val="18"/>
              </w:rPr>
              <w:t>37,986,548.08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5"/>
              <w:jc w:val="right"/>
              <w:rPr>
                <w:rFonts w:ascii="Arial Narrow" w:hAnsi="Arial Narrow" w:cs="Arial Narrow" w:eastAsia="Arial Narrow" w:hint="default"/>
                <w:sz w:val="18"/>
                <w:szCs w:val="18"/>
              </w:rPr>
            </w:pPr>
            <w:r>
              <w:rPr>
                <w:rFonts w:ascii="Arial Narrow"/>
                <w:spacing w:val="-1"/>
                <w:sz w:val="18"/>
              </w:rPr>
              <w:t>694,944.15</w:t>
            </w: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
              <w:ind w:right="89"/>
              <w:jc w:val="right"/>
              <w:rPr>
                <w:rFonts w:ascii="Arial Narrow" w:hAnsi="Arial Narrow" w:cs="Arial Narrow" w:eastAsia="Arial Narrow" w:hint="default"/>
                <w:sz w:val="18"/>
                <w:szCs w:val="18"/>
              </w:rPr>
            </w:pPr>
            <w:r>
              <w:rPr>
                <w:rFonts w:ascii="Arial Narrow"/>
                <w:spacing w:val="-1"/>
                <w:sz w:val="18"/>
              </w:rPr>
              <w:t>38,681,492.23</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28,000,000.00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212,139,715.94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240,139,715.94</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28,000,000.00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212,139,715.94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9"/>
              <w:jc w:val="right"/>
              <w:rPr>
                <w:rFonts w:ascii="Arial Narrow" w:hAnsi="Arial Narrow" w:cs="Arial Narrow" w:eastAsia="Arial Narrow" w:hint="default"/>
                <w:sz w:val="18"/>
                <w:szCs w:val="18"/>
              </w:rPr>
            </w:pPr>
            <w:r>
              <w:rPr>
                <w:rFonts w:ascii="Arial Narrow"/>
                <w:spacing w:val="-1"/>
                <w:sz w:val="18"/>
              </w:rPr>
              <w:t>240,139,715.94</w:t>
            </w: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1"/>
                <w:sz w:val="18"/>
              </w:rPr>
              <w:t>2,750,752.06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5" w:right="0"/>
              <w:jc w:val="left"/>
              <w:rPr>
                <w:rFonts w:ascii="Arial Narrow" w:hAnsi="Arial Narrow" w:cs="Arial Narrow" w:eastAsia="Arial Narrow" w:hint="default"/>
                <w:sz w:val="18"/>
                <w:szCs w:val="18"/>
              </w:rPr>
            </w:pPr>
            <w:r>
              <w:rPr>
                <w:rFonts w:ascii="Arial Narrow"/>
                <w:sz w:val="18"/>
              </w:rPr>
              <w:t>-2,750,752.06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Arial Narrow" w:hAnsi="Arial Narrow" w:cs="Arial Narrow" w:eastAsia="Arial Narrow" w:hint="default"/>
                <w:sz w:val="18"/>
                <w:szCs w:val="18"/>
              </w:rPr>
            </w:pPr>
            <w:r>
              <w:rPr>
                <w:rFonts w:ascii="Arial Narrow"/>
                <w:spacing w:val="-1"/>
                <w:sz w:val="18"/>
              </w:rPr>
              <w:t>2,750,752.06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5" w:right="0"/>
              <w:jc w:val="left"/>
              <w:rPr>
                <w:rFonts w:ascii="Arial Narrow" w:hAnsi="Arial Narrow" w:cs="Arial Narrow" w:eastAsia="Arial Narrow" w:hint="default"/>
                <w:sz w:val="18"/>
                <w:szCs w:val="18"/>
              </w:rPr>
            </w:pPr>
            <w:r>
              <w:rPr>
                <w:rFonts w:ascii="Arial Narrow"/>
                <w:sz w:val="18"/>
              </w:rPr>
              <w:t>-2,750,752.06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548"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548" w:type="dxa"/>
            <w:tcBorders>
              <w:top w:val="single" w:sz="4" w:space="0" w:color="000000"/>
              <w:left w:val="single" w:sz="17" w:space="0" w:color="000000"/>
              <w:bottom w:val="single" w:sz="17"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2"/>
                <w:sz w:val="18"/>
              </w:rPr>
              <w:t>110,000,000.00</w:t>
            </w:r>
          </w:p>
        </w:tc>
        <w:tc>
          <w:tcPr>
            <w:tcW w:w="14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right="105"/>
              <w:jc w:val="right"/>
              <w:rPr>
                <w:rFonts w:ascii="Arial Narrow" w:hAnsi="Arial Narrow" w:cs="Arial Narrow" w:eastAsia="Arial Narrow" w:hint="default"/>
                <w:sz w:val="18"/>
                <w:szCs w:val="18"/>
              </w:rPr>
            </w:pPr>
            <w:r>
              <w:rPr>
                <w:rFonts w:ascii="Arial Narrow"/>
                <w:spacing w:val="-1"/>
                <w:w w:val="95"/>
                <w:sz w:val="18"/>
              </w:rPr>
              <w:t>226,611,234.10</w:t>
            </w:r>
          </w:p>
        </w:tc>
        <w:tc>
          <w:tcPr>
            <w:tcW w:w="1092" w:type="dxa"/>
            <w:tcBorders>
              <w:top w:val="single" w:sz="4" w:space="0" w:color="000000"/>
              <w:left w:val="single" w:sz="4" w:space="0" w:color="000000"/>
              <w:bottom w:val="single" w:sz="17" w:space="0" w:color="000000"/>
              <w:right w:val="single" w:sz="4" w:space="0" w:color="000000"/>
            </w:tcBorders>
          </w:tcPr>
          <w:p>
            <w:pPr/>
          </w:p>
        </w:tc>
        <w:tc>
          <w:tcPr>
            <w:tcW w:w="12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1"/>
                <w:sz w:val="18"/>
              </w:rPr>
              <w:t>18,201,742.57</w:t>
            </w:r>
          </w:p>
        </w:tc>
        <w:tc>
          <w:tcPr>
            <w:tcW w:w="12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left="203" w:right="0"/>
              <w:jc w:val="left"/>
              <w:rPr>
                <w:rFonts w:ascii="Arial Narrow" w:hAnsi="Arial Narrow" w:cs="Arial Narrow" w:eastAsia="Arial Narrow" w:hint="default"/>
                <w:sz w:val="18"/>
                <w:szCs w:val="18"/>
              </w:rPr>
            </w:pPr>
            <w:r>
              <w:rPr>
                <w:rFonts w:ascii="Arial Narrow"/>
                <w:sz w:val="18"/>
              </w:rPr>
              <w:t>97,735,849.73</w:t>
            </w:r>
          </w:p>
        </w:tc>
        <w:tc>
          <w:tcPr>
            <w:tcW w:w="1417" w:type="dxa"/>
            <w:tcBorders>
              <w:top w:val="single" w:sz="4" w:space="0" w:color="000000"/>
              <w:left w:val="single" w:sz="4" w:space="0" w:color="000000"/>
              <w:bottom w:val="single" w:sz="17" w:space="0" w:color="000000"/>
              <w:right w:val="single" w:sz="4" w:space="0" w:color="000000"/>
            </w:tcBorders>
          </w:tcPr>
          <w:p>
            <w:pPr/>
          </w:p>
        </w:tc>
        <w:tc>
          <w:tcPr>
            <w:tcW w:w="16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right="105"/>
              <w:jc w:val="right"/>
              <w:rPr>
                <w:rFonts w:ascii="Arial Narrow" w:hAnsi="Arial Narrow" w:cs="Arial Narrow" w:eastAsia="Arial Narrow" w:hint="default"/>
                <w:sz w:val="18"/>
                <w:szCs w:val="18"/>
              </w:rPr>
            </w:pPr>
            <w:r>
              <w:rPr>
                <w:rFonts w:ascii="Arial Narrow"/>
                <w:spacing w:val="-1"/>
                <w:sz w:val="18"/>
              </w:rPr>
              <w:t>2,701,900.56</w:t>
            </w:r>
          </w:p>
        </w:tc>
        <w:tc>
          <w:tcPr>
            <w:tcW w:w="142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8"/>
              <w:ind w:right="89"/>
              <w:jc w:val="right"/>
              <w:rPr>
                <w:rFonts w:ascii="Arial Narrow" w:hAnsi="Arial Narrow" w:cs="Arial Narrow" w:eastAsia="Arial Narrow" w:hint="default"/>
                <w:sz w:val="18"/>
                <w:szCs w:val="18"/>
              </w:rPr>
            </w:pPr>
            <w:r>
              <w:rPr>
                <w:rFonts w:ascii="Arial Narrow"/>
                <w:spacing w:val="-1"/>
                <w:sz w:val="18"/>
              </w:rPr>
              <w:t>455,250,726.96</w:t>
            </w:r>
          </w:p>
        </w:tc>
      </w:tr>
    </w:tbl>
    <w:p>
      <w:pPr>
        <w:tabs>
          <w:tab w:pos="5764" w:val="left" w:leader="none"/>
          <w:tab w:pos="11549" w:val="left" w:leader="none"/>
        </w:tabs>
        <w:spacing w:line="232" w:lineRule="exact" w:before="0"/>
        <w:ind w:left="428"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pgSz w:w="16840" w:h="11910" w:orient="landscape"/>
          <w:pgMar w:header="816" w:footer="956" w:top="1160" w:bottom="1140" w:left="1480" w:right="0"/>
        </w:sectPr>
      </w:pPr>
    </w:p>
    <w:p>
      <w:pPr>
        <w:spacing w:line="240" w:lineRule="auto" w:before="5"/>
        <w:rPr>
          <w:rFonts w:ascii="宋体" w:hAnsi="宋体" w:cs="宋体" w:eastAsia="宋体" w:hint="default"/>
          <w:b/>
          <w:bCs/>
          <w:sz w:val="14"/>
          <w:szCs w:val="14"/>
        </w:rPr>
      </w:pPr>
    </w:p>
    <w:p>
      <w:pPr>
        <w:spacing w:line="260" w:lineRule="exact" w:before="37"/>
        <w:ind w:left="0" w:right="466" w:firstLine="0"/>
        <w:jc w:val="center"/>
        <w:rPr>
          <w:rFonts w:ascii="宋体" w:hAnsi="宋体" w:cs="宋体" w:eastAsia="宋体" w:hint="default"/>
          <w:sz w:val="20"/>
          <w:szCs w:val="20"/>
        </w:rPr>
      </w:pPr>
      <w:r>
        <w:rPr>
          <w:rFonts w:ascii="宋体" w:hAnsi="宋体" w:cs="宋体" w:eastAsia="宋体" w:hint="default"/>
          <w:b/>
          <w:bCs/>
          <w:sz w:val="20"/>
          <w:szCs w:val="20"/>
        </w:rPr>
        <w:t>股东权益变动表</w:t>
      </w:r>
      <w:r>
        <w:rPr>
          <w:rFonts w:ascii="宋体" w:hAnsi="宋体" w:cs="宋体" w:eastAsia="宋体" w:hint="default"/>
          <w:sz w:val="20"/>
          <w:szCs w:val="20"/>
        </w:rPr>
      </w:r>
    </w:p>
    <w:p>
      <w:pPr>
        <w:tabs>
          <w:tab w:pos="12877" w:val="left" w:leader="none"/>
        </w:tabs>
        <w:spacing w:line="260" w:lineRule="exact" w:before="0"/>
        <w:ind w:left="0" w:right="427"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3961"/>
        <w:gridCol w:w="1620"/>
        <w:gridCol w:w="1620"/>
        <w:gridCol w:w="1157"/>
        <w:gridCol w:w="1440"/>
        <w:gridCol w:w="1371"/>
        <w:gridCol w:w="1572"/>
        <w:gridCol w:w="1697"/>
      </w:tblGrid>
      <w:tr>
        <w:trPr>
          <w:trHeight w:val="269" w:hRule="exact"/>
        </w:trPr>
        <w:tc>
          <w:tcPr>
            <w:tcW w:w="3961"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1"/>
                <w:szCs w:val="11"/>
              </w:rPr>
            </w:pPr>
          </w:p>
          <w:p>
            <w:pPr>
              <w:pStyle w:val="TableParagraph"/>
              <w:spacing w:line="240" w:lineRule="auto"/>
              <w:ind w:left="64"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477"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00" w:lineRule="exact"/>
              <w:ind w:left="97" w:right="0"/>
              <w:jc w:val="center"/>
              <w:rPr>
                <w:rFonts w:ascii="宋体" w:hAnsi="宋体" w:cs="宋体" w:eastAsia="宋体" w:hint="default"/>
                <w:sz w:val="16"/>
                <w:szCs w:val="16"/>
              </w:rPr>
            </w:pPr>
            <w:r>
              <w:rPr>
                <w:rFonts w:ascii="宋体" w:hAnsi="宋体" w:cs="宋体" w:eastAsia="宋体" w:hint="default"/>
                <w:b/>
                <w:bCs/>
                <w:sz w:val="16"/>
                <w:szCs w:val="16"/>
              </w:rPr>
              <w:t>2010</w:t>
            </w:r>
            <w:r>
              <w:rPr>
                <w:rFonts w:ascii="宋体" w:hAnsi="宋体" w:cs="宋体" w:eastAsia="宋体" w:hint="default"/>
                <w:b/>
                <w:bCs/>
                <w:spacing w:val="-45"/>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250" w:hRule="exact"/>
        </w:trPr>
        <w:tc>
          <w:tcPr>
            <w:tcW w:w="3961" w:type="dxa"/>
            <w:vMerge/>
            <w:tcBorders>
              <w:left w:val="single" w:sz="17" w:space="0" w:color="000000"/>
              <w:right w:val="single" w:sz="4" w:space="0" w:color="000000"/>
            </w:tcBorders>
          </w:tcPr>
          <w:p>
            <w:pPr/>
          </w:p>
        </w:tc>
        <w:tc>
          <w:tcPr>
            <w:tcW w:w="87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81"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697" w:type="dxa"/>
            <w:vMerge w:val="restart"/>
            <w:tcBorders>
              <w:top w:val="single" w:sz="4" w:space="0" w:color="000000"/>
              <w:left w:val="single" w:sz="4" w:space="0" w:color="000000"/>
              <w:right w:val="single" w:sz="17"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59"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90" w:hRule="exact"/>
        </w:trPr>
        <w:tc>
          <w:tcPr>
            <w:tcW w:w="3961" w:type="dxa"/>
            <w:vMerge/>
            <w:tcBorders>
              <w:left w:val="single" w:sz="17"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1"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97"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697" w:type="dxa"/>
            <w:vMerge/>
            <w:tcBorders>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Narrow" w:hAnsi="Arial Narrow" w:cs="Arial Narrow" w:eastAsia="Arial Narrow" w:hint="default"/>
                <w:sz w:val="18"/>
                <w:szCs w:val="18"/>
              </w:rPr>
            </w:pPr>
            <w:r>
              <w:rPr>
                <w:rFonts w:ascii="Arial Narrow"/>
                <w:spacing w:val="-1"/>
                <w:w w:val="95"/>
                <w:sz w:val="18"/>
              </w:rPr>
              <w:t>110,000,000.00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79" w:right="0"/>
              <w:jc w:val="left"/>
              <w:rPr>
                <w:rFonts w:ascii="Arial Narrow" w:hAnsi="Arial Narrow" w:cs="Arial Narrow" w:eastAsia="Arial Narrow" w:hint="default"/>
                <w:sz w:val="18"/>
                <w:szCs w:val="18"/>
              </w:rPr>
            </w:pPr>
            <w:r>
              <w:rPr>
                <w:rFonts w:ascii="Arial Narrow"/>
                <w:sz w:val="18"/>
              </w:rPr>
              <w:t>226,284,055.25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1" w:right="0"/>
              <w:jc w:val="left"/>
              <w:rPr>
                <w:rFonts w:ascii="Arial Narrow" w:hAnsi="Arial Narrow" w:cs="Arial Narrow" w:eastAsia="Arial Narrow" w:hint="default"/>
                <w:sz w:val="18"/>
                <w:szCs w:val="18"/>
              </w:rPr>
            </w:pPr>
            <w:r>
              <w:rPr>
                <w:rFonts w:ascii="Arial Narrow"/>
                <w:sz w:val="18"/>
              </w:rPr>
              <w:t>16,723,632.32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4" w:right="0"/>
              <w:jc w:val="left"/>
              <w:rPr>
                <w:rFonts w:ascii="Arial Narrow" w:hAnsi="Arial Narrow" w:cs="Arial Narrow" w:eastAsia="Arial Narrow" w:hint="default"/>
                <w:sz w:val="18"/>
                <w:szCs w:val="18"/>
              </w:rPr>
            </w:pPr>
            <w:r>
              <w:rPr>
                <w:rFonts w:ascii="Arial Narrow"/>
                <w:sz w:val="18"/>
              </w:rPr>
              <w:t>69,641,878.12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6"/>
              <w:jc w:val="right"/>
              <w:rPr>
                <w:rFonts w:ascii="Arial Narrow" w:hAnsi="Arial Narrow" w:cs="Arial Narrow" w:eastAsia="Arial Narrow" w:hint="default"/>
                <w:sz w:val="18"/>
                <w:szCs w:val="18"/>
              </w:rPr>
            </w:pPr>
            <w:r>
              <w:rPr>
                <w:rFonts w:ascii="Arial Narrow"/>
                <w:spacing w:val="-1"/>
                <w:sz w:val="18"/>
              </w:rPr>
              <w:t>422,649,565.69</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Arial Narrow" w:hAnsi="Arial Narrow" w:cs="Arial Narrow" w:eastAsia="Arial Narrow" w:hint="default"/>
                <w:sz w:val="18"/>
                <w:szCs w:val="18"/>
              </w:rPr>
            </w:pPr>
            <w:r>
              <w:rPr>
                <w:rFonts w:ascii="Arial Narrow"/>
                <w:spacing w:val="-2"/>
                <w:sz w:val="18"/>
              </w:rPr>
              <w:t>110,000,000.00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79" w:right="0"/>
              <w:jc w:val="left"/>
              <w:rPr>
                <w:rFonts w:ascii="Arial Narrow" w:hAnsi="Arial Narrow" w:cs="Arial Narrow" w:eastAsia="Arial Narrow" w:hint="default"/>
                <w:sz w:val="18"/>
                <w:szCs w:val="18"/>
              </w:rPr>
            </w:pPr>
            <w:r>
              <w:rPr>
                <w:rFonts w:ascii="Arial Narrow"/>
                <w:sz w:val="18"/>
              </w:rPr>
              <w:t>226,284,055.25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81" w:right="0"/>
              <w:jc w:val="left"/>
              <w:rPr>
                <w:rFonts w:ascii="Arial Narrow" w:hAnsi="Arial Narrow" w:cs="Arial Narrow" w:eastAsia="Arial Narrow" w:hint="default"/>
                <w:sz w:val="18"/>
                <w:szCs w:val="18"/>
              </w:rPr>
            </w:pPr>
            <w:r>
              <w:rPr>
                <w:rFonts w:ascii="Arial Narrow"/>
                <w:sz w:val="18"/>
              </w:rPr>
              <w:t>16,723,632.32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69,641,878.12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422,649,565.69</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13" w:right="0"/>
              <w:jc w:val="left"/>
              <w:rPr>
                <w:rFonts w:ascii="Arial Narrow" w:hAnsi="Arial Narrow" w:cs="Arial Narrow" w:eastAsia="Arial Narrow" w:hint="default"/>
                <w:sz w:val="18"/>
                <w:szCs w:val="18"/>
              </w:rPr>
            </w:pPr>
            <w:r>
              <w:rPr>
                <w:rFonts w:ascii="Arial Narrow"/>
                <w:sz w:val="18"/>
              </w:rPr>
              <w:t>-55,000,000.00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3" w:right="0"/>
              <w:jc w:val="left"/>
              <w:rPr>
                <w:rFonts w:ascii="Arial Narrow" w:hAnsi="Arial Narrow" w:cs="Arial Narrow" w:eastAsia="Arial Narrow" w:hint="default"/>
                <w:sz w:val="18"/>
                <w:szCs w:val="18"/>
              </w:rPr>
            </w:pPr>
            <w:r>
              <w:rPr>
                <w:rFonts w:ascii="Arial Narrow"/>
                <w:sz w:val="18"/>
              </w:rPr>
              <w:t>3,246,856.40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22,621,707.63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25,868,564.03</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32,468,564.03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32,468,564.03</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14" w:right="0"/>
              <w:jc w:val="left"/>
              <w:rPr>
                <w:rFonts w:ascii="Arial Narrow" w:hAnsi="Arial Narrow" w:cs="Arial Narrow" w:eastAsia="Arial Narrow" w:hint="default"/>
                <w:sz w:val="18"/>
                <w:szCs w:val="18"/>
              </w:rPr>
            </w:pPr>
            <w:r>
              <w:rPr>
                <w:rFonts w:ascii="Arial Narrow"/>
                <w:sz w:val="18"/>
              </w:rPr>
              <w:t>32,468,564.03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
              <w:ind w:right="86"/>
              <w:jc w:val="right"/>
              <w:rPr>
                <w:rFonts w:ascii="Arial Narrow" w:hAnsi="Arial Narrow" w:cs="Arial Narrow" w:eastAsia="Arial Narrow" w:hint="default"/>
                <w:sz w:val="18"/>
                <w:szCs w:val="18"/>
              </w:rPr>
            </w:pPr>
            <w:r>
              <w:rPr>
                <w:rFonts w:ascii="Arial Narrow"/>
                <w:spacing w:val="-1"/>
                <w:sz w:val="18"/>
              </w:rPr>
              <w:t>32,468,564.03</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3" w:right="0"/>
              <w:jc w:val="left"/>
              <w:rPr>
                <w:rFonts w:ascii="Arial Narrow" w:hAnsi="Arial Narrow" w:cs="Arial Narrow" w:eastAsia="Arial Narrow" w:hint="default"/>
                <w:sz w:val="18"/>
                <w:szCs w:val="18"/>
              </w:rPr>
            </w:pPr>
            <w:r>
              <w:rPr>
                <w:rFonts w:ascii="Arial Narrow"/>
                <w:sz w:val="18"/>
              </w:rPr>
              <w:t>3,246,856.40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5" w:right="0"/>
              <w:jc w:val="left"/>
              <w:rPr>
                <w:rFonts w:ascii="Arial Narrow" w:hAnsi="Arial Narrow" w:cs="Arial Narrow" w:eastAsia="Arial Narrow" w:hint="default"/>
                <w:sz w:val="18"/>
                <w:szCs w:val="18"/>
              </w:rPr>
            </w:pPr>
            <w:r>
              <w:rPr>
                <w:rFonts w:ascii="Arial Narrow"/>
                <w:sz w:val="18"/>
              </w:rPr>
              <w:t>-9,846,856.40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-6,600,000.00</w:t>
            </w: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63" w:right="0"/>
              <w:jc w:val="left"/>
              <w:rPr>
                <w:rFonts w:ascii="Arial Narrow" w:hAnsi="Arial Narrow" w:cs="Arial Narrow" w:eastAsia="Arial Narrow" w:hint="default"/>
                <w:sz w:val="18"/>
                <w:szCs w:val="18"/>
              </w:rPr>
            </w:pPr>
            <w:r>
              <w:rPr>
                <w:rFonts w:ascii="Arial Narrow"/>
                <w:sz w:val="18"/>
              </w:rPr>
              <w:t>3,246,856.40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45" w:right="0"/>
              <w:jc w:val="left"/>
              <w:rPr>
                <w:rFonts w:ascii="Arial Narrow" w:hAnsi="Arial Narrow" w:cs="Arial Narrow" w:eastAsia="Arial Narrow" w:hint="default"/>
                <w:sz w:val="18"/>
                <w:szCs w:val="18"/>
              </w:rPr>
            </w:pPr>
            <w:r>
              <w:rPr>
                <w:rFonts w:ascii="Arial Narrow"/>
                <w:sz w:val="18"/>
              </w:rPr>
              <w:t>-3,246,856.40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5" w:right="0"/>
              <w:jc w:val="left"/>
              <w:rPr>
                <w:rFonts w:ascii="Arial Narrow" w:hAnsi="Arial Narrow" w:cs="Arial Narrow" w:eastAsia="Arial Narrow" w:hint="default"/>
                <w:sz w:val="18"/>
                <w:szCs w:val="18"/>
              </w:rPr>
            </w:pPr>
            <w:r>
              <w:rPr>
                <w:rFonts w:ascii="Arial Narrow"/>
                <w:sz w:val="18"/>
              </w:rPr>
              <w:t>-6,600,000.00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-6,600,000.00</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13" w:right="0"/>
              <w:jc w:val="left"/>
              <w:rPr>
                <w:rFonts w:ascii="Arial Narrow" w:hAnsi="Arial Narrow" w:cs="Arial Narrow" w:eastAsia="Arial Narrow" w:hint="default"/>
                <w:sz w:val="18"/>
                <w:szCs w:val="18"/>
              </w:rPr>
            </w:pPr>
            <w:r>
              <w:rPr>
                <w:rFonts w:ascii="Arial Narrow"/>
                <w:sz w:val="18"/>
              </w:rPr>
              <w:t>-55,000,000.00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13" w:right="0"/>
              <w:jc w:val="left"/>
              <w:rPr>
                <w:rFonts w:ascii="Arial Narrow" w:hAnsi="Arial Narrow" w:cs="Arial Narrow" w:eastAsia="Arial Narrow" w:hint="default"/>
                <w:sz w:val="18"/>
                <w:szCs w:val="18"/>
              </w:rPr>
            </w:pPr>
            <w:r>
              <w:rPr>
                <w:rFonts w:ascii="Arial Narrow"/>
                <w:sz w:val="18"/>
              </w:rPr>
              <w:t>-55,000,000.00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198"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3961" w:type="dxa"/>
            <w:tcBorders>
              <w:top w:val="single" w:sz="4" w:space="0" w:color="000000"/>
              <w:left w:val="single" w:sz="17" w:space="0" w:color="000000"/>
              <w:bottom w:val="single" w:sz="17"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1"/>
                <w:sz w:val="18"/>
              </w:rPr>
              <w:t>165,000,000.00</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left="479" w:right="0"/>
              <w:jc w:val="left"/>
              <w:rPr>
                <w:rFonts w:ascii="Arial Narrow" w:hAnsi="Arial Narrow" w:cs="Arial Narrow" w:eastAsia="Arial Narrow" w:hint="default"/>
                <w:sz w:val="18"/>
                <w:szCs w:val="18"/>
              </w:rPr>
            </w:pPr>
            <w:r>
              <w:rPr>
                <w:rFonts w:ascii="Arial Narrow"/>
                <w:sz w:val="18"/>
              </w:rPr>
              <w:t>171,284,055.25</w:t>
            </w:r>
          </w:p>
        </w:tc>
        <w:tc>
          <w:tcPr>
            <w:tcW w:w="1157" w:type="dxa"/>
            <w:tcBorders>
              <w:top w:val="single" w:sz="4" w:space="0" w:color="000000"/>
              <w:left w:val="single" w:sz="4" w:space="0" w:color="000000"/>
              <w:bottom w:val="single" w:sz="17" w:space="0" w:color="000000"/>
              <w:right w:val="single" w:sz="4" w:space="0" w:color="000000"/>
            </w:tcBorders>
          </w:tcPr>
          <w:p>
            <w:pPr/>
          </w:p>
        </w:tc>
        <w:tc>
          <w:tcPr>
            <w:tcW w:w="14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left="381" w:right="0"/>
              <w:jc w:val="left"/>
              <w:rPr>
                <w:rFonts w:ascii="Arial Narrow" w:hAnsi="Arial Narrow" w:cs="Arial Narrow" w:eastAsia="Arial Narrow" w:hint="default"/>
                <w:sz w:val="18"/>
                <w:szCs w:val="18"/>
              </w:rPr>
            </w:pPr>
            <w:r>
              <w:rPr>
                <w:rFonts w:ascii="Arial Narrow"/>
                <w:sz w:val="18"/>
              </w:rPr>
              <w:t>19,970,488.72</w:t>
            </w:r>
          </w:p>
        </w:tc>
        <w:tc>
          <w:tcPr>
            <w:tcW w:w="137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8"/>
              <w:ind w:left="314" w:right="0"/>
              <w:jc w:val="left"/>
              <w:rPr>
                <w:rFonts w:ascii="Arial Narrow" w:hAnsi="Arial Narrow" w:cs="Arial Narrow" w:eastAsia="Arial Narrow" w:hint="default"/>
                <w:sz w:val="18"/>
                <w:szCs w:val="18"/>
              </w:rPr>
            </w:pPr>
            <w:r>
              <w:rPr>
                <w:rFonts w:ascii="Arial Narrow"/>
                <w:sz w:val="18"/>
              </w:rPr>
              <w:t>92,263,585.75</w:t>
            </w:r>
          </w:p>
        </w:tc>
        <w:tc>
          <w:tcPr>
            <w:tcW w:w="1572" w:type="dxa"/>
            <w:tcBorders>
              <w:top w:val="single" w:sz="4" w:space="0" w:color="000000"/>
              <w:left w:val="single" w:sz="4" w:space="0" w:color="000000"/>
              <w:bottom w:val="single" w:sz="17" w:space="0" w:color="000000"/>
              <w:right w:val="single" w:sz="4" w:space="0" w:color="000000"/>
            </w:tcBorders>
          </w:tcPr>
          <w:p>
            <w:pPr/>
          </w:p>
        </w:tc>
        <w:tc>
          <w:tcPr>
            <w:tcW w:w="169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8"/>
              <w:ind w:right="86"/>
              <w:jc w:val="right"/>
              <w:rPr>
                <w:rFonts w:ascii="Arial Narrow" w:hAnsi="Arial Narrow" w:cs="Arial Narrow" w:eastAsia="Arial Narrow" w:hint="default"/>
                <w:sz w:val="18"/>
                <w:szCs w:val="18"/>
              </w:rPr>
            </w:pPr>
            <w:r>
              <w:rPr>
                <w:rFonts w:ascii="Arial Narrow"/>
                <w:spacing w:val="-1"/>
                <w:sz w:val="18"/>
              </w:rPr>
              <w:t>448,518,129.72</w:t>
            </w:r>
          </w:p>
        </w:tc>
      </w:tr>
    </w:tbl>
    <w:p>
      <w:pPr>
        <w:spacing w:line="240" w:lineRule="auto" w:before="3"/>
        <w:rPr>
          <w:rFonts w:ascii="宋体" w:hAnsi="宋体" w:cs="宋体" w:eastAsia="宋体" w:hint="default"/>
          <w:b/>
          <w:bCs/>
          <w:sz w:val="19"/>
          <w:szCs w:val="19"/>
        </w:rPr>
      </w:pPr>
    </w:p>
    <w:p>
      <w:pPr>
        <w:tabs>
          <w:tab w:pos="5401" w:val="left" w:leader="none"/>
          <w:tab w:pos="11097" w:val="left" w:leader="none"/>
        </w:tabs>
        <w:spacing w:before="44"/>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16" w:footer="956" w:top="1160" w:bottom="1140" w:left="1660" w:right="0"/>
        </w:sectPr>
      </w:pPr>
    </w:p>
    <w:p>
      <w:pPr>
        <w:spacing w:line="240" w:lineRule="auto" w:before="4"/>
        <w:rPr>
          <w:rFonts w:ascii="宋体" w:hAnsi="宋体" w:cs="宋体" w:eastAsia="宋体" w:hint="default"/>
          <w:b/>
          <w:bCs/>
          <w:sz w:val="15"/>
          <w:szCs w:val="15"/>
        </w:rPr>
      </w:pPr>
    </w:p>
    <w:p>
      <w:pPr>
        <w:spacing w:before="37"/>
        <w:ind w:left="0" w:right="466" w:firstLine="0"/>
        <w:jc w:val="center"/>
        <w:rPr>
          <w:rFonts w:ascii="宋体" w:hAnsi="宋体" w:cs="宋体" w:eastAsia="宋体" w:hint="default"/>
          <w:sz w:val="20"/>
          <w:szCs w:val="20"/>
        </w:rPr>
      </w:pPr>
      <w:r>
        <w:rPr>
          <w:rFonts w:ascii="宋体" w:hAnsi="宋体" w:cs="宋体" w:eastAsia="宋体" w:hint="default"/>
          <w:b/>
          <w:bCs/>
          <w:sz w:val="20"/>
          <w:szCs w:val="20"/>
        </w:rPr>
        <w:t>股东权益变动表</w:t>
      </w:r>
      <w:r>
        <w:rPr>
          <w:rFonts w:ascii="宋体" w:hAnsi="宋体" w:cs="宋体" w:eastAsia="宋体" w:hint="default"/>
          <w:sz w:val="20"/>
          <w:szCs w:val="20"/>
        </w:rPr>
      </w:r>
    </w:p>
    <w:p>
      <w:pPr>
        <w:tabs>
          <w:tab w:pos="12877" w:val="left" w:leader="none"/>
        </w:tabs>
        <w:spacing w:before="12"/>
        <w:ind w:left="0" w:right="427"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w:t>
      </w:r>
      <w:r>
        <w:rPr>
          <w:rFonts w:ascii="宋体" w:hAnsi="宋体" w:cs="宋体" w:eastAsia="宋体" w:hint="default"/>
          <w:b/>
          <w:bCs/>
          <w:w w:val="95"/>
          <w:sz w:val="18"/>
          <w:szCs w:val="18"/>
        </w:rPr>
        <w:t>安徽鑫龙电器</w:t>
      </w:r>
      <w:r>
        <w:rPr>
          <w:rFonts w:ascii="宋体" w:hAnsi="宋体" w:cs="宋体" w:eastAsia="宋体" w:hint="default"/>
          <w:b/>
          <w:bCs/>
          <w:w w:val="95"/>
          <w:sz w:val="20"/>
          <w:szCs w:val="20"/>
        </w:rPr>
        <w:t>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3961"/>
        <w:gridCol w:w="1620"/>
        <w:gridCol w:w="1620"/>
        <w:gridCol w:w="1157"/>
        <w:gridCol w:w="1440"/>
        <w:gridCol w:w="1371"/>
        <w:gridCol w:w="1572"/>
        <w:gridCol w:w="1697"/>
      </w:tblGrid>
      <w:tr>
        <w:trPr>
          <w:trHeight w:val="266" w:hRule="exact"/>
        </w:trPr>
        <w:tc>
          <w:tcPr>
            <w:tcW w:w="3961"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left="64"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477" w:type="dxa"/>
            <w:gridSpan w:val="7"/>
            <w:tcBorders>
              <w:top w:val="single" w:sz="17" w:space="0" w:color="000000"/>
              <w:left w:val="single" w:sz="4" w:space="0" w:color="000000"/>
              <w:bottom w:val="single" w:sz="4" w:space="0" w:color="000000"/>
              <w:right w:val="single" w:sz="17" w:space="0" w:color="000000"/>
            </w:tcBorders>
          </w:tcPr>
          <w:p>
            <w:pPr>
              <w:pStyle w:val="TableParagraph"/>
              <w:spacing w:line="200" w:lineRule="exact"/>
              <w:ind w:left="97" w:right="0"/>
              <w:jc w:val="center"/>
              <w:rPr>
                <w:rFonts w:ascii="宋体" w:hAnsi="宋体" w:cs="宋体" w:eastAsia="宋体" w:hint="default"/>
                <w:sz w:val="16"/>
                <w:szCs w:val="16"/>
              </w:rPr>
            </w:pPr>
            <w:r>
              <w:rPr>
                <w:rFonts w:ascii="宋体" w:hAnsi="宋体" w:cs="宋体" w:eastAsia="宋体" w:hint="default"/>
                <w:b/>
                <w:bCs/>
                <w:sz w:val="16"/>
                <w:szCs w:val="16"/>
              </w:rPr>
              <w:t>2009</w:t>
            </w:r>
            <w:r>
              <w:rPr>
                <w:rFonts w:ascii="宋体" w:hAnsi="宋体" w:cs="宋体" w:eastAsia="宋体" w:hint="default"/>
                <w:b/>
                <w:bCs/>
                <w:spacing w:val="-45"/>
                <w:sz w:val="16"/>
                <w:szCs w:val="16"/>
              </w:rPr>
              <w:t> </w:t>
            </w:r>
            <w:r>
              <w:rPr>
                <w:rFonts w:ascii="宋体" w:hAnsi="宋体" w:cs="宋体" w:eastAsia="宋体" w:hint="default"/>
                <w:b/>
                <w:bCs/>
                <w:sz w:val="16"/>
                <w:szCs w:val="16"/>
              </w:rPr>
              <w:t>年度</w:t>
            </w:r>
            <w:r>
              <w:rPr>
                <w:rFonts w:ascii="宋体" w:hAnsi="宋体" w:cs="宋体" w:eastAsia="宋体" w:hint="default"/>
                <w:sz w:val="16"/>
                <w:szCs w:val="16"/>
              </w:rPr>
            </w:r>
          </w:p>
        </w:tc>
      </w:tr>
      <w:tr>
        <w:trPr>
          <w:trHeight w:val="252" w:hRule="exact"/>
        </w:trPr>
        <w:tc>
          <w:tcPr>
            <w:tcW w:w="3961" w:type="dxa"/>
            <w:vMerge/>
            <w:tcBorders>
              <w:left w:val="single" w:sz="17" w:space="0" w:color="000000"/>
              <w:right w:val="single" w:sz="4" w:space="0" w:color="000000"/>
            </w:tcBorders>
          </w:tcPr>
          <w:p>
            <w:pPr/>
          </w:p>
        </w:tc>
        <w:tc>
          <w:tcPr>
            <w:tcW w:w="87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81" w:right="0"/>
              <w:jc w:val="center"/>
              <w:rPr>
                <w:rFonts w:ascii="宋体" w:hAnsi="宋体" w:cs="宋体" w:eastAsia="宋体" w:hint="default"/>
                <w:sz w:val="16"/>
                <w:szCs w:val="16"/>
              </w:rPr>
            </w:pPr>
            <w:r>
              <w:rPr>
                <w:rFonts w:ascii="宋体" w:hAnsi="宋体" w:cs="宋体" w:eastAsia="宋体" w:hint="default"/>
                <w:b/>
                <w:bCs/>
                <w:sz w:val="16"/>
                <w:szCs w:val="16"/>
              </w:rPr>
              <w:t>归属于母公司股东权益</w:t>
            </w:r>
            <w:r>
              <w:rPr>
                <w:rFonts w:ascii="宋体" w:hAnsi="宋体" w:cs="宋体" w:eastAsia="宋体" w:hint="default"/>
                <w:sz w:val="16"/>
                <w:szCs w:val="16"/>
              </w:rPr>
            </w:r>
          </w:p>
        </w:tc>
        <w:tc>
          <w:tcPr>
            <w:tcW w:w="1697" w:type="dxa"/>
            <w:vMerge w:val="restart"/>
            <w:tcBorders>
              <w:top w:val="single" w:sz="4" w:space="0" w:color="000000"/>
              <w:left w:val="single" w:sz="4" w:space="0" w:color="000000"/>
              <w:right w:val="single" w:sz="17"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359"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490" w:hRule="exact"/>
        </w:trPr>
        <w:tc>
          <w:tcPr>
            <w:tcW w:w="3961" w:type="dxa"/>
            <w:vMerge/>
            <w:tcBorders>
              <w:left w:val="single" w:sz="17"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1"/>
              <w:jc w:val="righ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1"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97" w:right="0"/>
              <w:jc w:val="left"/>
              <w:rPr>
                <w:rFonts w:ascii="宋体" w:hAnsi="宋体" w:cs="宋体" w:eastAsia="宋体" w:hint="default"/>
                <w:sz w:val="16"/>
                <w:szCs w:val="16"/>
              </w:rPr>
            </w:pPr>
            <w:r>
              <w:rPr>
                <w:rFonts w:ascii="宋体" w:hAnsi="宋体" w:cs="宋体" w:eastAsia="宋体" w:hint="default"/>
                <w:b/>
                <w:bCs/>
                <w:sz w:val="16"/>
                <w:szCs w:val="16"/>
              </w:rPr>
              <w:t>一般风险准备</w:t>
            </w:r>
            <w:r>
              <w:rPr>
                <w:rFonts w:ascii="宋体" w:hAnsi="宋体" w:cs="宋体" w:eastAsia="宋体" w:hint="default"/>
                <w:sz w:val="16"/>
                <w:szCs w:val="16"/>
              </w:rPr>
            </w:r>
          </w:p>
        </w:tc>
        <w:tc>
          <w:tcPr>
            <w:tcW w:w="1697" w:type="dxa"/>
            <w:vMerge/>
            <w:tcBorders>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18"/>
                <w:szCs w:val="18"/>
              </w:rPr>
            </w:pPr>
            <w:r>
              <w:rPr>
                <w:rFonts w:ascii="Arial Narrow"/>
                <w:spacing w:val="-1"/>
                <w:sz w:val="18"/>
              </w:rPr>
              <w:t>82,000,000.00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18"/>
                <w:szCs w:val="18"/>
              </w:rPr>
            </w:pPr>
            <w:r>
              <w:rPr>
                <w:rFonts w:ascii="Arial Narrow"/>
                <w:spacing w:val="-1"/>
                <w:sz w:val="18"/>
              </w:rPr>
              <w:t>14,144,339.31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9" w:right="0"/>
              <w:jc w:val="left"/>
              <w:rPr>
                <w:rFonts w:ascii="Arial Narrow" w:hAnsi="Arial Narrow" w:cs="Arial Narrow" w:eastAsia="Arial Narrow" w:hint="default"/>
                <w:sz w:val="18"/>
                <w:szCs w:val="18"/>
              </w:rPr>
            </w:pPr>
            <w:r>
              <w:rPr>
                <w:rFonts w:ascii="Arial Narrow"/>
                <w:sz w:val="18"/>
              </w:rPr>
              <w:t>13,972,880.26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2" w:right="0"/>
              <w:jc w:val="left"/>
              <w:rPr>
                <w:rFonts w:ascii="Arial Narrow" w:hAnsi="Arial Narrow" w:cs="Arial Narrow" w:eastAsia="Arial Narrow" w:hint="default"/>
                <w:sz w:val="18"/>
                <w:szCs w:val="18"/>
              </w:rPr>
            </w:pPr>
            <w:r>
              <w:rPr>
                <w:rFonts w:ascii="Arial Narrow"/>
                <w:sz w:val="18"/>
              </w:rPr>
              <w:t>44,885,109.62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4"/>
              <w:jc w:val="right"/>
              <w:rPr>
                <w:rFonts w:ascii="Arial Narrow" w:hAnsi="Arial Narrow" w:cs="Arial Narrow" w:eastAsia="Arial Narrow" w:hint="default"/>
                <w:sz w:val="18"/>
                <w:szCs w:val="18"/>
              </w:rPr>
            </w:pPr>
            <w:r>
              <w:rPr>
                <w:rFonts w:ascii="Arial Narrow"/>
                <w:spacing w:val="-1"/>
                <w:sz w:val="18"/>
              </w:rPr>
              <w:t>155,002,329.19</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Narrow" w:hAnsi="Arial Narrow" w:cs="Arial Narrow" w:eastAsia="Arial Narrow" w:hint="default"/>
                <w:sz w:val="18"/>
                <w:szCs w:val="18"/>
              </w:rPr>
            </w:pPr>
            <w:r>
              <w:rPr>
                <w:rFonts w:ascii="Arial Narrow"/>
                <w:spacing w:val="-1"/>
                <w:sz w:val="18"/>
              </w:rPr>
              <w:t>82,000,000.00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Narrow" w:hAnsi="Arial Narrow" w:cs="Arial Narrow" w:eastAsia="Arial Narrow" w:hint="default"/>
                <w:sz w:val="18"/>
                <w:szCs w:val="18"/>
              </w:rPr>
            </w:pPr>
            <w:r>
              <w:rPr>
                <w:rFonts w:ascii="Arial Narrow"/>
                <w:spacing w:val="-1"/>
                <w:sz w:val="18"/>
              </w:rPr>
              <w:t>14,144,339.31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9" w:right="0"/>
              <w:jc w:val="left"/>
              <w:rPr>
                <w:rFonts w:ascii="Arial Narrow" w:hAnsi="Arial Narrow" w:cs="Arial Narrow" w:eastAsia="Arial Narrow" w:hint="default"/>
                <w:sz w:val="18"/>
                <w:szCs w:val="18"/>
              </w:rPr>
            </w:pPr>
            <w:r>
              <w:rPr>
                <w:rFonts w:ascii="Arial Narrow"/>
                <w:sz w:val="18"/>
              </w:rPr>
              <w:t>13,972,880.26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Arial Narrow" w:hAnsi="Arial Narrow" w:cs="Arial Narrow" w:eastAsia="Arial Narrow" w:hint="default"/>
                <w:sz w:val="18"/>
                <w:szCs w:val="18"/>
              </w:rPr>
            </w:pPr>
            <w:r>
              <w:rPr>
                <w:rFonts w:ascii="Arial Narrow"/>
                <w:sz w:val="18"/>
              </w:rPr>
              <w:t>44,885,109.62</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5"/>
              <w:ind w:right="84"/>
              <w:jc w:val="right"/>
              <w:rPr>
                <w:rFonts w:ascii="Arial Narrow" w:hAnsi="Arial Narrow" w:cs="Arial Narrow" w:eastAsia="Arial Narrow" w:hint="default"/>
                <w:sz w:val="18"/>
                <w:szCs w:val="18"/>
              </w:rPr>
            </w:pPr>
            <w:r>
              <w:rPr>
                <w:rFonts w:ascii="Arial Narrow"/>
                <w:spacing w:val="-1"/>
                <w:sz w:val="18"/>
              </w:rPr>
              <w:t>155,002,329.19</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212,139,715.94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3" w:right="0"/>
              <w:jc w:val="left"/>
              <w:rPr>
                <w:rFonts w:ascii="Arial Narrow" w:hAnsi="Arial Narrow" w:cs="Arial Narrow" w:eastAsia="Arial Narrow" w:hint="default"/>
                <w:sz w:val="18"/>
                <w:szCs w:val="18"/>
              </w:rPr>
            </w:pPr>
            <w:r>
              <w:rPr>
                <w:rFonts w:ascii="Arial Narrow"/>
                <w:sz w:val="18"/>
              </w:rPr>
              <w:t>2,750,752.06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24,756,768.50</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267,647,236.50</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27,507,520.56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27,507,520.56</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27,507,520.56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27,507,520.56</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212,139,715.94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
              <w:ind w:right="86"/>
              <w:jc w:val="right"/>
              <w:rPr>
                <w:rFonts w:ascii="Arial Narrow" w:hAnsi="Arial Narrow" w:cs="Arial Narrow" w:eastAsia="Arial Narrow" w:hint="default"/>
                <w:sz w:val="18"/>
                <w:szCs w:val="18"/>
              </w:rPr>
            </w:pPr>
            <w:r>
              <w:rPr>
                <w:rFonts w:ascii="Arial Narrow"/>
                <w:spacing w:val="-1"/>
                <w:sz w:val="18"/>
              </w:rPr>
              <w:t>240,139,715.94</w:t>
            </w: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1"/>
                <w:sz w:val="18"/>
              </w:rPr>
              <w:t>28,000,000.00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Arial Narrow" w:hAnsi="Arial Narrow" w:cs="Arial Narrow" w:eastAsia="Arial Narrow" w:hint="default"/>
                <w:sz w:val="18"/>
                <w:szCs w:val="18"/>
              </w:rPr>
            </w:pPr>
            <w:r>
              <w:rPr>
                <w:rFonts w:ascii="Arial Narrow"/>
                <w:spacing w:val="-1"/>
                <w:sz w:val="18"/>
              </w:rPr>
              <w:t>212,139,715.94</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
              <w:ind w:right="86"/>
              <w:jc w:val="right"/>
              <w:rPr>
                <w:rFonts w:ascii="Arial Narrow" w:hAnsi="Arial Narrow" w:cs="Arial Narrow" w:eastAsia="Arial Narrow" w:hint="default"/>
                <w:sz w:val="18"/>
                <w:szCs w:val="18"/>
              </w:rPr>
            </w:pPr>
            <w:r>
              <w:rPr>
                <w:rFonts w:ascii="Arial Narrow"/>
                <w:spacing w:val="-1"/>
                <w:sz w:val="18"/>
              </w:rPr>
              <w:t>240,139,715.94</w:t>
            </w: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3" w:right="0"/>
              <w:jc w:val="left"/>
              <w:rPr>
                <w:rFonts w:ascii="Arial Narrow" w:hAnsi="Arial Narrow" w:cs="Arial Narrow" w:eastAsia="Arial Narrow" w:hint="default"/>
                <w:sz w:val="18"/>
                <w:szCs w:val="18"/>
              </w:rPr>
            </w:pPr>
            <w:r>
              <w:rPr>
                <w:rFonts w:ascii="Arial Narrow"/>
                <w:sz w:val="18"/>
              </w:rPr>
              <w:t>2,750,752.06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5" w:right="0"/>
              <w:jc w:val="left"/>
              <w:rPr>
                <w:rFonts w:ascii="Arial Narrow" w:hAnsi="Arial Narrow" w:cs="Arial Narrow" w:eastAsia="Arial Narrow" w:hint="default"/>
                <w:sz w:val="18"/>
                <w:szCs w:val="18"/>
              </w:rPr>
            </w:pPr>
            <w:r>
              <w:rPr>
                <w:rFonts w:ascii="Arial Narrow"/>
                <w:sz w:val="18"/>
              </w:rPr>
              <w:t>-2,750,752.06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3" w:right="0"/>
              <w:jc w:val="left"/>
              <w:rPr>
                <w:rFonts w:ascii="Arial Narrow" w:hAnsi="Arial Narrow" w:cs="Arial Narrow" w:eastAsia="Arial Narrow" w:hint="default"/>
                <w:sz w:val="18"/>
                <w:szCs w:val="18"/>
              </w:rPr>
            </w:pPr>
            <w:r>
              <w:rPr>
                <w:rFonts w:ascii="Arial Narrow"/>
                <w:sz w:val="18"/>
              </w:rPr>
              <w:t>2,750,752.06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5" w:right="0"/>
              <w:jc w:val="left"/>
              <w:rPr>
                <w:rFonts w:ascii="Arial Narrow" w:hAnsi="Arial Narrow" w:cs="Arial Narrow" w:eastAsia="Arial Narrow" w:hint="default"/>
                <w:sz w:val="18"/>
                <w:szCs w:val="18"/>
              </w:rPr>
            </w:pPr>
            <w:r>
              <w:rPr>
                <w:rFonts w:ascii="Arial Narrow"/>
                <w:sz w:val="18"/>
              </w:rPr>
              <w:t>-2,750,752.06</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1" w:lineRule="exact"/>
              <w:ind w:left="86"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3961" w:type="dxa"/>
            <w:tcBorders>
              <w:top w:val="single" w:sz="4" w:space="0" w:color="000000"/>
              <w:left w:val="single" w:sz="17" w:space="0" w:color="000000"/>
              <w:bottom w:val="single" w:sz="4"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17" w:space="0" w:color="000000"/>
            </w:tcBorders>
          </w:tcPr>
          <w:p>
            <w:pPr/>
          </w:p>
        </w:tc>
      </w:tr>
      <w:tr>
        <w:trPr>
          <w:trHeight w:val="266" w:hRule="exact"/>
        </w:trPr>
        <w:tc>
          <w:tcPr>
            <w:tcW w:w="3961" w:type="dxa"/>
            <w:tcBorders>
              <w:top w:val="single" w:sz="4" w:space="0" w:color="000000"/>
              <w:left w:val="single" w:sz="17" w:space="0" w:color="000000"/>
              <w:bottom w:val="single" w:sz="17" w:space="0" w:color="000000"/>
              <w:right w:val="single" w:sz="4" w:space="0" w:color="000000"/>
            </w:tcBorders>
          </w:tcPr>
          <w:p>
            <w:pPr>
              <w:pStyle w:val="TableParagraph"/>
              <w:spacing w:line="200" w:lineRule="exact"/>
              <w:ind w:left="86"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2"/>
                <w:sz w:val="18"/>
              </w:rPr>
              <w:t>110,000,000.00</w:t>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18"/>
                <w:szCs w:val="18"/>
              </w:rPr>
            </w:pPr>
            <w:r>
              <w:rPr>
                <w:rFonts w:ascii="Arial Narrow"/>
                <w:spacing w:val="-1"/>
                <w:sz w:val="18"/>
              </w:rPr>
              <w:t>226,284,055.25</w:t>
            </w:r>
          </w:p>
        </w:tc>
        <w:tc>
          <w:tcPr>
            <w:tcW w:w="11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3"/>
              <w:ind w:right="100"/>
              <w:jc w:val="right"/>
              <w:rPr>
                <w:rFonts w:ascii="Arial Narrow" w:hAnsi="Arial Narrow" w:cs="Arial Narrow" w:eastAsia="Arial Narrow" w:hint="default"/>
                <w:sz w:val="18"/>
                <w:szCs w:val="18"/>
              </w:rPr>
            </w:pPr>
            <w:r>
              <w:rPr>
                <w:rFonts w:ascii="Arial Narrow"/>
                <w:sz w:val="18"/>
              </w:rPr>
              <w:t>-</w:t>
            </w:r>
          </w:p>
        </w:tc>
        <w:tc>
          <w:tcPr>
            <w:tcW w:w="14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left="381" w:right="0"/>
              <w:jc w:val="left"/>
              <w:rPr>
                <w:rFonts w:ascii="Arial Narrow" w:hAnsi="Arial Narrow" w:cs="Arial Narrow" w:eastAsia="Arial Narrow" w:hint="default"/>
                <w:sz w:val="18"/>
                <w:szCs w:val="18"/>
              </w:rPr>
            </w:pPr>
            <w:r>
              <w:rPr>
                <w:rFonts w:ascii="Arial Narrow"/>
                <w:sz w:val="18"/>
              </w:rPr>
              <w:t>16,723,632.32</w:t>
            </w:r>
          </w:p>
        </w:tc>
        <w:tc>
          <w:tcPr>
            <w:tcW w:w="137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6"/>
              <w:ind w:left="314" w:right="0"/>
              <w:jc w:val="left"/>
              <w:rPr>
                <w:rFonts w:ascii="Arial Narrow" w:hAnsi="Arial Narrow" w:cs="Arial Narrow" w:eastAsia="Arial Narrow" w:hint="default"/>
                <w:sz w:val="18"/>
                <w:szCs w:val="18"/>
              </w:rPr>
            </w:pPr>
            <w:r>
              <w:rPr>
                <w:rFonts w:ascii="Arial Narrow"/>
                <w:sz w:val="18"/>
              </w:rPr>
              <w:t>69,641,878.12</w:t>
            </w:r>
          </w:p>
        </w:tc>
        <w:tc>
          <w:tcPr>
            <w:tcW w:w="1572" w:type="dxa"/>
            <w:tcBorders>
              <w:top w:val="single" w:sz="4" w:space="0" w:color="000000"/>
              <w:left w:val="single" w:sz="4" w:space="0" w:color="000000"/>
              <w:bottom w:val="single" w:sz="17" w:space="0" w:color="000000"/>
              <w:right w:val="single" w:sz="4" w:space="0" w:color="000000"/>
            </w:tcBorders>
          </w:tcPr>
          <w:p>
            <w:pPr/>
          </w:p>
        </w:tc>
        <w:tc>
          <w:tcPr>
            <w:tcW w:w="169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6"/>
              <w:ind w:right="87"/>
              <w:jc w:val="right"/>
              <w:rPr>
                <w:rFonts w:ascii="Arial Narrow" w:hAnsi="Arial Narrow" w:cs="Arial Narrow" w:eastAsia="Arial Narrow" w:hint="default"/>
                <w:sz w:val="18"/>
                <w:szCs w:val="18"/>
              </w:rPr>
            </w:pPr>
            <w:r>
              <w:rPr>
                <w:rFonts w:ascii="Arial Narrow"/>
                <w:spacing w:val="-1"/>
                <w:sz w:val="18"/>
              </w:rPr>
              <w:t>422,649,565.69</w:t>
            </w:r>
          </w:p>
        </w:tc>
      </w:tr>
    </w:tbl>
    <w:p>
      <w:pPr>
        <w:spacing w:line="240" w:lineRule="auto" w:before="5"/>
        <w:rPr>
          <w:rFonts w:ascii="宋体" w:hAnsi="宋体" w:cs="宋体" w:eastAsia="宋体" w:hint="default"/>
          <w:b/>
          <w:bCs/>
          <w:sz w:val="19"/>
          <w:szCs w:val="19"/>
        </w:rPr>
      </w:pPr>
    </w:p>
    <w:p>
      <w:pPr>
        <w:tabs>
          <w:tab w:pos="5581" w:val="left" w:leader="none"/>
          <w:tab w:pos="11457" w:val="left" w:leader="none"/>
        </w:tabs>
        <w:spacing w:before="44"/>
        <w:ind w:left="246" w:right="0" w:firstLine="0"/>
        <w:jc w:val="left"/>
        <w:rPr>
          <w:rFonts w:ascii="宋体" w:hAnsi="宋体" w:cs="宋体" w:eastAsia="宋体" w:hint="default"/>
          <w:sz w:val="18"/>
          <w:szCs w:val="18"/>
        </w:rPr>
      </w:pPr>
      <w:r>
        <w:rPr>
          <w:rFonts w:ascii="宋体" w:hAnsi="宋体" w:cs="宋体" w:eastAsia="宋体" w:hint="default"/>
          <w:b/>
          <w:bCs/>
          <w:w w:val="95"/>
          <w:sz w:val="18"/>
          <w:szCs w:val="18"/>
        </w:rPr>
        <w:t>法定代表人：束龙胜</w:t>
        <w:tab/>
        <w:t>主管会计工作的负责人：陶黎明</w:t>
        <w:tab/>
      </w:r>
      <w:r>
        <w:rPr>
          <w:rFonts w:ascii="宋体" w:hAnsi="宋体" w:cs="宋体" w:eastAsia="宋体" w:hint="default"/>
          <w:b/>
          <w:bCs/>
          <w:sz w:val="18"/>
          <w:szCs w:val="18"/>
        </w:rPr>
        <w:t>会计机构负责人：杨勇</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816" w:footer="956" w:top="1160" w:bottom="1140" w:left="1660" w:right="0"/>
        </w:sectPr>
      </w:pPr>
    </w:p>
    <w:p>
      <w:pPr>
        <w:spacing w:line="240" w:lineRule="auto" w:before="11"/>
        <w:rPr>
          <w:rFonts w:ascii="宋体" w:hAnsi="宋体" w:cs="宋体" w:eastAsia="宋体" w:hint="default"/>
          <w:b/>
          <w:bCs/>
          <w:sz w:val="19"/>
          <w:szCs w:val="19"/>
        </w:rPr>
      </w:pPr>
      <w:r>
        <w:rPr/>
        <w:pict>
          <v:shape style="position:absolute;margin-left:494.049988pt;margin-top:784.099731pt;width:101.25pt;height:57.75pt;mso-position-horizontal-relative:page;mso-position-vertical-relative:page;z-index:1384" type="#_x0000_t75" stroked="false">
            <v:imagedata r:id="rId21" o:title=""/>
          </v:shape>
        </w:pict>
      </w:r>
    </w:p>
    <w:p>
      <w:pPr>
        <w:pStyle w:val="Heading2"/>
        <w:spacing w:line="240" w:lineRule="auto"/>
        <w:ind w:right="1638"/>
        <w:jc w:val="center"/>
        <w:rPr>
          <w:b w:val="0"/>
          <w:bCs w:val="0"/>
        </w:rPr>
      </w:pPr>
      <w:r>
        <w:rPr/>
        <w:t>安徽鑫龙电器股份有限公司</w:t>
      </w:r>
      <w:r>
        <w:rPr>
          <w:b w:val="0"/>
          <w:bCs w:val="0"/>
        </w:rPr>
      </w:r>
    </w:p>
    <w:p>
      <w:pPr>
        <w:spacing w:before="229"/>
        <w:ind w:left="0" w:right="1638" w:firstLine="0"/>
        <w:jc w:val="center"/>
        <w:rPr>
          <w:rFonts w:ascii="宋体" w:hAnsi="宋体" w:cs="宋体" w:eastAsia="宋体" w:hint="default"/>
          <w:sz w:val="44"/>
          <w:szCs w:val="44"/>
        </w:rPr>
      </w:pPr>
      <w:r>
        <w:rPr>
          <w:rFonts w:ascii="宋体" w:hAnsi="宋体" w:cs="宋体" w:eastAsia="宋体" w:hint="default"/>
          <w:b/>
          <w:bCs/>
          <w:spacing w:val="2"/>
          <w:sz w:val="44"/>
          <w:szCs w:val="44"/>
        </w:rPr>
        <w:t>财务报表附注</w:t>
      </w:r>
      <w:r>
        <w:rPr>
          <w:rFonts w:ascii="宋体" w:hAnsi="宋体" w:cs="宋体" w:eastAsia="宋体" w:hint="default"/>
          <w:sz w:val="44"/>
          <w:szCs w:val="44"/>
        </w:rPr>
      </w:r>
    </w:p>
    <w:p>
      <w:pPr>
        <w:pStyle w:val="Heading2"/>
        <w:spacing w:line="240" w:lineRule="auto" w:before="77"/>
        <w:ind w:right="1712"/>
        <w:jc w:val="center"/>
        <w:rPr>
          <w:b w:val="0"/>
          <w:bCs w:val="0"/>
        </w:rPr>
      </w:pPr>
      <w:r>
        <w:rPr>
          <w:rFonts w:ascii="宋体" w:hAnsi="宋体" w:cs="宋体" w:eastAsia="宋体" w:hint="default"/>
          <w:spacing w:val="29"/>
        </w:rPr>
        <w:t>2010</w:t>
      </w:r>
      <w:r>
        <w:rPr>
          <w:rFonts w:ascii="宋体" w:hAnsi="宋体" w:cs="宋体" w:eastAsia="宋体" w:hint="default"/>
          <w:spacing w:val="-22"/>
        </w:rPr>
        <w:t> </w:t>
      </w:r>
      <w:r>
        <w:rPr/>
        <w:t>年</w:t>
      </w:r>
      <w:r>
        <w:rPr>
          <w:spacing w:val="-77"/>
        </w:rPr>
        <w:t> </w:t>
      </w:r>
      <w:r>
        <w:rPr/>
        <w:t>度</w:t>
      </w:r>
      <w:r>
        <w:rPr>
          <w:b w:val="0"/>
          <w:bCs w:val="0"/>
        </w:rPr>
      </w:r>
    </w:p>
    <w:p>
      <w:pPr>
        <w:tabs>
          <w:tab w:pos="6332" w:val="left" w:leader="none"/>
        </w:tabs>
        <w:spacing w:before="269"/>
        <w:ind w:left="0" w:right="1635" w:firstLine="0"/>
        <w:jc w:val="center"/>
        <w:rPr>
          <w:rFonts w:ascii="宋体" w:hAnsi="宋体" w:cs="宋体" w:eastAsia="宋体" w:hint="default"/>
          <w:sz w:val="21"/>
          <w:szCs w:val="21"/>
        </w:rPr>
      </w:pPr>
      <w:r>
        <w:rPr>
          <w:rFonts w:ascii="宋体" w:hAnsi="宋体" w:cs="宋体" w:eastAsia="宋体" w:hint="default"/>
          <w:spacing w:val="8"/>
          <w:sz w:val="21"/>
          <w:szCs w:val="21"/>
        </w:rPr>
        <w:t>编制单位：安徽鑫龙电器股份有限公司</w:t>
        <w:tab/>
      </w:r>
      <w:r>
        <w:rPr>
          <w:rFonts w:ascii="宋体" w:hAnsi="宋体" w:cs="宋体" w:eastAsia="宋体" w:hint="default"/>
          <w:spacing w:val="7"/>
          <w:sz w:val="21"/>
          <w:szCs w:val="21"/>
        </w:rPr>
        <w:t>金额单位：人民币元</w:t>
      </w:r>
    </w:p>
    <w:p>
      <w:pPr>
        <w:spacing w:line="240" w:lineRule="auto" w:before="1"/>
        <w:rPr>
          <w:rFonts w:ascii="宋体" w:hAnsi="宋体" w:cs="宋体" w:eastAsia="宋体" w:hint="default"/>
          <w:sz w:val="9"/>
          <w:szCs w:val="9"/>
        </w:rPr>
      </w:pPr>
    </w:p>
    <w:p>
      <w:pPr>
        <w:spacing w:line="43" w:lineRule="exact"/>
        <w:ind w:left="107" w:right="0" w:firstLine="0"/>
        <w:rPr>
          <w:rFonts w:ascii="宋体" w:hAnsi="宋体" w:cs="宋体" w:eastAsia="宋体" w:hint="default"/>
          <w:sz w:val="4"/>
          <w:szCs w:val="4"/>
        </w:rPr>
      </w:pPr>
      <w:r>
        <w:rPr>
          <w:rFonts w:ascii="宋体" w:hAnsi="宋体" w:cs="宋体" w:eastAsia="宋体" w:hint="default"/>
          <w:position w:val="0"/>
          <w:sz w:val="4"/>
          <w:szCs w:val="4"/>
        </w:rPr>
        <w:pict>
          <v:group style="width:420.7pt;height:2.2pt;mso-position-horizontal-relative:char;mso-position-vertical-relative:line" coordorigin="0,0" coordsize="8414,44">
            <v:group style="position:absolute;left:22;top:22;width:8371;height:2" coordorigin="22,22" coordsize="8371,2">
              <v:shape style="position:absolute;left:22;top:22;width:8371;height:2" coordorigin="22,22" coordsize="8371,0" path="m22,22l8392,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4"/>
        <w:rPr>
          <w:rFonts w:ascii="宋体" w:hAnsi="宋体" w:cs="宋体" w:eastAsia="宋体" w:hint="default"/>
          <w:sz w:val="13"/>
          <w:szCs w:val="13"/>
        </w:rPr>
      </w:pPr>
    </w:p>
    <w:p>
      <w:pPr>
        <w:pStyle w:val="BodyText"/>
        <w:spacing w:line="240" w:lineRule="auto" w:before="26"/>
        <w:ind w:left="518" w:right="1503"/>
        <w:jc w:val="left"/>
        <w:rPr>
          <w:rFonts w:ascii="黑体" w:hAnsi="黑体" w:cs="黑体" w:eastAsia="黑体" w:hint="default"/>
        </w:rPr>
      </w:pPr>
      <w:r>
        <w:rPr>
          <w:rFonts w:ascii="黑体" w:hAnsi="黑体" w:cs="黑体" w:eastAsia="黑体" w:hint="default"/>
        </w:rPr>
        <w:t>一、公司的基本情况</w:t>
      </w:r>
    </w:p>
    <w:p>
      <w:pPr>
        <w:spacing w:line="240" w:lineRule="auto" w:before="3"/>
        <w:rPr>
          <w:rFonts w:ascii="黑体" w:hAnsi="黑体" w:cs="黑体" w:eastAsia="黑体" w:hint="default"/>
          <w:sz w:val="21"/>
          <w:szCs w:val="21"/>
        </w:rPr>
      </w:pPr>
    </w:p>
    <w:p>
      <w:pPr>
        <w:spacing w:line="338" w:lineRule="auto" w:before="0"/>
        <w:ind w:left="158" w:right="1503" w:firstLine="419"/>
        <w:jc w:val="left"/>
        <w:rPr>
          <w:rFonts w:ascii="宋体" w:hAnsi="宋体" w:cs="宋体" w:eastAsia="宋体" w:hint="default"/>
          <w:sz w:val="21"/>
          <w:szCs w:val="21"/>
        </w:rPr>
      </w:pPr>
      <w:r>
        <w:rPr>
          <w:rFonts w:ascii="宋体" w:hAnsi="宋体" w:cs="宋体" w:eastAsia="宋体" w:hint="default"/>
          <w:spacing w:val="-7"/>
          <w:w w:val="100"/>
          <w:sz w:val="21"/>
          <w:szCs w:val="21"/>
        </w:rPr>
        <w:t>安徽鑫龙电器股份有限公司（以下简称“本公司”）</w:t>
      </w:r>
      <w:r>
        <w:rPr>
          <w:rFonts w:ascii="宋体" w:hAnsi="宋体" w:cs="宋体" w:eastAsia="宋体" w:hint="default"/>
          <w:spacing w:val="-5"/>
          <w:w w:val="100"/>
          <w:sz w:val="21"/>
          <w:szCs w:val="21"/>
        </w:rPr>
        <w:t> </w:t>
      </w:r>
      <w:r>
        <w:rPr>
          <w:rFonts w:ascii="宋体" w:hAnsi="宋体" w:cs="宋体" w:eastAsia="宋体" w:hint="default"/>
          <w:spacing w:val="-1"/>
          <w:w w:val="100"/>
          <w:sz w:val="21"/>
          <w:szCs w:val="21"/>
        </w:rPr>
        <w:t>成立于</w:t>
      </w:r>
      <w:r>
        <w:rPr>
          <w:rFonts w:ascii="宋体" w:hAnsi="宋体" w:cs="宋体" w:eastAsia="宋体" w:hint="default"/>
          <w:spacing w:val="-52"/>
          <w:w w:val="100"/>
          <w:sz w:val="21"/>
          <w:szCs w:val="21"/>
        </w:rPr>
        <w:t> </w:t>
      </w:r>
      <w:r>
        <w:rPr>
          <w:rFonts w:ascii="Arial Narrow" w:hAnsi="Arial Narrow" w:cs="Arial Narrow" w:eastAsia="Arial Narrow" w:hint="default"/>
          <w:spacing w:val="-1"/>
          <w:w w:val="100"/>
          <w:sz w:val="21"/>
          <w:szCs w:val="21"/>
        </w:rPr>
        <w:t>1998</w:t>
      </w:r>
      <w:r>
        <w:rPr>
          <w:rFonts w:ascii="Arial Narrow" w:hAnsi="Arial Narrow" w:cs="Arial Narrow" w:eastAsia="Arial Narrow"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Arial Narrow" w:hAnsi="Arial Narrow" w:cs="Arial Narrow" w:eastAsia="Arial Narrow" w:hint="default"/>
          <w:w w:val="100"/>
          <w:sz w:val="21"/>
          <w:szCs w:val="21"/>
        </w:rPr>
        <w:t>5</w:t>
      </w:r>
      <w:r>
        <w:rPr>
          <w:rFonts w:ascii="Arial Narrow" w:hAnsi="Arial Narrow" w:cs="Arial Narrow" w:eastAsia="Arial Narrow" w:hint="default"/>
          <w:spacing w:val="3"/>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Arial Narrow" w:hAnsi="Arial Narrow" w:cs="Arial Narrow" w:eastAsia="Arial Narrow" w:hint="default"/>
          <w:spacing w:val="-1"/>
          <w:w w:val="100"/>
          <w:sz w:val="21"/>
          <w:szCs w:val="21"/>
        </w:rPr>
        <w:t>15</w:t>
      </w:r>
      <w:r>
        <w:rPr>
          <w:rFonts w:ascii="Arial Narrow" w:hAnsi="Arial Narrow" w:cs="Arial Narrow" w:eastAsia="Arial Narrow" w:hint="default"/>
          <w:spacing w:val="3"/>
          <w:w w:val="100"/>
          <w:sz w:val="21"/>
          <w:szCs w:val="21"/>
        </w:rPr>
        <w:t> </w:t>
      </w:r>
      <w:r>
        <w:rPr>
          <w:rFonts w:ascii="宋体" w:hAnsi="宋体" w:cs="宋体" w:eastAsia="宋体" w:hint="default"/>
          <w:spacing w:val="-3"/>
          <w:w w:val="100"/>
          <w:sz w:val="21"/>
          <w:szCs w:val="21"/>
        </w:rPr>
        <w:t>日，经安徽</w:t>
      </w:r>
      <w:r>
        <w:rPr>
          <w:rFonts w:ascii="宋体" w:hAnsi="宋体" w:cs="宋体" w:eastAsia="宋体" w:hint="default"/>
          <w:w w:val="100"/>
          <w:sz w:val="21"/>
          <w:szCs w:val="21"/>
        </w:rPr>
        <w:t> </w:t>
      </w:r>
      <w:r>
        <w:rPr>
          <w:rFonts w:ascii="宋体" w:hAnsi="宋体" w:cs="宋体" w:eastAsia="宋体" w:hint="default"/>
          <w:spacing w:val="-3"/>
          <w:sz w:val="21"/>
          <w:szCs w:val="21"/>
        </w:rPr>
        <w:t>省工商行政管理局核准登记注册，企业法人营业执照的注册号为：</w:t>
      </w:r>
      <w:r>
        <w:rPr>
          <w:rFonts w:ascii="Arial Narrow" w:hAnsi="Arial Narrow" w:cs="Arial Narrow" w:eastAsia="Arial Narrow" w:hint="default"/>
          <w:spacing w:val="-3"/>
          <w:sz w:val="21"/>
          <w:szCs w:val="21"/>
        </w:rPr>
        <w:t>3400002400030</w:t>
      </w:r>
      <w:r>
        <w:rPr>
          <w:rFonts w:ascii="宋体" w:hAnsi="宋体" w:cs="宋体" w:eastAsia="宋体" w:hint="default"/>
          <w:spacing w:val="-3"/>
          <w:sz w:val="21"/>
          <w:szCs w:val="21"/>
        </w:rPr>
        <w:t>，注册资本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Arial Narrow" w:hAnsi="Arial Narrow" w:cs="Arial Narrow" w:eastAsia="Arial Narrow" w:hint="default"/>
          <w:spacing w:val="-1"/>
          <w:w w:val="100"/>
          <w:sz w:val="21"/>
          <w:szCs w:val="21"/>
        </w:rPr>
        <w:t>8200</w:t>
      </w:r>
      <w:r>
        <w:rPr>
          <w:rFonts w:ascii="Arial Narrow" w:hAnsi="Arial Narrow" w:cs="Arial Narrow" w:eastAsia="Arial Narrow" w:hint="default"/>
          <w:spacing w:val="13"/>
          <w:w w:val="100"/>
          <w:sz w:val="21"/>
          <w:szCs w:val="21"/>
        </w:rPr>
        <w:t> </w:t>
      </w:r>
      <w:r>
        <w:rPr>
          <w:rFonts w:ascii="宋体" w:hAnsi="宋体" w:cs="宋体" w:eastAsia="宋体" w:hint="default"/>
          <w:spacing w:val="-4"/>
          <w:w w:val="100"/>
          <w:sz w:val="21"/>
          <w:szCs w:val="21"/>
        </w:rPr>
        <w:t>万元，注册地址：芜湖市经济技术开发区电器部件园（九华北路</w:t>
      </w:r>
      <w:r>
        <w:rPr>
          <w:rFonts w:ascii="宋体" w:hAnsi="宋体" w:cs="宋体" w:eastAsia="宋体" w:hint="default"/>
          <w:spacing w:val="-43"/>
          <w:w w:val="100"/>
          <w:sz w:val="21"/>
          <w:szCs w:val="21"/>
        </w:rPr>
        <w:t> </w:t>
      </w:r>
      <w:r>
        <w:rPr>
          <w:rFonts w:ascii="Arial Narrow" w:hAnsi="Arial Narrow" w:cs="Arial Narrow" w:eastAsia="Arial Narrow" w:hint="default"/>
          <w:spacing w:val="-5"/>
          <w:w w:val="100"/>
          <w:sz w:val="21"/>
          <w:szCs w:val="21"/>
        </w:rPr>
        <w:t>118</w:t>
      </w:r>
      <w:r>
        <w:rPr>
          <w:rFonts w:ascii="Arial Narrow" w:hAnsi="Arial Narrow" w:cs="Arial Narrow" w:eastAsia="Arial Narrow" w:hint="default"/>
          <w:spacing w:val="9"/>
          <w:w w:val="100"/>
          <w:sz w:val="21"/>
          <w:szCs w:val="21"/>
        </w:rPr>
        <w:t> </w:t>
      </w:r>
      <w:r>
        <w:rPr>
          <w:rFonts w:ascii="宋体" w:hAnsi="宋体" w:cs="宋体" w:eastAsia="宋体" w:hint="default"/>
          <w:spacing w:val="-15"/>
          <w:w w:val="100"/>
          <w:sz w:val="21"/>
          <w:szCs w:val="21"/>
        </w:rPr>
        <w:t>号），法定代表人：</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束龙胜。</w:t>
      </w:r>
    </w:p>
    <w:p>
      <w:pPr>
        <w:spacing w:before="47"/>
        <w:ind w:left="578" w:right="1503"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根据本公司</w:t>
      </w:r>
      <w:r>
        <w:rPr>
          <w:rFonts w:ascii="宋体" w:hAnsi="宋体" w:cs="宋体" w:eastAsia="宋体" w:hint="default"/>
          <w:spacing w:val="-60"/>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6"/>
          <w:sz w:val="21"/>
          <w:szCs w:val="21"/>
        </w:rPr>
        <w:t> </w:t>
      </w:r>
      <w:r>
        <w:rPr>
          <w:rFonts w:ascii="宋体" w:hAnsi="宋体" w:cs="宋体" w:eastAsia="宋体" w:hint="default"/>
          <w:sz w:val="21"/>
          <w:szCs w:val="21"/>
        </w:rPr>
        <w:t>年第一次临时股东大会决议及中国证券监督管理委员会证监许可</w:t>
      </w:r>
      <w:r>
        <w:rPr>
          <w:rFonts w:ascii="Arial Narrow" w:hAnsi="Arial Narrow" w:cs="Arial Narrow" w:eastAsia="Arial Narrow" w:hint="default"/>
          <w:sz w:val="21"/>
          <w:szCs w:val="21"/>
        </w:rPr>
        <w:t>[2009]</w:t>
      </w:r>
    </w:p>
    <w:p>
      <w:pPr>
        <w:spacing w:before="118"/>
        <w:ind w:left="158" w:right="0" w:firstLine="0"/>
        <w:jc w:val="both"/>
        <w:rPr>
          <w:rFonts w:ascii="宋体" w:hAnsi="宋体" w:cs="宋体" w:eastAsia="宋体" w:hint="default"/>
          <w:sz w:val="21"/>
          <w:szCs w:val="21"/>
        </w:rPr>
      </w:pPr>
      <w:r>
        <w:rPr>
          <w:rFonts w:ascii="Arial Narrow" w:hAnsi="Arial Narrow" w:cs="Arial Narrow" w:eastAsia="Arial Narrow" w:hint="default"/>
          <w:spacing w:val="-1"/>
          <w:w w:val="100"/>
          <w:sz w:val="21"/>
          <w:szCs w:val="21"/>
        </w:rPr>
        <w:t>92</w:t>
      </w:r>
      <w:r>
        <w:rPr>
          <w:rFonts w:ascii="Arial Narrow" w:hAnsi="Arial Narrow" w:cs="Arial Narrow" w:eastAsia="Arial Narrow" w:hint="default"/>
          <w:w w:val="100"/>
          <w:sz w:val="21"/>
          <w:szCs w:val="21"/>
        </w:rPr>
        <w:t>9</w:t>
      </w:r>
      <w:r>
        <w:rPr>
          <w:rFonts w:ascii="Arial Narrow" w:hAnsi="Arial Narrow" w:cs="Arial Narrow" w:eastAsia="Arial Narrow" w:hint="default"/>
          <w:sz w:val="21"/>
          <w:szCs w:val="21"/>
        </w:rPr>
        <w:t> </w:t>
      </w:r>
      <w:r>
        <w:rPr>
          <w:rFonts w:ascii="Arial Narrow" w:hAnsi="Arial Narrow" w:cs="Arial Narrow" w:eastAsia="Arial Narrow" w:hint="default"/>
          <w:spacing w:val="9"/>
          <w:sz w:val="21"/>
          <w:szCs w:val="21"/>
        </w:rPr>
        <w:t> </w:t>
      </w:r>
      <w:r>
        <w:rPr>
          <w:rFonts w:ascii="宋体" w:hAnsi="宋体" w:cs="宋体" w:eastAsia="宋体" w:hint="default"/>
          <w:w w:val="100"/>
          <w:sz w:val="21"/>
          <w:szCs w:val="21"/>
        </w:rPr>
        <w:t>号文“关于核准安徽鑫龙电器股份有限公司首次公开发行股票的批复</w:t>
      </w:r>
      <w:r>
        <w:rPr>
          <w:rFonts w:ascii="宋体" w:hAnsi="宋体" w:cs="宋体" w:eastAsia="宋体" w:hint="default"/>
          <w:spacing w:val="-104"/>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本公司分别于</w:t>
      </w:r>
    </w:p>
    <w:p>
      <w:pPr>
        <w:spacing w:line="338" w:lineRule="auto" w:before="121"/>
        <w:ind w:left="158" w:right="1788" w:firstLine="0"/>
        <w:jc w:val="both"/>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Narrow" w:hAnsi="Arial Narrow" w:cs="Arial Narrow" w:eastAsia="Arial Narrow" w:hint="default"/>
          <w:sz w:val="21"/>
          <w:szCs w:val="21"/>
        </w:rPr>
        <w:t>18</w:t>
      </w:r>
      <w:r>
        <w:rPr>
          <w:rFonts w:ascii="Arial Narrow" w:hAnsi="Arial Narrow" w:cs="Arial Narrow" w:eastAsia="Arial Narrow" w:hint="default"/>
          <w:spacing w:val="10"/>
          <w:sz w:val="21"/>
          <w:szCs w:val="21"/>
        </w:rPr>
        <w:t> </w:t>
      </w:r>
      <w:r>
        <w:rPr>
          <w:rFonts w:ascii="宋体" w:hAnsi="宋体" w:cs="宋体" w:eastAsia="宋体" w:hint="default"/>
          <w:spacing w:val="-5"/>
          <w:sz w:val="21"/>
          <w:szCs w:val="21"/>
        </w:rPr>
        <w:t>日采用网下配售方式向询价对象公开发行人民币普通股（</w:t>
      </w:r>
      <w:r>
        <w:rPr>
          <w:rFonts w:ascii="Arial Narrow" w:hAnsi="Arial Narrow" w:cs="Arial Narrow" w:eastAsia="Arial Narrow" w:hint="default"/>
          <w:spacing w:val="-5"/>
          <w:sz w:val="21"/>
          <w:szCs w:val="21"/>
        </w:rPr>
        <w:t>A</w:t>
      </w:r>
      <w:r>
        <w:rPr>
          <w:rFonts w:ascii="Arial Narrow" w:hAnsi="Arial Narrow" w:cs="Arial Narrow" w:eastAsia="Arial Narrow" w:hint="default"/>
          <w:spacing w:val="12"/>
          <w:sz w:val="21"/>
          <w:szCs w:val="21"/>
        </w:rPr>
        <w:t> </w:t>
      </w:r>
      <w:r>
        <w:rPr>
          <w:rFonts w:ascii="宋体" w:hAnsi="宋体" w:cs="宋体" w:eastAsia="宋体" w:hint="default"/>
          <w:spacing w:val="-17"/>
          <w:sz w:val="21"/>
          <w:szCs w:val="21"/>
        </w:rPr>
        <w:t>股）</w:t>
      </w:r>
      <w:r>
        <w:rPr>
          <w:rFonts w:ascii="Arial Narrow" w:hAnsi="Arial Narrow" w:cs="Arial Narrow" w:eastAsia="Arial Narrow" w:hint="default"/>
          <w:spacing w:val="-17"/>
          <w:sz w:val="21"/>
          <w:szCs w:val="21"/>
        </w:rPr>
        <w:t>560</w:t>
      </w:r>
      <w:r>
        <w:rPr>
          <w:rFonts w:ascii="Arial Narrow" w:hAnsi="Arial Narrow" w:cs="Arial Narrow" w:eastAsia="Arial Narrow" w:hint="default"/>
          <w:spacing w:val="12"/>
          <w:sz w:val="21"/>
          <w:szCs w:val="21"/>
        </w:rPr>
        <w:t> </w:t>
      </w:r>
      <w:r>
        <w:rPr>
          <w:rFonts w:ascii="宋体" w:hAnsi="宋体" w:cs="宋体" w:eastAsia="宋体" w:hint="default"/>
          <w:spacing w:val="-12"/>
          <w:sz w:val="21"/>
          <w:szCs w:val="21"/>
        </w:rPr>
        <w:t>万股，</w:t>
      </w:r>
      <w:r>
        <w:rPr>
          <w:rFonts w:ascii="Arial Narrow" w:hAnsi="Arial Narrow" w:cs="Arial Narrow" w:eastAsia="Arial Narrow" w:hint="default"/>
          <w:spacing w:val="-12"/>
          <w:sz w:val="21"/>
          <w:szCs w:val="21"/>
        </w:rPr>
        <w:t>2010</w:t>
      </w:r>
      <w:r>
        <w:rPr>
          <w:rFonts w:ascii="Arial Narrow" w:hAnsi="Arial Narrow" w:cs="Arial Narrow" w:eastAsia="Arial Narrow" w:hint="default"/>
          <w:spacing w:val="-44"/>
          <w:sz w:val="21"/>
          <w:szCs w:val="21"/>
        </w:rPr>
        <w:t> </w:t>
      </w:r>
      <w:r>
        <w:rPr>
          <w:rFonts w:ascii="宋体" w:hAnsi="宋体" w:cs="宋体" w:eastAsia="宋体" w:hint="default"/>
          <w:sz w:val="21"/>
          <w:szCs w:val="21"/>
        </w:rPr>
        <w:t>年 </w:t>
      </w:r>
      <w:r>
        <w:rPr>
          <w:rFonts w:ascii="Arial Narrow" w:hAnsi="Arial Narrow" w:cs="Arial Narrow" w:eastAsia="Arial Narrow" w:hint="default"/>
          <w:sz w:val="21"/>
          <w:szCs w:val="21"/>
        </w:rPr>
        <w:t>9 </w:t>
      </w:r>
      <w:r>
        <w:rPr>
          <w:rFonts w:ascii="宋体" w:hAnsi="宋体" w:cs="宋体" w:eastAsia="宋体" w:hint="default"/>
          <w:sz w:val="21"/>
          <w:szCs w:val="21"/>
        </w:rPr>
        <w:t>月 </w:t>
      </w:r>
      <w:r>
        <w:rPr>
          <w:rFonts w:ascii="Arial Narrow" w:hAnsi="Arial Narrow" w:cs="Arial Narrow" w:eastAsia="Arial Narrow" w:hint="default"/>
          <w:sz w:val="21"/>
          <w:szCs w:val="21"/>
        </w:rPr>
        <w:t>18 </w:t>
      </w:r>
      <w:r>
        <w:rPr>
          <w:rFonts w:ascii="宋体" w:hAnsi="宋体" w:cs="宋体" w:eastAsia="宋体" w:hint="default"/>
          <w:sz w:val="21"/>
          <w:szCs w:val="21"/>
        </w:rPr>
        <w:t>日采用网上定价方式公开发行人民币普通股（</w:t>
      </w:r>
      <w:r>
        <w:rPr>
          <w:rFonts w:ascii="Arial Narrow" w:hAnsi="Arial Narrow" w:cs="Arial Narrow" w:eastAsia="Arial Narrow" w:hint="default"/>
          <w:sz w:val="21"/>
          <w:szCs w:val="21"/>
        </w:rPr>
        <w:t>A </w:t>
      </w:r>
      <w:r>
        <w:rPr>
          <w:rFonts w:ascii="宋体" w:hAnsi="宋体" w:cs="宋体" w:eastAsia="宋体" w:hint="default"/>
          <w:sz w:val="21"/>
          <w:szCs w:val="21"/>
        </w:rPr>
        <w:t>股）</w:t>
      </w:r>
      <w:r>
        <w:rPr>
          <w:rFonts w:ascii="Arial Narrow" w:hAnsi="Arial Narrow" w:cs="Arial Narrow" w:eastAsia="Arial Narrow" w:hint="default"/>
          <w:sz w:val="21"/>
          <w:szCs w:val="21"/>
        </w:rPr>
        <w:t>2240</w:t>
      </w:r>
      <w:r>
        <w:rPr>
          <w:rFonts w:ascii="Arial Narrow" w:hAnsi="Arial Narrow" w:cs="Arial Narrow" w:eastAsia="Arial Narrow" w:hint="default"/>
          <w:spacing w:val="-23"/>
          <w:sz w:val="21"/>
          <w:szCs w:val="21"/>
        </w:rPr>
        <w:t> </w:t>
      </w:r>
      <w:r>
        <w:rPr>
          <w:rFonts w:ascii="宋体" w:hAnsi="宋体" w:cs="宋体" w:eastAsia="宋体" w:hint="default"/>
          <w:sz w:val="21"/>
          <w:szCs w:val="21"/>
        </w:rPr>
        <w:t>万股，共计公开发行人</w:t>
      </w:r>
      <w:r>
        <w:rPr>
          <w:rFonts w:ascii="宋体" w:hAnsi="宋体" w:cs="宋体" w:eastAsia="宋体" w:hint="default"/>
          <w:w w:val="100"/>
          <w:sz w:val="21"/>
          <w:szCs w:val="21"/>
        </w:rPr>
        <w:t> </w:t>
      </w:r>
      <w:r>
        <w:rPr>
          <w:rFonts w:ascii="宋体" w:hAnsi="宋体" w:cs="宋体" w:eastAsia="宋体" w:hint="default"/>
          <w:sz w:val="21"/>
          <w:szCs w:val="21"/>
        </w:rPr>
        <w:t>民币普通股（</w:t>
      </w:r>
      <w:r>
        <w:rPr>
          <w:rFonts w:ascii="Arial Narrow" w:hAnsi="Arial Narrow" w:cs="Arial Narrow" w:eastAsia="Arial Narrow" w:hint="default"/>
          <w:sz w:val="21"/>
          <w:szCs w:val="21"/>
        </w:rPr>
        <w:t>A</w:t>
      </w:r>
      <w:r>
        <w:rPr>
          <w:rFonts w:ascii="Arial Narrow" w:hAnsi="Arial Narrow" w:cs="Arial Narrow" w:eastAsia="Arial Narrow" w:hint="default"/>
          <w:spacing w:val="11"/>
          <w:sz w:val="21"/>
          <w:szCs w:val="21"/>
        </w:rPr>
        <w:t> </w:t>
      </w:r>
      <w:r>
        <w:rPr>
          <w:rFonts w:ascii="宋体" w:hAnsi="宋体" w:cs="宋体" w:eastAsia="宋体" w:hint="default"/>
          <w:sz w:val="21"/>
          <w:szCs w:val="21"/>
        </w:rPr>
        <w:t>股）</w:t>
      </w:r>
      <w:r>
        <w:rPr>
          <w:rFonts w:ascii="Arial Narrow" w:hAnsi="Arial Narrow" w:cs="Arial Narrow" w:eastAsia="Arial Narrow" w:hint="default"/>
          <w:sz w:val="21"/>
          <w:szCs w:val="21"/>
        </w:rPr>
        <w:t>2800</w:t>
      </w:r>
      <w:r>
        <w:rPr>
          <w:rFonts w:ascii="Arial Narrow" w:hAnsi="Arial Narrow" w:cs="Arial Narrow" w:eastAsia="Arial Narrow" w:hint="default"/>
          <w:spacing w:val="12"/>
          <w:sz w:val="21"/>
          <w:szCs w:val="21"/>
        </w:rPr>
        <w:t> </w:t>
      </w:r>
      <w:r>
        <w:rPr>
          <w:rFonts w:ascii="宋体" w:hAnsi="宋体" w:cs="宋体" w:eastAsia="宋体" w:hint="default"/>
          <w:sz w:val="21"/>
          <w:szCs w:val="21"/>
        </w:rPr>
        <w:t>万股，每股发行价格为</w:t>
      </w:r>
      <w:r>
        <w:rPr>
          <w:rFonts w:ascii="宋体" w:hAnsi="宋体" w:cs="宋体" w:eastAsia="宋体" w:hint="default"/>
          <w:spacing w:val="-43"/>
          <w:sz w:val="21"/>
          <w:szCs w:val="21"/>
        </w:rPr>
        <w:t> </w:t>
      </w:r>
      <w:r>
        <w:rPr>
          <w:rFonts w:ascii="Arial Narrow" w:hAnsi="Arial Narrow" w:cs="Arial Narrow" w:eastAsia="Arial Narrow" w:hint="default"/>
          <w:sz w:val="21"/>
          <w:szCs w:val="21"/>
        </w:rPr>
        <w:t>9.50</w:t>
      </w:r>
      <w:r>
        <w:rPr>
          <w:rFonts w:ascii="Arial Narrow" w:hAnsi="Arial Narrow" w:cs="Arial Narrow" w:eastAsia="Arial Narrow" w:hint="default"/>
          <w:spacing w:val="14"/>
          <w:sz w:val="21"/>
          <w:szCs w:val="21"/>
        </w:rPr>
        <w:t> </w:t>
      </w:r>
      <w:r>
        <w:rPr>
          <w:rFonts w:ascii="宋体" w:hAnsi="宋体" w:cs="宋体" w:eastAsia="宋体" w:hint="default"/>
          <w:sz w:val="21"/>
          <w:szCs w:val="21"/>
        </w:rPr>
        <w:t>元。公司发行后社会公众股为</w:t>
      </w:r>
      <w:r>
        <w:rPr>
          <w:rFonts w:ascii="宋体" w:hAnsi="宋体" w:cs="宋体" w:eastAsia="宋体" w:hint="default"/>
          <w:spacing w:val="-43"/>
          <w:sz w:val="21"/>
          <w:szCs w:val="21"/>
        </w:rPr>
        <w:t> </w:t>
      </w:r>
      <w:r>
        <w:rPr>
          <w:rFonts w:ascii="Arial Narrow" w:hAnsi="Arial Narrow" w:cs="Arial Narrow" w:eastAsia="Arial Narrow" w:hint="default"/>
          <w:sz w:val="21"/>
          <w:szCs w:val="21"/>
        </w:rPr>
        <w:t>2800</w:t>
      </w:r>
      <w:r>
        <w:rPr>
          <w:rFonts w:ascii="Arial Narrow" w:hAnsi="Arial Narrow" w:cs="Arial Narrow" w:eastAsia="Arial Narrow" w:hint="default"/>
          <w:spacing w:val="13"/>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股，出资方式全部为货币资金。本次发行后本公司的注册资本为</w:t>
      </w:r>
      <w:r>
        <w:rPr>
          <w:rFonts w:ascii="宋体" w:hAnsi="宋体" w:cs="宋体" w:eastAsia="宋体" w:hint="default"/>
          <w:spacing w:val="-61"/>
          <w:sz w:val="21"/>
          <w:szCs w:val="21"/>
        </w:rPr>
        <w:t> </w:t>
      </w:r>
      <w:r>
        <w:rPr>
          <w:rFonts w:ascii="Arial Narrow" w:hAnsi="Arial Narrow" w:cs="Arial Narrow" w:eastAsia="Arial Narrow" w:hint="default"/>
          <w:sz w:val="21"/>
          <w:szCs w:val="21"/>
        </w:rPr>
        <w:t>110,000,000.00</w:t>
      </w:r>
      <w:r>
        <w:rPr>
          <w:rFonts w:ascii="Arial Narrow" w:hAnsi="Arial Narrow" w:cs="Arial Narrow" w:eastAsia="Arial Narrow" w:hint="default"/>
          <w:spacing w:val="-4"/>
          <w:sz w:val="21"/>
          <w:szCs w:val="21"/>
        </w:rPr>
        <w:t> </w:t>
      </w:r>
      <w:r>
        <w:rPr>
          <w:rFonts w:ascii="宋体" w:hAnsi="宋体" w:cs="宋体" w:eastAsia="宋体" w:hint="default"/>
          <w:sz w:val="21"/>
          <w:szCs w:val="21"/>
        </w:rPr>
        <w:t>元。</w:t>
      </w:r>
    </w:p>
    <w:p>
      <w:pPr>
        <w:spacing w:before="24"/>
        <w:ind w:left="578" w:right="1503"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1"/>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9</w:t>
      </w:r>
      <w:r>
        <w:rPr>
          <w:rFonts w:ascii="Arial Narrow" w:hAnsi="Arial Narrow" w:cs="Arial Narrow" w:eastAsia="Arial Narrow" w:hint="default"/>
          <w:sz w:val="21"/>
          <w:szCs w:val="21"/>
        </w:rPr>
        <w:t> </w:t>
      </w:r>
      <w:r>
        <w:rPr>
          <w:rFonts w:ascii="Arial Narrow" w:hAnsi="Arial Narrow" w:cs="Arial Narrow" w:eastAsia="Arial Narrow"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w:t>
      </w: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公司</w:t>
      </w:r>
      <w:r>
        <w:rPr>
          <w:rFonts w:ascii="宋体" w:hAnsi="宋体" w:cs="宋体" w:eastAsia="宋体" w:hint="default"/>
          <w:spacing w:val="-31"/>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9</w:t>
      </w:r>
      <w:r>
        <w:rPr>
          <w:rFonts w:ascii="Arial Narrow" w:hAnsi="Arial Narrow" w:cs="Arial Narrow" w:eastAsia="Arial Narrow" w:hint="default"/>
          <w:sz w:val="21"/>
          <w:szCs w:val="21"/>
        </w:rPr>
        <w:t> </w:t>
      </w:r>
      <w:r>
        <w:rPr>
          <w:rFonts w:ascii="Arial Narrow" w:hAnsi="Arial Narrow" w:cs="Arial Narrow" w:eastAsia="Arial Narrow" w:hint="default"/>
          <w:spacing w:val="-2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的</w:t>
      </w:r>
      <w:r>
        <w:rPr>
          <w:rFonts w:ascii="宋体" w:hAnsi="宋体" w:cs="宋体" w:eastAsia="宋体" w:hint="default"/>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8"/>
        <w:ind w:left="158" w:right="0" w:firstLine="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年末</w:t>
      </w:r>
      <w:r>
        <w:rPr>
          <w:rFonts w:ascii="宋体" w:hAnsi="宋体" w:cs="宋体" w:eastAsia="宋体" w:hint="default"/>
          <w:spacing w:val="-52"/>
          <w:sz w:val="21"/>
          <w:szCs w:val="21"/>
        </w:rPr>
        <w:t> </w:t>
      </w:r>
      <w:r>
        <w:rPr>
          <w:rFonts w:ascii="Arial Narrow" w:hAnsi="Arial Narrow" w:cs="Arial Narrow" w:eastAsia="Arial Narrow" w:hint="default"/>
          <w:sz w:val="21"/>
          <w:szCs w:val="21"/>
        </w:rPr>
        <w:t>110,000,000.00</w:t>
      </w:r>
      <w:r>
        <w:rPr>
          <w:rFonts w:ascii="Arial Narrow" w:hAnsi="Arial Narrow" w:cs="Arial Narrow" w:eastAsia="Arial Narrow" w:hint="default"/>
          <w:spacing w:val="5"/>
          <w:sz w:val="21"/>
          <w:szCs w:val="21"/>
        </w:rPr>
        <w:t> </w:t>
      </w:r>
      <w:r>
        <w:rPr>
          <w:rFonts w:ascii="宋体" w:hAnsi="宋体" w:cs="宋体" w:eastAsia="宋体" w:hint="default"/>
          <w:spacing w:val="-5"/>
          <w:sz w:val="21"/>
          <w:szCs w:val="21"/>
        </w:rPr>
        <w:t>股本为基数，以资本公积向全体股东每</w:t>
      </w:r>
      <w:r>
        <w:rPr>
          <w:rFonts w:ascii="宋体" w:hAnsi="宋体" w:cs="宋体" w:eastAsia="宋体" w:hint="default"/>
          <w:spacing w:val="-5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股的利润分配</w:t>
      </w:r>
    </w:p>
    <w:p>
      <w:pPr>
        <w:spacing w:before="118"/>
        <w:ind w:left="158" w:right="0" w:firstLine="0"/>
        <w:jc w:val="both"/>
        <w:rPr>
          <w:rFonts w:ascii="宋体" w:hAnsi="宋体" w:cs="宋体" w:eastAsia="宋体" w:hint="default"/>
          <w:sz w:val="21"/>
          <w:szCs w:val="21"/>
        </w:rPr>
      </w:pPr>
      <w:r>
        <w:rPr>
          <w:rFonts w:ascii="宋体" w:hAnsi="宋体" w:cs="宋体" w:eastAsia="宋体" w:hint="default"/>
          <w:sz w:val="21"/>
          <w:szCs w:val="21"/>
        </w:rPr>
        <w:t>方案，公司总股本由</w:t>
      </w:r>
      <w:r>
        <w:rPr>
          <w:rFonts w:ascii="宋体" w:hAnsi="宋体" w:cs="宋体" w:eastAsia="宋体" w:hint="default"/>
          <w:spacing w:val="-48"/>
          <w:sz w:val="21"/>
          <w:szCs w:val="21"/>
        </w:rPr>
        <w:t> </w:t>
      </w:r>
      <w:r>
        <w:rPr>
          <w:rFonts w:ascii="Arial Narrow" w:hAnsi="Arial Narrow" w:cs="Arial Narrow" w:eastAsia="Arial Narrow" w:hint="default"/>
          <w:spacing w:val="-4"/>
          <w:sz w:val="21"/>
          <w:szCs w:val="21"/>
        </w:rPr>
        <w:t>11000</w:t>
      </w:r>
      <w:r>
        <w:rPr>
          <w:rFonts w:ascii="Arial Narrow" w:hAnsi="Arial Narrow" w:cs="Arial Narrow" w:eastAsia="Arial Narrow" w:hint="default"/>
          <w:spacing w:val="10"/>
          <w:sz w:val="21"/>
          <w:szCs w:val="21"/>
        </w:rPr>
        <w:t> </w:t>
      </w:r>
      <w:r>
        <w:rPr>
          <w:rFonts w:ascii="宋体" w:hAnsi="宋体" w:cs="宋体" w:eastAsia="宋体" w:hint="default"/>
          <w:sz w:val="21"/>
          <w:szCs w:val="21"/>
        </w:rPr>
        <w:t>万股增加到</w:t>
      </w:r>
      <w:r>
        <w:rPr>
          <w:rFonts w:ascii="宋体" w:hAnsi="宋体" w:cs="宋体" w:eastAsia="宋体" w:hint="default"/>
          <w:spacing w:val="-48"/>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万股。本次资本公积转增资本后公司的注册资</w:t>
      </w:r>
    </w:p>
    <w:p>
      <w:pPr>
        <w:spacing w:line="338" w:lineRule="auto" w:before="118"/>
        <w:ind w:left="578" w:right="1503" w:hanging="420"/>
        <w:jc w:val="left"/>
        <w:rPr>
          <w:rFonts w:ascii="宋体" w:hAnsi="宋体" w:cs="宋体" w:eastAsia="宋体" w:hint="default"/>
          <w:sz w:val="21"/>
          <w:szCs w:val="21"/>
        </w:rPr>
      </w:pPr>
      <w:r>
        <w:rPr>
          <w:rFonts w:ascii="宋体" w:hAnsi="宋体" w:cs="宋体" w:eastAsia="宋体" w:hint="default"/>
          <w:sz w:val="21"/>
          <w:szCs w:val="21"/>
        </w:rPr>
        <w:t>本变更为</w:t>
      </w:r>
      <w:r>
        <w:rPr>
          <w:rFonts w:ascii="宋体" w:hAnsi="宋体" w:cs="宋体" w:eastAsia="宋体" w:hint="default"/>
          <w:spacing w:val="-53"/>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4"/>
          <w:sz w:val="21"/>
          <w:szCs w:val="21"/>
        </w:rPr>
        <w:t>本公司属于输配电及控制设备制造业。经营范围主要包括：电气机械及器材制造﹑工业</w:t>
      </w:r>
    </w:p>
    <w:p>
      <w:pPr>
        <w:spacing w:line="355" w:lineRule="auto" w:before="49"/>
        <w:ind w:left="158" w:right="1789" w:firstLine="0"/>
        <w:jc w:val="both"/>
        <w:rPr>
          <w:rFonts w:ascii="宋体" w:hAnsi="宋体" w:cs="宋体" w:eastAsia="宋体" w:hint="default"/>
          <w:sz w:val="21"/>
          <w:szCs w:val="21"/>
        </w:rPr>
      </w:pPr>
      <w:r>
        <w:rPr>
          <w:rFonts w:ascii="宋体" w:hAnsi="宋体" w:cs="宋体" w:eastAsia="宋体" w:hint="default"/>
          <w:spacing w:val="-4"/>
          <w:w w:val="100"/>
          <w:sz w:val="21"/>
          <w:szCs w:val="21"/>
        </w:rPr>
        <w:t>过程控制及监控系统﹑计算机应用服务与综合信息网络工程、电子声像工程﹑各种智能化系</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统和技术防范工程设计、制造、施工、安装、维修、调试、销售及技术服务等。</w:t>
      </w:r>
    </w:p>
    <w:p>
      <w:pPr>
        <w:spacing w:line="357" w:lineRule="auto" w:before="32"/>
        <w:ind w:left="158" w:right="1789" w:firstLine="419"/>
        <w:jc w:val="both"/>
        <w:rPr>
          <w:rFonts w:ascii="宋体" w:hAnsi="宋体" w:cs="宋体" w:eastAsia="宋体" w:hint="default"/>
          <w:sz w:val="21"/>
          <w:szCs w:val="21"/>
        </w:rPr>
      </w:pPr>
      <w:r>
        <w:rPr>
          <w:rFonts w:ascii="宋体" w:hAnsi="宋体" w:cs="宋体" w:eastAsia="宋体" w:hint="default"/>
          <w:spacing w:val="-4"/>
          <w:sz w:val="21"/>
          <w:szCs w:val="21"/>
        </w:rPr>
        <w:t>本公司的主要产品包括：高、低压成套开关设备、元器件、自动化产品等，主要应用于</w:t>
      </w:r>
      <w:r>
        <w:rPr>
          <w:rFonts w:ascii="宋体" w:hAnsi="宋体" w:cs="宋体" w:eastAsia="宋体" w:hint="default"/>
          <w:w w:val="100"/>
          <w:sz w:val="21"/>
          <w:szCs w:val="21"/>
        </w:rPr>
        <w:t> </w:t>
      </w:r>
      <w:r>
        <w:rPr>
          <w:rFonts w:ascii="宋体" w:hAnsi="宋体" w:cs="宋体" w:eastAsia="宋体" w:hint="default"/>
          <w:spacing w:val="-4"/>
          <w:sz w:val="21"/>
          <w:szCs w:val="21"/>
        </w:rPr>
        <w:t>发电厂、变电所及城市、农村、工矿企业、交通运输、高层建筑、公用设施等领域的变、配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电时接受和分配电能等。</w:t>
      </w:r>
    </w:p>
    <w:p>
      <w:pPr>
        <w:spacing w:before="152"/>
        <w:ind w:left="558" w:right="1503" w:firstLine="0"/>
        <w:jc w:val="left"/>
        <w:rPr>
          <w:rFonts w:ascii="宋体" w:hAnsi="宋体" w:cs="宋体" w:eastAsia="宋体" w:hint="default"/>
          <w:sz w:val="21"/>
          <w:szCs w:val="21"/>
        </w:rPr>
      </w:pPr>
      <w:r>
        <w:rPr>
          <w:rFonts w:ascii="宋体" w:hAnsi="宋体" w:cs="宋体" w:eastAsia="宋体" w:hint="default"/>
          <w:sz w:val="21"/>
          <w:szCs w:val="21"/>
        </w:rPr>
        <w:t>公司在报告期间内主营业务未发生变更。</w:t>
      </w:r>
    </w:p>
    <w:p>
      <w:pPr>
        <w:spacing w:line="240" w:lineRule="auto" w:before="1"/>
        <w:rPr>
          <w:rFonts w:ascii="宋体" w:hAnsi="宋体" w:cs="宋体" w:eastAsia="宋体" w:hint="default"/>
          <w:sz w:val="28"/>
          <w:szCs w:val="28"/>
        </w:rPr>
      </w:pPr>
    </w:p>
    <w:p>
      <w:pPr>
        <w:pStyle w:val="BodyText"/>
        <w:spacing w:line="240" w:lineRule="auto" w:before="0"/>
        <w:ind w:left="518" w:right="1503"/>
        <w:jc w:val="left"/>
        <w:rPr>
          <w:rFonts w:ascii="黑体" w:hAnsi="黑体" w:cs="黑体" w:eastAsia="黑体" w:hint="default"/>
        </w:rPr>
      </w:pPr>
      <w:r>
        <w:rPr>
          <w:rFonts w:ascii="黑体" w:hAnsi="黑体" w:cs="黑体" w:eastAsia="黑体" w:hint="default"/>
        </w:rPr>
        <w:t>二、公司主要会计政策、会计估计和前期差错</w:t>
      </w:r>
    </w:p>
    <w:p>
      <w:pPr>
        <w:spacing w:line="240" w:lineRule="auto" w:before="12"/>
        <w:rPr>
          <w:rFonts w:ascii="黑体" w:hAnsi="黑体" w:cs="黑体" w:eastAsia="黑体" w:hint="default"/>
          <w:sz w:val="29"/>
          <w:szCs w:val="29"/>
        </w:rPr>
      </w:pPr>
    </w:p>
    <w:p>
      <w:pPr>
        <w:pStyle w:val="BodyText"/>
        <w:spacing w:line="240" w:lineRule="auto" w:before="0"/>
        <w:ind w:left="518" w:right="1503"/>
        <w:jc w:val="left"/>
        <w:rPr>
          <w:rFonts w:ascii="黑体" w:hAnsi="黑体" w:cs="黑体" w:eastAsia="黑体" w:hint="default"/>
        </w:rPr>
      </w:pPr>
      <w:r>
        <w:rPr>
          <w:rFonts w:ascii="黑体" w:hAnsi="黑体" w:cs="黑体" w:eastAsia="黑体" w:hint="default"/>
        </w:rPr>
        <w:t>（一）财务报表的编制基础</w:t>
      </w:r>
    </w:p>
    <w:p>
      <w:pPr>
        <w:spacing w:line="240" w:lineRule="auto" w:before="5"/>
        <w:rPr>
          <w:rFonts w:ascii="黑体" w:hAnsi="黑体" w:cs="黑体" w:eastAsia="黑体" w:hint="default"/>
          <w:sz w:val="21"/>
          <w:szCs w:val="21"/>
        </w:rPr>
      </w:pPr>
    </w:p>
    <w:p>
      <w:pPr>
        <w:spacing w:before="0"/>
        <w:ind w:left="578" w:right="1503" w:firstLine="0"/>
        <w:jc w:val="left"/>
        <w:rPr>
          <w:rFonts w:ascii="宋体" w:hAnsi="宋体" w:cs="宋体" w:eastAsia="宋体" w:hint="default"/>
          <w:sz w:val="21"/>
          <w:szCs w:val="21"/>
        </w:rPr>
      </w:pPr>
      <w:r>
        <w:rPr>
          <w:rFonts w:ascii="宋体" w:hAnsi="宋体" w:cs="宋体" w:eastAsia="宋体" w:hint="default"/>
          <w:spacing w:val="-4"/>
          <w:sz w:val="21"/>
          <w:szCs w:val="21"/>
        </w:rPr>
        <w:t>本公司以持续经营为基础，根据实际发生的交易和事项，按照《企业会计准则—基本准</w:t>
      </w:r>
    </w:p>
    <w:p>
      <w:pPr>
        <w:spacing w:after="0"/>
        <w:jc w:val="left"/>
        <w:rPr>
          <w:rFonts w:ascii="宋体" w:hAnsi="宋体" w:cs="宋体" w:eastAsia="宋体" w:hint="default"/>
          <w:sz w:val="21"/>
          <w:szCs w:val="21"/>
        </w:rPr>
        <w:sectPr>
          <w:headerReference w:type="default" r:id="rId19"/>
          <w:footerReference w:type="default" r:id="rId20"/>
          <w:pgSz w:w="11910" w:h="16840"/>
          <w:pgMar w:header="816" w:footer="858" w:top="1160" w:bottom="1040" w:left="1640" w:right="0"/>
          <w:pgNumType w:start="77"/>
        </w:sectPr>
      </w:pPr>
    </w:p>
    <w:p>
      <w:pPr>
        <w:spacing w:line="240" w:lineRule="auto" w:before="4"/>
        <w:rPr>
          <w:rFonts w:ascii="宋体" w:hAnsi="宋体" w:cs="宋体" w:eastAsia="宋体" w:hint="default"/>
          <w:sz w:val="14"/>
          <w:szCs w:val="14"/>
        </w:rPr>
      </w:pPr>
    </w:p>
    <w:p>
      <w:pPr>
        <w:spacing w:line="357" w:lineRule="auto" w:before="36"/>
        <w:ind w:left="138" w:right="149" w:firstLine="0"/>
        <w:jc w:val="both"/>
        <w:rPr>
          <w:rFonts w:ascii="宋体" w:hAnsi="宋体" w:cs="宋体" w:eastAsia="宋体" w:hint="default"/>
          <w:sz w:val="21"/>
          <w:szCs w:val="21"/>
        </w:rPr>
      </w:pPr>
      <w:r>
        <w:rPr>
          <w:rFonts w:ascii="宋体" w:hAnsi="宋体" w:cs="宋体" w:eastAsia="宋体" w:hint="default"/>
          <w:spacing w:val="-4"/>
          <w:sz w:val="21"/>
          <w:szCs w:val="21"/>
        </w:rPr>
        <w:t>则》和其他各项具体会计准则、应用指南及准则解释的规定进行确认和计量，在此基础上编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制财务报表。编制符合企业会计准则要求的财务报表需要使用估计和假设，这些估计和假设</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会影响到财务报告日的资产、负债和或有负债的披露，以及报告期间的收入和费用。</w:t>
      </w:r>
    </w:p>
    <w:p>
      <w:pPr>
        <w:spacing w:line="240" w:lineRule="auto" w:before="2"/>
        <w:rPr>
          <w:rFonts w:ascii="宋体" w:hAnsi="宋体" w:cs="宋体" w:eastAsia="宋体" w:hint="default"/>
          <w:sz w:val="20"/>
          <w:szCs w:val="20"/>
        </w:rPr>
      </w:pPr>
    </w:p>
    <w:p>
      <w:pPr>
        <w:pStyle w:val="BodyText"/>
        <w:spacing w:line="240" w:lineRule="auto" w:before="0"/>
        <w:ind w:left="498" w:right="0"/>
        <w:jc w:val="left"/>
        <w:rPr>
          <w:rFonts w:ascii="黑体" w:hAnsi="黑体" w:cs="黑体" w:eastAsia="黑体" w:hint="default"/>
        </w:rPr>
      </w:pPr>
      <w:r>
        <w:rPr>
          <w:rFonts w:ascii="黑体" w:hAnsi="黑体" w:cs="黑体" w:eastAsia="黑体" w:hint="default"/>
        </w:rPr>
        <w:t>（二）遵循企业会计准则的声明</w:t>
      </w:r>
    </w:p>
    <w:p>
      <w:pPr>
        <w:spacing w:line="240" w:lineRule="auto" w:before="5"/>
        <w:rPr>
          <w:rFonts w:ascii="黑体" w:hAnsi="黑体" w:cs="黑体" w:eastAsia="黑体" w:hint="default"/>
          <w:sz w:val="21"/>
          <w:szCs w:val="21"/>
        </w:rPr>
      </w:pPr>
    </w:p>
    <w:p>
      <w:pPr>
        <w:spacing w:before="0"/>
        <w:ind w:left="558" w:right="0" w:firstLine="0"/>
        <w:jc w:val="left"/>
        <w:rPr>
          <w:rFonts w:ascii="Arial Narrow" w:hAnsi="Arial Narrow" w:cs="Arial Narrow" w:eastAsia="Arial Narrow" w:hint="default"/>
          <w:sz w:val="21"/>
          <w:szCs w:val="21"/>
        </w:rPr>
      </w:pPr>
      <w:r>
        <w:rPr>
          <w:rFonts w:ascii="宋体" w:hAnsi="宋体" w:cs="宋体" w:eastAsia="宋体" w:hint="default"/>
          <w:spacing w:val="-5"/>
          <w:sz w:val="21"/>
          <w:szCs w:val="21"/>
        </w:rPr>
        <w:t>本公司编制的财务报表符合《企业会计准则》的要求，真实、完整地反映了本公司</w:t>
      </w:r>
      <w:r>
        <w:rPr>
          <w:rFonts w:ascii="宋体" w:hAnsi="宋体" w:cs="宋体" w:eastAsia="宋体" w:hint="default"/>
          <w:spacing w:val="15"/>
          <w:sz w:val="21"/>
          <w:szCs w:val="21"/>
        </w:rPr>
        <w:t> </w:t>
      </w:r>
      <w:r>
        <w:rPr>
          <w:rFonts w:ascii="Arial Narrow" w:hAnsi="Arial Narrow" w:cs="Arial Narrow" w:eastAsia="Arial Narrow" w:hint="default"/>
          <w:sz w:val="21"/>
          <w:szCs w:val="21"/>
        </w:rPr>
        <w:t>2010</w:t>
      </w:r>
    </w:p>
    <w:p>
      <w:pPr>
        <w:spacing w:before="118"/>
        <w:ind w:left="13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日的财务状况、</w:t>
      </w:r>
      <w:r>
        <w:rPr>
          <w:rFonts w:ascii="Arial Narrow" w:hAnsi="Arial Narrow" w:cs="Arial Narrow" w:eastAsia="Arial Narrow" w:hint="default"/>
          <w:sz w:val="21"/>
          <w:szCs w:val="21"/>
        </w:rPr>
        <w:t>2010</w:t>
      </w:r>
      <w:r>
        <w:rPr>
          <w:rFonts w:ascii="Arial Narrow" w:hAnsi="Arial Narrow" w:cs="Arial Narrow" w:eastAsia="Arial Narrow" w:hint="default"/>
          <w:spacing w:val="2"/>
          <w:sz w:val="21"/>
          <w:szCs w:val="21"/>
        </w:rPr>
        <w:t> </w:t>
      </w:r>
      <w:r>
        <w:rPr>
          <w:rFonts w:ascii="宋体" w:hAnsi="宋体" w:cs="宋体" w:eastAsia="宋体" w:hint="default"/>
          <w:sz w:val="21"/>
          <w:szCs w:val="21"/>
        </w:rPr>
        <w:t>年度的经营成果和现金流量等有关信息。</w:t>
      </w:r>
    </w:p>
    <w:p>
      <w:pPr>
        <w:spacing w:before="178"/>
        <w:ind w:left="550" w:right="0"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日止。</w:t>
      </w:r>
    </w:p>
    <w:p>
      <w:pPr>
        <w:spacing w:line="408" w:lineRule="auto" w:before="179"/>
        <w:ind w:left="558" w:right="3467"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before="46"/>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（五）同一控制下和非同一控制下企业合并的会计处理方法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88" w:lineRule="auto" w:before="0"/>
        <w:ind w:left="558" w:right="0" w:firstLine="12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对于同一控制下的企业合并，合并方在企业合并中取得的资产和负债，按照合并日在被</w:t>
      </w:r>
    </w:p>
    <w:p>
      <w:pPr>
        <w:spacing w:line="355" w:lineRule="auto" w:before="3"/>
        <w:ind w:left="138" w:right="149" w:firstLine="0"/>
        <w:jc w:val="both"/>
        <w:rPr>
          <w:rFonts w:ascii="宋体" w:hAnsi="宋体" w:cs="宋体" w:eastAsia="宋体" w:hint="default"/>
          <w:sz w:val="21"/>
          <w:szCs w:val="21"/>
        </w:rPr>
      </w:pPr>
      <w:r>
        <w:rPr>
          <w:rFonts w:ascii="宋体" w:hAnsi="宋体" w:cs="宋体" w:eastAsia="宋体" w:hint="default"/>
          <w:spacing w:val="-4"/>
          <w:sz w:val="21"/>
          <w:szCs w:val="21"/>
        </w:rPr>
        <w:t>合并方的账面价值计量。合并方取得的净资产账面价值与支付的合并对价账面价值（或发行</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股份面值总额）的差额，调整资本公积；资本公积不足冲减的，调整留存收益。</w:t>
      </w:r>
    </w:p>
    <w:p>
      <w:pPr>
        <w:spacing w:line="391" w:lineRule="auto" w:before="92"/>
        <w:ind w:left="558" w:right="0" w:firstLine="12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对于非同一控制下的企业合并，合并成本为购买方在购买日为取得对被购买方的控制权</w:t>
      </w:r>
    </w:p>
    <w:p>
      <w:pPr>
        <w:spacing w:line="355" w:lineRule="auto" w:before="1"/>
        <w:ind w:left="138" w:right="149" w:firstLine="0"/>
        <w:jc w:val="both"/>
        <w:rPr>
          <w:rFonts w:ascii="宋体" w:hAnsi="宋体" w:cs="宋体" w:eastAsia="宋体" w:hint="default"/>
          <w:sz w:val="21"/>
          <w:szCs w:val="21"/>
        </w:rPr>
      </w:pPr>
      <w:r>
        <w:rPr>
          <w:rFonts w:ascii="宋体" w:hAnsi="宋体" w:cs="宋体" w:eastAsia="宋体" w:hint="default"/>
          <w:spacing w:val="-4"/>
          <w:sz w:val="21"/>
          <w:szCs w:val="21"/>
        </w:rPr>
        <w:t>而付出的资产、发生或承担的负债以及发行的权益性证券的公允价值。通过多次交换交易分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步实现的企业合并，合并成本为每一单项交易成本之和。购买方为进行企业合并发生的各项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直接相关费用计入企业合并成本。</w:t>
      </w:r>
    </w:p>
    <w:p>
      <w:pPr>
        <w:spacing w:line="357" w:lineRule="auto" w:before="32"/>
        <w:ind w:left="138" w:right="148" w:firstLine="419"/>
        <w:jc w:val="both"/>
        <w:rPr>
          <w:rFonts w:ascii="宋体" w:hAnsi="宋体" w:cs="宋体" w:eastAsia="宋体" w:hint="default"/>
          <w:sz w:val="21"/>
          <w:szCs w:val="21"/>
        </w:rPr>
      </w:pPr>
      <w:r>
        <w:rPr>
          <w:rFonts w:ascii="宋体" w:hAnsi="宋体" w:cs="宋体" w:eastAsia="宋体" w:hint="default"/>
          <w:spacing w:val="-4"/>
          <w:w w:val="100"/>
          <w:sz w:val="21"/>
          <w:szCs w:val="21"/>
        </w:rPr>
        <w:t>购买方对合并成本大于合并中取得的被购买方可辨认净资产公允价值份额的差额，确认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为商誉。购买方对合并成本小于合并中取得的被购买方可辨认净资产公允价值份额的，经复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核后合并成本仍小于合并中取得的被购买方可辨认净资产公允价值份额的差额，计入当期损</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益。</w:t>
      </w:r>
    </w:p>
    <w:p>
      <w:pPr>
        <w:spacing w:before="90"/>
        <w:ind w:left="498"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8"/>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3"/>
        <w:rPr>
          <w:rFonts w:ascii="宋体" w:hAnsi="宋体" w:cs="宋体" w:eastAsia="宋体" w:hint="default"/>
          <w:b/>
          <w:bCs/>
          <w:sz w:val="14"/>
          <w:szCs w:val="14"/>
        </w:rPr>
      </w:pPr>
    </w:p>
    <w:p>
      <w:pPr>
        <w:spacing w:line="331" w:lineRule="auto" w:before="0"/>
        <w:ind w:left="558" w:right="143" w:firstLine="0"/>
        <w:jc w:val="left"/>
        <w:rPr>
          <w:rFonts w:ascii="宋体" w:hAnsi="宋体" w:cs="宋体" w:eastAsia="宋体" w:hint="default"/>
          <w:sz w:val="21"/>
          <w:szCs w:val="21"/>
        </w:rPr>
      </w:pP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本公司合并财务报表按照《企业会计准则第 </w:t>
      </w:r>
      <w:r>
        <w:rPr>
          <w:rFonts w:ascii="Arial Narrow" w:hAnsi="Arial Narrow" w:cs="Arial Narrow" w:eastAsia="Arial Narrow" w:hint="default"/>
          <w:sz w:val="21"/>
          <w:szCs w:val="21"/>
        </w:rPr>
        <w:t>33</w:t>
      </w:r>
      <w:r>
        <w:rPr>
          <w:rFonts w:ascii="Arial Narrow" w:hAnsi="Arial Narrow" w:cs="Arial Narrow" w:eastAsia="Arial Narrow" w:hint="default"/>
          <w:spacing w:val="-20"/>
          <w:sz w:val="21"/>
          <w:szCs w:val="21"/>
        </w:rPr>
        <w:t> </w:t>
      </w:r>
      <w:r>
        <w:rPr>
          <w:rFonts w:ascii="宋体" w:hAnsi="宋体" w:cs="宋体" w:eastAsia="宋体" w:hint="default"/>
          <w:sz w:val="21"/>
          <w:szCs w:val="21"/>
        </w:rPr>
        <w:t>号－合并财务报表》及相关规定的要求</w:t>
      </w:r>
    </w:p>
    <w:p>
      <w:pPr>
        <w:spacing w:line="333" w:lineRule="auto" w:before="1"/>
        <w:ind w:left="138" w:right="149" w:firstLine="0"/>
        <w:jc w:val="both"/>
        <w:rPr>
          <w:rFonts w:ascii="宋体" w:hAnsi="宋体" w:cs="宋体" w:eastAsia="宋体" w:hint="default"/>
          <w:sz w:val="21"/>
          <w:szCs w:val="21"/>
        </w:rPr>
      </w:pPr>
      <w:r>
        <w:rPr>
          <w:rFonts w:ascii="宋体" w:hAnsi="宋体" w:cs="宋体" w:eastAsia="宋体" w:hint="default"/>
          <w:spacing w:val="-4"/>
          <w:sz w:val="21"/>
          <w:szCs w:val="21"/>
        </w:rPr>
        <w:t>编制，合并时合并范围内的所有重大内部交易和往来业已抵销。子公司的股东权益中不属于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母公司所拥有的部分作为少数股东权益在合并财务报表中股东权益项下单独列示。</w:t>
      </w:r>
    </w:p>
    <w:p>
      <w:pPr>
        <w:spacing w:line="333" w:lineRule="auto" w:before="25"/>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子公司与本公司采用的会计政策或会计期间不一致的，在编制合并财务报表时，按照本</w:t>
      </w:r>
      <w:r>
        <w:rPr>
          <w:rFonts w:ascii="宋体" w:hAnsi="宋体" w:cs="宋体" w:eastAsia="宋体" w:hint="default"/>
          <w:w w:val="100"/>
          <w:sz w:val="21"/>
          <w:szCs w:val="21"/>
        </w:rPr>
        <w:t> </w:t>
      </w:r>
      <w:r>
        <w:rPr>
          <w:rFonts w:ascii="宋体" w:hAnsi="宋体" w:cs="宋体" w:eastAsia="宋体" w:hint="default"/>
          <w:sz w:val="21"/>
          <w:szCs w:val="21"/>
        </w:rPr>
        <w:t>公司的会计政策或会计期间对子公司财务报表进行必要的调整。</w:t>
      </w:r>
    </w:p>
    <w:p>
      <w:pPr>
        <w:spacing w:before="25"/>
        <w:ind w:left="558" w:right="0" w:firstLine="0"/>
        <w:jc w:val="left"/>
        <w:rPr>
          <w:rFonts w:ascii="宋体" w:hAnsi="宋体" w:cs="宋体" w:eastAsia="宋体" w:hint="default"/>
          <w:sz w:val="21"/>
          <w:szCs w:val="21"/>
        </w:rPr>
      </w:pPr>
      <w:r>
        <w:rPr>
          <w:rFonts w:ascii="宋体" w:hAnsi="宋体" w:cs="宋体" w:eastAsia="宋体" w:hint="default"/>
          <w:spacing w:val="-4"/>
          <w:sz w:val="21"/>
          <w:szCs w:val="21"/>
        </w:rPr>
        <w:t>对于非同一控制下企业合并取得的子公司，在编制合并财务报表时，以购买日可辨认净</w:t>
      </w:r>
    </w:p>
    <w:p>
      <w:pPr>
        <w:spacing w:after="0"/>
        <w:jc w:val="left"/>
        <w:rPr>
          <w:rFonts w:ascii="宋体" w:hAnsi="宋体" w:cs="宋体" w:eastAsia="宋体" w:hint="default"/>
          <w:sz w:val="21"/>
          <w:szCs w:val="21"/>
        </w:rPr>
        <w:sectPr>
          <w:pgSz w:w="11910" w:h="16840"/>
          <w:pgMar w:header="816" w:footer="858" w:top="1160" w:bottom="1040" w:left="1660" w:right="1640"/>
        </w:sectPr>
      </w:pPr>
    </w:p>
    <w:p>
      <w:pPr>
        <w:spacing w:line="240" w:lineRule="auto" w:before="4"/>
        <w:rPr>
          <w:rFonts w:ascii="宋体" w:hAnsi="宋体" w:cs="宋体" w:eastAsia="宋体" w:hint="default"/>
          <w:sz w:val="14"/>
          <w:szCs w:val="14"/>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资产公允价值为基础对其个别财务报表进行调整；对于同一控制下企业合并取得的子公司，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在编制合并财务报表时，视同合并后形成的报告主体自最终控制方开始实施控制时一直是一</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体化存续下来的，对合并资产负债表的期初数进行调整，同时对比较报表的相关项目进行调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整。</w:t>
      </w:r>
    </w:p>
    <w:p>
      <w:pPr>
        <w:spacing w:line="408" w:lineRule="auto" w:before="92"/>
        <w:ind w:left="558" w:right="0" w:hanging="111"/>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本公司在编制现金流量表时所确定的现金，是指本公司的库存现金以及可以随时用于支</w:t>
      </w:r>
    </w:p>
    <w:p>
      <w:pPr>
        <w:spacing w:line="261"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付的存款；现金等价物，是指本公司持有的期限短、流动性强、易于转换为已知金额现金、</w:t>
      </w:r>
    </w:p>
    <w:p>
      <w:pPr>
        <w:spacing w:before="133"/>
        <w:ind w:left="138" w:right="0" w:firstLine="0"/>
        <w:jc w:val="both"/>
        <w:rPr>
          <w:rFonts w:ascii="宋体" w:hAnsi="宋体" w:cs="宋体" w:eastAsia="宋体" w:hint="default"/>
          <w:sz w:val="21"/>
          <w:szCs w:val="21"/>
        </w:rPr>
      </w:pPr>
      <w:r>
        <w:rPr>
          <w:rFonts w:ascii="宋体" w:hAnsi="宋体" w:cs="宋体" w:eastAsia="宋体" w:hint="default"/>
          <w:sz w:val="21"/>
          <w:szCs w:val="21"/>
        </w:rPr>
        <w:t>价值变动风险很小的投资。</w:t>
      </w:r>
    </w:p>
    <w:p>
      <w:pPr>
        <w:spacing w:line="240" w:lineRule="auto" w:before="12"/>
        <w:rPr>
          <w:rFonts w:ascii="宋体" w:hAnsi="宋体" w:cs="宋体" w:eastAsia="宋体" w:hint="default"/>
          <w:sz w:val="14"/>
          <w:szCs w:val="14"/>
        </w:rPr>
      </w:pPr>
    </w:p>
    <w:p>
      <w:pPr>
        <w:spacing w:line="410" w:lineRule="auto" w:before="0"/>
        <w:ind w:left="558" w:right="0" w:hanging="6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20"/>
          <w:sz w:val="21"/>
          <w:szCs w:val="21"/>
        </w:rPr>
        <w:t> </w:t>
      </w:r>
      <w:r>
        <w:rPr>
          <w:rFonts w:ascii="宋体" w:hAnsi="宋体" w:cs="宋体" w:eastAsia="宋体" w:hint="default"/>
          <w:b/>
          <w:bCs/>
          <w:sz w:val="21"/>
          <w:szCs w:val="21"/>
        </w:rPr>
        <w:t>外币业务和外币报表折算</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4"/>
          <w:w w:val="100"/>
          <w:sz w:val="21"/>
          <w:szCs w:val="21"/>
        </w:rPr>
        <w:t>本公司对发生的外币业务，采用业务发生日中国人民银行授权中国外汇交易中心公布的</w:t>
      </w:r>
    </w:p>
    <w:p>
      <w:pPr>
        <w:spacing w:line="259" w:lineRule="exact" w:before="0"/>
        <w:ind w:left="138" w:right="0" w:firstLine="0"/>
        <w:jc w:val="both"/>
        <w:rPr>
          <w:rFonts w:ascii="宋体" w:hAnsi="宋体" w:cs="宋体" w:eastAsia="宋体" w:hint="default"/>
          <w:sz w:val="21"/>
          <w:szCs w:val="21"/>
        </w:rPr>
      </w:pPr>
      <w:r>
        <w:rPr>
          <w:rFonts w:ascii="宋体" w:hAnsi="宋体" w:cs="宋体" w:eastAsia="宋体" w:hint="default"/>
          <w:spacing w:val="-4"/>
          <w:sz w:val="21"/>
          <w:szCs w:val="21"/>
        </w:rPr>
        <w:t>中间价折合为人民币记账。资产负债表日，外币货币性项目按中国人民银行授权中国外汇交</w:t>
      </w:r>
    </w:p>
    <w:p>
      <w:pPr>
        <w:spacing w:line="357" w:lineRule="auto" w:before="133"/>
        <w:ind w:left="138" w:right="189" w:firstLine="0"/>
        <w:jc w:val="both"/>
        <w:rPr>
          <w:rFonts w:ascii="宋体" w:hAnsi="宋体" w:cs="宋体" w:eastAsia="宋体" w:hint="default"/>
          <w:sz w:val="21"/>
          <w:szCs w:val="21"/>
        </w:rPr>
      </w:pPr>
      <w:r>
        <w:rPr>
          <w:rFonts w:ascii="宋体" w:hAnsi="宋体" w:cs="宋体" w:eastAsia="宋体" w:hint="default"/>
          <w:spacing w:val="-4"/>
          <w:sz w:val="21"/>
          <w:szCs w:val="21"/>
        </w:rPr>
        <w:t>易中心公布的中间价折算，由此产生的汇兑损益，除可直接归属于符合资本化条件的资产的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购建或者生产的，应当予以资本化计入相关资产成本外，其余计入当期损益。以历史成本计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量的外币非货币性项目，仍采用交易发生日中国人民银行授权中国外汇交易中心公布的中间</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价折算，不改变其记账本位币金额。</w:t>
      </w:r>
    </w:p>
    <w:p>
      <w:pPr>
        <w:spacing w:before="90"/>
        <w:ind w:left="498" w:right="0"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18"/>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1030" w:val="left" w:leader="none"/>
        </w:tabs>
        <w:spacing w:line="388" w:lineRule="auto" w:before="0"/>
        <w:ind w:left="558" w:right="190" w:firstLine="117"/>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1.</w:t>
        <w:tab/>
      </w:r>
      <w:r>
        <w:rPr>
          <w:rFonts w:ascii="宋体" w:hAnsi="宋体" w:cs="宋体" w:eastAsia="宋体" w:hint="default"/>
          <w:b/>
          <w:bCs/>
          <w:spacing w:val="-1"/>
          <w:sz w:val="21"/>
          <w:szCs w:val="21"/>
        </w:rPr>
        <w:t>金融工具的分类、确认依据和计量方法</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本公司的金融资产包括：以公允价值计量且其变动计入当期损益的金融资产、应收款项</w:t>
      </w:r>
    </w:p>
    <w:p>
      <w:pPr>
        <w:spacing w:line="355" w:lineRule="auto" w:before="5"/>
        <w:ind w:left="138" w:right="191" w:firstLine="0"/>
        <w:jc w:val="both"/>
        <w:rPr>
          <w:rFonts w:ascii="宋体" w:hAnsi="宋体" w:cs="宋体" w:eastAsia="宋体" w:hint="default"/>
          <w:sz w:val="21"/>
          <w:szCs w:val="21"/>
        </w:rPr>
      </w:pPr>
      <w:r>
        <w:rPr>
          <w:rFonts w:ascii="宋体" w:hAnsi="宋体" w:cs="宋体" w:eastAsia="宋体" w:hint="default"/>
          <w:spacing w:val="-9"/>
          <w:w w:val="100"/>
          <w:sz w:val="21"/>
          <w:szCs w:val="21"/>
        </w:rPr>
        <w:t>（相关说明见附注二之（十））、可供出售金融资产和持有至到期投资。金融资产的分类取决</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于本公司及其子公司对金融资产的持有意图和持有能力。</w:t>
      </w:r>
    </w:p>
    <w:p>
      <w:pPr>
        <w:spacing w:line="355" w:lineRule="auto" w:before="32"/>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本公司的金融负债包括：以公允价值计量且其变动计入当期损益的金融负债和其他金融</w:t>
      </w:r>
      <w:r>
        <w:rPr>
          <w:rFonts w:ascii="宋体" w:hAnsi="宋体" w:cs="宋体" w:eastAsia="宋体" w:hint="default"/>
          <w:w w:val="100"/>
          <w:sz w:val="21"/>
          <w:szCs w:val="21"/>
        </w:rPr>
        <w:t> </w:t>
      </w:r>
      <w:r>
        <w:rPr>
          <w:rFonts w:ascii="宋体" w:hAnsi="宋体" w:cs="宋体" w:eastAsia="宋体" w:hint="default"/>
          <w:sz w:val="21"/>
          <w:szCs w:val="21"/>
        </w:rPr>
        <w:t>负债。</w:t>
      </w:r>
    </w:p>
    <w:p>
      <w:pPr>
        <w:spacing w:line="338" w:lineRule="auto"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包括交易性金融资产和直接指定为以公允价值计量且其变动计入当期损益的金融资产，</w:t>
      </w:r>
    </w:p>
    <w:p>
      <w:pPr>
        <w:spacing w:line="357" w:lineRule="auto" w:before="47"/>
        <w:ind w:left="138" w:right="188" w:firstLine="0"/>
        <w:jc w:val="both"/>
        <w:rPr>
          <w:rFonts w:ascii="宋体" w:hAnsi="宋体" w:cs="宋体" w:eastAsia="宋体" w:hint="default"/>
          <w:sz w:val="21"/>
          <w:szCs w:val="21"/>
        </w:rPr>
      </w:pPr>
      <w:r>
        <w:rPr>
          <w:rFonts w:ascii="宋体" w:hAnsi="宋体" w:cs="宋体" w:eastAsia="宋体" w:hint="default"/>
          <w:spacing w:val="-4"/>
          <w:sz w:val="21"/>
          <w:szCs w:val="21"/>
        </w:rPr>
        <w:t>按照取得时的公允价值作为初始确认金额，相关的交易费用在发生时计入当期损益。支付的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w w:val="100"/>
          <w:sz w:val="21"/>
          <w:szCs w:val="21"/>
        </w:rPr>
        <w:t>价款中包含已宣告但尚未发放的现金股利或已到付息期但尚未领取的债券利息，单独确认为</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应收项目。本公司在持有该等金融资产期间取得的利息或现金股利，确认为投资收益。资产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负债表日，本公司将该等金融资产的公允价值变动计入当期损益。处置该等金融资产时，该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等金融资产公允价值与初始入账金额之间的差额确认为投资收益，同时调整公允价值变动损</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益。</w:t>
      </w:r>
    </w:p>
    <w:p>
      <w:pPr>
        <w:spacing w:line="338"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指到期日固定、回收金额固定或可确定，且本公司有明确意图和能力持有至到期的非衍</w:t>
      </w:r>
    </w:p>
    <w:p>
      <w:pPr>
        <w:spacing w:before="49"/>
        <w:ind w:left="138" w:right="0" w:firstLine="0"/>
        <w:jc w:val="both"/>
        <w:rPr>
          <w:rFonts w:ascii="宋体" w:hAnsi="宋体" w:cs="宋体" w:eastAsia="宋体" w:hint="default"/>
          <w:sz w:val="21"/>
          <w:szCs w:val="21"/>
        </w:rPr>
      </w:pPr>
      <w:r>
        <w:rPr>
          <w:rFonts w:ascii="宋体" w:hAnsi="宋体" w:cs="宋体" w:eastAsia="宋体" w:hint="default"/>
          <w:spacing w:val="-4"/>
          <w:sz w:val="21"/>
          <w:szCs w:val="21"/>
        </w:rPr>
        <w:t>生金融资产。本公司对持有至到期投资，按取得时的公允价值和相关交易费用之和作为初始</w:t>
      </w:r>
    </w:p>
    <w:p>
      <w:pPr>
        <w:spacing w:after="0"/>
        <w:jc w:val="both"/>
        <w:rPr>
          <w:rFonts w:ascii="宋体" w:hAnsi="宋体" w:cs="宋体" w:eastAsia="宋体" w:hint="default"/>
          <w:sz w:val="21"/>
          <w:szCs w:val="21"/>
        </w:rPr>
        <w:sectPr>
          <w:pgSz w:w="11910" w:h="16840"/>
          <w:pgMar w:header="816" w:footer="858" w:top="1160" w:bottom="1040" w:left="1660" w:right="1600"/>
        </w:sectPr>
      </w:pPr>
    </w:p>
    <w:p>
      <w:pPr>
        <w:spacing w:line="240" w:lineRule="auto" w:before="4"/>
        <w:rPr>
          <w:rFonts w:ascii="宋体" w:hAnsi="宋体" w:cs="宋体" w:eastAsia="宋体" w:hint="default"/>
          <w:sz w:val="14"/>
          <w:szCs w:val="14"/>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7"/>
          <w:w w:val="100"/>
          <w:sz w:val="21"/>
          <w:szCs w:val="21"/>
        </w:rPr>
        <w:t>确认金额。支付的价款中包含的已到付息期但尚未领取的债券利息的，单独确认为应收项目。</w:t>
      </w:r>
      <w:r>
        <w:rPr>
          <w:rFonts w:ascii="宋体" w:hAnsi="宋体" w:cs="宋体" w:eastAsia="宋体" w:hint="default"/>
          <w:spacing w:val="-69"/>
          <w:w w:val="100"/>
          <w:sz w:val="21"/>
          <w:szCs w:val="21"/>
        </w:rPr>
        <w:t> </w:t>
      </w:r>
      <w:r>
        <w:rPr>
          <w:rFonts w:ascii="宋体" w:hAnsi="宋体" w:cs="宋体" w:eastAsia="宋体" w:hint="default"/>
          <w:spacing w:val="-69"/>
          <w:w w:val="100"/>
          <w:sz w:val="21"/>
          <w:szCs w:val="21"/>
        </w:rPr>
      </w:r>
      <w:r>
        <w:rPr>
          <w:rFonts w:ascii="宋体" w:hAnsi="宋体" w:cs="宋体" w:eastAsia="宋体" w:hint="default"/>
          <w:spacing w:val="-4"/>
          <w:sz w:val="21"/>
          <w:szCs w:val="21"/>
        </w:rPr>
        <w:t>持有至到期投资在持有期间按照摊余成本和实际利率确认利息收入，计入投资收益。实际利</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率在取得持有至到期投资时确定，在随后期间保持不变。实际利率与票面利率差别很小的，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按票面利率计算利息收入，计入投资收益。处置持有至到期投资时，将所取得价款与该投资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账面价值之间的差额确认为投资收益。</w:t>
      </w:r>
    </w:p>
    <w:p>
      <w:pPr>
        <w:spacing w:line="357" w:lineRule="auto" w:before="30"/>
        <w:ind w:left="138" w:right="208" w:firstLine="419"/>
        <w:jc w:val="both"/>
        <w:rPr>
          <w:rFonts w:ascii="宋体" w:hAnsi="宋体" w:cs="宋体" w:eastAsia="宋体" w:hint="default"/>
          <w:sz w:val="21"/>
          <w:szCs w:val="21"/>
        </w:rPr>
      </w:pPr>
      <w:r>
        <w:rPr>
          <w:rFonts w:ascii="宋体" w:hAnsi="宋体" w:cs="宋体" w:eastAsia="宋体" w:hint="default"/>
          <w:spacing w:val="-4"/>
          <w:sz w:val="21"/>
          <w:szCs w:val="21"/>
        </w:rPr>
        <w:t>如本公司因持有意图或能力发生改变，使某项投资不再适合作为持有至到期投资，则将</w:t>
      </w:r>
      <w:r>
        <w:rPr>
          <w:rFonts w:ascii="宋体" w:hAnsi="宋体" w:cs="宋体" w:eastAsia="宋体" w:hint="default"/>
          <w:w w:val="100"/>
          <w:sz w:val="21"/>
          <w:szCs w:val="21"/>
        </w:rPr>
        <w:t> </w:t>
      </w:r>
      <w:r>
        <w:rPr>
          <w:rFonts w:ascii="宋体" w:hAnsi="宋体" w:cs="宋体" w:eastAsia="宋体" w:hint="default"/>
          <w:spacing w:val="-4"/>
          <w:sz w:val="21"/>
          <w:szCs w:val="21"/>
        </w:rPr>
        <w:t>其重分类为可供出售金融资产，并以公允价值进行后续计量。重分类日，该投资的账面价值</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与公允价值之间的差额计入所有者权益，在该可供出售金融资产发生减值或终止确认时转</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出，计入当期损益。</w:t>
      </w:r>
    </w:p>
    <w:p>
      <w:pPr>
        <w:spacing w:line="338"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指初始确认时即被指定为可供出售的非衍生金融资产，即本公司没有划分为以公允价值</w:t>
      </w:r>
    </w:p>
    <w:p>
      <w:pPr>
        <w:spacing w:line="355" w:lineRule="auto" w:before="47"/>
        <w:ind w:left="558" w:right="0" w:hanging="420"/>
        <w:jc w:val="left"/>
        <w:rPr>
          <w:rFonts w:ascii="宋体" w:hAnsi="宋体" w:cs="宋体" w:eastAsia="宋体" w:hint="default"/>
          <w:sz w:val="21"/>
          <w:szCs w:val="21"/>
        </w:rPr>
      </w:pPr>
      <w:r>
        <w:rPr>
          <w:rFonts w:ascii="宋体" w:hAnsi="宋体" w:cs="宋体" w:eastAsia="宋体" w:hint="default"/>
          <w:sz w:val="21"/>
          <w:szCs w:val="21"/>
        </w:rPr>
        <w:t>计量且其变动计入当期损益的金融资产、持有至到期投资、贷款和应收款项的金融资产。</w:t>
      </w:r>
      <w:r>
        <w:rPr>
          <w:rFonts w:ascii="宋体" w:hAnsi="宋体" w:cs="宋体" w:eastAsia="宋体" w:hint="default"/>
          <w:w w:val="100"/>
          <w:sz w:val="21"/>
          <w:szCs w:val="21"/>
        </w:rPr>
        <w:t> </w:t>
      </w:r>
      <w:r>
        <w:rPr>
          <w:rFonts w:ascii="宋体" w:hAnsi="宋体" w:cs="宋体" w:eastAsia="宋体" w:hint="default"/>
          <w:spacing w:val="-2"/>
          <w:sz w:val="21"/>
          <w:szCs w:val="21"/>
        </w:rPr>
        <w:t>本公司可供出售金融资产按取得时的公允价值和相关交易费用之和作为初始确认金额。</w:t>
      </w:r>
    </w:p>
    <w:p>
      <w:pPr>
        <w:spacing w:line="355" w:lineRule="auto" w:before="34"/>
        <w:ind w:left="138" w:right="208" w:firstLine="0"/>
        <w:jc w:val="both"/>
        <w:rPr>
          <w:rFonts w:ascii="宋体" w:hAnsi="宋体" w:cs="宋体" w:eastAsia="宋体" w:hint="default"/>
          <w:sz w:val="21"/>
          <w:szCs w:val="21"/>
        </w:rPr>
      </w:pPr>
      <w:r>
        <w:rPr>
          <w:rFonts w:ascii="宋体" w:hAnsi="宋体" w:cs="宋体" w:eastAsia="宋体" w:hint="default"/>
          <w:spacing w:val="-4"/>
          <w:w w:val="100"/>
          <w:sz w:val="21"/>
          <w:szCs w:val="21"/>
        </w:rPr>
        <w:t>支付的价款中包含已到付息期但尚未领取的债券利息或已宣告但尚未发放的现金股利，单独</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确认为应收项目。本公司可供出售金融资产持有期间取得的利息或现金股利，确认为投资收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益。资产负债表日，可供出售资产按公允价值计量，其公允价值变动计入“资本公积－其他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9"/>
          <w:w w:val="100"/>
          <w:sz w:val="21"/>
          <w:szCs w:val="21"/>
        </w:rPr>
        <w:t>资本公积”。</w:t>
      </w:r>
    </w:p>
    <w:p>
      <w:pPr>
        <w:spacing w:line="357" w:lineRule="auto" w:before="32"/>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处置可供出售金融资产时，将取得的价款和该金融资产的账面价值之间的差额，计入投</w:t>
      </w:r>
      <w:r>
        <w:rPr>
          <w:rFonts w:ascii="宋体" w:hAnsi="宋体" w:cs="宋体" w:eastAsia="宋体" w:hint="default"/>
          <w:w w:val="100"/>
          <w:sz w:val="21"/>
          <w:szCs w:val="21"/>
        </w:rPr>
        <w:t> </w:t>
      </w:r>
      <w:r>
        <w:rPr>
          <w:rFonts w:ascii="宋体" w:hAnsi="宋体" w:cs="宋体" w:eastAsia="宋体" w:hint="default"/>
          <w:spacing w:val="-2"/>
          <w:sz w:val="21"/>
          <w:szCs w:val="21"/>
        </w:rPr>
        <w:t>资收益，同时，将原直接计入所有者权益的公允价值变动累计额对应处置部分的金额转出，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计入投资收益。</w:t>
      </w:r>
    </w:p>
    <w:p>
      <w:pPr>
        <w:spacing w:line="338"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指交易性金融负债和直接指定为以公允价值计量且其变动计入当期损益的金融负债，具</w:t>
      </w:r>
    </w:p>
    <w:p>
      <w:pPr>
        <w:spacing w:line="338" w:lineRule="auto" w:before="49"/>
        <w:ind w:left="138" w:right="0" w:firstLine="0"/>
        <w:jc w:val="left"/>
        <w:rPr>
          <w:rFonts w:ascii="宋体" w:hAnsi="宋体" w:cs="宋体" w:eastAsia="宋体" w:hint="default"/>
          <w:sz w:val="21"/>
          <w:szCs w:val="21"/>
        </w:rPr>
      </w:pPr>
      <w:r>
        <w:rPr>
          <w:rFonts w:ascii="宋体" w:hAnsi="宋体" w:cs="宋体" w:eastAsia="宋体" w:hint="default"/>
          <w:spacing w:val="-6"/>
          <w:sz w:val="21"/>
          <w:szCs w:val="21"/>
        </w:rPr>
        <w:t>体包括：</w:t>
      </w:r>
      <w:r>
        <w:rPr>
          <w:rFonts w:ascii="Arial Narrow" w:hAnsi="Arial Narrow" w:cs="Arial Narrow" w:eastAsia="Arial Narrow" w:hint="default"/>
          <w:spacing w:val="-6"/>
          <w:sz w:val="21"/>
          <w:szCs w:val="21"/>
        </w:rPr>
        <w:t>1</w:t>
      </w:r>
      <w:r>
        <w:rPr>
          <w:rFonts w:ascii="宋体" w:hAnsi="宋体" w:cs="宋体" w:eastAsia="宋体" w:hint="default"/>
          <w:spacing w:val="-6"/>
          <w:sz w:val="21"/>
          <w:szCs w:val="21"/>
        </w:rPr>
        <w:t>）为了近期内回购而承担的金融负债；</w:t>
      </w:r>
      <w:r>
        <w:rPr>
          <w:rFonts w:ascii="Arial Narrow" w:hAnsi="Arial Narrow" w:cs="Arial Narrow" w:eastAsia="Arial Narrow" w:hint="default"/>
          <w:spacing w:val="-6"/>
          <w:sz w:val="21"/>
          <w:szCs w:val="21"/>
        </w:rPr>
        <w:t>2</w:t>
      </w:r>
      <w:r>
        <w:rPr>
          <w:rFonts w:ascii="宋体" w:hAnsi="宋体" w:cs="宋体" w:eastAsia="宋体" w:hint="default"/>
          <w:spacing w:val="-6"/>
          <w:sz w:val="21"/>
          <w:szCs w:val="21"/>
        </w:rPr>
        <w:t>）本公司基于风险管理、战略投资需要等，</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直接指定为以公允价值计量且其变动计入当期损益的金融负债；</w:t>
      </w:r>
      <w:r>
        <w:rPr>
          <w:rFonts w:ascii="Arial Narrow" w:hAnsi="Arial Narrow" w:cs="Arial Narrow" w:eastAsia="Arial Narrow" w:hint="default"/>
          <w:sz w:val="21"/>
          <w:szCs w:val="21"/>
        </w:rPr>
        <w:t>3</w:t>
      </w:r>
      <w:r>
        <w:rPr>
          <w:rFonts w:ascii="宋体" w:hAnsi="宋体" w:cs="宋体" w:eastAsia="宋体" w:hint="default"/>
          <w:sz w:val="21"/>
          <w:szCs w:val="21"/>
        </w:rPr>
        <w:t>）不作为有效套期工具的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衍生工具。</w:t>
      </w:r>
    </w:p>
    <w:p>
      <w:pPr>
        <w:spacing w:line="355" w:lineRule="auto" w:before="47"/>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本公司持有该类金融负债按公允价值计价，不扣除将来结清金融负债时可能发生的交易</w:t>
      </w:r>
      <w:r>
        <w:rPr>
          <w:rFonts w:ascii="宋体" w:hAnsi="宋体" w:cs="宋体" w:eastAsia="宋体" w:hint="default"/>
          <w:w w:val="100"/>
          <w:sz w:val="21"/>
          <w:szCs w:val="21"/>
        </w:rPr>
        <w:t> </w:t>
      </w:r>
      <w:r>
        <w:rPr>
          <w:rFonts w:ascii="宋体" w:hAnsi="宋体" w:cs="宋体" w:eastAsia="宋体" w:hint="default"/>
          <w:sz w:val="21"/>
          <w:szCs w:val="21"/>
        </w:rPr>
        <w:t>费用。如不适合按公允价值计量时，本公司将该类金融负债改按摊余成本计量。</w:t>
      </w:r>
    </w:p>
    <w:p>
      <w:pPr>
        <w:spacing w:line="338" w:lineRule="auto"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z w:val="21"/>
          <w:szCs w:val="21"/>
        </w:rPr>
        <w:t>本公司的其他金融负债是指除以公允价值计量且其变动计入当期损益的金融负债以外</w:t>
      </w:r>
    </w:p>
    <w:p>
      <w:pPr>
        <w:spacing w:line="355" w:lineRule="auto" w:before="47"/>
        <w:ind w:left="138" w:right="213" w:firstLine="0"/>
        <w:jc w:val="both"/>
        <w:rPr>
          <w:rFonts w:ascii="宋体" w:hAnsi="宋体" w:cs="宋体" w:eastAsia="宋体" w:hint="default"/>
          <w:sz w:val="21"/>
          <w:szCs w:val="21"/>
        </w:rPr>
      </w:pPr>
      <w:r>
        <w:rPr>
          <w:rFonts w:ascii="宋体" w:hAnsi="宋体" w:cs="宋体" w:eastAsia="宋体" w:hint="default"/>
          <w:spacing w:val="-4"/>
          <w:sz w:val="21"/>
          <w:szCs w:val="21"/>
        </w:rPr>
        <w:t>的金融负债。主要包括企业发行的债券、因购买商品产生的应付账款、长期应付款等。其他</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金融负债按其公允价值和相关交易费用之和作为初始确认金额。采用摊余成本进行后续计</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量。</w:t>
      </w:r>
    </w:p>
    <w:p>
      <w:pPr>
        <w:spacing w:line="355" w:lineRule="auto" w:before="34"/>
        <w:ind w:left="138" w:right="0" w:firstLine="419"/>
        <w:jc w:val="left"/>
        <w:rPr>
          <w:rFonts w:ascii="宋体" w:hAnsi="宋体" w:cs="宋体" w:eastAsia="宋体" w:hint="default"/>
          <w:sz w:val="21"/>
          <w:szCs w:val="21"/>
        </w:rPr>
      </w:pPr>
      <w:r>
        <w:rPr>
          <w:rFonts w:ascii="宋体" w:hAnsi="宋体" w:cs="宋体" w:eastAsia="宋体" w:hint="default"/>
          <w:sz w:val="21"/>
          <w:szCs w:val="21"/>
        </w:rPr>
        <w:t>本公司拥有的其他不属于以公允价值计量且其变动计入当期损益的金融负债的财务担</w:t>
      </w:r>
      <w:r>
        <w:rPr>
          <w:rFonts w:ascii="宋体" w:hAnsi="宋体" w:cs="宋体" w:eastAsia="宋体" w:hint="default"/>
          <w:spacing w:val="2"/>
          <w:w w:val="100"/>
          <w:sz w:val="21"/>
          <w:szCs w:val="21"/>
        </w:rPr>
        <w:t> </w:t>
      </w:r>
      <w:r>
        <w:rPr>
          <w:rFonts w:ascii="宋体" w:hAnsi="宋体" w:cs="宋体" w:eastAsia="宋体" w:hint="default"/>
          <w:spacing w:val="-4"/>
          <w:sz w:val="21"/>
          <w:szCs w:val="21"/>
        </w:rPr>
        <w:t>保合同等，按其公允价值和相关交易费用之和作为初始确认金额。在初始计量后按《企业会</w:t>
      </w:r>
    </w:p>
    <w:p>
      <w:pPr>
        <w:spacing w:after="0" w:line="355" w:lineRule="auto"/>
        <w:jc w:val="left"/>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38" w:lineRule="auto"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计准则第</w:t>
      </w:r>
      <w:r>
        <w:rPr>
          <w:rFonts w:ascii="宋体" w:hAnsi="宋体" w:cs="宋体" w:eastAsia="宋体" w:hint="default"/>
          <w:spacing w:val="-38"/>
          <w:sz w:val="21"/>
          <w:szCs w:val="21"/>
        </w:rPr>
        <w:t> </w:t>
      </w:r>
      <w:r>
        <w:rPr>
          <w:rFonts w:ascii="Arial Narrow" w:hAnsi="Arial Narrow" w:cs="Arial Narrow" w:eastAsia="Arial Narrow" w:hint="default"/>
          <w:sz w:val="21"/>
          <w:szCs w:val="21"/>
        </w:rPr>
        <w:t>13</w:t>
      </w:r>
      <w:r>
        <w:rPr>
          <w:rFonts w:ascii="Arial Narrow" w:hAnsi="Arial Narrow" w:cs="Arial Narrow" w:eastAsia="Arial Narrow" w:hint="default"/>
          <w:spacing w:val="16"/>
          <w:sz w:val="21"/>
          <w:szCs w:val="21"/>
        </w:rPr>
        <w:t> </w:t>
      </w:r>
      <w:r>
        <w:rPr>
          <w:rFonts w:ascii="宋体" w:hAnsi="宋体" w:cs="宋体" w:eastAsia="宋体" w:hint="default"/>
          <w:spacing w:val="-4"/>
          <w:sz w:val="21"/>
          <w:szCs w:val="21"/>
        </w:rPr>
        <w:t>号－或有事项》确定的金额，和按《企业会计准则第</w:t>
      </w:r>
      <w:r>
        <w:rPr>
          <w:rFonts w:ascii="宋体" w:hAnsi="宋体" w:cs="宋体" w:eastAsia="宋体" w:hint="default"/>
          <w:spacing w:val="-37"/>
          <w:sz w:val="21"/>
          <w:szCs w:val="21"/>
        </w:rPr>
        <w:t> </w:t>
      </w:r>
      <w:r>
        <w:rPr>
          <w:rFonts w:ascii="Arial Narrow" w:hAnsi="Arial Narrow" w:cs="Arial Narrow" w:eastAsia="Arial Narrow" w:hint="default"/>
          <w:sz w:val="21"/>
          <w:szCs w:val="21"/>
        </w:rPr>
        <w:t>14</w:t>
      </w:r>
      <w:r>
        <w:rPr>
          <w:rFonts w:ascii="Arial Narrow" w:hAnsi="Arial Narrow" w:cs="Arial Narrow" w:eastAsia="Arial Narrow" w:hint="default"/>
          <w:spacing w:val="16"/>
          <w:sz w:val="21"/>
          <w:szCs w:val="21"/>
        </w:rPr>
        <w:t> </w:t>
      </w:r>
      <w:r>
        <w:rPr>
          <w:rFonts w:ascii="宋体" w:hAnsi="宋体" w:cs="宋体" w:eastAsia="宋体" w:hint="default"/>
          <w:spacing w:val="-3"/>
          <w:sz w:val="21"/>
          <w:szCs w:val="21"/>
        </w:rPr>
        <w:t>号—收入》的原则确定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的累计摊销额后的余额两者中的较高者进行后续计量。</w:t>
      </w:r>
    </w:p>
    <w:p>
      <w:pPr>
        <w:spacing w:line="388" w:lineRule="auto" w:before="107"/>
        <w:ind w:left="663" w:right="336" w:hanging="1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本公司的金融资产转移，包括下列两种情形：</w:t>
      </w:r>
    </w:p>
    <w:p>
      <w:pPr>
        <w:spacing w:before="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）将收取金融资产现金流量的权利转移给另一方；</w:t>
      </w:r>
    </w:p>
    <w:p>
      <w:pPr>
        <w:spacing w:line="338" w:lineRule="auto" w:before="118"/>
        <w:ind w:left="138" w:right="1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）将金融资产转移给另一方，但保留收取金融资产现金流量的权利，并承担将收取</w:t>
      </w:r>
      <w:r>
        <w:rPr>
          <w:rFonts w:ascii="宋体" w:hAnsi="宋体" w:cs="宋体" w:eastAsia="宋体" w:hint="default"/>
          <w:w w:val="100"/>
          <w:sz w:val="21"/>
          <w:szCs w:val="21"/>
        </w:rPr>
        <w:t> </w:t>
      </w:r>
      <w:r>
        <w:rPr>
          <w:rFonts w:ascii="宋体" w:hAnsi="宋体" w:cs="宋体" w:eastAsia="宋体" w:hint="default"/>
          <w:sz w:val="21"/>
          <w:szCs w:val="21"/>
        </w:rPr>
        <w:t>的现金流量支付给最终收款方的义务，同时满足下列条件：</w:t>
      </w:r>
    </w:p>
    <w:p>
      <w:pPr>
        <w:spacing w:line="348" w:lineRule="auto" w:before="47"/>
        <w:ind w:left="138" w:right="189" w:firstLine="419"/>
        <w:jc w:val="both"/>
        <w:rPr>
          <w:rFonts w:ascii="宋体" w:hAnsi="宋体" w:cs="宋体" w:eastAsia="宋体" w:hint="default"/>
          <w:sz w:val="21"/>
          <w:szCs w:val="21"/>
        </w:rPr>
      </w:pPr>
      <w:r>
        <w:rPr>
          <w:rFonts w:ascii="Arial Narrow" w:hAnsi="Arial Narrow" w:cs="Arial Narrow" w:eastAsia="Arial Narrow" w:hint="default"/>
          <w:spacing w:val="-2"/>
          <w:sz w:val="21"/>
          <w:szCs w:val="21"/>
        </w:rPr>
        <w:t>A</w:t>
      </w:r>
      <w:r>
        <w:rPr>
          <w:rFonts w:ascii="宋体" w:hAnsi="宋体" w:cs="宋体" w:eastAsia="宋体" w:hint="default"/>
          <w:spacing w:val="-2"/>
          <w:sz w:val="21"/>
          <w:szCs w:val="21"/>
        </w:rPr>
        <w:t>．从该金融资产收到对等的现金流量时，才有义务将其支付给最终收款方。企业发生</w:t>
      </w:r>
      <w:r>
        <w:rPr>
          <w:rFonts w:ascii="宋体" w:hAnsi="宋体" w:cs="宋体" w:eastAsia="宋体" w:hint="default"/>
          <w:w w:val="100"/>
          <w:sz w:val="21"/>
          <w:szCs w:val="21"/>
        </w:rPr>
        <w:t> </w:t>
      </w:r>
      <w:r>
        <w:rPr>
          <w:rFonts w:ascii="宋体" w:hAnsi="宋体" w:cs="宋体" w:eastAsia="宋体" w:hint="default"/>
          <w:spacing w:val="-4"/>
          <w:sz w:val="21"/>
          <w:szCs w:val="21"/>
        </w:rPr>
        <w:t>短期垫付款，但有权全额收回该垫付款并按照市场上同期银行贷款利率计收利息的，视同满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足本条件。</w:t>
      </w:r>
    </w:p>
    <w:p>
      <w:pPr>
        <w:spacing w:line="338" w:lineRule="auto" w:before="38"/>
        <w:ind w:left="138" w:right="193" w:firstLine="419"/>
        <w:jc w:val="both"/>
        <w:rPr>
          <w:rFonts w:ascii="宋体" w:hAnsi="宋体" w:cs="宋体" w:eastAsia="宋体" w:hint="default"/>
          <w:sz w:val="21"/>
          <w:szCs w:val="21"/>
        </w:rPr>
      </w:pPr>
      <w:r>
        <w:rPr>
          <w:rFonts w:ascii="Arial Narrow" w:hAnsi="Arial Narrow" w:cs="Arial Narrow" w:eastAsia="Arial Narrow" w:hint="default"/>
          <w:spacing w:val="-2"/>
          <w:sz w:val="21"/>
          <w:szCs w:val="21"/>
        </w:rPr>
        <w:t>B</w:t>
      </w:r>
      <w:r>
        <w:rPr>
          <w:rFonts w:ascii="宋体" w:hAnsi="宋体" w:cs="宋体" w:eastAsia="宋体" w:hint="default"/>
          <w:spacing w:val="-2"/>
          <w:sz w:val="21"/>
          <w:szCs w:val="21"/>
        </w:rPr>
        <w:t>．根据合同约定，不能出售该金融资产或作为担保物，但可以将其作为对最终收款方</w:t>
      </w:r>
      <w:r>
        <w:rPr>
          <w:rFonts w:ascii="宋体" w:hAnsi="宋体" w:cs="宋体" w:eastAsia="宋体" w:hint="default"/>
          <w:w w:val="100"/>
          <w:sz w:val="21"/>
          <w:szCs w:val="21"/>
        </w:rPr>
        <w:t> </w:t>
      </w:r>
      <w:r>
        <w:rPr>
          <w:rFonts w:ascii="宋体" w:hAnsi="宋体" w:cs="宋体" w:eastAsia="宋体" w:hint="default"/>
          <w:sz w:val="21"/>
          <w:szCs w:val="21"/>
        </w:rPr>
        <w:t>支付现金流量的保证。</w:t>
      </w:r>
    </w:p>
    <w:p>
      <w:pPr>
        <w:spacing w:line="350" w:lineRule="auto" w:before="47"/>
        <w:ind w:left="138" w:right="188" w:firstLine="419"/>
        <w:jc w:val="both"/>
        <w:rPr>
          <w:rFonts w:ascii="宋体" w:hAnsi="宋体" w:cs="宋体" w:eastAsia="宋体" w:hint="default"/>
          <w:sz w:val="21"/>
          <w:szCs w:val="21"/>
        </w:rPr>
      </w:pPr>
      <w:r>
        <w:rPr>
          <w:rFonts w:ascii="Arial Narrow" w:hAnsi="Arial Narrow" w:cs="Arial Narrow" w:eastAsia="Arial Narrow" w:hint="default"/>
          <w:spacing w:val="-2"/>
          <w:sz w:val="21"/>
          <w:szCs w:val="21"/>
        </w:rPr>
        <w:t>C</w:t>
      </w:r>
      <w:r>
        <w:rPr>
          <w:rFonts w:ascii="宋体" w:hAnsi="宋体" w:cs="宋体" w:eastAsia="宋体" w:hint="default"/>
          <w:spacing w:val="-2"/>
          <w:sz w:val="21"/>
          <w:szCs w:val="21"/>
        </w:rPr>
        <w:t>．有义务将收取的现金流量及时支付给最终收款方。企业无权将该现金流量进行再投</w:t>
      </w:r>
      <w:r>
        <w:rPr>
          <w:rFonts w:ascii="宋体" w:hAnsi="宋体" w:cs="宋体" w:eastAsia="宋体" w:hint="default"/>
          <w:w w:val="100"/>
          <w:sz w:val="21"/>
          <w:szCs w:val="21"/>
        </w:rPr>
        <w:t> </w:t>
      </w:r>
      <w:r>
        <w:rPr>
          <w:rFonts w:ascii="宋体" w:hAnsi="宋体" w:cs="宋体" w:eastAsia="宋体" w:hint="default"/>
          <w:spacing w:val="-4"/>
          <w:w w:val="100"/>
          <w:sz w:val="21"/>
          <w:szCs w:val="21"/>
        </w:rPr>
        <w:t>资，但按照合同约定在相邻两次支付间隔期内将所收到的现金流量进行现金或现金等价物投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资的除外。企业按照合同约定进行再投资的，应当将投资收益按照合同约定支付给最终收款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方。</w:t>
      </w:r>
    </w:p>
    <w:p>
      <w:pPr>
        <w:spacing w:line="355" w:lineRule="auto" w:before="36"/>
        <w:ind w:left="138" w:right="99" w:firstLine="419"/>
        <w:jc w:val="both"/>
        <w:rPr>
          <w:rFonts w:ascii="宋体" w:hAnsi="宋体" w:cs="宋体" w:eastAsia="宋体" w:hint="default"/>
          <w:sz w:val="21"/>
          <w:szCs w:val="21"/>
        </w:rPr>
      </w:pPr>
      <w:r>
        <w:rPr>
          <w:rFonts w:ascii="宋体" w:hAnsi="宋体" w:cs="宋体" w:eastAsia="宋体" w:hint="default"/>
          <w:spacing w:val="-2"/>
          <w:sz w:val="21"/>
          <w:szCs w:val="21"/>
        </w:rPr>
        <w:t>已将金融资产所有权上几乎所有的风险和报酬转移给转入方的，终止确认该金融资产；</w:t>
      </w:r>
      <w:r>
        <w:rPr>
          <w:rFonts w:ascii="宋体" w:hAnsi="宋体" w:cs="宋体" w:eastAsia="宋体" w:hint="default"/>
          <w:w w:val="100"/>
          <w:sz w:val="21"/>
          <w:szCs w:val="21"/>
        </w:rPr>
        <w:t> </w:t>
      </w:r>
      <w:r>
        <w:rPr>
          <w:rFonts w:ascii="宋体" w:hAnsi="宋体" w:cs="宋体" w:eastAsia="宋体" w:hint="default"/>
          <w:sz w:val="21"/>
          <w:szCs w:val="21"/>
        </w:rPr>
        <w:t>保留了金融资产所有权上几乎所有的风险和报酬的，不终止确认该金融资产。</w:t>
      </w:r>
    </w:p>
    <w:p>
      <w:pPr>
        <w:spacing w:line="355" w:lineRule="auto" w:before="35"/>
        <w:ind w:left="138" w:right="193" w:firstLine="419"/>
        <w:jc w:val="both"/>
        <w:rPr>
          <w:rFonts w:ascii="宋体" w:hAnsi="宋体" w:cs="宋体" w:eastAsia="宋体" w:hint="default"/>
          <w:sz w:val="21"/>
          <w:szCs w:val="21"/>
        </w:rPr>
      </w:pPr>
      <w:r>
        <w:rPr>
          <w:rFonts w:ascii="宋体" w:hAnsi="宋体" w:cs="宋体" w:eastAsia="宋体" w:hint="default"/>
          <w:sz w:val="21"/>
          <w:szCs w:val="21"/>
        </w:rPr>
        <w:t>既没有转移也没有保留金融资产所有权上几乎所有的风险和报酬的，分别下列情况处</w:t>
      </w:r>
      <w:r>
        <w:rPr>
          <w:rFonts w:ascii="宋体" w:hAnsi="宋体" w:cs="宋体" w:eastAsia="宋体" w:hint="default"/>
          <w:w w:val="100"/>
          <w:sz w:val="21"/>
          <w:szCs w:val="21"/>
        </w:rPr>
        <w:t> </w:t>
      </w:r>
      <w:r>
        <w:rPr>
          <w:rFonts w:ascii="宋体" w:hAnsi="宋体" w:cs="宋体" w:eastAsia="宋体" w:hint="default"/>
          <w:sz w:val="21"/>
          <w:szCs w:val="21"/>
        </w:rPr>
        <w:t>理：</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）放弃了对该金融资产控制的，终止确认该金融资产。</w:t>
      </w:r>
    </w:p>
    <w:p>
      <w:pPr>
        <w:spacing w:line="340" w:lineRule="auto" w:before="118"/>
        <w:ind w:left="138" w:right="18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）未放弃对该金融资产控制的，按照其继续涉入所转移金融资产的程度确认有关金</w:t>
      </w:r>
      <w:r>
        <w:rPr>
          <w:rFonts w:ascii="宋体" w:hAnsi="宋体" w:cs="宋体" w:eastAsia="宋体" w:hint="default"/>
          <w:w w:val="100"/>
          <w:sz w:val="21"/>
          <w:szCs w:val="21"/>
        </w:rPr>
        <w:t> </w:t>
      </w:r>
      <w:r>
        <w:rPr>
          <w:rFonts w:ascii="宋体" w:hAnsi="宋体" w:cs="宋体" w:eastAsia="宋体" w:hint="default"/>
          <w:sz w:val="21"/>
          <w:szCs w:val="21"/>
        </w:rPr>
        <w:t>融资产，并相应确认有关负债。</w:t>
      </w:r>
    </w:p>
    <w:p>
      <w:pPr>
        <w:spacing w:line="388" w:lineRule="auto" w:before="105"/>
        <w:ind w:left="55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金融负债的现时义务全部或部分已经解除的，终止确认该金融负债或其一部分。金融负</w:t>
      </w:r>
    </w:p>
    <w:p>
      <w:pPr>
        <w:spacing w:line="357" w:lineRule="auto" w:before="3"/>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债全部或部分终止确认的，将终止确认部分的账面价值与支付的对价（包括转出的非现金资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产或承担的新金融负债）之间的差额，计入当期损益。</w:t>
      </w:r>
    </w:p>
    <w:p>
      <w:pPr>
        <w:spacing w:line="388" w:lineRule="auto" w:before="92"/>
        <w:ind w:left="55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40"/>
          <w:sz w:val="21"/>
          <w:szCs w:val="21"/>
        </w:rPr>
        <w:t> </w:t>
      </w:r>
      <w:r>
        <w:rPr>
          <w:rFonts w:ascii="宋体" w:hAnsi="宋体" w:cs="宋体" w:eastAsia="宋体" w:hint="default"/>
          <w:b/>
          <w:bCs/>
          <w:sz w:val="21"/>
          <w:szCs w:val="21"/>
        </w:rPr>
        <w:t>金融资产减值测试方法、减值准备计提方法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资产负债表日，本公司对以公允价值计量且其变动计入当期损益的金融资产以外的金融</w:t>
      </w:r>
    </w:p>
    <w:p>
      <w:pPr>
        <w:spacing w:line="355" w:lineRule="auto" w:before="3"/>
        <w:ind w:left="558" w:right="0" w:hanging="420"/>
        <w:jc w:val="left"/>
        <w:rPr>
          <w:rFonts w:ascii="宋体" w:hAnsi="宋体" w:cs="宋体" w:eastAsia="宋体" w:hint="default"/>
          <w:sz w:val="21"/>
          <w:szCs w:val="21"/>
        </w:rPr>
      </w:pPr>
      <w:r>
        <w:rPr>
          <w:rFonts w:ascii="宋体" w:hAnsi="宋体" w:cs="宋体" w:eastAsia="宋体" w:hint="default"/>
          <w:sz w:val="21"/>
          <w:szCs w:val="21"/>
        </w:rPr>
        <w:t>资产的账面价值进行检查。</w:t>
      </w:r>
      <w:r>
        <w:rPr>
          <w:rFonts w:ascii="宋体" w:hAnsi="宋体" w:cs="宋体" w:eastAsia="宋体" w:hint="default"/>
          <w:w w:val="100"/>
          <w:sz w:val="21"/>
          <w:szCs w:val="21"/>
        </w:rPr>
        <w:t> </w:t>
      </w:r>
      <w:r>
        <w:rPr>
          <w:rFonts w:ascii="宋体" w:hAnsi="宋体" w:cs="宋体" w:eastAsia="宋体" w:hint="default"/>
          <w:spacing w:val="-4"/>
          <w:sz w:val="21"/>
          <w:szCs w:val="21"/>
        </w:rPr>
        <w:t>对于持有至到期投资，有客观证据表明其发生了减值的，根据其账面价值与预计未来现</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金流量现值之间差额计算确认减值损失；计提后如有证据表明其价值已恢复，原确认的减值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损失可予以转回，记入当期损益，但该转回的账面价值不超过假定不计提减值准备情况下该</w:t>
      </w:r>
    </w:p>
    <w:p>
      <w:pPr>
        <w:spacing w:after="0" w:line="357" w:lineRule="auto"/>
        <w:jc w:val="left"/>
        <w:rPr>
          <w:rFonts w:ascii="宋体" w:hAnsi="宋体" w:cs="宋体" w:eastAsia="宋体" w:hint="default"/>
          <w:sz w:val="21"/>
          <w:szCs w:val="21"/>
        </w:rPr>
        <w:sectPr>
          <w:pgSz w:w="11910" w:h="16840"/>
          <w:pgMar w:header="816" w:footer="858" w:top="1160" w:bottom="1040" w:left="1660" w:right="1600"/>
        </w:sectPr>
      </w:pPr>
    </w:p>
    <w:p>
      <w:pPr>
        <w:spacing w:line="240" w:lineRule="auto" w:before="4"/>
        <w:rPr>
          <w:rFonts w:ascii="宋体" w:hAnsi="宋体" w:cs="宋体" w:eastAsia="宋体" w:hint="default"/>
          <w:sz w:val="14"/>
          <w:szCs w:val="14"/>
        </w:rPr>
      </w:pPr>
    </w:p>
    <w:p>
      <w:pPr>
        <w:spacing w:line="357" w:lineRule="auto" w:before="36"/>
        <w:ind w:left="818" w:right="283" w:hanging="420"/>
        <w:jc w:val="left"/>
        <w:rPr>
          <w:rFonts w:ascii="宋体" w:hAnsi="宋体" w:cs="宋体" w:eastAsia="宋体" w:hint="default"/>
          <w:sz w:val="21"/>
          <w:szCs w:val="21"/>
        </w:rPr>
      </w:pPr>
      <w:r>
        <w:rPr>
          <w:rFonts w:ascii="宋体" w:hAnsi="宋体" w:cs="宋体" w:eastAsia="宋体" w:hint="default"/>
          <w:sz w:val="21"/>
          <w:szCs w:val="21"/>
        </w:rPr>
        <w:t>金融资产在转回日的摊余成本。</w:t>
      </w:r>
      <w:r>
        <w:rPr>
          <w:rFonts w:ascii="宋体" w:hAnsi="宋体" w:cs="宋体" w:eastAsia="宋体" w:hint="default"/>
          <w:w w:val="100"/>
          <w:sz w:val="21"/>
          <w:szCs w:val="21"/>
        </w:rPr>
        <w:t> </w:t>
      </w:r>
      <w:r>
        <w:rPr>
          <w:rFonts w:ascii="宋体" w:hAnsi="宋体" w:cs="宋体" w:eastAsia="宋体" w:hint="default"/>
          <w:spacing w:val="-4"/>
          <w:sz w:val="21"/>
          <w:szCs w:val="21"/>
        </w:rPr>
        <w:t>对于可供出售金融资产，如果其公允价值出现持续大幅度下降，且预期该下降为非暂时</w:t>
      </w:r>
    </w:p>
    <w:p>
      <w:pPr>
        <w:spacing w:line="357" w:lineRule="auto" w:before="30"/>
        <w:ind w:left="398" w:right="388" w:firstLine="0"/>
        <w:jc w:val="both"/>
        <w:rPr>
          <w:rFonts w:ascii="宋体" w:hAnsi="宋体" w:cs="宋体" w:eastAsia="宋体" w:hint="default"/>
          <w:sz w:val="21"/>
          <w:szCs w:val="21"/>
        </w:rPr>
      </w:pPr>
      <w:r>
        <w:rPr>
          <w:rFonts w:ascii="宋体" w:hAnsi="宋体" w:cs="宋体" w:eastAsia="宋体" w:hint="default"/>
          <w:w w:val="100"/>
          <w:sz w:val="21"/>
          <w:szCs w:val="21"/>
        </w:rPr>
        <w:t>性的</w:t>
      </w:r>
      <w:r>
        <w:rPr>
          <w:rFonts w:ascii="宋体" w:hAnsi="宋体" w:cs="宋体" w:eastAsia="宋体" w:hint="default"/>
          <w:spacing w:val="-92"/>
          <w:w w:val="100"/>
          <w:sz w:val="21"/>
          <w:szCs w:val="21"/>
        </w:rPr>
        <w:t>，</w:t>
      </w:r>
      <w:r>
        <w:rPr>
          <w:rFonts w:ascii="宋体" w:hAnsi="宋体" w:cs="宋体" w:eastAsia="宋体" w:hint="default"/>
          <w:w w:val="100"/>
          <w:sz w:val="21"/>
          <w:szCs w:val="21"/>
        </w:rPr>
        <w:t>则</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其</w:t>
      </w:r>
      <w:r>
        <w:rPr>
          <w:rFonts w:ascii="宋体" w:hAnsi="宋体" w:cs="宋体" w:eastAsia="宋体" w:hint="default"/>
          <w:w w:val="100"/>
          <w:sz w:val="21"/>
          <w:szCs w:val="21"/>
        </w:rPr>
        <w:t>初</w:t>
      </w:r>
      <w:r>
        <w:rPr>
          <w:rFonts w:ascii="宋体" w:hAnsi="宋体" w:cs="宋体" w:eastAsia="宋体" w:hint="default"/>
          <w:spacing w:val="-3"/>
          <w:w w:val="100"/>
          <w:sz w:val="21"/>
          <w:szCs w:val="21"/>
        </w:rPr>
        <w:t>始</w:t>
      </w:r>
      <w:r>
        <w:rPr>
          <w:rFonts w:ascii="宋体" w:hAnsi="宋体" w:cs="宋体" w:eastAsia="宋体" w:hint="default"/>
          <w:w w:val="100"/>
          <w:sz w:val="21"/>
          <w:szCs w:val="21"/>
        </w:rPr>
        <w:t>投</w:t>
      </w:r>
      <w:r>
        <w:rPr>
          <w:rFonts w:ascii="宋体" w:hAnsi="宋体" w:cs="宋体" w:eastAsia="宋体" w:hint="default"/>
          <w:spacing w:val="-3"/>
          <w:w w:val="100"/>
          <w:sz w:val="21"/>
          <w:szCs w:val="21"/>
        </w:rPr>
        <w:t>资成</w:t>
      </w:r>
      <w:r>
        <w:rPr>
          <w:rFonts w:ascii="宋体" w:hAnsi="宋体" w:cs="宋体" w:eastAsia="宋体" w:hint="default"/>
          <w:w w:val="100"/>
          <w:sz w:val="21"/>
          <w:szCs w:val="21"/>
        </w:rPr>
        <w:t>本扣</w:t>
      </w:r>
      <w:r>
        <w:rPr>
          <w:rFonts w:ascii="宋体" w:hAnsi="宋体" w:cs="宋体" w:eastAsia="宋体" w:hint="default"/>
          <w:spacing w:val="-3"/>
          <w:w w:val="100"/>
          <w:sz w:val="21"/>
          <w:szCs w:val="21"/>
        </w:rPr>
        <w:t>除</w:t>
      </w:r>
      <w:r>
        <w:rPr>
          <w:rFonts w:ascii="宋体" w:hAnsi="宋体" w:cs="宋体" w:eastAsia="宋体" w:hint="default"/>
          <w:w w:val="100"/>
          <w:sz w:val="21"/>
          <w:szCs w:val="21"/>
        </w:rPr>
        <w:t>已</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r>
        <w:rPr>
          <w:rFonts w:ascii="宋体" w:hAnsi="宋体" w:cs="宋体" w:eastAsia="宋体" w:hint="default"/>
          <w:spacing w:val="-3"/>
          <w:w w:val="100"/>
          <w:sz w:val="21"/>
          <w:szCs w:val="21"/>
        </w:rPr>
        <w:t>本</w:t>
      </w:r>
      <w:r>
        <w:rPr>
          <w:rFonts w:ascii="宋体" w:hAnsi="宋体" w:cs="宋体" w:eastAsia="宋体" w:hint="default"/>
          <w:w w:val="100"/>
          <w:sz w:val="21"/>
          <w:szCs w:val="21"/>
        </w:rPr>
        <w:t>金</w:t>
      </w:r>
      <w:r>
        <w:rPr>
          <w:rFonts w:ascii="宋体" w:hAnsi="宋体" w:cs="宋体" w:eastAsia="宋体" w:hint="default"/>
          <w:spacing w:val="-3"/>
          <w:w w:val="100"/>
          <w:sz w:val="21"/>
          <w:szCs w:val="21"/>
        </w:rPr>
        <w:t>和</w:t>
      </w:r>
      <w:r>
        <w:rPr>
          <w:rFonts w:ascii="宋体" w:hAnsi="宋体" w:cs="宋体" w:eastAsia="宋体" w:hint="default"/>
          <w:w w:val="100"/>
          <w:sz w:val="21"/>
          <w:szCs w:val="21"/>
        </w:rPr>
        <w:t>已</w:t>
      </w:r>
      <w:r>
        <w:rPr>
          <w:rFonts w:ascii="宋体" w:hAnsi="宋体" w:cs="宋体" w:eastAsia="宋体" w:hint="default"/>
          <w:spacing w:val="-3"/>
          <w:w w:val="100"/>
          <w:sz w:val="21"/>
          <w:szCs w:val="21"/>
        </w:rPr>
        <w:t>摊</w:t>
      </w:r>
      <w:r>
        <w:rPr>
          <w:rFonts w:ascii="宋体" w:hAnsi="宋体" w:cs="宋体" w:eastAsia="宋体" w:hint="default"/>
          <w:w w:val="100"/>
          <w:sz w:val="21"/>
          <w:szCs w:val="21"/>
        </w:rPr>
        <w:t>销金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及</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后</w:t>
      </w:r>
      <w:r>
        <w:rPr>
          <w:rFonts w:ascii="宋体" w:hAnsi="宋体" w:cs="宋体" w:eastAsia="宋体" w:hint="default"/>
          <w:w w:val="100"/>
          <w:sz w:val="21"/>
          <w:szCs w:val="21"/>
        </w:rPr>
        <w:t>的差</w:t>
      </w:r>
      <w:r>
        <w:rPr>
          <w:rFonts w:ascii="宋体" w:hAnsi="宋体" w:cs="宋体" w:eastAsia="宋体" w:hint="default"/>
          <w:spacing w:val="-3"/>
          <w:w w:val="100"/>
          <w:sz w:val="21"/>
          <w:szCs w:val="21"/>
        </w:rPr>
        <w:t>额</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确</w:t>
      </w:r>
      <w:r>
        <w:rPr>
          <w:rFonts w:ascii="宋体" w:hAnsi="宋体" w:cs="宋体" w:eastAsia="宋体" w:hint="default"/>
          <w:w w:val="100"/>
          <w:sz w:val="21"/>
          <w:szCs w:val="21"/>
        </w:rPr>
        <w:t> 认减</w:t>
      </w:r>
      <w:r>
        <w:rPr>
          <w:rFonts w:ascii="宋体" w:hAnsi="宋体" w:cs="宋体" w:eastAsia="宋体" w:hint="default"/>
          <w:spacing w:val="-3"/>
          <w:w w:val="100"/>
          <w:sz w:val="21"/>
          <w:szCs w:val="21"/>
        </w:rPr>
        <w:t>值</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计</w:t>
      </w:r>
      <w:r>
        <w:rPr>
          <w:rFonts w:ascii="宋体" w:hAnsi="宋体" w:cs="宋体" w:eastAsia="宋体" w:hint="default"/>
          <w:spacing w:val="-3"/>
          <w:w w:val="100"/>
          <w:sz w:val="21"/>
          <w:szCs w:val="21"/>
        </w:rPr>
        <w:t>提</w:t>
      </w:r>
      <w:r>
        <w:rPr>
          <w:rFonts w:ascii="宋体" w:hAnsi="宋体" w:cs="宋体" w:eastAsia="宋体" w:hint="default"/>
          <w:w w:val="100"/>
          <w:sz w:val="21"/>
          <w:szCs w:val="21"/>
        </w:rPr>
        <w:t>减</w:t>
      </w:r>
      <w:r>
        <w:rPr>
          <w:rFonts w:ascii="宋体" w:hAnsi="宋体" w:cs="宋体" w:eastAsia="宋体" w:hint="default"/>
          <w:spacing w:val="-3"/>
          <w:w w:val="100"/>
          <w:sz w:val="21"/>
          <w:szCs w:val="21"/>
        </w:rPr>
        <w:t>值损</w:t>
      </w:r>
      <w:r>
        <w:rPr>
          <w:rFonts w:ascii="宋体" w:hAnsi="宋体" w:cs="宋体" w:eastAsia="宋体" w:hint="default"/>
          <w:w w:val="100"/>
          <w:sz w:val="21"/>
          <w:szCs w:val="21"/>
        </w:rPr>
        <w:t>失时</w:t>
      </w:r>
      <w:r>
        <w:rPr>
          <w:rFonts w:ascii="宋体" w:hAnsi="宋体" w:cs="宋体" w:eastAsia="宋体" w:hint="default"/>
          <w:spacing w:val="-3"/>
          <w:w w:val="100"/>
          <w:sz w:val="21"/>
          <w:szCs w:val="21"/>
        </w:rPr>
        <w:t>将</w:t>
      </w:r>
      <w:r>
        <w:rPr>
          <w:rFonts w:ascii="宋体" w:hAnsi="宋体" w:cs="宋体" w:eastAsia="宋体" w:hint="default"/>
          <w:w w:val="100"/>
          <w:sz w:val="21"/>
          <w:szCs w:val="21"/>
        </w:rPr>
        <w:t>原</w:t>
      </w:r>
      <w:r>
        <w:rPr>
          <w:rFonts w:ascii="宋体" w:hAnsi="宋体" w:cs="宋体" w:eastAsia="宋体" w:hint="default"/>
          <w:spacing w:val="-3"/>
          <w:w w:val="100"/>
          <w:sz w:val="21"/>
          <w:szCs w:val="21"/>
        </w:rPr>
        <w:t>直</w:t>
      </w:r>
      <w:r>
        <w:rPr>
          <w:rFonts w:ascii="宋体" w:hAnsi="宋体" w:cs="宋体" w:eastAsia="宋体" w:hint="default"/>
          <w:w w:val="100"/>
          <w:sz w:val="21"/>
          <w:szCs w:val="21"/>
        </w:rPr>
        <w:t>接</w:t>
      </w:r>
      <w:r>
        <w:rPr>
          <w:rFonts w:ascii="宋体" w:hAnsi="宋体" w:cs="宋体" w:eastAsia="宋体" w:hint="default"/>
          <w:spacing w:val="-3"/>
          <w:w w:val="100"/>
          <w:sz w:val="21"/>
          <w:szCs w:val="21"/>
        </w:rPr>
        <w:t>计</w:t>
      </w:r>
      <w:r>
        <w:rPr>
          <w:rFonts w:ascii="宋体" w:hAnsi="宋体" w:cs="宋体" w:eastAsia="宋体" w:hint="default"/>
          <w:w w:val="100"/>
          <w:sz w:val="21"/>
          <w:szCs w:val="21"/>
        </w:rPr>
        <w:t>入</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权益</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下</w:t>
      </w:r>
      <w:r>
        <w:rPr>
          <w:rFonts w:ascii="宋体" w:hAnsi="宋体" w:cs="宋体" w:eastAsia="宋体" w:hint="default"/>
          <w:spacing w:val="-3"/>
          <w:w w:val="100"/>
          <w:sz w:val="21"/>
          <w:szCs w:val="21"/>
        </w:rPr>
        <w:t>降</w:t>
      </w:r>
      <w:r>
        <w:rPr>
          <w:rFonts w:ascii="宋体" w:hAnsi="宋体" w:cs="宋体" w:eastAsia="宋体" w:hint="default"/>
          <w:w w:val="100"/>
          <w:sz w:val="21"/>
          <w:szCs w:val="21"/>
        </w:rPr>
        <w:t>形</w:t>
      </w:r>
      <w:r>
        <w:rPr>
          <w:rFonts w:ascii="宋体" w:hAnsi="宋体" w:cs="宋体" w:eastAsia="宋体" w:hint="default"/>
          <w:spacing w:val="-3"/>
          <w:w w:val="100"/>
          <w:sz w:val="21"/>
          <w:szCs w:val="21"/>
        </w:rPr>
        <w:t>成</w:t>
      </w:r>
      <w:r>
        <w:rPr>
          <w:rFonts w:ascii="宋体" w:hAnsi="宋体" w:cs="宋体" w:eastAsia="宋体" w:hint="default"/>
          <w:w w:val="100"/>
          <w:sz w:val="21"/>
          <w:szCs w:val="21"/>
        </w:rPr>
        <w:t>的累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一</w:t>
      </w:r>
      <w:r>
        <w:rPr>
          <w:rFonts w:ascii="宋体" w:hAnsi="宋体" w:cs="宋体" w:eastAsia="宋体" w:hint="default"/>
          <w:w w:val="100"/>
          <w:sz w:val="21"/>
          <w:szCs w:val="21"/>
        </w:rPr>
        <w:t> 并转</w:t>
      </w:r>
      <w:r>
        <w:rPr>
          <w:rFonts w:ascii="宋体" w:hAnsi="宋体" w:cs="宋体" w:eastAsia="宋体" w:hint="default"/>
          <w:spacing w:val="-3"/>
          <w:w w:val="100"/>
          <w:sz w:val="21"/>
          <w:szCs w:val="21"/>
        </w:rPr>
        <w:t>出</w:t>
      </w:r>
      <w:r>
        <w:rPr>
          <w:rFonts w:ascii="宋体" w:hAnsi="宋体" w:cs="宋体" w:eastAsia="宋体" w:hint="default"/>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入</w:t>
      </w:r>
      <w:r>
        <w:rPr>
          <w:rFonts w:ascii="宋体" w:hAnsi="宋体" w:cs="宋体" w:eastAsia="宋体" w:hint="default"/>
          <w:spacing w:val="-3"/>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损失</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tabs>
          <w:tab w:pos="1360" w:val="left" w:leader="none"/>
        </w:tabs>
        <w:spacing w:line="388" w:lineRule="auto" w:before="90"/>
        <w:ind w:left="818" w:right="283"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w:t>
      </w:r>
      <w:r>
        <w:rPr>
          <w:rFonts w:ascii="宋体" w:hAnsi="宋体" w:cs="宋体" w:eastAsia="宋体" w:hint="default"/>
          <w:b/>
          <w:bCs/>
          <w:sz w:val="21"/>
          <w:szCs w:val="21"/>
        </w:rPr>
        <w:t>十</w:t>
      </w:r>
      <w:r>
        <w:rPr>
          <w:rFonts w:ascii="Arial Narrow" w:hAnsi="Arial Narrow" w:cs="Arial Narrow" w:eastAsia="Arial Narrow" w:hint="default"/>
          <w:b/>
          <w:bCs/>
          <w:sz w:val="21"/>
          <w:szCs w:val="21"/>
        </w:rPr>
        <w:t>)</w:t>
        <w:tab/>
      </w:r>
      <w:r>
        <w:rPr>
          <w:rFonts w:ascii="宋体" w:hAnsi="宋体" w:cs="宋体" w:eastAsia="宋体" w:hint="default"/>
          <w:b/>
          <w:bCs/>
          <w:sz w:val="21"/>
          <w:szCs w:val="21"/>
        </w:rPr>
        <w:t>应收款项</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本公司应收款项（包括应收账款和其他应收款等）按合同或协议价款作为初始入账金额。</w:t>
      </w:r>
    </w:p>
    <w:p>
      <w:pPr>
        <w:spacing w:line="357" w:lineRule="auto" w:before="3"/>
        <w:ind w:left="398" w:right="389" w:firstLine="0"/>
        <w:jc w:val="both"/>
        <w:rPr>
          <w:rFonts w:ascii="宋体" w:hAnsi="宋体" w:cs="宋体" w:eastAsia="宋体" w:hint="default"/>
          <w:sz w:val="21"/>
          <w:szCs w:val="21"/>
        </w:rPr>
      </w:pPr>
      <w:r>
        <w:rPr>
          <w:rFonts w:ascii="宋体" w:hAnsi="宋体" w:cs="宋体" w:eastAsia="宋体" w:hint="default"/>
          <w:spacing w:val="-4"/>
          <w:sz w:val="21"/>
          <w:szCs w:val="21"/>
        </w:rPr>
        <w:t>凡因债务人破产，依照法律清偿程序清偿后仍无法收回；或因债务人死亡，既无遗产可供清</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偿，又无义务承担人，确实无法收回；或因债务人逾期未能履行偿债义务，经法定程序审核</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批准，该等应收账款列为坏账损失。本公司对合并报表范围内的往来不计提坏账准备。</w:t>
      </w:r>
    </w:p>
    <w:p>
      <w:pPr>
        <w:spacing w:before="90"/>
        <w:ind w:left="93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2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52" w:lineRule="auto" w:before="178"/>
        <w:ind w:left="398" w:right="300" w:firstLine="419"/>
        <w:jc w:val="right"/>
        <w:rPr>
          <w:rFonts w:ascii="宋体" w:hAnsi="宋体" w:cs="宋体" w:eastAsia="宋体" w:hint="default"/>
          <w:sz w:val="21"/>
          <w:szCs w:val="21"/>
        </w:rPr>
      </w:pPr>
      <w:r>
        <w:rPr>
          <w:rFonts w:ascii="宋体" w:hAnsi="宋体" w:cs="宋体" w:eastAsia="宋体" w:hint="default"/>
          <w:sz w:val="21"/>
          <w:szCs w:val="21"/>
        </w:rPr>
        <w:t>本公司将单个客户</w:t>
      </w:r>
      <w:r>
        <w:rPr>
          <w:rFonts w:ascii="宋体" w:hAnsi="宋体" w:cs="宋体" w:eastAsia="宋体" w:hint="default"/>
          <w:spacing w:val="-57"/>
          <w:sz w:val="21"/>
          <w:szCs w:val="21"/>
        </w:rPr>
        <w:t> </w:t>
      </w:r>
      <w:r>
        <w:rPr>
          <w:rFonts w:ascii="Arial Narrow" w:hAnsi="Arial Narrow" w:cs="Arial Narrow" w:eastAsia="Arial Narrow" w:hint="default"/>
          <w:sz w:val="21"/>
          <w:szCs w:val="21"/>
        </w:rPr>
        <w:t>100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万元人民币以上的应收款项，确定为单项金额重大的应收款项。</w:t>
      </w:r>
      <w:r>
        <w:rPr>
          <w:rFonts w:ascii="宋体" w:hAnsi="宋体" w:cs="宋体" w:eastAsia="宋体" w:hint="default"/>
          <w:w w:val="100"/>
          <w:sz w:val="21"/>
          <w:szCs w:val="21"/>
        </w:rPr>
        <w:t> </w:t>
      </w:r>
      <w:r>
        <w:rPr>
          <w:rFonts w:ascii="宋体" w:hAnsi="宋体" w:cs="宋体" w:eastAsia="宋体" w:hint="default"/>
          <w:spacing w:val="-4"/>
          <w:sz w:val="21"/>
          <w:szCs w:val="21"/>
        </w:rPr>
        <w:t>在资产负债表日，本公司对单项金额重大的应收款项单独进行减值测试，经测试发生了</w:t>
      </w:r>
      <w:r>
        <w:rPr>
          <w:rFonts w:ascii="宋体" w:hAnsi="宋体" w:cs="宋体" w:eastAsia="宋体" w:hint="default"/>
          <w:w w:val="100"/>
          <w:sz w:val="21"/>
          <w:szCs w:val="21"/>
        </w:rPr>
        <w:t> </w:t>
      </w:r>
      <w:r>
        <w:rPr>
          <w:rFonts w:ascii="宋体" w:hAnsi="宋体" w:cs="宋体" w:eastAsia="宋体" w:hint="default"/>
          <w:spacing w:val="-4"/>
          <w:sz w:val="21"/>
          <w:szCs w:val="21"/>
        </w:rPr>
        <w:t>减值的，按其未来现金流量现值低于其账面价值的差额，确定减值损失，计提坏账准备；对</w:t>
      </w:r>
      <w:r>
        <w:rPr>
          <w:rFonts w:ascii="宋体" w:hAnsi="宋体" w:cs="宋体" w:eastAsia="宋体" w:hint="default"/>
          <w:w w:val="100"/>
          <w:sz w:val="21"/>
          <w:szCs w:val="21"/>
        </w:rPr>
        <w:t> </w:t>
      </w:r>
      <w:r>
        <w:rPr>
          <w:rFonts w:ascii="宋体" w:hAnsi="宋体" w:cs="宋体" w:eastAsia="宋体" w:hint="default"/>
          <w:spacing w:val="-4"/>
          <w:sz w:val="21"/>
          <w:szCs w:val="21"/>
        </w:rPr>
        <w:t>单项测试未减值的应收款项，汇同对单项金额非重大的应收款项，按类似的信用风险特征划</w:t>
      </w:r>
      <w:r>
        <w:rPr>
          <w:rFonts w:ascii="宋体" w:hAnsi="宋体" w:cs="宋体" w:eastAsia="宋体" w:hint="default"/>
          <w:w w:val="100"/>
          <w:sz w:val="21"/>
          <w:szCs w:val="21"/>
        </w:rPr>
        <w:t> </w:t>
      </w:r>
      <w:r>
        <w:rPr>
          <w:rFonts w:ascii="宋体" w:hAnsi="宋体" w:cs="宋体" w:eastAsia="宋体" w:hint="default"/>
          <w:spacing w:val="-2"/>
          <w:sz w:val="21"/>
          <w:szCs w:val="21"/>
        </w:rPr>
        <w:t>分为若干组合，再按这些应收款项组合在资产负债表日余额的一定比例计算确定减值损失，</w:t>
      </w:r>
    </w:p>
    <w:p>
      <w:pPr>
        <w:spacing w:before="34"/>
        <w:ind w:left="398" w:right="0" w:firstLine="0"/>
        <w:jc w:val="both"/>
        <w:rPr>
          <w:rFonts w:ascii="宋体" w:hAnsi="宋体" w:cs="宋体" w:eastAsia="宋体" w:hint="default"/>
          <w:sz w:val="21"/>
          <w:szCs w:val="21"/>
        </w:rPr>
      </w:pPr>
      <w:r>
        <w:rPr>
          <w:rFonts w:ascii="宋体" w:hAnsi="宋体" w:cs="宋体" w:eastAsia="宋体" w:hint="default"/>
          <w:sz w:val="21"/>
          <w:szCs w:val="21"/>
        </w:rPr>
        <w:t>计提坏账准备。</w:t>
      </w:r>
    </w:p>
    <w:p>
      <w:pPr>
        <w:spacing w:before="133"/>
        <w:ind w:left="818" w:right="283"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本公司本年度无单项金额重大并单项计提坏账准备的应收款项。</w:t>
      </w:r>
    </w:p>
    <w:p>
      <w:pPr>
        <w:spacing w:line="240" w:lineRule="auto" w:before="13"/>
        <w:rPr>
          <w:rFonts w:ascii="新宋体" w:hAnsi="新宋体" w:cs="新宋体" w:eastAsia="新宋体" w:hint="default"/>
          <w:sz w:val="14"/>
          <w:szCs w:val="14"/>
        </w:rPr>
      </w:pPr>
    </w:p>
    <w:p>
      <w:pPr>
        <w:spacing w:line="388" w:lineRule="auto" w:before="0"/>
        <w:ind w:left="818" w:right="283" w:firstLine="12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b/>
          <w:bCs/>
          <w:w w:val="100"/>
          <w:sz w:val="21"/>
          <w:szCs w:val="21"/>
        </w:rPr>
        <w:t> </w:t>
      </w:r>
      <w:r>
        <w:rPr>
          <w:rFonts w:ascii="宋体" w:hAnsi="宋体" w:cs="宋体" w:eastAsia="宋体" w:hint="default"/>
          <w:spacing w:val="-4"/>
          <w:sz w:val="21"/>
          <w:szCs w:val="21"/>
        </w:rPr>
        <w:t>应收款项以账龄为风险特征划分信用风险组合，采用账龄分析法计提坏账准备，确定计</w:t>
      </w:r>
    </w:p>
    <w:p>
      <w:pPr>
        <w:spacing w:before="3"/>
        <w:ind w:left="398" w:right="0" w:firstLine="0"/>
        <w:jc w:val="both"/>
        <w:rPr>
          <w:rFonts w:ascii="宋体" w:hAnsi="宋体" w:cs="宋体" w:eastAsia="宋体" w:hint="default"/>
          <w:sz w:val="21"/>
          <w:szCs w:val="21"/>
        </w:rPr>
      </w:pPr>
      <w:r>
        <w:rPr>
          <w:rFonts w:ascii="宋体" w:hAnsi="宋体" w:cs="宋体" w:eastAsia="宋体" w:hint="default"/>
          <w:sz w:val="21"/>
          <w:szCs w:val="21"/>
        </w:rPr>
        <w:t>提比例如下：</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41"/>
        <w:gridCol w:w="1466"/>
        <w:gridCol w:w="1378"/>
        <w:gridCol w:w="1378"/>
        <w:gridCol w:w="1897"/>
      </w:tblGrid>
      <w:tr>
        <w:trPr>
          <w:trHeight w:val="365" w:hRule="exact"/>
        </w:trPr>
        <w:tc>
          <w:tcPr>
            <w:tcW w:w="2741" w:type="dxa"/>
            <w:vMerge w:val="restart"/>
            <w:tcBorders>
              <w:top w:val="single" w:sz="12" w:space="0" w:color="000000"/>
              <w:left w:val="nil" w:sz="6" w:space="0" w:color="auto"/>
              <w:right w:val="single" w:sz="6" w:space="0" w:color="000000"/>
            </w:tcBorders>
          </w:tcPr>
          <w:p>
            <w:pPr>
              <w:pStyle w:val="TableParagraph"/>
              <w:spacing w:line="240" w:lineRule="auto" w:before="179"/>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风险特征</w:t>
            </w:r>
          </w:p>
        </w:tc>
      </w:tr>
      <w:tr>
        <w:trPr>
          <w:trHeight w:val="353" w:hRule="exact"/>
        </w:trPr>
        <w:tc>
          <w:tcPr>
            <w:tcW w:w="2741" w:type="dxa"/>
            <w:vMerge/>
            <w:tcBorders>
              <w:left w:val="nil" w:sz="6" w:space="0" w:color="auto"/>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97"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2"/>
              <w:jc w:val="center"/>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r>
      <w:tr>
        <w:trPr>
          <w:trHeight w:val="365" w:hRule="exact"/>
        </w:trPr>
        <w:tc>
          <w:tcPr>
            <w:tcW w:w="27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3%</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10%</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sz w:val="21"/>
              </w:rPr>
              <w:t>20%</w:t>
            </w:r>
          </w:p>
        </w:tc>
        <w:tc>
          <w:tcPr>
            <w:tcW w:w="18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4"/>
              <w:jc w:val="center"/>
              <w:rPr>
                <w:rFonts w:ascii="Arial Narrow" w:hAnsi="Arial Narrow" w:cs="Arial Narrow" w:eastAsia="Arial Narrow" w:hint="default"/>
                <w:sz w:val="21"/>
                <w:szCs w:val="21"/>
              </w:rPr>
            </w:pPr>
            <w:r>
              <w:rPr>
                <w:rFonts w:ascii="Arial Narrow"/>
                <w:sz w:val="21"/>
              </w:rPr>
              <w:t>50%</w:t>
            </w:r>
          </w:p>
        </w:tc>
      </w:tr>
    </w:tbl>
    <w:p>
      <w:pPr>
        <w:spacing w:line="240" w:lineRule="auto" w:before="13"/>
        <w:rPr>
          <w:rFonts w:ascii="宋体" w:hAnsi="宋体" w:cs="宋体" w:eastAsia="宋体" w:hint="default"/>
          <w:sz w:val="12"/>
          <w:szCs w:val="12"/>
        </w:rPr>
      </w:pPr>
    </w:p>
    <w:p>
      <w:pPr>
        <w:spacing w:before="36"/>
        <w:ind w:left="909" w:right="2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sz w:val="21"/>
          <w:szCs w:val="21"/>
        </w:rPr>
      </w:r>
    </w:p>
    <w:p>
      <w:pPr>
        <w:spacing w:before="177"/>
        <w:ind w:left="818" w:right="283" w:firstLine="0"/>
        <w:jc w:val="left"/>
        <w:rPr>
          <w:rFonts w:ascii="宋体" w:hAnsi="宋体" w:cs="宋体" w:eastAsia="宋体" w:hint="default"/>
          <w:sz w:val="21"/>
          <w:szCs w:val="21"/>
        </w:rPr>
      </w:pPr>
      <w:r>
        <w:rPr>
          <w:rFonts w:ascii="宋体" w:hAnsi="宋体" w:cs="宋体" w:eastAsia="宋体" w:hint="default"/>
          <w:sz w:val="21"/>
          <w:szCs w:val="21"/>
        </w:rPr>
        <w:t>本公司将单户金额在 </w:t>
      </w:r>
      <w:r>
        <w:rPr>
          <w:rFonts w:ascii="Arial Narrow" w:hAnsi="Arial Narrow" w:cs="Arial Narrow" w:eastAsia="Arial Narrow" w:hint="default"/>
          <w:sz w:val="21"/>
          <w:szCs w:val="21"/>
        </w:rPr>
        <w:t>100</w:t>
      </w:r>
      <w:r>
        <w:rPr>
          <w:rFonts w:ascii="Arial Narrow" w:hAnsi="Arial Narrow" w:cs="Arial Narrow" w:eastAsia="Arial Narrow" w:hint="default"/>
          <w:spacing w:val="-7"/>
          <w:sz w:val="21"/>
          <w:szCs w:val="21"/>
        </w:rPr>
        <w:t> </w:t>
      </w:r>
      <w:r>
        <w:rPr>
          <w:rFonts w:ascii="宋体" w:hAnsi="宋体" w:cs="宋体" w:eastAsia="宋体" w:hint="default"/>
          <w:spacing w:val="-4"/>
          <w:sz w:val="21"/>
          <w:szCs w:val="21"/>
        </w:rPr>
        <w:t>万元以下的应收款项，确定为单项金额不重大的应收款项，若</w:t>
      </w:r>
    </w:p>
    <w:p>
      <w:pPr>
        <w:spacing w:line="338" w:lineRule="auto" w:before="119"/>
        <w:ind w:left="398" w:right="283" w:firstLine="0"/>
        <w:jc w:val="left"/>
        <w:rPr>
          <w:rFonts w:ascii="宋体" w:hAnsi="宋体" w:cs="宋体" w:eastAsia="宋体" w:hint="default"/>
          <w:sz w:val="21"/>
          <w:szCs w:val="21"/>
        </w:rPr>
      </w:pPr>
      <w:r>
        <w:rPr>
          <w:rFonts w:ascii="宋体" w:hAnsi="宋体" w:cs="宋体" w:eastAsia="宋体" w:hint="default"/>
          <w:sz w:val="21"/>
          <w:szCs w:val="21"/>
        </w:rPr>
        <w:t>其帐龄在 </w:t>
      </w:r>
      <w:r>
        <w:rPr>
          <w:rFonts w:ascii="Arial Narrow" w:hAnsi="Arial Narrow" w:cs="Arial Narrow" w:eastAsia="Arial Narrow" w:hint="default"/>
          <w:sz w:val="21"/>
          <w:szCs w:val="21"/>
        </w:rPr>
        <w:t>2 </w:t>
      </w:r>
      <w:r>
        <w:rPr>
          <w:rFonts w:ascii="宋体" w:hAnsi="宋体" w:cs="宋体" w:eastAsia="宋体" w:hint="default"/>
          <w:spacing w:val="-7"/>
          <w:sz w:val="21"/>
          <w:szCs w:val="21"/>
        </w:rPr>
        <w:t>年以上，在资产负债表日，本公司对其单独进行减值测试，经测试发生了减值的，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按其未来现金流量现值低于其账面价值的差额，确定减值损失，计提坏账准备。</w:t>
      </w:r>
    </w:p>
    <w:p>
      <w:pPr>
        <w:spacing w:before="109"/>
        <w:ind w:left="818" w:right="283"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本公司本年度无单项金额虽不重大并单项计提坏账准备的应收款项。</w:t>
      </w:r>
    </w:p>
    <w:p>
      <w:pPr>
        <w:spacing w:line="240" w:lineRule="auto" w:before="10"/>
        <w:rPr>
          <w:rFonts w:ascii="新宋体" w:hAnsi="新宋体" w:cs="新宋体" w:eastAsia="新宋体" w:hint="default"/>
          <w:sz w:val="14"/>
          <w:szCs w:val="14"/>
        </w:rPr>
      </w:pPr>
    </w:p>
    <w:p>
      <w:pPr>
        <w:spacing w:line="408" w:lineRule="auto" w:before="0"/>
        <w:ind w:left="818" w:right="283" w:firstLine="2"/>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w w:val="100"/>
          <w:sz w:val="21"/>
          <w:szCs w:val="21"/>
        </w:rPr>
        <w:t> </w:t>
      </w:r>
      <w:r>
        <w:rPr>
          <w:rFonts w:ascii="宋体" w:hAnsi="宋体" w:cs="宋体" w:eastAsia="宋体" w:hint="default"/>
          <w:sz w:val="21"/>
          <w:szCs w:val="21"/>
        </w:rPr>
        <w:t>存货是指本公司在日常活动中持有以备出售的产成品或商品、处在生产过程中的在产</w:t>
      </w:r>
    </w:p>
    <w:p>
      <w:pPr>
        <w:spacing w:line="261" w:lineRule="exact" w:before="0"/>
        <w:ind w:left="398" w:right="0" w:firstLine="0"/>
        <w:jc w:val="left"/>
        <w:rPr>
          <w:rFonts w:ascii="宋体" w:hAnsi="宋体" w:cs="宋体" w:eastAsia="宋体" w:hint="default"/>
          <w:sz w:val="21"/>
          <w:szCs w:val="21"/>
        </w:rPr>
      </w:pPr>
      <w:r>
        <w:rPr>
          <w:rFonts w:ascii="宋体" w:hAnsi="宋体" w:cs="宋体" w:eastAsia="宋体" w:hint="default"/>
          <w:sz w:val="21"/>
          <w:szCs w:val="21"/>
        </w:rPr>
        <w:t>品、在生产过程或提供劳务过程中耗用的材料和物料等。主要包括原材料、委托加工材料、</w:t>
      </w:r>
    </w:p>
    <w:p>
      <w:pPr>
        <w:spacing w:after="0" w:line="261" w:lineRule="exact"/>
        <w:jc w:val="left"/>
        <w:rPr>
          <w:rFonts w:ascii="宋体" w:hAnsi="宋体" w:cs="宋体" w:eastAsia="宋体" w:hint="default"/>
          <w:sz w:val="21"/>
          <w:szCs w:val="21"/>
        </w:rPr>
        <w:sectPr>
          <w:pgSz w:w="11910" w:h="16840"/>
          <w:pgMar w:header="816" w:footer="858" w:top="1160" w:bottom="1040" w:left="1400" w:right="1400"/>
        </w:sectPr>
      </w:pPr>
    </w:p>
    <w:p>
      <w:pPr>
        <w:spacing w:line="240" w:lineRule="auto" w:before="4"/>
        <w:rPr>
          <w:rFonts w:ascii="宋体" w:hAnsi="宋体" w:cs="宋体" w:eastAsia="宋体" w:hint="default"/>
          <w:sz w:val="14"/>
          <w:szCs w:val="14"/>
        </w:rPr>
      </w:pPr>
    </w:p>
    <w:p>
      <w:pPr>
        <w:spacing w:line="357" w:lineRule="auto" w:before="36"/>
        <w:ind w:left="558" w:right="0" w:hanging="420"/>
        <w:jc w:val="left"/>
        <w:rPr>
          <w:rFonts w:ascii="宋体" w:hAnsi="宋体" w:cs="宋体" w:eastAsia="宋体" w:hint="default"/>
          <w:sz w:val="21"/>
          <w:szCs w:val="21"/>
        </w:rPr>
      </w:pPr>
      <w:r>
        <w:rPr>
          <w:rFonts w:ascii="宋体" w:hAnsi="宋体" w:cs="宋体" w:eastAsia="宋体" w:hint="default"/>
          <w:spacing w:val="-5"/>
          <w:w w:val="100"/>
          <w:sz w:val="21"/>
          <w:szCs w:val="21"/>
        </w:rPr>
        <w:t>包装物、低值易耗品、在产品、自制半成品、产成品（库存商品）等。。</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存货在取得时，按成本进行初始计量，包括采购成本、加工成本和其他成本。存货发出</w:t>
      </w:r>
    </w:p>
    <w:p>
      <w:pPr>
        <w:spacing w:line="355" w:lineRule="auto" w:before="30"/>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时，采用加权平均法确定发出存货的实际成本。低值易耗品和包装物采用一次转销法摊销，</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其他周转材料采用分次摊销法摊销。</w:t>
      </w:r>
    </w:p>
    <w:p>
      <w:pPr>
        <w:spacing w:line="355" w:lineRule="auto" w:before="34"/>
        <w:ind w:left="138" w:right="189" w:firstLine="419"/>
        <w:jc w:val="both"/>
        <w:rPr>
          <w:rFonts w:ascii="宋体" w:hAnsi="宋体" w:cs="宋体" w:eastAsia="宋体" w:hint="default"/>
          <w:sz w:val="21"/>
          <w:szCs w:val="21"/>
        </w:rPr>
      </w:pPr>
      <w:r>
        <w:rPr>
          <w:rFonts w:ascii="宋体" w:hAnsi="宋体" w:cs="宋体" w:eastAsia="宋体" w:hint="default"/>
          <w:spacing w:val="-4"/>
          <w:sz w:val="21"/>
          <w:szCs w:val="21"/>
        </w:rPr>
        <w:t>本公司的存货盘存制度为永续盘存制。本公司定期对存货进行清查，盘盈利得和盘亏损</w:t>
      </w:r>
      <w:r>
        <w:rPr>
          <w:rFonts w:ascii="宋体" w:hAnsi="宋体" w:cs="宋体" w:eastAsia="宋体" w:hint="default"/>
          <w:w w:val="100"/>
          <w:sz w:val="21"/>
          <w:szCs w:val="21"/>
        </w:rPr>
        <w:t> </w:t>
      </w:r>
      <w:r>
        <w:rPr>
          <w:rFonts w:ascii="宋体" w:hAnsi="宋体" w:cs="宋体" w:eastAsia="宋体" w:hint="default"/>
          <w:sz w:val="21"/>
          <w:szCs w:val="21"/>
        </w:rPr>
        <w:t>失计入当期损益。</w:t>
      </w:r>
    </w:p>
    <w:p>
      <w:pPr>
        <w:spacing w:line="357" w:lineRule="auto" w:before="32"/>
        <w:ind w:left="138" w:right="188"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资产负债表日，存货按照成本与可变现净值孰低计量。年末，在对存货进行全面盘点的</w:t>
      </w:r>
      <w:r>
        <w:rPr>
          <w:rFonts w:ascii="宋体" w:hAnsi="宋体" w:cs="宋体" w:eastAsia="宋体" w:hint="default"/>
          <w:w w:val="100"/>
          <w:sz w:val="21"/>
          <w:szCs w:val="21"/>
        </w:rPr>
        <w:t> </w:t>
      </w:r>
      <w:r>
        <w:rPr>
          <w:rFonts w:ascii="宋体" w:hAnsi="宋体" w:cs="宋体" w:eastAsia="宋体" w:hint="default"/>
          <w:spacing w:val="-4"/>
          <w:sz w:val="21"/>
          <w:szCs w:val="21"/>
        </w:rPr>
        <w:t>基础上，对于存货因被淘汰、全部或部分陈旧过时或销售价格低于成本等原因导致成本高于</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可变现净值的部分，以及承揽工程预计存在的亏损部分，提取存货跌价准备。存货跌价准备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按类别存货项目的成本高于其可变现净值的差额提取。其中：对于产成品、商品和用于出售</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的材料等直接用于出售的商品存货，在正常生产经营过程中，以该存货的估计售价减去估计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的销售费用和相关税费后的金额，确定其可变现净值；对于需要经过加工的材料存货，在正</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常生产经营过程中，以所生产的产成品的估计售价减去至完工时估计将要发生的成本、估计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销售费用和相关税费后的金额，确定其可变现净值；对于资产负债表日，同一项存货中一部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分有合同价格约定、其他部分不存在合同价格的，分别确定其可变现净值。</w:t>
      </w:r>
    </w:p>
    <w:p>
      <w:pPr>
        <w:spacing w:line="408" w:lineRule="auto" w:before="9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本公司的长期股权投资包括对子公司的投资、对合营企业、联营企业的投资和其他长期</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股权投资。</w:t>
      </w:r>
    </w:p>
    <w:p>
      <w:pPr>
        <w:spacing w:line="240" w:lineRule="auto" w:before="13"/>
        <w:rPr>
          <w:rFonts w:ascii="宋体" w:hAnsi="宋体" w:cs="宋体" w:eastAsia="宋体" w:hint="default"/>
          <w:sz w:val="14"/>
          <w:szCs w:val="14"/>
        </w:rPr>
      </w:pPr>
    </w:p>
    <w:p>
      <w:pPr>
        <w:spacing w:line="388" w:lineRule="auto" w:before="0"/>
        <w:ind w:left="558" w:right="0" w:firstLine="91"/>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初始投资成本的确定</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本公司对子公司的投资按照初始投资成本计价，控股合并形成的长期股权投资的初始计</w:t>
      </w:r>
    </w:p>
    <w:p>
      <w:pPr>
        <w:spacing w:line="355" w:lineRule="auto" w:before="3"/>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量参见本附注二之（五）同一控制下和非同一控制下企业合并的会计处理方法。追加或收回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投资调整长期股权投资的成本。</w:t>
      </w:r>
    </w:p>
    <w:p>
      <w:pPr>
        <w:spacing w:line="355" w:lineRule="auto" w:before="34"/>
        <w:ind w:left="138" w:right="1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本公司对被投资单位具有共同控制或重大影响的长期股权投资，以及对被投资单位不具</w:t>
      </w:r>
      <w:r>
        <w:rPr>
          <w:rFonts w:ascii="宋体" w:hAnsi="宋体" w:cs="宋体" w:eastAsia="宋体" w:hint="default"/>
          <w:w w:val="100"/>
          <w:sz w:val="21"/>
          <w:szCs w:val="21"/>
        </w:rPr>
        <w:t> </w:t>
      </w:r>
      <w:r>
        <w:rPr>
          <w:rFonts w:ascii="宋体" w:hAnsi="宋体" w:cs="宋体" w:eastAsia="宋体" w:hint="default"/>
          <w:spacing w:val="-4"/>
          <w:sz w:val="21"/>
          <w:szCs w:val="21"/>
        </w:rPr>
        <w:t>有共同控制或重大影响，并且在活跃市场中没有报价、公允价值不能可靠计量的长期股权投</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资，均按照初始投资成本计价。</w:t>
      </w:r>
    </w:p>
    <w:p>
      <w:pPr>
        <w:spacing w:line="388" w:lineRule="auto" w:before="92"/>
        <w:ind w:left="558" w:right="0" w:firstLine="43"/>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本公司对子公司的投资的后续计量采用成本法核算，编制合并财务报表时按照权益法进</w:t>
      </w:r>
    </w:p>
    <w:p>
      <w:pPr>
        <w:spacing w:line="355" w:lineRule="auto" w:before="5"/>
        <w:ind w:left="13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行调整。除取得投资时实际支付的价款或对价中包含的已宣告但尚未发放的现金股利或利润</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外，按照享有被投资单位宣告发放的现金股利或利润确认投资收益。</w:t>
      </w:r>
    </w:p>
    <w:p>
      <w:pPr>
        <w:spacing w:line="357" w:lineRule="auto" w:before="32"/>
        <w:ind w:left="138" w:right="188"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本公司对被投资单位具有共同控制或重大影响的长期股权投资，后续计量采用权益法核</w:t>
      </w:r>
      <w:r>
        <w:rPr>
          <w:rFonts w:ascii="宋体" w:hAnsi="宋体" w:cs="宋体" w:eastAsia="宋体" w:hint="default"/>
          <w:w w:val="100"/>
          <w:sz w:val="21"/>
          <w:szCs w:val="21"/>
        </w:rPr>
        <w:t> </w:t>
      </w:r>
      <w:r>
        <w:rPr>
          <w:rFonts w:ascii="宋体" w:hAnsi="宋体" w:cs="宋体" w:eastAsia="宋体" w:hint="default"/>
          <w:spacing w:val="-4"/>
          <w:w w:val="100"/>
          <w:sz w:val="21"/>
          <w:szCs w:val="21"/>
        </w:rPr>
        <w:t>算。长期股权投资的初始投资成本大于投资时应享有被投资单位可辨认净资产公允价值份额</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的，不调整长期股权投资的初始投资成本；长期股权投资的初始投资成本小于投资时应享有</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被投资单位可辨认净资产公允价值份额的，其差额应当计入当期损益，同时调整长期股权投</w:t>
      </w:r>
    </w:p>
    <w:p>
      <w:pPr>
        <w:spacing w:after="0" w:line="357" w:lineRule="auto"/>
        <w:jc w:val="both"/>
        <w:rPr>
          <w:rFonts w:ascii="宋体" w:hAnsi="宋体" w:cs="宋体" w:eastAsia="宋体" w:hint="default"/>
          <w:sz w:val="21"/>
          <w:szCs w:val="21"/>
        </w:rPr>
        <w:sectPr>
          <w:pgSz w:w="11910" w:h="16840"/>
          <w:pgMar w:header="816" w:footer="858" w:top="1160" w:bottom="1040" w:left="1660" w:right="1600"/>
        </w:sectPr>
      </w:pPr>
    </w:p>
    <w:p>
      <w:pPr>
        <w:spacing w:line="240" w:lineRule="auto" w:before="4"/>
        <w:rPr>
          <w:rFonts w:ascii="宋体" w:hAnsi="宋体" w:cs="宋体" w:eastAsia="宋体" w:hint="default"/>
          <w:sz w:val="14"/>
          <w:szCs w:val="14"/>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资的成本。取得长期股权投资后，按照应享有或应分担的被投资单位实现的净损益的份额，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确认投资损益并调整长期股权投资的账面价值。本公司按照被投资单位宣告分派的利润或现</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金股利计算应分得的部分，相应减少长期股权投资的账面价值。</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本公司对被投资单位不具有共同控制或重大影响，并且在活跃市场中没有报价、公允价</w:t>
      </w:r>
      <w:r>
        <w:rPr>
          <w:rFonts w:ascii="宋体" w:hAnsi="宋体" w:cs="宋体" w:eastAsia="宋体" w:hint="default"/>
          <w:w w:val="100"/>
          <w:sz w:val="21"/>
          <w:szCs w:val="21"/>
        </w:rPr>
        <w:t> </w:t>
      </w:r>
      <w:r>
        <w:rPr>
          <w:rFonts w:ascii="宋体" w:hAnsi="宋体" w:cs="宋体" w:eastAsia="宋体" w:hint="default"/>
          <w:sz w:val="21"/>
          <w:szCs w:val="21"/>
        </w:rPr>
        <w:t>值不能可靠计量的长期股权投资，后续计量采用成本法核算。</w:t>
      </w:r>
    </w:p>
    <w:p>
      <w:pPr>
        <w:spacing w:line="388" w:lineRule="auto" w:before="90"/>
        <w:ind w:left="558" w:right="0" w:hanging="12"/>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共同控制，是指按照合同约定对某项经济活动所共有的控制，仅在与该项经济活动相关</w:t>
      </w:r>
    </w:p>
    <w:p>
      <w:pPr>
        <w:spacing w:line="357" w:lineRule="auto" w:before="3"/>
        <w:ind w:left="138" w:right="208" w:firstLine="0"/>
        <w:jc w:val="both"/>
        <w:rPr>
          <w:rFonts w:ascii="宋体" w:hAnsi="宋体" w:cs="宋体" w:eastAsia="宋体" w:hint="default"/>
          <w:sz w:val="21"/>
          <w:szCs w:val="21"/>
        </w:rPr>
      </w:pPr>
      <w:r>
        <w:rPr>
          <w:rFonts w:ascii="宋体" w:hAnsi="宋体" w:cs="宋体" w:eastAsia="宋体" w:hint="default"/>
          <w:spacing w:val="-4"/>
          <w:w w:val="100"/>
          <w:sz w:val="21"/>
          <w:szCs w:val="21"/>
        </w:rPr>
        <w:t>的重要财务和经营决策需要分享控制权的投资方一致同意时存在。投资企业与其他方对被投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资单位实施共同控制的，被投资单位为其合营企业；重大影响，是指对一个企业的财务和经</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营政策有参与决策的权力，但并不能够控制或者与其他方一起共同控制这些政策的制定。投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资企业能够对被投资单位施加重大影响的，被投资单位为其联营企业。</w:t>
      </w:r>
    </w:p>
    <w:p>
      <w:pPr>
        <w:spacing w:line="388" w:lineRule="auto" w:before="90"/>
        <w:ind w:left="558" w:right="0"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8"/>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资产负债表日，若因市价持续下跌或被投资单位经营状况恶化等原因使长期股权投资存</w:t>
      </w:r>
    </w:p>
    <w:p>
      <w:pPr>
        <w:spacing w:line="355" w:lineRule="auto" w:before="5"/>
        <w:ind w:left="13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在减值迹象时，根据单项长期股权投资的公允价值减去处置费用后的净额与长期股权投资预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计未来现金流量的现值两者之间较高者确定长期股权投资的可收回金额。长期股权投资的可</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4"/>
          <w:sz w:val="21"/>
          <w:szCs w:val="21"/>
        </w:rPr>
        <w:t>收回金额低于账面价值时，将资产的账面价值减记至可收回金额，减记的金额确认为资产减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值损失，计入当期损益，同时计提相应的资产减值准备。长期股权投资减值损失一经确认，</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在以后会计期间不再转回。</w:t>
      </w:r>
    </w:p>
    <w:p>
      <w:pPr>
        <w:spacing w:line="408" w:lineRule="auto" w:before="9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（十三）固定资产</w:t>
      </w:r>
      <w:r>
        <w:rPr>
          <w:rFonts w:ascii="宋体" w:hAnsi="宋体" w:cs="宋体" w:eastAsia="宋体" w:hint="default"/>
          <w:b/>
          <w:bCs/>
          <w:w w:val="100"/>
          <w:sz w:val="21"/>
          <w:szCs w:val="21"/>
        </w:rPr>
        <w:t> </w:t>
      </w:r>
      <w:r>
        <w:rPr>
          <w:rFonts w:ascii="宋体" w:hAnsi="宋体" w:cs="宋体" w:eastAsia="宋体" w:hint="default"/>
          <w:sz w:val="21"/>
          <w:szCs w:val="21"/>
        </w:rPr>
        <w:t>固定资产指同时满足与该固定资产有关的经济利益很可能流入企业和该固定资产的成</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本能够可靠地计量条件的，为生产商品、提供劳务、出租或经营管理而持有的使用寿命超过</w:t>
      </w:r>
    </w:p>
    <w:p>
      <w:pPr>
        <w:spacing w:line="357" w:lineRule="auto" w:before="133"/>
        <w:ind w:left="558" w:right="0" w:hanging="420"/>
        <w:jc w:val="left"/>
        <w:rPr>
          <w:rFonts w:ascii="宋体" w:hAnsi="宋体" w:cs="宋体" w:eastAsia="宋体" w:hint="default"/>
          <w:sz w:val="21"/>
          <w:szCs w:val="21"/>
        </w:rPr>
      </w:pPr>
      <w:r>
        <w:rPr>
          <w:rFonts w:ascii="宋体" w:hAnsi="宋体" w:cs="宋体" w:eastAsia="宋体" w:hint="default"/>
          <w:sz w:val="21"/>
          <w:szCs w:val="21"/>
        </w:rPr>
        <w:t>一个会计年度的有形资产。</w:t>
      </w:r>
      <w:r>
        <w:rPr>
          <w:rFonts w:ascii="宋体" w:hAnsi="宋体" w:cs="宋体" w:eastAsia="宋体" w:hint="default"/>
          <w:w w:val="100"/>
          <w:sz w:val="21"/>
          <w:szCs w:val="21"/>
        </w:rPr>
        <w:t> </w:t>
      </w:r>
      <w:r>
        <w:rPr>
          <w:rFonts w:ascii="宋体" w:hAnsi="宋体" w:cs="宋体" w:eastAsia="宋体" w:hint="default"/>
          <w:spacing w:val="-7"/>
          <w:sz w:val="21"/>
          <w:szCs w:val="21"/>
        </w:rPr>
        <w:t>本公司固定资产按成本进行初始计量。其中，外购的固定资产的成本包括买价、增值税、</w:t>
      </w:r>
    </w:p>
    <w:p>
      <w:pPr>
        <w:spacing w:line="357" w:lineRule="auto" w:before="30"/>
        <w:ind w:left="138" w:right="208" w:firstLine="0"/>
        <w:jc w:val="both"/>
        <w:rPr>
          <w:rFonts w:ascii="宋体" w:hAnsi="宋体" w:cs="宋体" w:eastAsia="宋体" w:hint="default"/>
          <w:sz w:val="21"/>
          <w:szCs w:val="21"/>
        </w:rPr>
      </w:pPr>
      <w:r>
        <w:rPr>
          <w:rFonts w:ascii="宋体" w:hAnsi="宋体" w:cs="宋体" w:eastAsia="宋体" w:hint="default"/>
          <w:spacing w:val="-4"/>
          <w:w w:val="100"/>
          <w:sz w:val="21"/>
          <w:szCs w:val="21"/>
        </w:rPr>
        <w:t>进口关税等相关税费，以及为使固定资产达到预定可使用状态前所发生的可直接归属于该资</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产的其他支出。自行建造固定资产的成本，由建造该项资产达到预定可使用状态前所发生的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必要支出构成。投资者投入的固定资产，按投资合同或协议约定的价值作为入账价值，但合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同或协议约定价值不公允的按公允价值入账。融资租赁租入的固定资产，按租赁开始日租赁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资产公允价值与最低租赁付款额的现值两者中较低者，作为入账价值。购买固定资产的价款</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超过正常信用条件延期支付，实质上具有融资性质的，固定资产的成本以购买价款的现值为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基础确定。实际支付的价款与购买价款的现值之间的差额，除应予资本化的以外，在信用期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间内计入当期损益。</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除已提足折旧仍继续使用的固定资产和单独计价入账的土地之外，本公司对所有固定资</w:t>
      </w:r>
      <w:r>
        <w:rPr>
          <w:rFonts w:ascii="宋体" w:hAnsi="宋体" w:cs="宋体" w:eastAsia="宋体" w:hint="default"/>
          <w:w w:val="100"/>
          <w:sz w:val="21"/>
          <w:szCs w:val="21"/>
        </w:rPr>
        <w:t> </w:t>
      </w:r>
      <w:r>
        <w:rPr>
          <w:rFonts w:ascii="宋体" w:hAnsi="宋体" w:cs="宋体" w:eastAsia="宋体" w:hint="default"/>
          <w:sz w:val="21"/>
          <w:szCs w:val="21"/>
        </w:rPr>
        <w:t>产计提折旧。折旧方法采用年限平均法。</w:t>
      </w:r>
    </w:p>
    <w:p>
      <w:pPr>
        <w:spacing w:after="0" w:line="357" w:lineRule="auto"/>
        <w:jc w:val="left"/>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57" w:lineRule="auto" w:before="36"/>
        <w:ind w:left="398" w:right="389" w:firstLine="419"/>
        <w:jc w:val="both"/>
        <w:rPr>
          <w:rFonts w:ascii="宋体" w:hAnsi="宋体" w:cs="宋体" w:eastAsia="宋体" w:hint="default"/>
          <w:sz w:val="21"/>
          <w:szCs w:val="21"/>
        </w:rPr>
      </w:pPr>
      <w:r>
        <w:rPr>
          <w:rFonts w:ascii="宋体" w:hAnsi="宋体" w:cs="宋体" w:eastAsia="宋体" w:hint="default"/>
          <w:spacing w:val="-4"/>
          <w:sz w:val="21"/>
          <w:szCs w:val="21"/>
        </w:rPr>
        <w:t>本公司根据固定资产的性质和使用情况，确定固定资产的使用寿命和预计净残值。并在</w:t>
      </w:r>
      <w:r>
        <w:rPr>
          <w:rFonts w:ascii="宋体" w:hAnsi="宋体" w:cs="宋体" w:eastAsia="宋体" w:hint="default"/>
          <w:w w:val="100"/>
          <w:sz w:val="21"/>
          <w:szCs w:val="21"/>
        </w:rPr>
        <w:t> </w:t>
      </w:r>
      <w:r>
        <w:rPr>
          <w:rFonts w:ascii="宋体" w:hAnsi="宋体" w:cs="宋体" w:eastAsia="宋体" w:hint="default"/>
          <w:spacing w:val="-4"/>
          <w:sz w:val="21"/>
          <w:szCs w:val="21"/>
        </w:rPr>
        <w:t>年度终了，对固定资产的使用寿命、预计净残值和折旧方法进行复核，如与原先估计数存在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差异的，进行相应的调整。</w:t>
      </w:r>
    </w:p>
    <w:p>
      <w:pPr>
        <w:spacing w:before="30"/>
        <w:ind w:left="818" w:right="283"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3"/>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429"/>
        <w:gridCol w:w="2417"/>
        <w:gridCol w:w="1802"/>
        <w:gridCol w:w="2211"/>
      </w:tblGrid>
      <w:tr>
        <w:trPr>
          <w:trHeight w:val="362"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18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02"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20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4"/>
              <w:jc w:val="center"/>
              <w:rPr>
                <w:rFonts w:ascii="Arial Narrow" w:hAnsi="Arial Narrow" w:cs="Arial Narrow" w:eastAsia="Arial Narrow" w:hint="default"/>
                <w:sz w:val="21"/>
                <w:szCs w:val="21"/>
              </w:rPr>
            </w:pPr>
            <w:r>
              <w:rPr>
                <w:rFonts w:ascii="Arial Narrow"/>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3"/>
              <w:jc w:val="center"/>
              <w:rPr>
                <w:rFonts w:ascii="宋体" w:hAnsi="宋体" w:cs="宋体" w:eastAsia="宋体" w:hint="default"/>
                <w:sz w:val="21"/>
                <w:szCs w:val="21"/>
              </w:rPr>
            </w:pPr>
            <w:r>
              <w:rPr>
                <w:rFonts w:ascii="Arial Narrow" w:hAnsi="Arial Narrow" w:cs="Arial Narrow" w:eastAsia="Arial Narrow" w:hint="default"/>
                <w:sz w:val="21"/>
                <w:szCs w:val="21"/>
              </w:rPr>
              <w:t>4.75</w:t>
            </w:r>
            <w:r>
              <w:rPr>
                <w:rFonts w:ascii="宋体" w:hAnsi="宋体" w:cs="宋体" w:eastAsia="宋体" w:hint="default"/>
                <w:sz w:val="21"/>
                <w:szCs w:val="21"/>
              </w:rPr>
              <w:t>％</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
              <w:jc w:val="center"/>
              <w:rPr>
                <w:rFonts w:ascii="Arial Narrow" w:hAnsi="Arial Narrow" w:cs="Arial Narrow" w:eastAsia="Arial Narrow" w:hint="default"/>
                <w:sz w:val="21"/>
                <w:szCs w:val="21"/>
              </w:rPr>
            </w:pPr>
            <w:r>
              <w:rPr>
                <w:rFonts w:ascii="Arial Narrow"/>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6"/>
              <w:jc w:val="center"/>
              <w:rPr>
                <w:rFonts w:ascii="宋体" w:hAnsi="宋体" w:cs="宋体" w:eastAsia="宋体" w:hint="default"/>
                <w:sz w:val="21"/>
                <w:szCs w:val="21"/>
              </w:rPr>
            </w:pPr>
            <w:r>
              <w:rPr>
                <w:rFonts w:ascii="Arial Narrow" w:hAnsi="Arial Narrow" w:cs="Arial Narrow" w:eastAsia="Arial Narrow" w:hint="default"/>
                <w:sz w:val="21"/>
                <w:szCs w:val="21"/>
              </w:rPr>
              <w:t>9.5</w:t>
            </w:r>
            <w:r>
              <w:rPr>
                <w:rFonts w:ascii="宋体" w:hAnsi="宋体" w:cs="宋体" w:eastAsia="宋体" w:hint="default"/>
                <w:sz w:val="21"/>
                <w:szCs w:val="21"/>
              </w:rPr>
              <w:t>％</w:t>
            </w:r>
            <w:r>
              <w:rPr>
                <w:rFonts w:ascii="Arial Narrow" w:hAnsi="Arial Narrow" w:cs="Arial Narrow" w:eastAsia="Arial Narrow" w:hint="default"/>
                <w:sz w:val="21"/>
                <w:szCs w:val="21"/>
              </w:rPr>
              <w:t>-19</w:t>
            </w:r>
            <w:r>
              <w:rPr>
                <w:rFonts w:ascii="宋体" w:hAnsi="宋体" w:cs="宋体" w:eastAsia="宋体" w:hint="default"/>
                <w:sz w:val="21"/>
                <w:szCs w:val="21"/>
              </w:rPr>
              <w:t>％</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
              <w:jc w:val="center"/>
              <w:rPr>
                <w:rFonts w:ascii="Arial Narrow" w:hAnsi="Arial Narrow" w:cs="Arial Narrow" w:eastAsia="Arial Narrow" w:hint="default"/>
                <w:sz w:val="21"/>
                <w:szCs w:val="21"/>
              </w:rPr>
            </w:pPr>
            <w:r>
              <w:rPr>
                <w:rFonts w:ascii="Arial Narrow"/>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3"/>
              <w:jc w:val="center"/>
              <w:rPr>
                <w:rFonts w:ascii="宋体" w:hAnsi="宋体" w:cs="宋体" w:eastAsia="宋体" w:hint="default"/>
                <w:sz w:val="21"/>
                <w:szCs w:val="21"/>
              </w:rPr>
            </w:pPr>
            <w:r>
              <w:rPr>
                <w:rFonts w:ascii="Arial Narrow" w:hAnsi="Arial Narrow" w:cs="Arial Narrow" w:eastAsia="Arial Narrow" w:hint="default"/>
                <w:sz w:val="21"/>
                <w:szCs w:val="21"/>
              </w:rPr>
              <w:t>19</w:t>
            </w:r>
            <w:r>
              <w:rPr>
                <w:rFonts w:ascii="宋体" w:hAnsi="宋体" w:cs="宋体" w:eastAsia="宋体" w:hint="default"/>
                <w:sz w:val="21"/>
                <w:szCs w:val="21"/>
              </w:rPr>
              <w:t>％</w:t>
            </w:r>
          </w:p>
        </w:tc>
      </w:tr>
      <w:tr>
        <w:trPr>
          <w:trHeight w:val="362"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7"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4"/>
              <w:jc w:val="center"/>
              <w:rPr>
                <w:rFonts w:ascii="Arial Narrow" w:hAnsi="Arial Narrow" w:cs="Arial Narrow" w:eastAsia="Arial Narrow" w:hint="default"/>
                <w:sz w:val="21"/>
                <w:szCs w:val="21"/>
              </w:rPr>
            </w:pPr>
            <w:r>
              <w:rPr>
                <w:rFonts w:ascii="Arial Narrow"/>
                <w:sz w:val="21"/>
              </w:rPr>
              <w:t>5%</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89" w:lineRule="exact"/>
              <w:ind w:right="3"/>
              <w:jc w:val="center"/>
              <w:rPr>
                <w:rFonts w:ascii="宋体" w:hAnsi="宋体" w:cs="宋体" w:eastAsia="宋体" w:hint="default"/>
                <w:sz w:val="21"/>
                <w:szCs w:val="21"/>
              </w:rPr>
            </w:pPr>
            <w:r>
              <w:rPr>
                <w:rFonts w:ascii="Arial Narrow" w:hAnsi="Arial Narrow" w:cs="Arial Narrow" w:eastAsia="Arial Narrow" w:hint="default"/>
                <w:sz w:val="21"/>
                <w:szCs w:val="21"/>
              </w:rPr>
              <w:t>19</w:t>
            </w:r>
            <w:r>
              <w:rPr>
                <w:rFonts w:ascii="宋体" w:hAnsi="宋体" w:cs="宋体" w:eastAsia="宋体" w:hint="default"/>
                <w:sz w:val="21"/>
                <w:szCs w:val="21"/>
              </w:rPr>
              <w:t>％</w:t>
            </w:r>
          </w:p>
        </w:tc>
      </w:tr>
    </w:tbl>
    <w:p>
      <w:pPr>
        <w:spacing w:line="241" w:lineRule="exact" w:before="0"/>
        <w:ind w:left="818" w:right="283" w:firstLine="0"/>
        <w:jc w:val="left"/>
        <w:rPr>
          <w:rFonts w:ascii="宋体" w:hAnsi="宋体" w:cs="宋体" w:eastAsia="宋体" w:hint="default"/>
          <w:sz w:val="21"/>
          <w:szCs w:val="21"/>
        </w:rPr>
      </w:pPr>
      <w:r>
        <w:rPr>
          <w:rFonts w:ascii="宋体" w:hAnsi="宋体" w:cs="宋体" w:eastAsia="宋体" w:hint="default"/>
          <w:spacing w:val="-4"/>
          <w:sz w:val="21"/>
          <w:szCs w:val="21"/>
        </w:rPr>
        <w:t>资产负债表日，固定资产按照账面价值与可收回金额孰低计价。若固定资产的可收回金</w:t>
      </w:r>
    </w:p>
    <w:p>
      <w:pPr>
        <w:spacing w:line="357" w:lineRule="auto" w:before="133"/>
        <w:ind w:left="398" w:right="283" w:firstLine="0"/>
        <w:jc w:val="left"/>
        <w:rPr>
          <w:rFonts w:ascii="宋体" w:hAnsi="宋体" w:cs="宋体" w:eastAsia="宋体" w:hint="default"/>
          <w:sz w:val="21"/>
          <w:szCs w:val="21"/>
        </w:rPr>
      </w:pPr>
      <w:r>
        <w:rPr>
          <w:rFonts w:ascii="宋体" w:hAnsi="宋体" w:cs="宋体" w:eastAsia="宋体" w:hint="default"/>
          <w:spacing w:val="-2"/>
          <w:sz w:val="21"/>
          <w:szCs w:val="21"/>
        </w:rPr>
        <w:t>额低于账面价值，将资产的账面价值减记至可收回金额，减记的金额确认为资产减值损失，</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计入当期损益，同时计提相应的资产减值准备。固定资产减值损失一经确认，在以后会计期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间不再转回。</w:t>
      </w:r>
    </w:p>
    <w:p>
      <w:pPr>
        <w:spacing w:line="355" w:lineRule="auto" w:before="30"/>
        <w:ind w:left="398" w:right="389" w:firstLine="419"/>
        <w:jc w:val="both"/>
        <w:rPr>
          <w:rFonts w:ascii="宋体" w:hAnsi="宋体" w:cs="宋体" w:eastAsia="宋体" w:hint="default"/>
          <w:sz w:val="21"/>
          <w:szCs w:val="21"/>
        </w:rPr>
      </w:pPr>
      <w:r>
        <w:rPr>
          <w:rFonts w:ascii="宋体" w:hAnsi="宋体" w:cs="宋体" w:eastAsia="宋体" w:hint="default"/>
          <w:spacing w:val="-4"/>
          <w:sz w:val="21"/>
          <w:szCs w:val="21"/>
        </w:rPr>
        <w:t>当固定资产被处置、或者预期通过使用或处置不能产生经济利益时，终止确认该固定资</w:t>
      </w:r>
      <w:r>
        <w:rPr>
          <w:rFonts w:ascii="宋体" w:hAnsi="宋体" w:cs="宋体" w:eastAsia="宋体" w:hint="default"/>
          <w:w w:val="100"/>
          <w:sz w:val="21"/>
          <w:szCs w:val="21"/>
        </w:rPr>
        <w:t> </w:t>
      </w:r>
      <w:r>
        <w:rPr>
          <w:rFonts w:ascii="宋体" w:hAnsi="宋体" w:cs="宋体" w:eastAsia="宋体" w:hint="default"/>
          <w:spacing w:val="-4"/>
          <w:sz w:val="21"/>
          <w:szCs w:val="21"/>
        </w:rPr>
        <w:t>产。固定资产出售、转让、报废或毁损的处置收入扣除其账面价值和相关税费后的金额计入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当期损益。</w:t>
      </w:r>
    </w:p>
    <w:p>
      <w:pPr>
        <w:spacing w:line="410" w:lineRule="auto" w:before="92"/>
        <w:ind w:left="818" w:right="283" w:firstLine="2"/>
        <w:jc w:val="left"/>
        <w:rPr>
          <w:rFonts w:ascii="宋体" w:hAnsi="宋体" w:cs="宋体" w:eastAsia="宋体" w:hint="default"/>
          <w:sz w:val="21"/>
          <w:szCs w:val="21"/>
        </w:rPr>
      </w:pPr>
      <w:r>
        <w:rPr>
          <w:rFonts w:ascii="宋体" w:hAnsi="宋体" w:cs="宋体" w:eastAsia="宋体" w:hint="default"/>
          <w:b/>
          <w:bCs/>
          <w:sz w:val="21"/>
          <w:szCs w:val="21"/>
        </w:rPr>
        <w:t>（十四）在建工程</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本公司自行建造的在建工程按实际成本计价，实际成本由建造该项资产达到预定可使用</w:t>
      </w:r>
    </w:p>
    <w:p>
      <w:pPr>
        <w:spacing w:line="259" w:lineRule="exact" w:before="0"/>
        <w:ind w:left="398" w:right="283" w:firstLine="0"/>
        <w:jc w:val="left"/>
        <w:rPr>
          <w:rFonts w:ascii="宋体" w:hAnsi="宋体" w:cs="宋体" w:eastAsia="宋体" w:hint="default"/>
          <w:sz w:val="21"/>
          <w:szCs w:val="21"/>
        </w:rPr>
      </w:pPr>
      <w:r>
        <w:rPr>
          <w:rFonts w:ascii="宋体" w:hAnsi="宋体" w:cs="宋体" w:eastAsia="宋体" w:hint="default"/>
          <w:sz w:val="21"/>
          <w:szCs w:val="21"/>
        </w:rPr>
        <w:t>状态前所发生的必要支出构成。</w:t>
      </w:r>
    </w:p>
    <w:p>
      <w:pPr>
        <w:spacing w:line="357" w:lineRule="auto" w:before="133"/>
        <w:ind w:left="398" w:right="389" w:firstLine="419"/>
        <w:jc w:val="both"/>
        <w:rPr>
          <w:rFonts w:ascii="宋体" w:hAnsi="宋体" w:cs="宋体" w:eastAsia="宋体" w:hint="default"/>
          <w:sz w:val="21"/>
          <w:szCs w:val="21"/>
        </w:rPr>
      </w:pPr>
      <w:r>
        <w:rPr>
          <w:rFonts w:ascii="宋体" w:hAnsi="宋体" w:cs="宋体" w:eastAsia="宋体" w:hint="default"/>
          <w:spacing w:val="-4"/>
          <w:sz w:val="21"/>
          <w:szCs w:val="21"/>
        </w:rPr>
        <w:t>已达到预定可使用状态但尚未办理竣工决算的固定资产，按照估计价值确定其成本，并</w:t>
      </w:r>
      <w:r>
        <w:rPr>
          <w:rFonts w:ascii="宋体" w:hAnsi="宋体" w:cs="宋体" w:eastAsia="宋体" w:hint="default"/>
          <w:w w:val="100"/>
          <w:sz w:val="21"/>
          <w:szCs w:val="21"/>
        </w:rPr>
        <w:t> </w:t>
      </w:r>
      <w:r>
        <w:rPr>
          <w:rFonts w:ascii="宋体" w:hAnsi="宋体" w:cs="宋体" w:eastAsia="宋体" w:hint="default"/>
          <w:spacing w:val="-4"/>
          <w:sz w:val="21"/>
          <w:szCs w:val="21"/>
        </w:rPr>
        <w:t>计提折旧；待办理竣工决算后，再按实际成本调整原来的暂估价值，但不调整原已计提的折</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旧额。</w:t>
      </w:r>
    </w:p>
    <w:p>
      <w:pPr>
        <w:spacing w:line="355" w:lineRule="auto" w:before="30"/>
        <w:ind w:left="398" w:right="388"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资产负债表日，本公司对在建工程按照账面价值与可收回金额孰低计量，按单项工程可</w:t>
      </w:r>
      <w:r>
        <w:rPr>
          <w:rFonts w:ascii="宋体" w:hAnsi="宋体" w:cs="宋体" w:eastAsia="宋体" w:hint="default"/>
          <w:w w:val="100"/>
          <w:sz w:val="21"/>
          <w:szCs w:val="21"/>
        </w:rPr>
        <w:t> </w:t>
      </w:r>
      <w:r>
        <w:rPr>
          <w:rFonts w:ascii="宋体" w:hAnsi="宋体" w:cs="宋体" w:eastAsia="宋体" w:hint="default"/>
          <w:spacing w:val="-4"/>
          <w:sz w:val="21"/>
          <w:szCs w:val="21"/>
        </w:rPr>
        <w:t>收回金额低于账面价值的差额，计提在建工程减值准备，计入当期损益，同时计提相应的资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产减值准备。在建工程减值损失一经确认，在以后会计期间不再转回。</w:t>
      </w:r>
    </w:p>
    <w:p>
      <w:pPr>
        <w:spacing w:line="410" w:lineRule="auto" w:before="92"/>
        <w:ind w:left="818" w:right="283" w:firstLine="2"/>
        <w:jc w:val="left"/>
        <w:rPr>
          <w:rFonts w:ascii="宋体" w:hAnsi="宋体" w:cs="宋体" w:eastAsia="宋体" w:hint="default"/>
          <w:sz w:val="21"/>
          <w:szCs w:val="21"/>
        </w:rPr>
      </w:pPr>
      <w:r>
        <w:rPr>
          <w:rFonts w:ascii="宋体" w:hAnsi="宋体" w:cs="宋体" w:eastAsia="宋体" w:hint="default"/>
          <w:b/>
          <w:bCs/>
          <w:sz w:val="21"/>
          <w:szCs w:val="21"/>
        </w:rPr>
        <w:t>（十五）无形资产</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无形资产是指本公司拥有或者控制的没有实物形态的可辨认非货币性资产，包括土地使</w:t>
      </w:r>
    </w:p>
    <w:p>
      <w:pPr>
        <w:spacing w:line="260" w:lineRule="exact" w:before="0"/>
        <w:ind w:left="398" w:right="283" w:firstLine="0"/>
        <w:jc w:val="left"/>
        <w:rPr>
          <w:rFonts w:ascii="宋体" w:hAnsi="宋体" w:cs="宋体" w:eastAsia="宋体" w:hint="default"/>
          <w:sz w:val="21"/>
          <w:szCs w:val="21"/>
        </w:rPr>
      </w:pPr>
      <w:r>
        <w:rPr>
          <w:rFonts w:ascii="宋体" w:hAnsi="宋体" w:cs="宋体" w:eastAsia="宋体" w:hint="default"/>
          <w:sz w:val="21"/>
          <w:szCs w:val="21"/>
        </w:rPr>
        <w:t>用权、软件。</w:t>
      </w:r>
    </w:p>
    <w:p>
      <w:pPr>
        <w:spacing w:line="355" w:lineRule="auto" w:before="133"/>
        <w:ind w:left="398" w:right="389" w:firstLine="419"/>
        <w:jc w:val="both"/>
        <w:rPr>
          <w:rFonts w:ascii="宋体" w:hAnsi="宋体" w:cs="宋体" w:eastAsia="宋体" w:hint="default"/>
          <w:sz w:val="21"/>
          <w:szCs w:val="21"/>
        </w:rPr>
      </w:pPr>
      <w:r>
        <w:rPr>
          <w:rFonts w:ascii="宋体" w:hAnsi="宋体" w:cs="宋体" w:eastAsia="宋体" w:hint="default"/>
          <w:spacing w:val="-4"/>
          <w:sz w:val="21"/>
          <w:szCs w:val="21"/>
        </w:rPr>
        <w:t>无形资产按照成本进行初始计量。购入的无形资产，按实际支付的价款和相关支出作为</w:t>
      </w:r>
      <w:r>
        <w:rPr>
          <w:rFonts w:ascii="宋体" w:hAnsi="宋体" w:cs="宋体" w:eastAsia="宋体" w:hint="default"/>
          <w:w w:val="100"/>
          <w:sz w:val="21"/>
          <w:szCs w:val="21"/>
        </w:rPr>
        <w:t> </w:t>
      </w:r>
      <w:r>
        <w:rPr>
          <w:rFonts w:ascii="宋体" w:hAnsi="宋体" w:cs="宋体" w:eastAsia="宋体" w:hint="default"/>
          <w:spacing w:val="-4"/>
          <w:sz w:val="21"/>
          <w:szCs w:val="21"/>
        </w:rPr>
        <w:t>实际成本。投资者投入的无形资产，按投资合同或协议约定的价值确定实际成本，但合同或</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协议约定价值不公允的，按公允价值确定实际成本。</w:t>
      </w:r>
    </w:p>
    <w:p>
      <w:pPr>
        <w:spacing w:line="348" w:lineRule="auto" w:before="34"/>
        <w:ind w:left="398" w:right="389" w:firstLine="419"/>
        <w:jc w:val="both"/>
        <w:rPr>
          <w:rFonts w:ascii="宋体" w:hAnsi="宋体" w:cs="宋体" w:eastAsia="宋体" w:hint="default"/>
          <w:sz w:val="21"/>
          <w:szCs w:val="21"/>
        </w:rPr>
      </w:pPr>
      <w:r>
        <w:rPr>
          <w:rFonts w:ascii="宋体" w:hAnsi="宋体" w:cs="宋体" w:eastAsia="宋体" w:hint="default"/>
          <w:spacing w:val="-4"/>
          <w:sz w:val="21"/>
          <w:szCs w:val="21"/>
        </w:rPr>
        <w:t>内部研究开发项目研究阶段的支出，于发生时计入当期损益；内部研究开发项目开发阶</w:t>
      </w:r>
      <w:r>
        <w:rPr>
          <w:rFonts w:ascii="宋体" w:hAnsi="宋体" w:cs="宋体" w:eastAsia="宋体" w:hint="default"/>
          <w:w w:val="100"/>
          <w:sz w:val="21"/>
          <w:szCs w:val="21"/>
        </w:rPr>
        <w:t> </w:t>
      </w:r>
      <w:r>
        <w:rPr>
          <w:rFonts w:ascii="宋体" w:hAnsi="宋体" w:cs="宋体" w:eastAsia="宋体" w:hint="default"/>
          <w:spacing w:val="-6"/>
          <w:w w:val="100"/>
          <w:sz w:val="21"/>
          <w:szCs w:val="21"/>
        </w:rPr>
        <w:t>段的支出，同时满足下列条件的确认为无形资产，否则于发生时计入当期损益：（</w:t>
      </w:r>
      <w:r>
        <w:rPr>
          <w:rFonts w:ascii="Arial Narrow" w:hAnsi="Arial Narrow" w:cs="Arial Narrow" w:eastAsia="Arial Narrow" w:hint="default"/>
          <w:spacing w:val="-6"/>
          <w:w w:val="100"/>
          <w:sz w:val="21"/>
          <w:szCs w:val="21"/>
        </w:rPr>
        <w:t>1</w:t>
      </w:r>
      <w:r>
        <w:rPr>
          <w:rFonts w:ascii="宋体" w:hAnsi="宋体" w:cs="宋体" w:eastAsia="宋体" w:hint="default"/>
          <w:spacing w:val="-6"/>
          <w:w w:val="100"/>
          <w:sz w:val="21"/>
          <w:szCs w:val="21"/>
        </w:rPr>
        <w:t>）完成该</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w w:val="100"/>
          <w:sz w:val="21"/>
          <w:szCs w:val="21"/>
        </w:rPr>
        <w:t>无形资产以使其能够使用或出售在技术上具有可行性；（</w:t>
      </w:r>
      <w:r>
        <w:rPr>
          <w:rFonts w:ascii="Arial Narrow" w:hAnsi="Arial Narrow" w:cs="Arial Narrow" w:eastAsia="Arial Narrow" w:hint="default"/>
          <w:spacing w:val="-6"/>
          <w:w w:val="100"/>
          <w:sz w:val="21"/>
          <w:szCs w:val="21"/>
        </w:rPr>
        <w:t>2</w:t>
      </w:r>
      <w:r>
        <w:rPr>
          <w:rFonts w:ascii="宋体" w:hAnsi="宋体" w:cs="宋体" w:eastAsia="宋体" w:hint="default"/>
          <w:spacing w:val="-6"/>
          <w:w w:val="100"/>
          <w:sz w:val="21"/>
          <w:szCs w:val="21"/>
        </w:rPr>
        <w:t>）具有完成该无形资产并使用或出</w:t>
      </w:r>
    </w:p>
    <w:p>
      <w:pPr>
        <w:spacing w:after="0" w:line="348" w:lineRule="auto"/>
        <w:jc w:val="both"/>
        <w:rPr>
          <w:rFonts w:ascii="宋体" w:hAnsi="宋体" w:cs="宋体" w:eastAsia="宋体" w:hint="default"/>
          <w:sz w:val="21"/>
          <w:szCs w:val="21"/>
        </w:rPr>
        <w:sectPr>
          <w:pgSz w:w="11910" w:h="16840"/>
          <w:pgMar w:header="816" w:footer="858" w:top="1160" w:bottom="1040" w:left="1400" w:right="1400"/>
        </w:sectPr>
      </w:pPr>
    </w:p>
    <w:p>
      <w:pPr>
        <w:spacing w:line="240" w:lineRule="auto" w:before="4"/>
        <w:rPr>
          <w:rFonts w:ascii="宋体" w:hAnsi="宋体" w:cs="宋体" w:eastAsia="宋体" w:hint="default"/>
          <w:sz w:val="14"/>
          <w:szCs w:val="14"/>
        </w:rPr>
      </w:pPr>
    </w:p>
    <w:p>
      <w:pPr>
        <w:spacing w:line="345" w:lineRule="auto" w:before="36"/>
        <w:ind w:left="378"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售的意图；（</w:t>
      </w:r>
      <w:r>
        <w:rPr>
          <w:rFonts w:ascii="Arial Narrow" w:hAnsi="Arial Narrow" w:cs="Arial Narrow" w:eastAsia="Arial Narrow" w:hint="default"/>
          <w:spacing w:val="-6"/>
          <w:w w:val="100"/>
          <w:sz w:val="21"/>
          <w:szCs w:val="21"/>
        </w:rPr>
        <w:t>3</w:t>
      </w:r>
      <w:r>
        <w:rPr>
          <w:rFonts w:ascii="宋体" w:hAnsi="宋体" w:cs="宋体" w:eastAsia="宋体" w:hint="default"/>
          <w:spacing w:val="-6"/>
          <w:w w:val="100"/>
          <w:sz w:val="21"/>
          <w:szCs w:val="21"/>
        </w:rPr>
        <w:t>）无形资产产生经济利益的方式，包括能够证明运用该无形资产生产的产品存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w w:val="100"/>
          <w:sz w:val="21"/>
          <w:szCs w:val="21"/>
        </w:rPr>
        <w:t>在市场或无形资产自身存在市场，无形资产将在内部使用的，应当证明其有用性；（</w:t>
      </w:r>
      <w:r>
        <w:rPr>
          <w:rFonts w:ascii="Arial Narrow" w:hAnsi="Arial Narrow" w:cs="Arial Narrow" w:eastAsia="Arial Narrow" w:hint="default"/>
          <w:spacing w:val="-6"/>
          <w:w w:val="100"/>
          <w:sz w:val="21"/>
          <w:szCs w:val="21"/>
        </w:rPr>
        <w:t>4</w:t>
      </w:r>
      <w:r>
        <w:rPr>
          <w:rFonts w:ascii="宋体" w:hAnsi="宋体" w:cs="宋体" w:eastAsia="宋体" w:hint="default"/>
          <w:spacing w:val="-6"/>
          <w:w w:val="100"/>
          <w:sz w:val="21"/>
          <w:szCs w:val="21"/>
        </w:rPr>
        <w:t>）有足</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够的技术、财务资源和其他资源支持，以完成该无形资产的开发，并有能力使用或出售该无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形资产；（</w:t>
      </w:r>
      <w:r>
        <w:rPr>
          <w:rFonts w:ascii="Arial Narrow" w:hAnsi="Arial Narrow" w:cs="Arial Narrow" w:eastAsia="Arial Narrow" w:hint="default"/>
          <w:spacing w:val="-6"/>
          <w:w w:val="100"/>
          <w:sz w:val="21"/>
          <w:szCs w:val="21"/>
        </w:rPr>
        <w:t>5</w:t>
      </w:r>
      <w:r>
        <w:rPr>
          <w:rFonts w:ascii="宋体" w:hAnsi="宋体" w:cs="宋体" w:eastAsia="宋体" w:hint="default"/>
          <w:spacing w:val="-6"/>
          <w:w w:val="100"/>
          <w:sz w:val="21"/>
          <w:szCs w:val="21"/>
        </w:rPr>
        <w:t>）归属于该无形资产开发阶段的支出能够可靠地计量。前期已计入损益的开发支</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出不在以后期间确认为资产。已资本化的开发阶段的支出在资产负债表上列示为开发支出，</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自该项目达到预定可使用状态之日起转为无形资产。</w:t>
      </w:r>
    </w:p>
    <w:p>
      <w:pPr>
        <w:spacing w:line="355" w:lineRule="auto" w:before="40"/>
        <w:ind w:left="378" w:right="368"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本公司在取得无形资产时分析判断其使用寿命，划分为使用寿命有限和使用寿命不确定</w:t>
      </w:r>
      <w:r>
        <w:rPr>
          <w:rFonts w:ascii="宋体" w:hAnsi="宋体" w:cs="宋体" w:eastAsia="宋体" w:hint="default"/>
          <w:w w:val="100"/>
          <w:sz w:val="21"/>
          <w:szCs w:val="21"/>
        </w:rPr>
        <w:t> </w:t>
      </w:r>
      <w:r>
        <w:rPr>
          <w:rFonts w:ascii="宋体" w:hAnsi="宋体" w:cs="宋体" w:eastAsia="宋体" w:hint="default"/>
          <w:sz w:val="21"/>
          <w:szCs w:val="21"/>
        </w:rPr>
        <w:t>的无形资产。</w:t>
      </w:r>
    </w:p>
    <w:p>
      <w:pPr>
        <w:spacing w:line="357" w:lineRule="auto" w:before="34"/>
        <w:ind w:left="378" w:right="369" w:firstLine="419"/>
        <w:jc w:val="both"/>
        <w:rPr>
          <w:rFonts w:ascii="宋体" w:hAnsi="宋体" w:cs="宋体" w:eastAsia="宋体" w:hint="default"/>
          <w:sz w:val="21"/>
          <w:szCs w:val="21"/>
        </w:rPr>
      </w:pPr>
      <w:r>
        <w:rPr>
          <w:rFonts w:ascii="宋体" w:hAnsi="宋体" w:cs="宋体" w:eastAsia="宋体" w:hint="default"/>
          <w:spacing w:val="-4"/>
          <w:sz w:val="21"/>
          <w:szCs w:val="21"/>
        </w:rPr>
        <w:t>使用寿命有限的无形资产，在使用寿命内采用直线法摊销，并在年度终了，对无形资产</w:t>
      </w:r>
      <w:r>
        <w:rPr>
          <w:rFonts w:ascii="宋体" w:hAnsi="宋体" w:cs="宋体" w:eastAsia="宋体" w:hint="default"/>
          <w:w w:val="100"/>
          <w:sz w:val="21"/>
          <w:szCs w:val="21"/>
        </w:rPr>
        <w:t> </w:t>
      </w:r>
      <w:r>
        <w:rPr>
          <w:rFonts w:ascii="宋体" w:hAnsi="宋体" w:cs="宋体" w:eastAsia="宋体" w:hint="default"/>
          <w:spacing w:val="-4"/>
          <w:sz w:val="21"/>
          <w:szCs w:val="21"/>
        </w:rPr>
        <w:t>的使用寿命和摊销方法进行复核，如与原先估计数存在差异的，进行相应的调整。使用寿命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有限的无形资产摊销方法如下：</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396"/>
        <w:gridCol w:w="2138"/>
        <w:gridCol w:w="2136"/>
        <w:gridCol w:w="2136"/>
      </w:tblGrid>
      <w:tr>
        <w:trPr>
          <w:trHeight w:val="362" w:hRule="exact"/>
        </w:trPr>
        <w:tc>
          <w:tcPr>
            <w:tcW w:w="23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1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50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专有技术</w:t>
            </w:r>
          </w:p>
        </w:tc>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39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计算机软件</w:t>
            </w:r>
          </w:p>
        </w:tc>
        <w:tc>
          <w:tcPr>
            <w:tcW w:w="2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136"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378" w:right="0"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资产负债表日，本公司对无形资产按照其账面价值与可收回金额孰低计量，按可收回金</w:t>
      </w:r>
    </w:p>
    <w:p>
      <w:pPr>
        <w:spacing w:line="355" w:lineRule="auto" w:before="133"/>
        <w:ind w:left="378" w:right="371" w:firstLine="0"/>
        <w:jc w:val="both"/>
        <w:rPr>
          <w:rFonts w:ascii="宋体" w:hAnsi="宋体" w:cs="宋体" w:eastAsia="宋体" w:hint="default"/>
          <w:sz w:val="21"/>
          <w:szCs w:val="21"/>
        </w:rPr>
      </w:pPr>
      <w:r>
        <w:rPr>
          <w:rFonts w:ascii="宋体" w:hAnsi="宋体" w:cs="宋体" w:eastAsia="宋体" w:hint="default"/>
          <w:spacing w:val="-4"/>
          <w:sz w:val="21"/>
          <w:szCs w:val="21"/>
        </w:rPr>
        <w:t>额低于账面价值的差额计提无形资产减值准备，相应的资产减值损失计入当期损益。无形资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产减值损失一经确认，在以后会计期间不再转回。</w:t>
      </w:r>
    </w:p>
    <w:p>
      <w:pPr>
        <w:spacing w:before="92"/>
        <w:ind w:left="800" w:right="0" w:firstLine="0"/>
        <w:jc w:val="left"/>
        <w:rPr>
          <w:rFonts w:ascii="宋体" w:hAnsi="宋体" w:cs="宋体" w:eastAsia="宋体" w:hint="default"/>
          <w:sz w:val="21"/>
          <w:szCs w:val="21"/>
        </w:rPr>
      </w:pPr>
      <w:r>
        <w:rPr>
          <w:rFonts w:ascii="宋体" w:hAnsi="宋体" w:cs="宋体" w:eastAsia="宋体" w:hint="default"/>
          <w:b/>
          <w:bCs/>
          <w:sz w:val="21"/>
          <w:szCs w:val="21"/>
        </w:rPr>
        <w:t>（十六）长期待摊费用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814" w:right="0" w:firstLine="0"/>
        <w:jc w:val="left"/>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w:t>
      </w:r>
      <w:r>
        <w:rPr>
          <w:rFonts w:ascii="宋体" w:hAnsi="宋体" w:cs="宋体" w:eastAsia="宋体" w:hint="default"/>
          <w:spacing w:val="-56"/>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年以上（不含</w:t>
      </w:r>
      <w:r>
        <w:rPr>
          <w:rFonts w:ascii="宋体" w:hAnsi="宋体" w:cs="宋体" w:eastAsia="宋体" w:hint="default"/>
          <w:spacing w:val="-56"/>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年）的各项费用，</w:t>
      </w:r>
    </w:p>
    <w:p>
      <w:pPr>
        <w:spacing w:line="338" w:lineRule="auto" w:before="121"/>
        <w:ind w:left="378" w:right="371" w:firstLine="0"/>
        <w:jc w:val="both"/>
        <w:rPr>
          <w:rFonts w:ascii="宋体" w:hAnsi="宋体" w:cs="宋体" w:eastAsia="宋体" w:hint="default"/>
          <w:sz w:val="21"/>
          <w:szCs w:val="21"/>
        </w:rPr>
      </w:pPr>
      <w:r>
        <w:rPr>
          <w:rFonts w:ascii="宋体" w:hAnsi="宋体" w:cs="宋体" w:eastAsia="宋体" w:hint="default"/>
          <w:spacing w:val="-4"/>
          <w:sz w:val="21"/>
          <w:szCs w:val="21"/>
        </w:rPr>
        <w:t>有明确受益期限的，按受益期限平均摊销；无明确受益期的，分 </w:t>
      </w:r>
      <w:r>
        <w:rPr>
          <w:rFonts w:ascii="Arial Narrow" w:hAnsi="Arial Narrow" w:cs="Arial Narrow" w:eastAsia="Arial Narrow" w:hint="default"/>
          <w:sz w:val="21"/>
          <w:szCs w:val="21"/>
        </w:rPr>
        <w:t>5 </w:t>
      </w:r>
      <w:r>
        <w:rPr>
          <w:rFonts w:ascii="宋体" w:hAnsi="宋体" w:cs="宋体" w:eastAsia="宋体" w:hint="default"/>
          <w:spacing w:val="-4"/>
          <w:sz w:val="21"/>
          <w:szCs w:val="21"/>
        </w:rPr>
        <w:t>年平均摊销，一旦预计对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以后会计期间不能带来经济利益流入，就将摊余价值一次性计入当期损益。</w:t>
      </w:r>
    </w:p>
    <w:p>
      <w:pPr>
        <w:spacing w:line="408" w:lineRule="auto" w:before="167"/>
        <w:ind w:left="798" w:right="0" w:firstLine="2"/>
        <w:jc w:val="left"/>
        <w:rPr>
          <w:rFonts w:ascii="宋体" w:hAnsi="宋体" w:cs="宋体" w:eastAsia="宋体" w:hint="default"/>
          <w:sz w:val="21"/>
          <w:szCs w:val="21"/>
        </w:rPr>
      </w:pPr>
      <w:r>
        <w:rPr>
          <w:rFonts w:ascii="宋体" w:hAnsi="宋体" w:cs="宋体" w:eastAsia="宋体" w:hint="default"/>
          <w:b/>
          <w:bCs/>
          <w:sz w:val="21"/>
          <w:szCs w:val="21"/>
        </w:rPr>
        <w:t>（十七）借款费用</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本公司发生的借款费用，可直接归属于符合资本化条件的资产的购建或者生产的，予以</w:t>
      </w:r>
    </w:p>
    <w:p>
      <w:pPr>
        <w:spacing w:line="355" w:lineRule="auto" w:before="0"/>
        <w:ind w:left="378" w:right="369" w:firstLine="0"/>
        <w:jc w:val="both"/>
        <w:rPr>
          <w:rFonts w:ascii="宋体" w:hAnsi="宋体" w:cs="宋体" w:eastAsia="宋体" w:hint="default"/>
          <w:sz w:val="21"/>
          <w:szCs w:val="21"/>
        </w:rPr>
      </w:pPr>
      <w:r>
        <w:rPr>
          <w:rFonts w:ascii="宋体" w:hAnsi="宋体" w:cs="宋体" w:eastAsia="宋体" w:hint="default"/>
          <w:spacing w:val="-4"/>
          <w:sz w:val="21"/>
          <w:szCs w:val="21"/>
        </w:rPr>
        <w:t>资本化，计入相关资产成本；其他借款费用，在发生时根据其发生额确认为费用，计入当期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损益。符合资本化条件的资产，是指需要经过相当长时间的购建或者生产活动才能达到预定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可使用或者可销售状态的固定资产、投资性房地产和存货等资产。</w:t>
      </w:r>
    </w:p>
    <w:p>
      <w:pPr>
        <w:spacing w:line="345" w:lineRule="auto" w:before="33"/>
        <w:ind w:left="378" w:right="369" w:firstLine="419"/>
        <w:jc w:val="both"/>
        <w:rPr>
          <w:rFonts w:ascii="宋体" w:hAnsi="宋体" w:cs="宋体" w:eastAsia="宋体" w:hint="default"/>
          <w:sz w:val="21"/>
          <w:szCs w:val="21"/>
        </w:rPr>
      </w:pPr>
      <w:r>
        <w:rPr>
          <w:rFonts w:ascii="宋体" w:hAnsi="宋体" w:cs="宋体" w:eastAsia="宋体" w:hint="default"/>
          <w:spacing w:val="-7"/>
          <w:w w:val="100"/>
          <w:sz w:val="21"/>
          <w:szCs w:val="21"/>
        </w:rPr>
        <w:t>同时满足下列条件时，借款费用开始资本化：（</w:t>
      </w:r>
      <w:r>
        <w:rPr>
          <w:rFonts w:ascii="Arial Narrow" w:hAnsi="Arial Narrow" w:cs="Arial Narrow" w:eastAsia="Arial Narrow" w:hint="default"/>
          <w:spacing w:val="-7"/>
          <w:w w:val="100"/>
          <w:sz w:val="21"/>
          <w:szCs w:val="21"/>
        </w:rPr>
        <w:t>1</w:t>
      </w:r>
      <w:r>
        <w:rPr>
          <w:rFonts w:ascii="宋体" w:hAnsi="宋体" w:cs="宋体" w:eastAsia="宋体" w:hint="default"/>
          <w:spacing w:val="-7"/>
          <w:w w:val="100"/>
          <w:sz w:val="21"/>
          <w:szCs w:val="21"/>
        </w:rPr>
        <w:t>）资产支出已经发生，资产支出包括为</w:t>
      </w:r>
      <w:r>
        <w:rPr>
          <w:rFonts w:ascii="宋体" w:hAnsi="宋体" w:cs="宋体" w:eastAsia="宋体" w:hint="default"/>
          <w:w w:val="100"/>
          <w:sz w:val="21"/>
          <w:szCs w:val="21"/>
        </w:rPr>
        <w:t> </w:t>
      </w:r>
      <w:r>
        <w:rPr>
          <w:rFonts w:ascii="宋体" w:hAnsi="宋体" w:cs="宋体" w:eastAsia="宋体" w:hint="default"/>
          <w:spacing w:val="-4"/>
          <w:w w:val="100"/>
          <w:sz w:val="21"/>
          <w:szCs w:val="21"/>
        </w:rPr>
        <w:t>购建或者生产符合资本化条件的资产而以支付现金、转移非现金资产或者承担带息债务形式</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8"/>
          <w:w w:val="100"/>
          <w:sz w:val="21"/>
          <w:szCs w:val="21"/>
        </w:rPr>
        <w:t>发生的支出；（</w:t>
      </w:r>
      <w:r>
        <w:rPr>
          <w:rFonts w:ascii="Arial Narrow" w:hAnsi="Arial Narrow" w:cs="Arial Narrow" w:eastAsia="Arial Narrow" w:hint="default"/>
          <w:spacing w:val="-8"/>
          <w:w w:val="100"/>
          <w:sz w:val="21"/>
          <w:szCs w:val="21"/>
        </w:rPr>
        <w:t>2</w:t>
      </w:r>
      <w:r>
        <w:rPr>
          <w:rFonts w:ascii="宋体" w:hAnsi="宋体" w:cs="宋体" w:eastAsia="宋体" w:hint="default"/>
          <w:spacing w:val="-8"/>
          <w:w w:val="100"/>
          <w:sz w:val="21"/>
          <w:szCs w:val="21"/>
        </w:rPr>
        <w:t>）借款费用已经发生；（</w:t>
      </w:r>
      <w:r>
        <w:rPr>
          <w:rFonts w:ascii="Arial Narrow" w:hAnsi="Arial Narrow" w:cs="Arial Narrow" w:eastAsia="Arial Narrow" w:hint="default"/>
          <w:spacing w:val="-8"/>
          <w:w w:val="100"/>
          <w:sz w:val="21"/>
          <w:szCs w:val="21"/>
        </w:rPr>
        <w:t>3</w:t>
      </w:r>
      <w:r>
        <w:rPr>
          <w:rFonts w:ascii="宋体" w:hAnsi="宋体" w:cs="宋体" w:eastAsia="宋体" w:hint="default"/>
          <w:spacing w:val="-8"/>
          <w:w w:val="100"/>
          <w:sz w:val="21"/>
          <w:szCs w:val="21"/>
        </w:rPr>
        <w:t>）为使资产达到预定可使用或者可销售状态所必要</w:t>
      </w:r>
      <w:r>
        <w:rPr>
          <w:rFonts w:ascii="宋体" w:hAnsi="宋体" w:cs="宋体" w:eastAsia="宋体" w:hint="default"/>
          <w:w w:val="100"/>
          <w:sz w:val="21"/>
          <w:szCs w:val="21"/>
        </w:rPr>
        <w:t> </w:t>
      </w:r>
      <w:r>
        <w:rPr>
          <w:rFonts w:ascii="宋体" w:hAnsi="宋体" w:cs="宋体" w:eastAsia="宋体" w:hint="default"/>
          <w:sz w:val="21"/>
          <w:szCs w:val="21"/>
        </w:rPr>
        <w:t>的购建或者生产活动已经开始。</w:t>
      </w:r>
    </w:p>
    <w:p>
      <w:pPr>
        <w:spacing w:line="355" w:lineRule="auto" w:before="40"/>
        <w:ind w:left="378" w:right="369" w:firstLine="419"/>
        <w:jc w:val="both"/>
        <w:rPr>
          <w:rFonts w:ascii="宋体" w:hAnsi="宋体" w:cs="宋体" w:eastAsia="宋体" w:hint="default"/>
          <w:sz w:val="21"/>
          <w:szCs w:val="21"/>
        </w:rPr>
      </w:pPr>
      <w:r>
        <w:rPr>
          <w:rFonts w:ascii="宋体" w:hAnsi="宋体" w:cs="宋体" w:eastAsia="宋体" w:hint="default"/>
          <w:spacing w:val="-4"/>
          <w:sz w:val="21"/>
          <w:szCs w:val="21"/>
        </w:rPr>
        <w:t>在资本化期间内，每一会计期间的资本化金额，为购建或者生产符合资本化条件的资产</w:t>
      </w:r>
      <w:r>
        <w:rPr>
          <w:rFonts w:ascii="宋体" w:hAnsi="宋体" w:cs="宋体" w:eastAsia="宋体" w:hint="default"/>
          <w:w w:val="100"/>
          <w:sz w:val="21"/>
          <w:szCs w:val="21"/>
        </w:rPr>
        <w:t> </w:t>
      </w:r>
      <w:r>
        <w:rPr>
          <w:rFonts w:ascii="宋体" w:hAnsi="宋体" w:cs="宋体" w:eastAsia="宋体" w:hint="default"/>
          <w:spacing w:val="-4"/>
          <w:sz w:val="21"/>
          <w:szCs w:val="21"/>
        </w:rPr>
        <w:t>而借入专门借款的，以专门借款当期实际发生的利息费用，减去将尚未动用的借款资金存入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银行取得的利息收入或进行暂时性投资取得的投资收益后的金额确定。为购建或者生产符合</w:t>
      </w:r>
    </w:p>
    <w:p>
      <w:pPr>
        <w:spacing w:after="0" w:line="355" w:lineRule="auto"/>
        <w:jc w:val="both"/>
        <w:rPr>
          <w:rFonts w:ascii="宋体" w:hAnsi="宋体" w:cs="宋体" w:eastAsia="宋体" w:hint="default"/>
          <w:sz w:val="21"/>
          <w:szCs w:val="21"/>
        </w:rPr>
        <w:sectPr>
          <w:pgSz w:w="11910" w:h="16840"/>
          <w:pgMar w:header="816" w:footer="858" w:top="1160" w:bottom="1040" w:left="1420" w:right="1420"/>
        </w:sectPr>
      </w:pPr>
    </w:p>
    <w:p>
      <w:pPr>
        <w:spacing w:line="240" w:lineRule="auto" w:before="4"/>
        <w:rPr>
          <w:rFonts w:ascii="宋体" w:hAnsi="宋体" w:cs="宋体" w:eastAsia="宋体" w:hint="default"/>
          <w:sz w:val="14"/>
          <w:szCs w:val="14"/>
        </w:rPr>
      </w:pPr>
    </w:p>
    <w:p>
      <w:pPr>
        <w:spacing w:line="357" w:lineRule="auto" w:before="36"/>
        <w:ind w:left="138" w:right="209" w:firstLine="0"/>
        <w:jc w:val="both"/>
        <w:rPr>
          <w:rFonts w:ascii="宋体" w:hAnsi="宋体" w:cs="宋体" w:eastAsia="宋体" w:hint="default"/>
          <w:sz w:val="21"/>
          <w:szCs w:val="21"/>
        </w:rPr>
      </w:pPr>
      <w:r>
        <w:rPr>
          <w:rFonts w:ascii="宋体" w:hAnsi="宋体" w:cs="宋体" w:eastAsia="宋体" w:hint="default"/>
          <w:spacing w:val="-4"/>
          <w:w w:val="100"/>
          <w:sz w:val="21"/>
          <w:szCs w:val="21"/>
        </w:rPr>
        <w:t>资本化条件的资产而占用了一般借款的，根据累计资产支出超过专门借款部分的资产支出加</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权平均数乘以所占用一般借款的资本化率，计算确定一般借款应予资本化的利息金额。利息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资本化金额，不超过当期相关借款实际发生的利息金额。</w:t>
      </w:r>
    </w:p>
    <w:p>
      <w:pPr>
        <w:spacing w:line="350" w:lineRule="auto" w:before="30"/>
        <w:ind w:left="138" w:right="0" w:firstLine="419"/>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符合资本化条件的资产在购建或者生产过程中发生非正常中断、且中断时间连续超过</w:t>
      </w:r>
      <w:r>
        <w:rPr>
          <w:rFonts w:ascii="宋体" w:hAnsi="宋体" w:cs="宋体" w:eastAsia="宋体" w:hint="default"/>
          <w:spacing w:val="-30"/>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w w:val="100"/>
          <w:sz w:val="21"/>
          <w:szCs w:val="21"/>
        </w:rPr>
        <w:t> </w:t>
      </w:r>
      <w:r>
        <w:rPr>
          <w:rFonts w:ascii="宋体" w:hAnsi="宋体" w:cs="宋体" w:eastAsia="宋体" w:hint="default"/>
          <w:spacing w:val="-2"/>
          <w:sz w:val="21"/>
          <w:szCs w:val="21"/>
        </w:rPr>
        <w:t>个月的，暂停借款费用的资本化。在中断期间发生的借款费用确认为费用，计入当期损益，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直至资产的购建或者生产活动重新开始。如果中断是所购建或者生产的符合资本化条件的资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产达到预定可使用或者可销售状态必要的程序，借款费用继续资本化。</w:t>
      </w:r>
    </w:p>
    <w:p>
      <w:pPr>
        <w:spacing w:line="357" w:lineRule="auto" w:before="36"/>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购建或者生产符合资本化条件的资产达到预定可使用或者可销售状态时，停止借款费用</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line="408" w:lineRule="auto" w:before="9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（十八）职工薪酬</w:t>
      </w:r>
      <w:r>
        <w:rPr>
          <w:rFonts w:ascii="宋体" w:hAnsi="宋体" w:cs="宋体" w:eastAsia="宋体" w:hint="default"/>
          <w:b/>
          <w:bCs/>
          <w:w w:val="100"/>
          <w:sz w:val="21"/>
          <w:szCs w:val="21"/>
        </w:rPr>
        <w:t> </w:t>
      </w:r>
      <w:r>
        <w:rPr>
          <w:rFonts w:ascii="宋体" w:hAnsi="宋体" w:cs="宋体" w:eastAsia="宋体" w:hint="default"/>
          <w:sz w:val="21"/>
          <w:szCs w:val="21"/>
        </w:rPr>
        <w:t>职工薪酬，是指本公司为获得职工提供的服务而给予各种形式的报酬以及其他相关支</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出。主要包括工资、奖金、津贴和补贴、职工福利费、社会保险费及住房公积金、工会经费、</w:t>
      </w:r>
    </w:p>
    <w:p>
      <w:pPr>
        <w:spacing w:line="398" w:lineRule="auto" w:before="133"/>
        <w:ind w:left="558" w:right="708" w:hanging="420"/>
        <w:jc w:val="left"/>
        <w:rPr>
          <w:rFonts w:ascii="宋体" w:hAnsi="宋体" w:cs="宋体" w:eastAsia="宋体" w:hint="default"/>
          <w:sz w:val="21"/>
          <w:szCs w:val="21"/>
        </w:rPr>
      </w:pPr>
      <w:r>
        <w:rPr>
          <w:rFonts w:ascii="宋体" w:hAnsi="宋体" w:cs="宋体" w:eastAsia="宋体" w:hint="default"/>
          <w:spacing w:val="-2"/>
          <w:sz w:val="21"/>
          <w:szCs w:val="21"/>
        </w:rPr>
        <w:t>职工教育经费、非货币性福利、辞退福利和其他与获得职工提供的服务相关的支出。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以股份为基础的薪酬</w:t>
      </w:r>
      <w:r>
        <w:rPr>
          <w:rFonts w:ascii="宋体" w:hAnsi="宋体" w:cs="宋体" w:eastAsia="宋体" w:hint="default"/>
          <w:b/>
          <w:bCs/>
          <w:w w:val="100"/>
          <w:sz w:val="21"/>
          <w:szCs w:val="21"/>
        </w:rPr>
        <w:t> </w:t>
      </w:r>
      <w:r>
        <w:rPr>
          <w:rFonts w:ascii="宋体" w:hAnsi="宋体" w:cs="宋体" w:eastAsia="宋体" w:hint="default"/>
          <w:sz w:val="21"/>
          <w:szCs w:val="21"/>
        </w:rPr>
        <w:t>本公司的股份支付分为以权益结算的股份支付和以现金结算的股份支付。</w:t>
      </w:r>
    </w:p>
    <w:p>
      <w:pPr>
        <w:spacing w:line="357" w:lineRule="auto" w:before="0"/>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以权益结算的股份支付，按授予职工权益工具的公允价值计量。授予后立即可行权的，</w:t>
      </w:r>
      <w:r>
        <w:rPr>
          <w:rFonts w:ascii="宋体" w:hAnsi="宋体" w:cs="宋体" w:eastAsia="宋体" w:hint="default"/>
          <w:w w:val="100"/>
          <w:sz w:val="21"/>
          <w:szCs w:val="21"/>
        </w:rPr>
        <w:t> </w:t>
      </w:r>
      <w:r>
        <w:rPr>
          <w:rFonts w:ascii="宋体" w:hAnsi="宋体" w:cs="宋体" w:eastAsia="宋体" w:hint="default"/>
          <w:spacing w:val="-4"/>
          <w:sz w:val="21"/>
          <w:szCs w:val="21"/>
        </w:rPr>
        <w:t>在授予日按照权益工具的公允价值计入相关成本或费用，相应增加资本公积。在完成等待期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内的服务或达到规定业绩条件才可行权的，在等待期内的每个资产负债表日，以对可行权权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益工具数量的最佳估计为基础，按照权益工具授予日的公允价值，将当期取得的服务计入相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关成本或费用和资本公积。在可行权日之后不再对已确认的相关成本或费用和所有者权益总</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额进行调整。</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以现金结算的股份支付，按照本公司承担的以股份或其他权益工具为基础计算确定的负</w:t>
      </w:r>
      <w:r>
        <w:rPr>
          <w:rFonts w:ascii="宋体" w:hAnsi="宋体" w:cs="宋体" w:eastAsia="宋体" w:hint="default"/>
          <w:w w:val="100"/>
          <w:sz w:val="21"/>
          <w:szCs w:val="21"/>
        </w:rPr>
        <w:t> </w:t>
      </w:r>
      <w:r>
        <w:rPr>
          <w:rFonts w:ascii="宋体" w:hAnsi="宋体" w:cs="宋体" w:eastAsia="宋体" w:hint="default"/>
          <w:spacing w:val="-4"/>
          <w:sz w:val="21"/>
          <w:szCs w:val="21"/>
        </w:rPr>
        <w:t>债的公允价值计量。授予后立即可行权的，在授予日以本公司承担负债的公允价值计入相关</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成本或费用，相应增加负债。在完成等待期内的服务或达到规定业绩条件以后才可行权的以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7"/>
          <w:w w:val="100"/>
          <w:sz w:val="21"/>
          <w:szCs w:val="21"/>
        </w:rPr>
        <w:t>现金结算的股份支付，在等待期内的每个资产负债表日，以对可行权情况的最佳估计为基础，</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pacing w:val="-4"/>
          <w:sz w:val="21"/>
          <w:szCs w:val="21"/>
        </w:rPr>
        <w:t>按照本公司承担负债的公允价值金额，将当期取得的服务计入成本或费用和相应的负债。在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相关负债结算前的每个资产负债表日以及结算日，对负债的公允价值重新计量，其变动计入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当期损益。</w:t>
      </w:r>
    </w:p>
    <w:p>
      <w:pPr>
        <w:spacing w:line="388" w:lineRule="auto" w:before="90"/>
        <w:ind w:left="558" w:right="0"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辞退福利</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本公司在职工劳动合同到期之前解除与职工的劳动关系，或者为鼓励职工自愿接受裁减</w:t>
      </w:r>
    </w:p>
    <w:p>
      <w:pPr>
        <w:spacing w:line="357" w:lineRule="auto" w:before="3"/>
        <w:ind w:left="138" w:right="0" w:firstLine="0"/>
        <w:jc w:val="left"/>
        <w:rPr>
          <w:rFonts w:ascii="宋体" w:hAnsi="宋体" w:cs="宋体" w:eastAsia="宋体" w:hint="default"/>
          <w:sz w:val="21"/>
          <w:szCs w:val="21"/>
        </w:rPr>
      </w:pPr>
      <w:r>
        <w:rPr>
          <w:rFonts w:ascii="宋体" w:hAnsi="宋体" w:cs="宋体" w:eastAsia="宋体" w:hint="default"/>
          <w:spacing w:val="-7"/>
          <w:w w:val="100"/>
          <w:sz w:val="21"/>
          <w:szCs w:val="21"/>
        </w:rPr>
        <w:t>而提出给予补偿的建议，当本公司已经制定正式的解除劳动关系计划（或提出自愿裁减建议）</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pacing w:val="-4"/>
          <w:sz w:val="21"/>
          <w:szCs w:val="21"/>
        </w:rPr>
        <w:t>并即将实施，且本公司不能单方面撤回解除劳动关系计划或裁减建议的，确认因解除与职工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的劳动关系给予补偿而产生的预计负债，同时计入当期损益。</w:t>
      </w:r>
    </w:p>
    <w:p>
      <w:pPr>
        <w:spacing w:after="0" w:line="357" w:lineRule="auto"/>
        <w:jc w:val="left"/>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88" w:lineRule="auto" w:before="36"/>
        <w:ind w:left="558" w:right="0"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其他方式的职工薪酬</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本公司在职工提供服务的会计期间，将应付的职工薪酬确认为负债，除辞退福利外，根</w:t>
      </w:r>
    </w:p>
    <w:p>
      <w:pPr>
        <w:spacing w:before="3"/>
        <w:ind w:left="138" w:right="0" w:firstLine="0"/>
        <w:jc w:val="both"/>
        <w:rPr>
          <w:rFonts w:ascii="宋体" w:hAnsi="宋体" w:cs="宋体" w:eastAsia="宋体" w:hint="default"/>
          <w:sz w:val="21"/>
          <w:szCs w:val="21"/>
        </w:rPr>
      </w:pPr>
      <w:r>
        <w:rPr>
          <w:rFonts w:ascii="宋体" w:hAnsi="宋体" w:cs="宋体" w:eastAsia="宋体" w:hint="default"/>
          <w:sz w:val="21"/>
          <w:szCs w:val="21"/>
        </w:rPr>
        <w:t>据职工提供服务的受益对象计入相应的产品成本、劳务成本、资产成本及当期损益。</w:t>
      </w:r>
    </w:p>
    <w:p>
      <w:pPr>
        <w:spacing w:line="240" w:lineRule="auto" w:before="10"/>
        <w:rPr>
          <w:rFonts w:ascii="宋体" w:hAnsi="宋体" w:cs="宋体" w:eastAsia="宋体" w:hint="default"/>
          <w:sz w:val="14"/>
          <w:szCs w:val="14"/>
        </w:rPr>
      </w:pPr>
    </w:p>
    <w:p>
      <w:pPr>
        <w:spacing w:line="410" w:lineRule="auto" w:before="0"/>
        <w:ind w:left="558" w:right="0" w:hanging="15"/>
        <w:jc w:val="left"/>
        <w:rPr>
          <w:rFonts w:ascii="宋体" w:hAnsi="宋体" w:cs="宋体" w:eastAsia="宋体" w:hint="default"/>
          <w:sz w:val="21"/>
          <w:szCs w:val="21"/>
        </w:rPr>
      </w:pPr>
      <w:r>
        <w:rPr>
          <w:rFonts w:ascii="宋体" w:hAnsi="宋体" w:cs="宋体" w:eastAsia="宋体" w:hint="default"/>
          <w:b/>
          <w:bCs/>
          <w:sz w:val="21"/>
          <w:szCs w:val="21"/>
        </w:rPr>
        <w:t>（十九）预计负债</w:t>
      </w:r>
      <w:r>
        <w:rPr>
          <w:rFonts w:ascii="宋体" w:hAnsi="宋体" w:cs="宋体" w:eastAsia="宋体" w:hint="default"/>
          <w:b/>
          <w:bCs/>
          <w:spacing w:val="-103"/>
          <w:sz w:val="21"/>
          <w:szCs w:val="21"/>
        </w:rPr>
        <w:t> </w:t>
      </w:r>
      <w:r>
        <w:rPr>
          <w:rFonts w:ascii="宋体" w:hAnsi="宋体" w:cs="宋体" w:eastAsia="宋体" w:hint="default"/>
          <w:spacing w:val="-4"/>
          <w:w w:val="100"/>
          <w:sz w:val="21"/>
          <w:szCs w:val="21"/>
        </w:rPr>
        <w:t>本公司发生与或有事项相关的义务并同时符合以下条件时，在资产负债表中确认为预计</w:t>
      </w:r>
    </w:p>
    <w:p>
      <w:pPr>
        <w:spacing w:line="274" w:lineRule="exact" w:before="0"/>
        <w:ind w:left="138" w:right="0" w:firstLine="0"/>
        <w:jc w:val="both"/>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125"/>
          <w:w w:val="100"/>
          <w:sz w:val="21"/>
          <w:szCs w:val="21"/>
        </w:rPr>
        <w:t>：</w:t>
      </w:r>
      <w:r>
        <w:rPr>
          <w:rFonts w:ascii="宋体" w:hAnsi="宋体" w:cs="宋体" w:eastAsia="宋体" w:hint="default"/>
          <w:spacing w:val="-1"/>
          <w:w w:val="100"/>
          <w:sz w:val="21"/>
          <w:szCs w:val="21"/>
        </w:rPr>
        <w:t>（</w:t>
      </w:r>
      <w:r>
        <w:rPr>
          <w:rFonts w:ascii="Arial Narrow" w:hAnsi="Arial Narrow" w:cs="Arial Narrow" w:eastAsia="Arial Narrow" w:hint="default"/>
          <w:spacing w:val="-3"/>
          <w:w w:val="100"/>
          <w:sz w:val="21"/>
          <w:szCs w:val="21"/>
        </w:rPr>
        <w:t>1</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义</w:t>
      </w:r>
      <w:r>
        <w:rPr>
          <w:rFonts w:ascii="宋体" w:hAnsi="宋体" w:cs="宋体" w:eastAsia="宋体" w:hint="default"/>
          <w:spacing w:val="-3"/>
          <w:w w:val="100"/>
          <w:sz w:val="21"/>
          <w:szCs w:val="21"/>
        </w:rPr>
        <w:t>务</w:t>
      </w:r>
      <w:r>
        <w:rPr>
          <w:rFonts w:ascii="宋体" w:hAnsi="宋体" w:cs="宋体" w:eastAsia="宋体" w:hint="default"/>
          <w:w w:val="100"/>
          <w:sz w:val="21"/>
          <w:szCs w:val="21"/>
        </w:rPr>
        <w:t>是</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司承</w:t>
      </w:r>
      <w:r>
        <w:rPr>
          <w:rFonts w:ascii="宋体" w:hAnsi="宋体" w:cs="宋体" w:eastAsia="宋体" w:hint="default"/>
          <w:spacing w:val="-3"/>
          <w:w w:val="100"/>
          <w:sz w:val="21"/>
          <w:szCs w:val="21"/>
        </w:rPr>
        <w:t>担</w:t>
      </w:r>
      <w:r>
        <w:rPr>
          <w:rFonts w:ascii="宋体" w:hAnsi="宋体" w:cs="宋体" w:eastAsia="宋体" w:hint="default"/>
          <w:w w:val="100"/>
          <w:sz w:val="21"/>
          <w:szCs w:val="21"/>
        </w:rPr>
        <w:t>的</w:t>
      </w:r>
      <w:r>
        <w:rPr>
          <w:rFonts w:ascii="宋体" w:hAnsi="宋体" w:cs="宋体" w:eastAsia="宋体" w:hint="default"/>
          <w:spacing w:val="-3"/>
          <w:w w:val="100"/>
          <w:sz w:val="21"/>
          <w:szCs w:val="21"/>
        </w:rPr>
        <w:t>现</w:t>
      </w:r>
      <w:r>
        <w:rPr>
          <w:rFonts w:ascii="宋体" w:hAnsi="宋体" w:cs="宋体" w:eastAsia="宋体" w:hint="default"/>
          <w:w w:val="100"/>
          <w:sz w:val="21"/>
          <w:szCs w:val="21"/>
        </w:rPr>
        <w:t>时</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125"/>
          <w:w w:val="100"/>
          <w:sz w:val="21"/>
          <w:szCs w:val="21"/>
        </w:rPr>
        <w:t>；</w:t>
      </w:r>
      <w:r>
        <w:rPr>
          <w:rFonts w:ascii="宋体" w:hAnsi="宋体" w:cs="宋体" w:eastAsia="宋体" w:hint="default"/>
          <w:w w:val="100"/>
          <w:sz w:val="21"/>
          <w:szCs w:val="21"/>
        </w:rPr>
        <w:t>（</w:t>
      </w:r>
      <w:r>
        <w:rPr>
          <w:rFonts w:ascii="Arial Narrow" w:hAnsi="Arial Narrow" w:cs="Arial Narrow" w:eastAsia="Arial Narrow" w:hint="default"/>
          <w:spacing w:val="-3"/>
          <w:w w:val="100"/>
          <w:sz w:val="21"/>
          <w:szCs w:val="21"/>
        </w:rPr>
        <w:t>2</w:t>
      </w:r>
      <w:r>
        <w:rPr>
          <w:rFonts w:ascii="宋体" w:hAnsi="宋体" w:cs="宋体" w:eastAsia="宋体" w:hint="default"/>
          <w:spacing w:val="-20"/>
          <w:w w:val="100"/>
          <w:sz w:val="21"/>
          <w:szCs w:val="21"/>
        </w:rPr>
        <w:t>）</w:t>
      </w:r>
      <w:r>
        <w:rPr>
          <w:rFonts w:ascii="宋体" w:hAnsi="宋体" w:cs="宋体" w:eastAsia="宋体" w:hint="default"/>
          <w:w w:val="100"/>
          <w:sz w:val="21"/>
          <w:szCs w:val="21"/>
        </w:rPr>
        <w:t>该义</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很</w:t>
      </w:r>
      <w:r>
        <w:rPr>
          <w:rFonts w:ascii="宋体" w:hAnsi="宋体" w:cs="宋体" w:eastAsia="宋体" w:hint="default"/>
          <w:w w:val="100"/>
          <w:sz w:val="21"/>
          <w:szCs w:val="21"/>
        </w:rPr>
        <w:t>可</w:t>
      </w:r>
      <w:r>
        <w:rPr>
          <w:rFonts w:ascii="宋体" w:hAnsi="宋体" w:cs="宋体" w:eastAsia="宋体" w:hint="default"/>
          <w:spacing w:val="-3"/>
          <w:w w:val="100"/>
          <w:sz w:val="21"/>
          <w:szCs w:val="21"/>
        </w:rPr>
        <w:t>能</w:t>
      </w:r>
      <w:r>
        <w:rPr>
          <w:rFonts w:ascii="宋体" w:hAnsi="宋体" w:cs="宋体" w:eastAsia="宋体" w:hint="default"/>
          <w:w w:val="100"/>
          <w:sz w:val="21"/>
          <w:szCs w:val="21"/>
        </w:rPr>
        <w:t>导</w:t>
      </w:r>
      <w:r>
        <w:rPr>
          <w:rFonts w:ascii="宋体" w:hAnsi="宋体" w:cs="宋体" w:eastAsia="宋体" w:hint="default"/>
          <w:spacing w:val="-3"/>
          <w:w w:val="100"/>
          <w:sz w:val="21"/>
          <w:szCs w:val="21"/>
        </w:rPr>
        <w:t>致</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利</w:t>
      </w:r>
      <w:r>
        <w:rPr>
          <w:rFonts w:ascii="宋体" w:hAnsi="宋体" w:cs="宋体" w:eastAsia="宋体" w:hint="default"/>
          <w:w w:val="100"/>
          <w:sz w:val="21"/>
          <w:szCs w:val="21"/>
        </w:rPr>
        <w:t>益</w:t>
      </w:r>
      <w:r>
        <w:rPr>
          <w:rFonts w:ascii="宋体" w:hAnsi="宋体" w:cs="宋体" w:eastAsia="宋体" w:hint="default"/>
          <w:spacing w:val="-3"/>
          <w:w w:val="100"/>
          <w:sz w:val="21"/>
          <w:szCs w:val="21"/>
        </w:rPr>
        <w:t>流</w:t>
      </w:r>
      <w:r>
        <w:rPr>
          <w:rFonts w:ascii="宋体" w:hAnsi="宋体" w:cs="宋体" w:eastAsia="宋体" w:hint="default"/>
          <w:w w:val="100"/>
          <w:sz w:val="21"/>
          <w:szCs w:val="21"/>
        </w:rPr>
        <w:t>出企</w:t>
      </w:r>
    </w:p>
    <w:p>
      <w:pPr>
        <w:spacing w:line="338" w:lineRule="auto" w:before="118"/>
        <w:ind w:left="558" w:right="202" w:hanging="420"/>
        <w:jc w:val="left"/>
        <w:rPr>
          <w:rFonts w:ascii="宋体" w:hAnsi="宋体" w:cs="宋体" w:eastAsia="宋体" w:hint="default"/>
          <w:sz w:val="21"/>
          <w:szCs w:val="21"/>
        </w:rPr>
      </w:pPr>
      <w:r>
        <w:rPr>
          <w:rFonts w:ascii="宋体" w:hAnsi="宋体" w:cs="宋体" w:eastAsia="宋体" w:hint="default"/>
          <w:w w:val="100"/>
          <w:sz w:val="21"/>
          <w:szCs w:val="21"/>
        </w:rPr>
        <w:t>业</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Arial Narrow" w:hAnsi="Arial Narrow" w:cs="Arial Narrow" w:eastAsia="Arial Narrow" w:hint="default"/>
          <w:spacing w:val="-3"/>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义</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能</w:t>
      </w:r>
      <w:r>
        <w:rPr>
          <w:rFonts w:ascii="宋体" w:hAnsi="宋体" w:cs="宋体" w:eastAsia="宋体" w:hint="default"/>
          <w:w w:val="100"/>
          <w:sz w:val="21"/>
          <w:szCs w:val="21"/>
        </w:rPr>
        <w:t>够可</w:t>
      </w:r>
      <w:r>
        <w:rPr>
          <w:rFonts w:ascii="宋体" w:hAnsi="宋体" w:cs="宋体" w:eastAsia="宋体" w:hint="default"/>
          <w:spacing w:val="-3"/>
          <w:w w:val="100"/>
          <w:sz w:val="21"/>
          <w:szCs w:val="21"/>
        </w:rPr>
        <w:t>靠</w:t>
      </w:r>
      <w:r>
        <w:rPr>
          <w:rFonts w:ascii="宋体" w:hAnsi="宋体" w:cs="宋体" w:eastAsia="宋体" w:hint="default"/>
          <w:w w:val="100"/>
          <w:sz w:val="21"/>
          <w:szCs w:val="21"/>
        </w:rPr>
        <w:t>地</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w w:val="100"/>
          <w:sz w:val="21"/>
          <w:szCs w:val="21"/>
        </w:rPr>
        <w:t> 预计</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履</w:t>
      </w:r>
      <w:r>
        <w:rPr>
          <w:rFonts w:ascii="宋体" w:hAnsi="宋体" w:cs="宋体" w:eastAsia="宋体" w:hint="default"/>
          <w:w w:val="100"/>
          <w:sz w:val="21"/>
          <w:szCs w:val="21"/>
        </w:rPr>
        <w:t>行</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现</w:t>
      </w:r>
      <w:r>
        <w:rPr>
          <w:rFonts w:ascii="宋体" w:hAnsi="宋体" w:cs="宋体" w:eastAsia="宋体" w:hint="default"/>
          <w:w w:val="100"/>
          <w:sz w:val="21"/>
          <w:szCs w:val="21"/>
        </w:rPr>
        <w:t>时义</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需</w:t>
      </w:r>
      <w:r>
        <w:rPr>
          <w:rFonts w:ascii="宋体" w:hAnsi="宋体" w:cs="宋体" w:eastAsia="宋体" w:hint="default"/>
          <w:w w:val="100"/>
          <w:sz w:val="21"/>
          <w:szCs w:val="21"/>
        </w:rPr>
        <w:t>支</w:t>
      </w:r>
      <w:r>
        <w:rPr>
          <w:rFonts w:ascii="宋体" w:hAnsi="宋体" w:cs="宋体" w:eastAsia="宋体" w:hint="default"/>
          <w:spacing w:val="-3"/>
          <w:w w:val="100"/>
          <w:sz w:val="21"/>
          <w:szCs w:val="21"/>
        </w:rPr>
        <w:t>出</w:t>
      </w:r>
      <w:r>
        <w:rPr>
          <w:rFonts w:ascii="宋体" w:hAnsi="宋体" w:cs="宋体" w:eastAsia="宋体" w:hint="default"/>
          <w:w w:val="100"/>
          <w:sz w:val="21"/>
          <w:szCs w:val="21"/>
        </w:rPr>
        <w:t>的</w:t>
      </w:r>
      <w:r>
        <w:rPr>
          <w:rFonts w:ascii="宋体" w:hAnsi="宋体" w:cs="宋体" w:eastAsia="宋体" w:hint="default"/>
          <w:spacing w:val="-3"/>
          <w:w w:val="100"/>
          <w:sz w:val="21"/>
          <w:szCs w:val="21"/>
        </w:rPr>
        <w:t>最</w:t>
      </w:r>
      <w:r>
        <w:rPr>
          <w:rFonts w:ascii="宋体" w:hAnsi="宋体" w:cs="宋体" w:eastAsia="宋体" w:hint="default"/>
          <w:w w:val="100"/>
          <w:sz w:val="21"/>
          <w:szCs w:val="21"/>
        </w:rPr>
        <w:t>佳</w:t>
      </w:r>
      <w:r>
        <w:rPr>
          <w:rFonts w:ascii="宋体" w:hAnsi="宋体" w:cs="宋体" w:eastAsia="宋体" w:hint="default"/>
          <w:spacing w:val="-3"/>
          <w:w w:val="100"/>
          <w:sz w:val="21"/>
          <w:szCs w:val="21"/>
        </w:rPr>
        <w:t>估</w:t>
      </w:r>
      <w:r>
        <w:rPr>
          <w:rFonts w:ascii="宋体" w:hAnsi="宋体" w:cs="宋体" w:eastAsia="宋体" w:hint="default"/>
          <w:w w:val="100"/>
          <w:sz w:val="21"/>
          <w:szCs w:val="21"/>
        </w:rPr>
        <w:t>计数</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初</w:t>
      </w:r>
      <w:r>
        <w:rPr>
          <w:rFonts w:ascii="宋体" w:hAnsi="宋体" w:cs="宋体" w:eastAsia="宋体" w:hint="default"/>
          <w:w w:val="100"/>
          <w:sz w:val="21"/>
          <w:szCs w:val="21"/>
        </w:rPr>
        <w:t>始</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r>
        <w:rPr>
          <w:rFonts w:ascii="宋体" w:hAnsi="宋体" w:cs="宋体" w:eastAsia="宋体" w:hint="default"/>
          <w:spacing w:val="-92"/>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综合</w:t>
      </w:r>
      <w:r>
        <w:rPr>
          <w:rFonts w:ascii="宋体" w:hAnsi="宋体" w:cs="宋体" w:eastAsia="宋体" w:hint="default"/>
          <w:w w:val="100"/>
          <w:sz w:val="21"/>
          <w:szCs w:val="21"/>
        </w:rPr>
        <w:t>考虑</w:t>
      </w:r>
      <w:r>
        <w:rPr>
          <w:rFonts w:ascii="宋体" w:hAnsi="宋体" w:cs="宋体" w:eastAsia="宋体" w:hint="default"/>
          <w:spacing w:val="-3"/>
          <w:w w:val="100"/>
          <w:sz w:val="21"/>
          <w:szCs w:val="21"/>
        </w:rPr>
        <w:t>与</w:t>
      </w:r>
      <w:r>
        <w:rPr>
          <w:rFonts w:ascii="宋体" w:hAnsi="宋体" w:cs="宋体" w:eastAsia="宋体" w:hint="default"/>
          <w:w w:val="100"/>
          <w:sz w:val="21"/>
          <w:szCs w:val="21"/>
        </w:rPr>
        <w:t>或</w:t>
      </w:r>
    </w:p>
    <w:p>
      <w:pPr>
        <w:spacing w:line="357" w:lineRule="auto" w:before="49"/>
        <w:ind w:left="138" w:right="209" w:firstLine="0"/>
        <w:jc w:val="both"/>
        <w:rPr>
          <w:rFonts w:ascii="宋体" w:hAnsi="宋体" w:cs="宋体" w:eastAsia="宋体" w:hint="default"/>
          <w:sz w:val="21"/>
          <w:szCs w:val="21"/>
        </w:rPr>
      </w:pPr>
      <w:r>
        <w:rPr>
          <w:rFonts w:ascii="宋体" w:hAnsi="宋体" w:cs="宋体" w:eastAsia="宋体" w:hint="default"/>
          <w:spacing w:val="-4"/>
          <w:sz w:val="21"/>
          <w:szCs w:val="21"/>
        </w:rPr>
        <w:t>有事项有关的风险、不确定性和货币时间价值等因素。货币时间价值影响重大的，通过对相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关未来现金流出进行折现后确定最佳估计数。本公司于资产负债表日对预计负债的账面价值</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进行复核，并对账面价值进行调整以反映当前最佳估计数。因时间推移导致的预计负债账面</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价值的增加金额，确认为利息费用。</w:t>
      </w:r>
    </w:p>
    <w:p>
      <w:pPr>
        <w:spacing w:before="9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（二十）收入</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388" w:lineRule="auto" w:before="0"/>
        <w:ind w:left="55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销售商品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本公司销售的商品在同时满足下列条件时，按从购货方已收或应收的合同或协议价款的</w:t>
      </w:r>
    </w:p>
    <w:p>
      <w:pPr>
        <w:spacing w:line="338" w:lineRule="auto" w:before="3"/>
        <w:ind w:left="138" w:right="208" w:firstLine="0"/>
        <w:jc w:val="both"/>
        <w:rPr>
          <w:rFonts w:ascii="宋体" w:hAnsi="宋体" w:cs="宋体" w:eastAsia="宋体" w:hint="default"/>
          <w:sz w:val="21"/>
          <w:szCs w:val="21"/>
        </w:rPr>
      </w:pPr>
      <w:r>
        <w:rPr>
          <w:rFonts w:ascii="宋体" w:hAnsi="宋体" w:cs="宋体" w:eastAsia="宋体" w:hint="default"/>
          <w:spacing w:val="-3"/>
          <w:w w:val="100"/>
          <w:sz w:val="21"/>
          <w:szCs w:val="21"/>
        </w:rPr>
        <w:t>金额确认销售商品收入：</w:t>
      </w:r>
      <w:r>
        <w:rPr>
          <w:rFonts w:ascii="Arial Narrow" w:hAnsi="Arial Narrow" w:cs="Arial Narrow" w:eastAsia="Arial Narrow" w:hint="default"/>
          <w:spacing w:val="-3"/>
          <w:w w:val="100"/>
          <w:sz w:val="21"/>
          <w:szCs w:val="21"/>
        </w:rPr>
        <w:t>1</w:t>
      </w:r>
      <w:r>
        <w:rPr>
          <w:rFonts w:ascii="宋体" w:hAnsi="宋体" w:cs="宋体" w:eastAsia="宋体" w:hint="default"/>
          <w:spacing w:val="-3"/>
          <w:w w:val="100"/>
          <w:sz w:val="21"/>
          <w:szCs w:val="21"/>
        </w:rPr>
        <w:t>）已将商品所有权上的主要风险和报酬转移给购货方；（</w:t>
      </w:r>
      <w:r>
        <w:rPr>
          <w:rFonts w:ascii="Arial Narrow" w:hAnsi="Arial Narrow" w:cs="Arial Narrow" w:eastAsia="Arial Narrow" w:hint="default"/>
          <w:spacing w:val="-3"/>
          <w:w w:val="100"/>
          <w:sz w:val="21"/>
          <w:szCs w:val="21"/>
        </w:rPr>
        <w:t>2</w:t>
      </w:r>
      <w:r>
        <w:rPr>
          <w:rFonts w:ascii="宋体" w:hAnsi="宋体" w:cs="宋体" w:eastAsia="宋体" w:hint="default"/>
          <w:spacing w:val="-3"/>
          <w:w w:val="100"/>
          <w:sz w:val="21"/>
          <w:szCs w:val="21"/>
        </w:rPr>
        <w:t>）既没</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6"/>
          <w:w w:val="100"/>
          <w:sz w:val="21"/>
          <w:szCs w:val="21"/>
        </w:rPr>
        <w:t>有保留通常与所有权相联系的继续管理权，也没有对已售出的商品实施有效控制；（</w:t>
      </w:r>
      <w:r>
        <w:rPr>
          <w:rFonts w:ascii="Arial Narrow" w:hAnsi="Arial Narrow" w:cs="Arial Narrow" w:eastAsia="Arial Narrow" w:hint="default"/>
          <w:spacing w:val="-6"/>
          <w:w w:val="100"/>
          <w:sz w:val="21"/>
          <w:szCs w:val="21"/>
        </w:rPr>
        <w:t>3</w:t>
      </w:r>
      <w:r>
        <w:rPr>
          <w:rFonts w:ascii="宋体" w:hAnsi="宋体" w:cs="宋体" w:eastAsia="宋体" w:hint="default"/>
          <w:spacing w:val="-6"/>
          <w:w w:val="100"/>
          <w:sz w:val="21"/>
          <w:szCs w:val="21"/>
        </w:rPr>
        <w:t>）收入</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9"/>
          <w:w w:val="100"/>
          <w:sz w:val="21"/>
          <w:szCs w:val="21"/>
        </w:rPr>
        <w:t>的金额能够可靠地计量；（</w:t>
      </w:r>
      <w:r>
        <w:rPr>
          <w:rFonts w:ascii="Arial Narrow" w:hAnsi="Arial Narrow" w:cs="Arial Narrow" w:eastAsia="Arial Narrow" w:hint="default"/>
          <w:spacing w:val="-9"/>
          <w:w w:val="100"/>
          <w:sz w:val="21"/>
          <w:szCs w:val="21"/>
        </w:rPr>
        <w:t>4</w:t>
      </w:r>
      <w:r>
        <w:rPr>
          <w:rFonts w:ascii="宋体" w:hAnsi="宋体" w:cs="宋体" w:eastAsia="宋体" w:hint="default"/>
          <w:spacing w:val="-9"/>
          <w:w w:val="100"/>
          <w:sz w:val="21"/>
          <w:szCs w:val="21"/>
        </w:rPr>
        <w:t>）相关的经济利益很可能流入企业；（</w:t>
      </w:r>
      <w:r>
        <w:rPr>
          <w:rFonts w:ascii="Arial Narrow" w:hAnsi="Arial Narrow" w:cs="Arial Narrow" w:eastAsia="Arial Narrow" w:hint="default"/>
          <w:spacing w:val="-9"/>
          <w:w w:val="100"/>
          <w:sz w:val="21"/>
          <w:szCs w:val="21"/>
        </w:rPr>
        <w:t>5</w:t>
      </w:r>
      <w:r>
        <w:rPr>
          <w:rFonts w:ascii="宋体" w:hAnsi="宋体" w:cs="宋体" w:eastAsia="宋体" w:hint="default"/>
          <w:spacing w:val="-9"/>
          <w:w w:val="100"/>
          <w:sz w:val="21"/>
          <w:szCs w:val="21"/>
        </w:rPr>
        <w:t>）相关的已发生或将发生</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的成本能够可靠地计量。</w:t>
      </w:r>
    </w:p>
    <w:p>
      <w:pPr>
        <w:spacing w:line="355" w:lineRule="auto" w:before="47"/>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合同或协议价款的收取采用递延方式，实质上具有融资性质的，按照应收的合同或协议</w:t>
      </w:r>
      <w:r>
        <w:rPr>
          <w:rFonts w:ascii="宋体" w:hAnsi="宋体" w:cs="宋体" w:eastAsia="宋体" w:hint="default"/>
          <w:w w:val="100"/>
          <w:sz w:val="21"/>
          <w:szCs w:val="21"/>
        </w:rPr>
        <w:t> </w:t>
      </w:r>
      <w:r>
        <w:rPr>
          <w:rFonts w:ascii="宋体" w:hAnsi="宋体" w:cs="宋体" w:eastAsia="宋体" w:hint="default"/>
          <w:sz w:val="21"/>
          <w:szCs w:val="21"/>
        </w:rPr>
        <w:t>价款的公允价值确定销售商品收入金额。</w:t>
      </w:r>
    </w:p>
    <w:p>
      <w:pPr>
        <w:spacing w:line="357" w:lineRule="auto" w:before="92"/>
        <w:ind w:left="138" w:right="208" w:firstLine="419"/>
        <w:jc w:val="both"/>
        <w:rPr>
          <w:rFonts w:ascii="宋体" w:hAnsi="宋体" w:cs="宋体" w:eastAsia="宋体" w:hint="default"/>
          <w:sz w:val="21"/>
          <w:szCs w:val="21"/>
        </w:rPr>
      </w:pPr>
      <w:r>
        <w:rPr>
          <w:rFonts w:ascii="宋体" w:hAnsi="宋体" w:cs="宋体" w:eastAsia="宋体" w:hint="default"/>
          <w:spacing w:val="-4"/>
          <w:sz w:val="21"/>
          <w:szCs w:val="21"/>
        </w:rPr>
        <w:t>具体地，成套开关设备收入确认的时点是：本公司与客户签订销售合同后，根据合同要</w:t>
      </w:r>
      <w:r>
        <w:rPr>
          <w:rFonts w:ascii="宋体" w:hAnsi="宋体" w:cs="宋体" w:eastAsia="宋体" w:hint="default"/>
          <w:w w:val="100"/>
          <w:sz w:val="21"/>
          <w:szCs w:val="21"/>
        </w:rPr>
        <w:t> </w:t>
      </w:r>
      <w:r>
        <w:rPr>
          <w:rFonts w:ascii="宋体" w:hAnsi="宋体" w:cs="宋体" w:eastAsia="宋体" w:hint="default"/>
          <w:spacing w:val="-4"/>
          <w:sz w:val="21"/>
          <w:szCs w:val="21"/>
        </w:rPr>
        <w:t>求组织生产，产品完工后验收入库，根据客户要求开具出库单将产品发到指定地点进行安装</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调试，安装调试达到验收标准后即获得收取货款的权利，据此开具发票确认收入。</w:t>
      </w:r>
    </w:p>
    <w:p>
      <w:pPr>
        <w:spacing w:line="355" w:lineRule="auto" w:before="90"/>
        <w:ind w:left="138" w:right="0" w:firstLine="419"/>
        <w:jc w:val="left"/>
        <w:rPr>
          <w:rFonts w:ascii="宋体" w:hAnsi="宋体" w:cs="宋体" w:eastAsia="宋体" w:hint="default"/>
          <w:sz w:val="21"/>
          <w:szCs w:val="21"/>
        </w:rPr>
      </w:pPr>
      <w:r>
        <w:rPr>
          <w:rFonts w:ascii="宋体" w:hAnsi="宋体" w:cs="宋体" w:eastAsia="宋体" w:hint="default"/>
          <w:spacing w:val="-7"/>
          <w:sz w:val="21"/>
          <w:szCs w:val="21"/>
        </w:rPr>
        <w:t>其他产品确认的时点是：本公司根据合同要求组织生产，于仓库发出产品，开具出库单，</w:t>
      </w:r>
      <w:r>
        <w:rPr>
          <w:rFonts w:ascii="宋体" w:hAnsi="宋体" w:cs="宋体" w:eastAsia="宋体" w:hint="default"/>
          <w:w w:val="100"/>
          <w:sz w:val="21"/>
          <w:szCs w:val="21"/>
        </w:rPr>
        <w:t> </w:t>
      </w:r>
      <w:r>
        <w:rPr>
          <w:rFonts w:ascii="宋体" w:hAnsi="宋体" w:cs="宋体" w:eastAsia="宋体" w:hint="default"/>
          <w:sz w:val="21"/>
          <w:szCs w:val="21"/>
        </w:rPr>
        <w:t>获得收取货款的权利，据此开具发票确认收入。</w:t>
      </w:r>
    </w:p>
    <w:p>
      <w:pPr>
        <w:spacing w:line="391" w:lineRule="auto" w:before="93"/>
        <w:ind w:left="558" w:right="0"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提供劳务</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w:t>
      </w:r>
    </w:p>
    <w:p>
      <w:pPr>
        <w:spacing w:line="355" w:lineRule="auto" w:before="1"/>
        <w:ind w:left="138" w:right="211" w:firstLine="0"/>
        <w:jc w:val="both"/>
        <w:rPr>
          <w:rFonts w:ascii="宋体" w:hAnsi="宋体" w:cs="宋体" w:eastAsia="宋体" w:hint="default"/>
          <w:sz w:val="21"/>
          <w:szCs w:val="21"/>
        </w:rPr>
      </w:pPr>
      <w:r>
        <w:rPr>
          <w:rFonts w:ascii="宋体" w:hAnsi="宋体" w:cs="宋体" w:eastAsia="宋体" w:hint="default"/>
          <w:spacing w:val="-4"/>
          <w:sz w:val="21"/>
          <w:szCs w:val="21"/>
        </w:rPr>
        <w:t>收入。本公司根据已完工作的测量（已经发生的成本占估计总成本的比例）确定提供劳务交</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9"/>
          <w:w w:val="100"/>
          <w:sz w:val="21"/>
          <w:szCs w:val="21"/>
        </w:rPr>
        <w:t>易的完工进度（完工百分比）。</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40" w:lineRule="auto" w:before="133"/>
        <w:ind w:left="138" w:right="0" w:firstLine="419"/>
        <w:jc w:val="left"/>
        <w:rPr>
          <w:rFonts w:ascii="宋体" w:hAnsi="宋体" w:cs="宋体" w:eastAsia="宋体" w:hint="default"/>
          <w:sz w:val="21"/>
          <w:szCs w:val="21"/>
        </w:rPr>
      </w:pPr>
      <w:r>
        <w:rPr>
          <w:rFonts w:ascii="Arial Narrow" w:hAnsi="Arial Narrow" w:cs="Arial Narrow" w:eastAsia="Arial Narrow" w:hint="default"/>
          <w:spacing w:val="-2"/>
          <w:sz w:val="21"/>
          <w:szCs w:val="21"/>
        </w:rPr>
        <w:t>A</w:t>
      </w:r>
      <w:r>
        <w:rPr>
          <w:rFonts w:ascii="宋体" w:hAnsi="宋体" w:cs="宋体" w:eastAsia="宋体" w:hint="default"/>
          <w:spacing w:val="-2"/>
          <w:sz w:val="21"/>
          <w:szCs w:val="21"/>
        </w:rPr>
        <w:t>、已经发生的劳务成本预计能够得到补偿的，按照已经发生的劳务成本金额确认提供</w:t>
      </w:r>
      <w:r>
        <w:rPr>
          <w:rFonts w:ascii="宋体" w:hAnsi="宋体" w:cs="宋体" w:eastAsia="宋体" w:hint="default"/>
          <w:w w:val="100"/>
          <w:sz w:val="21"/>
          <w:szCs w:val="21"/>
        </w:rPr>
        <w:t> </w:t>
      </w:r>
      <w:r>
        <w:rPr>
          <w:rFonts w:ascii="宋体" w:hAnsi="宋体" w:cs="宋体" w:eastAsia="宋体" w:hint="default"/>
          <w:sz w:val="21"/>
          <w:szCs w:val="21"/>
        </w:rPr>
        <w:t>劳务收入，并按相同金额结转劳务成本。</w:t>
      </w:r>
    </w:p>
    <w:p>
      <w:pPr>
        <w:spacing w:after="0" w:line="340" w:lineRule="auto"/>
        <w:jc w:val="left"/>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38" w:lineRule="auto" w:before="36"/>
        <w:ind w:left="138" w:right="0" w:firstLine="419"/>
        <w:jc w:val="left"/>
        <w:rPr>
          <w:rFonts w:ascii="宋体" w:hAnsi="宋体" w:cs="宋体" w:eastAsia="宋体" w:hint="default"/>
          <w:sz w:val="21"/>
          <w:szCs w:val="21"/>
        </w:rPr>
      </w:pPr>
      <w:r>
        <w:rPr>
          <w:rFonts w:ascii="Arial Narrow" w:hAnsi="Arial Narrow" w:cs="Arial Narrow" w:eastAsia="Arial Narrow" w:hint="default"/>
          <w:spacing w:val="-4"/>
          <w:sz w:val="21"/>
          <w:szCs w:val="21"/>
        </w:rPr>
        <w:t>B</w:t>
      </w:r>
      <w:r>
        <w:rPr>
          <w:rFonts w:ascii="宋体" w:hAnsi="宋体" w:cs="宋体" w:eastAsia="宋体" w:hint="default"/>
          <w:spacing w:val="-4"/>
          <w:sz w:val="21"/>
          <w:szCs w:val="21"/>
        </w:rPr>
        <w:t>、已经发生的劳务成本预计不能够得到补偿的，将已经发生的劳务成本计入当期损益，</w:t>
      </w:r>
      <w:r>
        <w:rPr>
          <w:rFonts w:ascii="宋体" w:hAnsi="宋体" w:cs="宋体" w:eastAsia="宋体" w:hint="default"/>
          <w:w w:val="100"/>
          <w:sz w:val="21"/>
          <w:szCs w:val="21"/>
        </w:rPr>
        <w:t> </w:t>
      </w:r>
      <w:r>
        <w:rPr>
          <w:rFonts w:ascii="宋体" w:hAnsi="宋体" w:cs="宋体" w:eastAsia="宋体" w:hint="default"/>
          <w:sz w:val="21"/>
          <w:szCs w:val="21"/>
        </w:rPr>
        <w:t>不确认提供劳务收入。</w:t>
      </w:r>
    </w:p>
    <w:p>
      <w:pPr>
        <w:spacing w:line="357" w:lineRule="auto" w:before="107"/>
        <w:ind w:left="138" w:right="209"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本公司与其他企业签订的合同或协议包括销售商品和提供劳务时，销售商品部分和提供</w:t>
      </w:r>
      <w:r>
        <w:rPr>
          <w:rFonts w:ascii="宋体" w:hAnsi="宋体" w:cs="宋体" w:eastAsia="宋体" w:hint="default"/>
          <w:w w:val="100"/>
          <w:sz w:val="21"/>
          <w:szCs w:val="21"/>
        </w:rPr>
        <w:t> </w:t>
      </w:r>
      <w:r>
        <w:rPr>
          <w:rFonts w:ascii="宋体" w:hAnsi="宋体" w:cs="宋体" w:eastAsia="宋体" w:hint="default"/>
          <w:spacing w:val="-4"/>
          <w:sz w:val="21"/>
          <w:szCs w:val="21"/>
        </w:rPr>
        <w:t>劳务部分能够区分且能够单独计量的，将销售商品的部分作为销售商品处理，将提供劳务的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部分作为提供劳务处理。销售商品部分和提供劳务部分不能够区分，或虽能区分但不能够单</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独计量的，将销售商品部分和提供劳务部分全部作为销售商品处理。</w:t>
      </w:r>
    </w:p>
    <w:p>
      <w:pPr>
        <w:spacing w:line="388" w:lineRule="auto" w:before="90"/>
        <w:ind w:left="558" w:right="0" w:firstLine="2"/>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z w:val="21"/>
          <w:szCs w:val="21"/>
        </w:rPr>
        <w:t>本公司在与让渡资产使用权相关的经济利益能够流入和收入的金额能够可靠的计量时</w:t>
      </w:r>
    </w:p>
    <w:p>
      <w:pPr>
        <w:spacing w:line="357" w:lineRule="auto" w:before="5"/>
        <w:ind w:left="558" w:right="0" w:hanging="420"/>
        <w:jc w:val="left"/>
        <w:rPr>
          <w:rFonts w:ascii="宋体" w:hAnsi="宋体" w:cs="宋体" w:eastAsia="宋体" w:hint="default"/>
          <w:sz w:val="21"/>
          <w:szCs w:val="21"/>
        </w:rPr>
      </w:pPr>
      <w:r>
        <w:rPr>
          <w:rFonts w:ascii="宋体" w:hAnsi="宋体" w:cs="宋体" w:eastAsia="宋体" w:hint="default"/>
          <w:sz w:val="21"/>
          <w:szCs w:val="21"/>
        </w:rPr>
        <w:t>确认让渡资产使用权收入。</w:t>
      </w:r>
      <w:r>
        <w:rPr>
          <w:rFonts w:ascii="宋体" w:hAnsi="宋体" w:cs="宋体" w:eastAsia="宋体" w:hint="default"/>
          <w:w w:val="100"/>
          <w:sz w:val="21"/>
          <w:szCs w:val="21"/>
        </w:rPr>
        <w:t> </w:t>
      </w:r>
      <w:r>
        <w:rPr>
          <w:rFonts w:ascii="宋体" w:hAnsi="宋体" w:cs="宋体" w:eastAsia="宋体" w:hint="default"/>
          <w:spacing w:val="-4"/>
          <w:sz w:val="21"/>
          <w:szCs w:val="21"/>
        </w:rPr>
        <w:t>利息收入按使用货币资金的使用时间和适用利率计算确定。使用费收入金额，按照有关</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合同或协议约定的收费时间和方法计算确定。</w:t>
      </w:r>
    </w:p>
    <w:p>
      <w:pPr>
        <w:spacing w:line="240" w:lineRule="auto" w:before="10"/>
        <w:rPr>
          <w:rFonts w:ascii="宋体" w:hAnsi="宋体" w:cs="宋体" w:eastAsia="宋体" w:hint="default"/>
          <w:sz w:val="14"/>
          <w:szCs w:val="14"/>
        </w:rPr>
      </w:pPr>
    </w:p>
    <w:p>
      <w:pPr>
        <w:spacing w:line="408"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（二十一）政府补助</w:t>
      </w:r>
      <w:r>
        <w:rPr>
          <w:rFonts w:ascii="宋体" w:hAnsi="宋体" w:cs="宋体" w:eastAsia="宋体" w:hint="default"/>
          <w:b/>
          <w:bCs/>
          <w:w w:val="100"/>
          <w:sz w:val="21"/>
          <w:szCs w:val="21"/>
        </w:rPr>
        <w:t> </w:t>
      </w:r>
      <w:r>
        <w:rPr>
          <w:rFonts w:ascii="宋体" w:hAnsi="宋体" w:cs="宋体" w:eastAsia="宋体" w:hint="default"/>
          <w:spacing w:val="-4"/>
          <w:sz w:val="21"/>
          <w:szCs w:val="21"/>
        </w:rPr>
        <w:t>政府补助，是指本公司从政府无偿取得货币性资产或非货币性资产，但不包括政府作为</w:t>
      </w: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sz w:val="21"/>
          <w:szCs w:val="21"/>
        </w:rPr>
        <w:t>企业所有者投入的资本。</w:t>
      </w:r>
      <w:r>
        <w:rPr>
          <w:rFonts w:ascii="宋体" w:hAnsi="宋体" w:cs="宋体" w:eastAsia="宋体" w:hint="default"/>
          <w:w w:val="100"/>
          <w:sz w:val="21"/>
          <w:szCs w:val="21"/>
        </w:rPr>
        <w:t> </w:t>
      </w:r>
      <w:r>
        <w:rPr>
          <w:rFonts w:ascii="宋体" w:hAnsi="宋体" w:cs="宋体" w:eastAsia="宋体" w:hint="default"/>
          <w:spacing w:val="-2"/>
          <w:sz w:val="21"/>
          <w:szCs w:val="21"/>
        </w:rPr>
        <w:t>政府补助为货币性资产的，按照收到或应收的金额计量；政府补助为非货币性资产的，</w:t>
      </w:r>
    </w:p>
    <w:p>
      <w:pPr>
        <w:spacing w:line="338" w:lineRule="auto" w:before="32"/>
        <w:ind w:left="558" w:right="0" w:hanging="420"/>
        <w:jc w:val="left"/>
        <w:rPr>
          <w:rFonts w:ascii="宋体" w:hAnsi="宋体" w:cs="宋体" w:eastAsia="宋体" w:hint="default"/>
          <w:sz w:val="21"/>
          <w:szCs w:val="21"/>
        </w:rPr>
      </w:pPr>
      <w:r>
        <w:rPr>
          <w:rFonts w:ascii="宋体" w:hAnsi="宋体" w:cs="宋体" w:eastAsia="宋体" w:hint="default"/>
          <w:sz w:val="21"/>
          <w:szCs w:val="21"/>
        </w:rPr>
        <w:t>按照公允价值计量；公允价值不能可靠取得的，按照名义金额（人民币</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3"/>
          <w:sz w:val="21"/>
          <w:szCs w:val="21"/>
        </w:rPr>
        <w:t> </w:t>
      </w:r>
      <w:r>
        <w:rPr>
          <w:rFonts w:ascii="宋体" w:hAnsi="宋体" w:cs="宋体" w:eastAsia="宋体" w:hint="default"/>
          <w:sz w:val="21"/>
          <w:szCs w:val="21"/>
        </w:rPr>
        <w:t>元）计量。</w:t>
      </w:r>
      <w:r>
        <w:rPr>
          <w:rFonts w:ascii="宋体" w:hAnsi="宋体" w:cs="宋体" w:eastAsia="宋体" w:hint="default"/>
          <w:w w:val="100"/>
          <w:sz w:val="21"/>
          <w:szCs w:val="21"/>
        </w:rPr>
        <w:t> </w:t>
      </w:r>
      <w:r>
        <w:rPr>
          <w:rFonts w:ascii="宋体" w:hAnsi="宋体" w:cs="宋体" w:eastAsia="宋体" w:hint="default"/>
          <w:spacing w:val="-2"/>
          <w:sz w:val="21"/>
          <w:szCs w:val="21"/>
        </w:rPr>
        <w:t>与资产相关的政府补助，本公司确认为递延收益，并在相关资产使用寿命内平均分配，</w:t>
      </w:r>
    </w:p>
    <w:p>
      <w:pPr>
        <w:spacing w:line="357" w:lineRule="auto" w:before="47"/>
        <w:ind w:left="558" w:right="0" w:hanging="420"/>
        <w:jc w:val="left"/>
        <w:rPr>
          <w:rFonts w:ascii="宋体" w:hAnsi="宋体" w:cs="宋体" w:eastAsia="宋体" w:hint="default"/>
          <w:sz w:val="21"/>
          <w:szCs w:val="21"/>
        </w:rPr>
      </w:pPr>
      <w:r>
        <w:rPr>
          <w:rFonts w:ascii="宋体" w:hAnsi="宋体" w:cs="宋体" w:eastAsia="宋体" w:hint="default"/>
          <w:sz w:val="21"/>
          <w:szCs w:val="21"/>
        </w:rPr>
        <w:t>计入当期损益。但是，按照名义金额计量的政府补助，直接计入当期损益。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与收益相关的政府补助，用于补偿本公司以后期间的相关费用或损失的，确认为递延收</w:t>
      </w:r>
    </w:p>
    <w:p>
      <w:pPr>
        <w:spacing w:line="355" w:lineRule="auto" w:before="30"/>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益，并在确认相关费用的期间，计入当期损益；用于补偿本公司已发生的相关费用或损失的，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直接计入当期损益。</w:t>
      </w:r>
    </w:p>
    <w:p>
      <w:pPr>
        <w:spacing w:line="357" w:lineRule="auto" w:before="32"/>
        <w:ind w:left="138" w:right="211" w:firstLine="419"/>
        <w:jc w:val="both"/>
        <w:rPr>
          <w:rFonts w:ascii="宋体" w:hAnsi="宋体" w:cs="宋体" w:eastAsia="宋体" w:hint="default"/>
          <w:sz w:val="21"/>
          <w:szCs w:val="21"/>
        </w:rPr>
      </w:pPr>
      <w:r>
        <w:rPr>
          <w:rFonts w:ascii="宋体" w:hAnsi="宋体" w:cs="宋体" w:eastAsia="宋体" w:hint="default"/>
          <w:spacing w:val="-4"/>
          <w:sz w:val="21"/>
          <w:szCs w:val="21"/>
        </w:rPr>
        <w:t>已确认的政府补助需要返还的，存在相关递延收益的，冲减相关递延收益账面余额，超</w:t>
      </w:r>
      <w:r>
        <w:rPr>
          <w:rFonts w:ascii="宋体" w:hAnsi="宋体" w:cs="宋体" w:eastAsia="宋体" w:hint="default"/>
          <w:w w:val="100"/>
          <w:sz w:val="21"/>
          <w:szCs w:val="21"/>
        </w:rPr>
        <w:t> </w:t>
      </w:r>
      <w:r>
        <w:rPr>
          <w:rFonts w:ascii="宋体" w:hAnsi="宋体" w:cs="宋体" w:eastAsia="宋体" w:hint="default"/>
          <w:sz w:val="21"/>
          <w:szCs w:val="21"/>
        </w:rPr>
        <w:t>出部分计入当期损益；不存在相关递延收益的，直接计入当期损益。</w:t>
      </w:r>
    </w:p>
    <w:p>
      <w:pPr>
        <w:spacing w:line="388" w:lineRule="auto" w:before="9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（二十二）递延所得税资产</w:t>
      </w:r>
      <w:r>
        <w:rPr>
          <w:rFonts w:ascii="Arial Narrow" w:hAnsi="Arial Narrow" w:cs="Arial Narrow" w:eastAsia="Arial Narrow"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本公司的所得税采用资产负债表债务法核算。资产、负债的账面价值与其计税基础存在</w:t>
      </w:r>
    </w:p>
    <w:p>
      <w:pPr>
        <w:spacing w:line="357" w:lineRule="auto" w:before="3"/>
        <w:ind w:left="558" w:right="0" w:hanging="420"/>
        <w:jc w:val="left"/>
        <w:rPr>
          <w:rFonts w:ascii="宋体" w:hAnsi="宋体" w:cs="宋体" w:eastAsia="宋体" w:hint="default"/>
          <w:sz w:val="21"/>
          <w:szCs w:val="21"/>
        </w:rPr>
      </w:pPr>
      <w:r>
        <w:rPr>
          <w:rFonts w:ascii="宋体" w:hAnsi="宋体" w:cs="宋体" w:eastAsia="宋体" w:hint="default"/>
          <w:sz w:val="21"/>
          <w:szCs w:val="21"/>
        </w:rPr>
        <w:t>差异的，按照规定确认所产生的递延所得税资产和递延所得税负债。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在资产负债表日，对于当期和以前期间形成的当期所得税负债（或资产），按照税法规</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定计算的预期应交纳（或返还）的所得税金额计量；对于递延所得税资产和递延所得税负债，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根据税法规定，按照预期收回该资产或清偿该负债期间的适用税率计量。</w:t>
      </w:r>
    </w:p>
    <w:p>
      <w:pPr>
        <w:spacing w:line="357" w:lineRule="auto" w:before="32"/>
        <w:ind w:left="138" w:right="208" w:firstLine="419"/>
        <w:jc w:val="both"/>
        <w:rPr>
          <w:rFonts w:ascii="宋体" w:hAnsi="宋体" w:cs="宋体" w:eastAsia="宋体" w:hint="default"/>
          <w:sz w:val="21"/>
          <w:szCs w:val="21"/>
        </w:rPr>
      </w:pPr>
      <w:r>
        <w:rPr>
          <w:rFonts w:ascii="宋体" w:hAnsi="宋体" w:cs="宋体" w:eastAsia="宋体" w:hint="default"/>
          <w:spacing w:val="-4"/>
          <w:w w:val="100"/>
          <w:sz w:val="21"/>
          <w:szCs w:val="21"/>
        </w:rPr>
        <w:t>递延所得税资产的确认以本公司很可能取得用来抵扣可抵扣暂时性差异、可抵扣亏损和</w:t>
      </w:r>
      <w:r>
        <w:rPr>
          <w:rFonts w:ascii="宋体" w:hAnsi="宋体" w:cs="宋体" w:eastAsia="宋体" w:hint="default"/>
          <w:w w:val="100"/>
          <w:sz w:val="21"/>
          <w:szCs w:val="21"/>
        </w:rPr>
        <w:t> </w:t>
      </w:r>
      <w:r>
        <w:rPr>
          <w:rFonts w:ascii="宋体" w:hAnsi="宋体" w:cs="宋体" w:eastAsia="宋体" w:hint="default"/>
          <w:spacing w:val="-4"/>
          <w:w w:val="100"/>
          <w:sz w:val="21"/>
          <w:szCs w:val="21"/>
        </w:rPr>
        <w:t>税款抵减的应纳税所得额为限。在无法明确估计可抵扣暂时性差异预期转回期间可能取得的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应纳税所得额时，不确认与可抵扣暂时性差异相关的递延所得税资产。对子公司、联营企业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及合营企业投资相关的应纳税暂时性差异产生的递延所得税负债，予以确认，但同时满足能</w:t>
      </w:r>
    </w:p>
    <w:p>
      <w:pPr>
        <w:spacing w:after="0" w:line="357" w:lineRule="auto"/>
        <w:jc w:val="both"/>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57" w:lineRule="auto" w:before="36"/>
        <w:ind w:left="138" w:right="208" w:firstLine="0"/>
        <w:jc w:val="both"/>
        <w:rPr>
          <w:rFonts w:ascii="宋体" w:hAnsi="宋体" w:cs="宋体" w:eastAsia="宋体" w:hint="default"/>
          <w:sz w:val="21"/>
          <w:szCs w:val="21"/>
        </w:rPr>
      </w:pPr>
      <w:r>
        <w:rPr>
          <w:rFonts w:ascii="宋体" w:hAnsi="宋体" w:cs="宋体" w:eastAsia="宋体" w:hint="default"/>
          <w:spacing w:val="-4"/>
          <w:w w:val="100"/>
          <w:sz w:val="21"/>
          <w:szCs w:val="21"/>
        </w:rPr>
        <w:t>够控制应纳税暂时性差异转回的时间且该暂时性差异在可预见的未来很可能不会转回的，不</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予确认；对子公司、联营企业及合营企业投资相关的可抵扣暂时性差异产生的递延所得税资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w w:val="100"/>
          <w:sz w:val="21"/>
          <w:szCs w:val="21"/>
        </w:rPr>
        <w:t>产，该可抵扣暂时性差异同时满足在可预见的未来很可能转回即在可预见的将来有处置该项</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投资的明确计划，且预计在处置该项投资时，除了有足够的应纳税所得以外，还有足够的投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资收益用以抵扣可抵扣暂时性差异时，予以确认。</w:t>
      </w:r>
    </w:p>
    <w:p>
      <w:pPr>
        <w:spacing w:line="355" w:lineRule="auto" w:before="30"/>
        <w:ind w:left="138" w:right="208"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资产负债表日，对递延所得税资产的账面价值进行复核。除企业合并、直接在所有者权</w:t>
      </w:r>
      <w:r>
        <w:rPr>
          <w:rFonts w:ascii="宋体" w:hAnsi="宋体" w:cs="宋体" w:eastAsia="宋体" w:hint="default"/>
          <w:w w:val="100"/>
          <w:sz w:val="21"/>
          <w:szCs w:val="21"/>
        </w:rPr>
        <w:t> </w:t>
      </w:r>
      <w:r>
        <w:rPr>
          <w:rFonts w:ascii="宋体" w:hAnsi="宋体" w:cs="宋体" w:eastAsia="宋体" w:hint="default"/>
          <w:spacing w:val="-4"/>
          <w:w w:val="100"/>
          <w:sz w:val="21"/>
          <w:szCs w:val="21"/>
        </w:rPr>
        <w:t>益中确认的交易或者事项产生的所得税外，本公司将当期所得税和递延所得税作为所得税费</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用或收益计入当期损益。</w:t>
      </w:r>
    </w:p>
    <w:p>
      <w:pPr>
        <w:spacing w:line="410" w:lineRule="auto" w:before="94"/>
        <w:ind w:left="558" w:right="0" w:hanging="214"/>
        <w:jc w:val="left"/>
        <w:rPr>
          <w:rFonts w:ascii="宋体" w:hAnsi="宋体" w:cs="宋体" w:eastAsia="宋体" w:hint="default"/>
          <w:sz w:val="21"/>
          <w:szCs w:val="21"/>
        </w:rPr>
      </w:pPr>
      <w:r>
        <w:rPr>
          <w:rFonts w:ascii="宋体" w:hAnsi="宋体" w:cs="宋体" w:eastAsia="宋体" w:hint="default"/>
          <w:b/>
          <w:bCs/>
          <w:sz w:val="21"/>
          <w:szCs w:val="21"/>
        </w:rPr>
        <w:t>（二十三）经营租赁、融资租赁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如果租赁条款在实质上将与租赁资产所有权有关的全部风险和报酬转移给承租人，该租</w:t>
      </w:r>
    </w:p>
    <w:p>
      <w:pPr>
        <w:spacing w:line="259"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赁为融资租赁，其他租赁则为经营租赁。</w:t>
      </w:r>
    </w:p>
    <w:p>
      <w:pPr>
        <w:spacing w:line="240" w:lineRule="auto" w:before="10"/>
        <w:rPr>
          <w:rFonts w:ascii="宋体" w:hAnsi="宋体" w:cs="宋体" w:eastAsia="宋体" w:hint="default"/>
          <w:sz w:val="14"/>
          <w:szCs w:val="14"/>
        </w:rPr>
      </w:pPr>
    </w:p>
    <w:p>
      <w:pPr>
        <w:spacing w:line="388" w:lineRule="auto" w:before="0"/>
        <w:ind w:left="558" w:right="0"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44"/>
          <w:sz w:val="21"/>
          <w:szCs w:val="21"/>
        </w:rPr>
        <w:t> </w:t>
      </w:r>
      <w:r>
        <w:rPr>
          <w:rFonts w:ascii="宋体" w:hAnsi="宋体" w:cs="宋体" w:eastAsia="宋体" w:hint="default"/>
          <w:b/>
          <w:bCs/>
          <w:sz w:val="21"/>
          <w:szCs w:val="21"/>
        </w:rPr>
        <w:t>本公司作为出租人</w:t>
      </w:r>
      <w:r>
        <w:rPr>
          <w:rFonts w:ascii="宋体" w:hAnsi="宋体" w:cs="宋体" w:eastAsia="宋体" w:hint="default"/>
          <w:b/>
          <w:bCs/>
          <w:spacing w:val="-104"/>
          <w:sz w:val="21"/>
          <w:szCs w:val="21"/>
        </w:rPr>
        <w:t> </w:t>
      </w:r>
      <w:r>
        <w:rPr>
          <w:rFonts w:ascii="宋体" w:hAnsi="宋体" w:cs="宋体" w:eastAsia="宋体" w:hint="default"/>
          <w:spacing w:val="-4"/>
          <w:w w:val="100"/>
          <w:sz w:val="21"/>
          <w:szCs w:val="21"/>
        </w:rPr>
        <w:t>融资租赁中，在租赁开始日本公司按最低租赁收款额与初始直接费用之和作为应收融资</w:t>
      </w:r>
    </w:p>
    <w:p>
      <w:pPr>
        <w:spacing w:line="355" w:lineRule="auto" w:before="5"/>
        <w:ind w:left="138" w:right="209" w:firstLine="0"/>
        <w:jc w:val="both"/>
        <w:rPr>
          <w:rFonts w:ascii="宋体" w:hAnsi="宋体" w:cs="宋体" w:eastAsia="宋体" w:hint="default"/>
          <w:sz w:val="21"/>
          <w:szCs w:val="21"/>
        </w:rPr>
      </w:pPr>
      <w:r>
        <w:rPr>
          <w:rFonts w:ascii="宋体" w:hAnsi="宋体" w:cs="宋体" w:eastAsia="宋体" w:hint="default"/>
          <w:spacing w:val="-4"/>
          <w:sz w:val="21"/>
          <w:szCs w:val="21"/>
        </w:rPr>
        <w:t>租赁款的入账价值，同时记录未担保余值；将最低租赁收款额、初始直接费用及未担保余值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之和与其现值之和的差额确认为未实现融资收益。未实现融资收益在租赁期内各个期间采用</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实际利率法计算确认当期的融资收入。</w:t>
      </w:r>
    </w:p>
    <w:p>
      <w:pPr>
        <w:spacing w:line="355" w:lineRule="auto" w:before="32"/>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经营租赁中的租金，本公司在租赁期内各个期间按照直线法确认当期损益。发生的初始</w:t>
      </w:r>
      <w:r>
        <w:rPr>
          <w:rFonts w:ascii="宋体" w:hAnsi="宋体" w:cs="宋体" w:eastAsia="宋体" w:hint="default"/>
          <w:w w:val="100"/>
          <w:sz w:val="21"/>
          <w:szCs w:val="21"/>
        </w:rPr>
        <w:t> </w:t>
      </w:r>
      <w:r>
        <w:rPr>
          <w:rFonts w:ascii="宋体" w:hAnsi="宋体" w:cs="宋体" w:eastAsia="宋体" w:hint="default"/>
          <w:sz w:val="21"/>
          <w:szCs w:val="21"/>
        </w:rPr>
        <w:t>直接费用，计入当期损益。</w:t>
      </w:r>
    </w:p>
    <w:p>
      <w:pPr>
        <w:spacing w:line="388" w:lineRule="auto" w:before="95"/>
        <w:ind w:left="558" w:right="0" w:hanging="6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宋体" w:hAnsi="宋体" w:cs="宋体" w:eastAsia="宋体" w:hint="default"/>
          <w:b/>
          <w:bCs/>
          <w:sz w:val="21"/>
          <w:szCs w:val="21"/>
        </w:rPr>
        <w:t>本公司作为承租人</w:t>
      </w:r>
      <w:r>
        <w:rPr>
          <w:rFonts w:ascii="宋体" w:hAnsi="宋体" w:cs="宋体" w:eastAsia="宋体" w:hint="default"/>
          <w:b/>
          <w:bCs/>
          <w:spacing w:val="-98"/>
          <w:sz w:val="21"/>
          <w:szCs w:val="21"/>
        </w:rPr>
        <w:t> </w:t>
      </w:r>
      <w:r>
        <w:rPr>
          <w:rFonts w:ascii="宋体" w:hAnsi="宋体" w:cs="宋体" w:eastAsia="宋体" w:hint="default"/>
          <w:spacing w:val="-4"/>
          <w:w w:val="100"/>
          <w:sz w:val="21"/>
          <w:szCs w:val="21"/>
        </w:rPr>
        <w:t>融资租赁中，在租赁开始日本公司将租赁资产公允价值与最低租赁付款额现值两者中较</w:t>
      </w:r>
    </w:p>
    <w:p>
      <w:pPr>
        <w:spacing w:line="357" w:lineRule="auto" w:before="3"/>
        <w:ind w:left="138" w:right="210" w:firstLine="0"/>
        <w:jc w:val="both"/>
        <w:rPr>
          <w:rFonts w:ascii="宋体" w:hAnsi="宋体" w:cs="宋体" w:eastAsia="宋体" w:hint="default"/>
          <w:sz w:val="21"/>
          <w:szCs w:val="21"/>
        </w:rPr>
      </w:pPr>
      <w:r>
        <w:rPr>
          <w:rFonts w:ascii="宋体" w:hAnsi="宋体" w:cs="宋体" w:eastAsia="宋体" w:hint="default"/>
          <w:spacing w:val="-4"/>
          <w:sz w:val="21"/>
          <w:szCs w:val="21"/>
        </w:rPr>
        <w:t>低者作为租入资产的入账价值，将最低租赁付款额作为长期应付款的入账价值，其差额作为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未确认融资费用。初始直接费用计入租入资产价值。未确认融资费用在租赁期内各个期间采</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用实际利率法计算确认当期的融资费用。本公司采用与自有固定资产相一致的折旧政策计提</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租赁资产折旧。</w:t>
      </w:r>
    </w:p>
    <w:p>
      <w:pPr>
        <w:spacing w:line="355" w:lineRule="auto" w:before="90"/>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经营租赁中的租金，本公司在租赁期内各个期间按照直线法计入相关资产成本或当期损</w:t>
      </w:r>
      <w:r>
        <w:rPr>
          <w:rFonts w:ascii="宋体" w:hAnsi="宋体" w:cs="宋体" w:eastAsia="宋体" w:hint="default"/>
          <w:w w:val="100"/>
          <w:sz w:val="21"/>
          <w:szCs w:val="21"/>
        </w:rPr>
        <w:t> </w:t>
      </w:r>
      <w:r>
        <w:rPr>
          <w:rFonts w:ascii="宋体" w:hAnsi="宋体" w:cs="宋体" w:eastAsia="宋体" w:hint="default"/>
          <w:sz w:val="21"/>
          <w:szCs w:val="21"/>
        </w:rPr>
        <w:t>益；发生的初始直接费用，计入当期损益。</w:t>
      </w:r>
    </w:p>
    <w:p>
      <w:pPr>
        <w:spacing w:line="410" w:lineRule="auto" w:before="93"/>
        <w:ind w:left="558" w:right="0" w:hanging="209"/>
        <w:jc w:val="left"/>
        <w:rPr>
          <w:rFonts w:ascii="宋体" w:hAnsi="宋体" w:cs="宋体" w:eastAsia="宋体" w:hint="default"/>
          <w:sz w:val="21"/>
          <w:szCs w:val="21"/>
        </w:rPr>
      </w:pPr>
      <w:r>
        <w:rPr>
          <w:rFonts w:ascii="宋体" w:hAnsi="宋体" w:cs="宋体" w:eastAsia="宋体" w:hint="default"/>
          <w:b/>
          <w:bCs/>
          <w:sz w:val="21"/>
          <w:szCs w:val="21"/>
        </w:rPr>
        <w:t>（二十四）所得税</w:t>
      </w:r>
      <w:r>
        <w:rPr>
          <w:rFonts w:ascii="宋体" w:hAnsi="宋体" w:cs="宋体" w:eastAsia="宋体" w:hint="default"/>
          <w:b/>
          <w:bCs/>
          <w:spacing w:val="-103"/>
          <w:sz w:val="21"/>
          <w:szCs w:val="21"/>
        </w:rPr>
        <w:t> </w:t>
      </w:r>
      <w:r>
        <w:rPr>
          <w:rFonts w:ascii="宋体" w:hAnsi="宋体" w:cs="宋体" w:eastAsia="宋体" w:hint="default"/>
          <w:spacing w:val="-4"/>
          <w:sz w:val="21"/>
          <w:szCs w:val="21"/>
        </w:rPr>
        <w:t>本公司的所得税采用资产负债表债务法核算。资产、负债的账面价值与其计税基础存在</w:t>
      </w:r>
    </w:p>
    <w:p>
      <w:pPr>
        <w:spacing w:line="259"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差异的，按照规定确认所产生的递延所得税资产和递延所得税负债。</w:t>
      </w:r>
    </w:p>
    <w:p>
      <w:pPr>
        <w:spacing w:line="355" w:lineRule="auto" w:before="133"/>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在资产负债表日，对于当期和以前期间形成的当期所得税负债（或资产），按照税法规</w:t>
      </w:r>
      <w:r>
        <w:rPr>
          <w:rFonts w:ascii="宋体" w:hAnsi="宋体" w:cs="宋体" w:eastAsia="宋体" w:hint="default"/>
          <w:w w:val="100"/>
          <w:sz w:val="21"/>
          <w:szCs w:val="21"/>
        </w:rPr>
        <w:t> </w:t>
      </w:r>
      <w:r>
        <w:rPr>
          <w:rFonts w:ascii="宋体" w:hAnsi="宋体" w:cs="宋体" w:eastAsia="宋体" w:hint="default"/>
          <w:spacing w:val="-7"/>
          <w:sz w:val="21"/>
          <w:szCs w:val="21"/>
        </w:rPr>
        <w:t>定计算的预期应交纳（或返还）的所得税金额计量；对于递延所得税资产和递延所得税负债，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根据税法规定，按照预期收回该资产或清偿该负债期间的适用税率计量。</w:t>
      </w:r>
    </w:p>
    <w:p>
      <w:pPr>
        <w:spacing w:before="34"/>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的</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r>
        <w:rPr>
          <w:rFonts w:ascii="宋体" w:hAnsi="宋体" w:cs="宋体" w:eastAsia="宋体" w:hint="default"/>
          <w:spacing w:val="-3"/>
          <w:w w:val="100"/>
          <w:sz w:val="21"/>
          <w:szCs w:val="21"/>
        </w:rPr>
        <w:t>以</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很</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用</w:t>
      </w:r>
      <w:r>
        <w:rPr>
          <w:rFonts w:ascii="宋体" w:hAnsi="宋体" w:cs="宋体" w:eastAsia="宋体" w:hint="default"/>
          <w:w w:val="100"/>
          <w:sz w:val="21"/>
          <w:szCs w:val="21"/>
        </w:rPr>
        <w:t>来</w:t>
      </w:r>
      <w:r>
        <w:rPr>
          <w:rFonts w:ascii="宋体" w:hAnsi="宋体" w:cs="宋体" w:eastAsia="宋体" w:hint="default"/>
          <w:spacing w:val="-3"/>
          <w:w w:val="100"/>
          <w:sz w:val="21"/>
          <w:szCs w:val="21"/>
        </w:rPr>
        <w:t>抵</w:t>
      </w:r>
      <w:r>
        <w:rPr>
          <w:rFonts w:ascii="宋体" w:hAnsi="宋体" w:cs="宋体" w:eastAsia="宋体" w:hint="default"/>
          <w:w w:val="100"/>
          <w:sz w:val="21"/>
          <w:szCs w:val="21"/>
        </w:rPr>
        <w:t>扣可</w:t>
      </w:r>
      <w:r>
        <w:rPr>
          <w:rFonts w:ascii="宋体" w:hAnsi="宋体" w:cs="宋体" w:eastAsia="宋体" w:hint="default"/>
          <w:spacing w:val="-3"/>
          <w:w w:val="100"/>
          <w:sz w:val="21"/>
          <w:szCs w:val="21"/>
        </w:rPr>
        <w:t>抵</w:t>
      </w:r>
      <w:r>
        <w:rPr>
          <w:rFonts w:ascii="宋体" w:hAnsi="宋体" w:cs="宋体" w:eastAsia="宋体" w:hint="default"/>
          <w:w w:val="100"/>
          <w:sz w:val="21"/>
          <w:szCs w:val="21"/>
        </w:rPr>
        <w:t>扣</w:t>
      </w:r>
      <w:r>
        <w:rPr>
          <w:rFonts w:ascii="宋体" w:hAnsi="宋体" w:cs="宋体" w:eastAsia="宋体" w:hint="default"/>
          <w:spacing w:val="-3"/>
          <w:w w:val="100"/>
          <w:sz w:val="21"/>
          <w:szCs w:val="21"/>
        </w:rPr>
        <w:t>暂</w:t>
      </w:r>
      <w:r>
        <w:rPr>
          <w:rFonts w:ascii="宋体" w:hAnsi="宋体" w:cs="宋体" w:eastAsia="宋体" w:hint="default"/>
          <w:w w:val="100"/>
          <w:sz w:val="21"/>
          <w:szCs w:val="21"/>
        </w:rPr>
        <w:t>时</w:t>
      </w:r>
      <w:r>
        <w:rPr>
          <w:rFonts w:ascii="宋体" w:hAnsi="宋体" w:cs="宋体" w:eastAsia="宋体" w:hint="default"/>
          <w:spacing w:val="-3"/>
          <w:w w:val="100"/>
          <w:sz w:val="21"/>
          <w:szCs w:val="21"/>
        </w:rPr>
        <w:t>性</w:t>
      </w:r>
      <w:r>
        <w:rPr>
          <w:rFonts w:ascii="宋体" w:hAnsi="宋体" w:cs="宋体" w:eastAsia="宋体" w:hint="default"/>
          <w:w w:val="100"/>
          <w:sz w:val="21"/>
          <w:szCs w:val="21"/>
        </w:rPr>
        <w:t>差</w:t>
      </w:r>
      <w:r>
        <w:rPr>
          <w:rFonts w:ascii="宋体" w:hAnsi="宋体" w:cs="宋体" w:eastAsia="宋体" w:hint="default"/>
          <w:spacing w:val="-3"/>
          <w:w w:val="100"/>
          <w:sz w:val="21"/>
          <w:szCs w:val="21"/>
        </w:rPr>
        <w:t>异</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可抵</w:t>
      </w:r>
      <w:r>
        <w:rPr>
          <w:rFonts w:ascii="宋体" w:hAnsi="宋体" w:cs="宋体" w:eastAsia="宋体" w:hint="default"/>
          <w:w w:val="100"/>
          <w:sz w:val="21"/>
          <w:szCs w:val="21"/>
        </w:rPr>
        <w:t>扣亏</w:t>
      </w:r>
      <w:r>
        <w:rPr>
          <w:rFonts w:ascii="宋体" w:hAnsi="宋体" w:cs="宋体" w:eastAsia="宋体" w:hint="default"/>
          <w:spacing w:val="-3"/>
          <w:w w:val="100"/>
          <w:sz w:val="21"/>
          <w:szCs w:val="21"/>
        </w:rPr>
        <w:t>损</w:t>
      </w:r>
      <w:r>
        <w:rPr>
          <w:rFonts w:ascii="宋体" w:hAnsi="宋体" w:cs="宋体" w:eastAsia="宋体" w:hint="default"/>
          <w:w w:val="100"/>
          <w:sz w:val="21"/>
          <w:szCs w:val="21"/>
        </w:rPr>
        <w:t>和</w:t>
      </w:r>
    </w:p>
    <w:p>
      <w:pPr>
        <w:spacing w:after="0"/>
        <w:jc w:val="left"/>
        <w:rPr>
          <w:rFonts w:ascii="宋体" w:hAnsi="宋体" w:cs="宋体" w:eastAsia="宋体" w:hint="default"/>
          <w:sz w:val="21"/>
          <w:szCs w:val="21"/>
        </w:rPr>
        <w:sectPr>
          <w:pgSz w:w="11910" w:h="16840"/>
          <w:pgMar w:header="816" w:footer="858" w:top="1160" w:bottom="1040" w:left="1660" w:right="1580"/>
        </w:sectPr>
      </w:pPr>
    </w:p>
    <w:p>
      <w:pPr>
        <w:spacing w:line="240" w:lineRule="auto" w:before="4"/>
        <w:rPr>
          <w:rFonts w:ascii="宋体" w:hAnsi="宋体" w:cs="宋体" w:eastAsia="宋体" w:hint="default"/>
          <w:sz w:val="14"/>
          <w:szCs w:val="14"/>
        </w:rPr>
      </w:pPr>
    </w:p>
    <w:p>
      <w:pPr>
        <w:spacing w:line="357" w:lineRule="auto" w:before="36"/>
        <w:ind w:left="398" w:right="283" w:firstLine="0"/>
        <w:jc w:val="left"/>
        <w:rPr>
          <w:rFonts w:ascii="宋体" w:hAnsi="宋体" w:cs="宋体" w:eastAsia="宋体" w:hint="default"/>
          <w:sz w:val="21"/>
          <w:szCs w:val="21"/>
        </w:rPr>
      </w:pPr>
      <w:r>
        <w:rPr>
          <w:rFonts w:ascii="宋体" w:hAnsi="宋体" w:cs="宋体" w:eastAsia="宋体" w:hint="default"/>
          <w:spacing w:val="-4"/>
          <w:sz w:val="21"/>
          <w:szCs w:val="21"/>
        </w:rPr>
        <w:t>税款抵减的应纳税所得额为限。对子公司、联营企业及合营企业投资相关的应纳税暂时性差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异产生的递延所得税负债，予以确认，但同时满足能够控制应纳税暂时性差异转回的时间且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该暂时性差异在可预见的未来很可能不会转回的，不予确认；对子公司、联营企业及合营企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业投资相关的可抵扣暂时性差异产生的递延所得税资产，该可抵扣暂时性差异同时满足在可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预见的未来很可能转回即在可预见的将来有处置该项投资的明确计划，且预计在处置该项投</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2"/>
          <w:sz w:val="21"/>
          <w:szCs w:val="21"/>
        </w:rPr>
        <w:t>资时，除了有足够的应纳税所得以外，还有足够的投资收益用以抵扣可抵扣暂时性差异时，</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予以确认。</w:t>
      </w:r>
    </w:p>
    <w:p>
      <w:pPr>
        <w:spacing w:line="357" w:lineRule="auto" w:before="30"/>
        <w:ind w:left="398" w:right="388" w:firstLine="419"/>
        <w:jc w:val="both"/>
        <w:rPr>
          <w:rFonts w:ascii="宋体" w:hAnsi="宋体" w:cs="宋体" w:eastAsia="宋体" w:hint="default"/>
          <w:sz w:val="21"/>
          <w:szCs w:val="21"/>
        </w:rPr>
      </w:pPr>
      <w:r>
        <w:rPr>
          <w:rFonts w:ascii="宋体" w:hAnsi="宋体" w:cs="宋体" w:eastAsia="宋体" w:hint="default"/>
          <w:spacing w:val="-4"/>
          <w:sz w:val="21"/>
          <w:szCs w:val="21"/>
        </w:rPr>
        <w:t>资产负债表日，对递延所得税资产的账面价值进行复核。除企业合并、直接在所有者权</w:t>
      </w:r>
      <w:r>
        <w:rPr>
          <w:rFonts w:ascii="宋体" w:hAnsi="宋体" w:cs="宋体" w:eastAsia="宋体" w:hint="default"/>
          <w:w w:val="100"/>
          <w:sz w:val="21"/>
          <w:szCs w:val="21"/>
        </w:rPr>
        <w:t> </w:t>
      </w:r>
      <w:r>
        <w:rPr>
          <w:rFonts w:ascii="宋体" w:hAnsi="宋体" w:cs="宋体" w:eastAsia="宋体" w:hint="default"/>
          <w:spacing w:val="-4"/>
          <w:w w:val="100"/>
          <w:sz w:val="21"/>
          <w:szCs w:val="21"/>
        </w:rPr>
        <w:t>益中确认的交易或者事项产生的所得税外，本公司将当期所得税和递延所得税作为所得税费</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用或收益计入当期损益。</w:t>
      </w:r>
    </w:p>
    <w:p>
      <w:pPr>
        <w:spacing w:line="398" w:lineRule="auto" w:before="31"/>
        <w:ind w:left="818" w:right="4176" w:firstLine="2"/>
        <w:jc w:val="left"/>
        <w:rPr>
          <w:rFonts w:ascii="宋体" w:hAnsi="宋体" w:cs="宋体" w:eastAsia="宋体" w:hint="default"/>
          <w:sz w:val="21"/>
          <w:szCs w:val="21"/>
        </w:rPr>
      </w:pPr>
      <w:r>
        <w:rPr>
          <w:rFonts w:ascii="宋体" w:hAnsi="宋体" w:cs="宋体" w:eastAsia="宋体" w:hint="default"/>
          <w:b/>
          <w:bCs/>
          <w:spacing w:val="-1"/>
          <w:sz w:val="21"/>
          <w:szCs w:val="21"/>
        </w:rPr>
        <w:t>（二十五）主要会计政策、会计估计的变更</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Arial Narrow" w:hAnsi="Arial Narrow" w:cs="Arial Narrow" w:eastAsia="Arial Narrow" w:hint="default"/>
          <w:b/>
          <w:bCs/>
          <w:sz w:val="21"/>
          <w:szCs w:val="21"/>
        </w:rPr>
        <w:t>1.</w:t>
      </w:r>
      <w:r>
        <w:rPr>
          <w:rFonts w:ascii="Arial Narrow" w:hAnsi="Arial Narrow" w:cs="Arial Narrow" w:eastAsia="Arial Narrow" w:hint="default"/>
          <w:b/>
          <w:bCs/>
          <w:spacing w:val="-13"/>
          <w:sz w:val="21"/>
          <w:szCs w:val="21"/>
        </w:rPr>
        <w:t> </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z w:val="21"/>
          <w:szCs w:val="21"/>
        </w:rPr>
        <w:t>本报告期主要会计政策未发生变更。</w:t>
      </w:r>
    </w:p>
    <w:p>
      <w:pPr>
        <w:spacing w:line="338" w:lineRule="auto" w:before="0"/>
        <w:ind w:left="758" w:right="4176" w:firstLine="177"/>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z w:val="21"/>
          <w:szCs w:val="21"/>
        </w:rPr>
        <w:t>本报告期主要会计估计未发生变更。</w:t>
      </w:r>
    </w:p>
    <w:p>
      <w:pPr>
        <w:spacing w:line="240" w:lineRule="auto" w:before="6"/>
        <w:rPr>
          <w:rFonts w:ascii="宋体" w:hAnsi="宋体" w:cs="宋体" w:eastAsia="宋体" w:hint="default"/>
          <w:sz w:val="21"/>
          <w:szCs w:val="21"/>
        </w:rPr>
      </w:pPr>
    </w:p>
    <w:p>
      <w:pPr>
        <w:pStyle w:val="BodyText"/>
        <w:spacing w:line="240" w:lineRule="auto" w:before="0"/>
        <w:ind w:left="758" w:right="283"/>
        <w:jc w:val="left"/>
        <w:rPr>
          <w:rFonts w:ascii="黑体" w:hAnsi="黑体" w:cs="黑体" w:eastAsia="黑体" w:hint="default"/>
        </w:rPr>
      </w:pPr>
      <w:r>
        <w:rPr>
          <w:rFonts w:ascii="黑体" w:hAnsi="黑体" w:cs="黑体" w:eastAsia="黑体" w:hint="default"/>
        </w:rPr>
        <w:t>三、税项</w:t>
      </w:r>
    </w:p>
    <w:p>
      <w:pPr>
        <w:spacing w:line="240" w:lineRule="auto" w:before="5"/>
        <w:rPr>
          <w:rFonts w:ascii="黑体" w:hAnsi="黑体" w:cs="黑体" w:eastAsia="黑体" w:hint="default"/>
          <w:sz w:val="21"/>
          <w:szCs w:val="21"/>
        </w:rPr>
      </w:pPr>
    </w:p>
    <w:p>
      <w:pPr>
        <w:spacing w:before="0"/>
        <w:ind w:left="755" w:right="283" w:firstLine="0"/>
        <w:jc w:val="left"/>
        <w:rPr>
          <w:rFonts w:ascii="宋体" w:hAnsi="宋体" w:cs="宋体" w:eastAsia="宋体" w:hint="default"/>
          <w:sz w:val="21"/>
          <w:szCs w:val="21"/>
        </w:rPr>
      </w:pPr>
      <w:r>
        <w:rPr>
          <w:rFonts w:ascii="宋体" w:hAnsi="宋体" w:cs="宋体" w:eastAsia="宋体" w:hint="default"/>
          <w:b/>
          <w:bCs/>
          <w:sz w:val="21"/>
          <w:szCs w:val="21"/>
        </w:rPr>
        <w:t>（一）主要税种和税率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17"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1610"/>
        <w:gridCol w:w="3867"/>
        <w:gridCol w:w="1757"/>
        <w:gridCol w:w="1611"/>
      </w:tblGrid>
      <w:tr>
        <w:trPr>
          <w:trHeight w:val="362" w:hRule="exact"/>
        </w:trPr>
        <w:tc>
          <w:tcPr>
            <w:tcW w:w="16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188"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58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51"/>
              <w:jc w:val="center"/>
              <w:rPr>
                <w:rFonts w:ascii="宋体" w:hAnsi="宋体" w:cs="宋体" w:eastAsia="宋体" w:hint="default"/>
                <w:sz w:val="21"/>
                <w:szCs w:val="21"/>
              </w:rPr>
            </w:pPr>
            <w:r>
              <w:rPr>
                <w:rFonts w:ascii="宋体" w:hAnsi="宋体" w:cs="宋体" w:eastAsia="宋体" w:hint="default"/>
                <w:sz w:val="21"/>
                <w:szCs w:val="21"/>
              </w:rPr>
              <w:t>服务等收入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5%</w:t>
            </w:r>
            <w:r>
              <w:rPr>
                <w:rFonts w:ascii="宋体" w:hAnsi="宋体" w:cs="宋体" w:eastAsia="宋体" w:hint="default"/>
                <w:sz w:val="21"/>
                <w:szCs w:val="21"/>
              </w:rPr>
              <w:t>、</w:t>
            </w:r>
            <w:r>
              <w:rPr>
                <w:rFonts w:ascii="Arial Narrow" w:hAnsi="Arial Narrow" w:cs="Arial Narrow" w:eastAsia="Arial Narrow" w:hint="default"/>
                <w:sz w:val="21"/>
                <w:szCs w:val="21"/>
              </w:rPr>
              <w:t>3%</w:t>
            </w:r>
          </w:p>
        </w:tc>
        <w:tc>
          <w:tcPr>
            <w:tcW w:w="161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销售或提供加工、修理修配劳务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17%</w:t>
            </w: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left="622"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w:t>
            </w:r>
          </w:p>
        </w:tc>
      </w:tr>
      <w:tr>
        <w:trPr>
          <w:trHeight w:val="355"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7%</w:t>
            </w:r>
          </w:p>
        </w:tc>
        <w:tc>
          <w:tcPr>
            <w:tcW w:w="1611" w:type="dxa"/>
            <w:vMerge w:val="restart"/>
            <w:tcBorders>
              <w:top w:val="single" w:sz="6" w:space="0" w:color="000000"/>
              <w:left w:val="single" w:sz="6" w:space="0" w:color="000000"/>
              <w:right w:val="nil" w:sz="6" w:space="0" w:color="auto"/>
            </w:tcBorders>
          </w:tcPr>
          <w:p>
            <w:pPr/>
          </w:p>
        </w:tc>
      </w:tr>
      <w:tr>
        <w:trPr>
          <w:trHeight w:val="355"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3%</w:t>
            </w:r>
          </w:p>
        </w:tc>
        <w:tc>
          <w:tcPr>
            <w:tcW w:w="1611" w:type="dxa"/>
            <w:vMerge/>
            <w:tcBorders>
              <w:left w:val="single" w:sz="6" w:space="0" w:color="000000"/>
              <w:right w:val="nil" w:sz="6" w:space="0" w:color="auto"/>
            </w:tcBorders>
          </w:tcPr>
          <w:p>
            <w:pPr/>
          </w:p>
        </w:tc>
      </w:tr>
      <w:tr>
        <w:trPr>
          <w:trHeight w:val="362" w:hRule="exact"/>
        </w:trPr>
        <w:tc>
          <w:tcPr>
            <w:tcW w:w="1610"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地方教育附加</w:t>
            </w:r>
          </w:p>
        </w:tc>
        <w:tc>
          <w:tcPr>
            <w:tcW w:w="386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sz w:val="21"/>
              </w:rPr>
              <w:t>1%</w:t>
            </w:r>
          </w:p>
        </w:tc>
        <w:tc>
          <w:tcPr>
            <w:tcW w:w="1611" w:type="dxa"/>
            <w:vMerge/>
            <w:tcBorders>
              <w:left w:val="single" w:sz="6" w:space="0" w:color="000000"/>
              <w:bottom w:val="single" w:sz="12" w:space="0" w:color="000000"/>
              <w:right w:val="nil" w:sz="6" w:space="0" w:color="auto"/>
            </w:tcBorders>
          </w:tcPr>
          <w:p>
            <w:pPr/>
          </w:p>
        </w:tc>
      </w:tr>
    </w:tbl>
    <w:p>
      <w:pPr>
        <w:spacing w:before="26"/>
        <w:ind w:left="820"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9" w:type="dxa"/>
        <w:tblLayout w:type="fixed"/>
        <w:tblCellMar>
          <w:top w:w="0" w:type="dxa"/>
          <w:left w:w="0" w:type="dxa"/>
          <w:bottom w:w="0" w:type="dxa"/>
          <w:right w:w="0" w:type="dxa"/>
        </w:tblCellMar>
        <w:tblLook w:val="01E0"/>
      </w:tblPr>
      <w:tblGrid>
        <w:gridCol w:w="4472"/>
        <w:gridCol w:w="1546"/>
        <w:gridCol w:w="2808"/>
      </w:tblGrid>
      <w:tr>
        <w:trPr>
          <w:trHeight w:val="365" w:hRule="exact"/>
        </w:trPr>
        <w:tc>
          <w:tcPr>
            <w:tcW w:w="44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9"/>
                <w:szCs w:val="19"/>
              </w:rPr>
            </w:pPr>
            <w:r>
              <w:rPr>
                <w:rFonts w:ascii="宋体" w:hAnsi="宋体" w:cs="宋体" w:eastAsia="宋体" w:hint="default"/>
                <w:sz w:val="19"/>
                <w:szCs w:val="19"/>
              </w:rPr>
              <w:t>公司名称</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宋体" w:hAnsi="宋体" w:cs="宋体" w:eastAsia="宋体" w:hint="default"/>
                <w:sz w:val="19"/>
                <w:szCs w:val="19"/>
              </w:rPr>
            </w:pPr>
            <w:r>
              <w:rPr>
                <w:rFonts w:ascii="宋体" w:hAnsi="宋体" w:cs="宋体" w:eastAsia="宋体" w:hint="default"/>
                <w:sz w:val="19"/>
                <w:szCs w:val="19"/>
              </w:rPr>
              <w:t>税率</w:t>
            </w:r>
          </w:p>
        </w:tc>
        <w:tc>
          <w:tcPr>
            <w:tcW w:w="28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9"/>
                <w:szCs w:val="19"/>
              </w:rPr>
            </w:pPr>
            <w:r>
              <w:rPr>
                <w:rFonts w:ascii="宋体" w:hAnsi="宋体" w:cs="宋体" w:eastAsia="宋体" w:hint="default"/>
                <w:sz w:val="19"/>
                <w:szCs w:val="19"/>
              </w:rPr>
              <w:t>备注</w:t>
            </w: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
              <w:jc w:val="center"/>
              <w:rPr>
                <w:rFonts w:ascii="Arial Narrow" w:hAnsi="Arial Narrow" w:cs="Arial Narrow" w:eastAsia="Arial Narrow" w:hint="default"/>
                <w:sz w:val="19"/>
                <w:szCs w:val="19"/>
              </w:rPr>
            </w:pPr>
            <w:r>
              <w:rPr>
                <w:rFonts w:ascii="Arial Narrow"/>
                <w:sz w:val="19"/>
              </w:rPr>
              <w:t>15%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.2</w:t>
            </w:r>
          </w:p>
        </w:tc>
      </w:tr>
      <w:tr>
        <w:trPr>
          <w:trHeight w:val="353"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北京技术服务分公司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
              <w:jc w:val="center"/>
              <w:rPr>
                <w:rFonts w:ascii="Arial Narrow" w:hAnsi="Arial Narrow" w:cs="Arial Narrow" w:eastAsia="Arial Narrow" w:hint="default"/>
                <w:sz w:val="19"/>
                <w:szCs w:val="19"/>
              </w:rPr>
            </w:pPr>
            <w:r>
              <w:rPr>
                <w:rFonts w:ascii="Arial Narrow"/>
                <w:sz w:val="19"/>
              </w:rPr>
              <w:t>25%</w:t>
            </w:r>
          </w:p>
        </w:tc>
        <w:tc>
          <w:tcPr>
            <w:tcW w:w="28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15%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.2</w:t>
            </w: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安徽鑫龙电器元件销售有限公司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25%</w:t>
            </w:r>
          </w:p>
        </w:tc>
        <w:tc>
          <w:tcPr>
            <w:tcW w:w="28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15%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.2</w:t>
            </w: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15%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.2</w:t>
            </w:r>
          </w:p>
        </w:tc>
      </w:tr>
      <w:tr>
        <w:trPr>
          <w:trHeight w:val="355" w:hRule="exact"/>
        </w:trPr>
        <w:tc>
          <w:tcPr>
            <w:tcW w:w="4472"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15%</w:t>
            </w:r>
          </w:p>
        </w:tc>
        <w:tc>
          <w:tcPr>
            <w:tcW w:w="2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.2</w:t>
            </w:r>
          </w:p>
        </w:tc>
      </w:tr>
      <w:tr>
        <w:trPr>
          <w:trHeight w:val="362" w:hRule="exact"/>
        </w:trPr>
        <w:tc>
          <w:tcPr>
            <w:tcW w:w="4472" w:type="dxa"/>
            <w:tcBorders>
              <w:top w:val="single" w:sz="6" w:space="0" w:color="000000"/>
              <w:left w:val="nil" w:sz="6" w:space="0" w:color="auto"/>
              <w:bottom w:val="single" w:sz="12" w:space="0" w:color="000000"/>
              <w:right w:val="single" w:sz="6" w:space="0" w:color="000000"/>
            </w:tcBorders>
          </w:tcPr>
          <w:p>
            <w:pPr>
              <w:pStyle w:val="TableParagraph"/>
              <w:spacing w:line="272" w:lineRule="exact"/>
              <w:ind w:left="40" w:right="0"/>
              <w:jc w:val="left"/>
              <w:rPr>
                <w:rFonts w:ascii="宋体" w:hAnsi="宋体" w:cs="宋体" w:eastAsia="宋体" w:hint="default"/>
                <w:sz w:val="21"/>
                <w:szCs w:val="21"/>
              </w:rPr>
            </w:pPr>
            <w:r>
              <w:rPr>
                <w:rFonts w:ascii="宋体" w:hAnsi="宋体" w:cs="宋体" w:eastAsia="宋体" w:hint="default"/>
                <w:sz w:val="21"/>
                <w:szCs w:val="21"/>
              </w:rPr>
              <w:t>安徽鑫龙电力工程安装有限公司</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2"/>
              <w:jc w:val="center"/>
              <w:rPr>
                <w:rFonts w:ascii="宋体" w:hAnsi="宋体" w:cs="宋体" w:eastAsia="宋体" w:hint="default"/>
                <w:sz w:val="19"/>
                <w:szCs w:val="19"/>
              </w:rPr>
            </w:pPr>
            <w:r>
              <w:rPr>
                <w:rFonts w:ascii="宋体" w:hAnsi="宋体" w:cs="宋体" w:eastAsia="宋体" w:hint="default"/>
                <w:sz w:val="19"/>
                <w:szCs w:val="19"/>
              </w:rPr>
              <w:t>核定征收</w:t>
            </w:r>
          </w:p>
        </w:tc>
        <w:tc>
          <w:tcPr>
            <w:tcW w:w="2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.3</w:t>
            </w:r>
          </w:p>
        </w:tc>
      </w:tr>
    </w:tbl>
    <w:p>
      <w:pPr>
        <w:spacing w:after="0" w:line="240" w:lineRule="auto"/>
        <w:jc w:val="center"/>
        <w:rPr>
          <w:rFonts w:ascii="Arial Narrow" w:hAnsi="Arial Narrow" w:cs="Arial Narrow" w:eastAsia="Arial Narrow" w:hint="default"/>
          <w:sz w:val="19"/>
          <w:szCs w:val="19"/>
        </w:rPr>
        <w:sectPr>
          <w:pgSz w:w="11910" w:h="16840"/>
          <w:pgMar w:header="816" w:footer="858" w:top="1160" w:bottom="1040" w:left="1400" w:right="1400"/>
        </w:sectPr>
      </w:pPr>
    </w:p>
    <w:p>
      <w:pPr>
        <w:spacing w:line="240" w:lineRule="auto" w:before="9"/>
        <w:rPr>
          <w:rFonts w:ascii="宋体" w:hAnsi="宋体" w:cs="宋体" w:eastAsia="宋体" w:hint="default"/>
          <w:b/>
          <w:bCs/>
          <w:sz w:val="19"/>
          <w:szCs w:val="19"/>
        </w:rPr>
      </w:pPr>
    </w:p>
    <w:tbl>
      <w:tblPr>
        <w:tblW w:w="0" w:type="auto"/>
        <w:jc w:val="left"/>
        <w:tblInd w:w="219" w:type="dxa"/>
        <w:tblLayout w:type="fixed"/>
        <w:tblCellMar>
          <w:top w:w="0" w:type="dxa"/>
          <w:left w:w="0" w:type="dxa"/>
          <w:bottom w:w="0" w:type="dxa"/>
          <w:right w:w="0" w:type="dxa"/>
        </w:tblCellMar>
        <w:tblLook w:val="01E0"/>
      </w:tblPr>
      <w:tblGrid>
        <w:gridCol w:w="4472"/>
        <w:gridCol w:w="1546"/>
        <w:gridCol w:w="2808"/>
      </w:tblGrid>
      <w:tr>
        <w:trPr>
          <w:trHeight w:val="363" w:hRule="exact"/>
        </w:trPr>
        <w:tc>
          <w:tcPr>
            <w:tcW w:w="44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left="13" w:right="0"/>
              <w:jc w:val="center"/>
              <w:rPr>
                <w:rFonts w:ascii="宋体" w:hAnsi="宋体" w:cs="宋体" w:eastAsia="宋体" w:hint="default"/>
                <w:sz w:val="19"/>
                <w:szCs w:val="19"/>
              </w:rPr>
            </w:pPr>
            <w:r>
              <w:rPr>
                <w:rFonts w:ascii="宋体" w:hAnsi="宋体" w:cs="宋体" w:eastAsia="宋体" w:hint="default"/>
                <w:sz w:val="19"/>
                <w:szCs w:val="19"/>
              </w:rPr>
              <w:t>公司名称</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宋体" w:hAnsi="宋体" w:cs="宋体" w:eastAsia="宋体" w:hint="default"/>
                <w:sz w:val="19"/>
                <w:szCs w:val="19"/>
              </w:rPr>
            </w:pPr>
            <w:r>
              <w:rPr>
                <w:rFonts w:ascii="宋体" w:hAnsi="宋体" w:cs="宋体" w:eastAsia="宋体" w:hint="default"/>
                <w:sz w:val="19"/>
                <w:szCs w:val="19"/>
              </w:rPr>
              <w:t>税率</w:t>
            </w:r>
          </w:p>
        </w:tc>
        <w:tc>
          <w:tcPr>
            <w:tcW w:w="28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5"/>
              <w:jc w:val="center"/>
              <w:rPr>
                <w:rFonts w:ascii="宋体" w:hAnsi="宋体" w:cs="宋体" w:eastAsia="宋体" w:hint="default"/>
                <w:sz w:val="19"/>
                <w:szCs w:val="19"/>
              </w:rPr>
            </w:pPr>
            <w:r>
              <w:rPr>
                <w:rFonts w:ascii="宋体" w:hAnsi="宋体" w:cs="宋体" w:eastAsia="宋体" w:hint="default"/>
                <w:sz w:val="19"/>
                <w:szCs w:val="19"/>
              </w:rPr>
              <w:t>备注</w:t>
            </w:r>
          </w:p>
        </w:tc>
      </w:tr>
      <w:tr>
        <w:trPr>
          <w:trHeight w:val="362" w:hRule="exact"/>
        </w:trPr>
        <w:tc>
          <w:tcPr>
            <w:tcW w:w="447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芜湖斯高思电器有限公司</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3"/>
              <w:jc w:val="center"/>
              <w:rPr>
                <w:rFonts w:ascii="Arial Narrow" w:hAnsi="Arial Narrow" w:cs="Arial Narrow" w:eastAsia="Arial Narrow" w:hint="default"/>
                <w:sz w:val="19"/>
                <w:szCs w:val="19"/>
              </w:rPr>
            </w:pPr>
            <w:r>
              <w:rPr>
                <w:rFonts w:ascii="Arial Narrow"/>
                <w:sz w:val="19"/>
              </w:rPr>
              <w:t>12.5%</w:t>
            </w:r>
          </w:p>
        </w:tc>
        <w:tc>
          <w:tcPr>
            <w:tcW w:w="2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2"/>
              <w:jc w:val="center"/>
              <w:rPr>
                <w:rFonts w:ascii="Arial Narrow" w:hAnsi="Arial Narrow" w:cs="Arial Narrow" w:eastAsia="Arial Narrow" w:hint="default"/>
                <w:sz w:val="19"/>
                <w:szCs w:val="19"/>
              </w:rPr>
            </w:pPr>
            <w:r>
              <w:rPr>
                <w:rFonts w:ascii="宋体" w:hAnsi="宋体" w:cs="宋体" w:eastAsia="宋体" w:hint="default"/>
                <w:sz w:val="19"/>
                <w:szCs w:val="19"/>
              </w:rPr>
              <w:t>注</w:t>
            </w:r>
            <w:r>
              <w:rPr>
                <w:rFonts w:ascii="Arial Narrow" w:hAnsi="Arial Narrow" w:cs="Arial Narrow" w:eastAsia="Arial Narrow" w:hint="default"/>
                <w:sz w:val="19"/>
                <w:szCs w:val="19"/>
              </w:rPr>
              <w:t>.4</w:t>
            </w:r>
          </w:p>
        </w:tc>
      </w:tr>
    </w:tbl>
    <w:p>
      <w:pPr>
        <w:spacing w:line="240" w:lineRule="auto" w:before="4"/>
        <w:rPr>
          <w:rFonts w:ascii="宋体" w:hAnsi="宋体" w:cs="宋体" w:eastAsia="宋体" w:hint="default"/>
          <w:b/>
          <w:bCs/>
          <w:sz w:val="22"/>
          <w:szCs w:val="22"/>
        </w:rPr>
      </w:pPr>
    </w:p>
    <w:p>
      <w:pPr>
        <w:spacing w:line="338" w:lineRule="auto" w:before="36"/>
        <w:ind w:left="498" w:right="488"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 </w:t>
      </w:r>
      <w:r>
        <w:rPr>
          <w:rFonts w:ascii="宋体" w:hAnsi="宋体" w:cs="宋体" w:eastAsia="宋体" w:hint="default"/>
          <w:sz w:val="21"/>
          <w:szCs w:val="21"/>
        </w:rPr>
        <w:t>根据财税【</w:t>
      </w:r>
      <w:r>
        <w:rPr>
          <w:rFonts w:ascii="Arial Narrow" w:hAnsi="Arial Narrow" w:cs="Arial Narrow" w:eastAsia="Arial Narrow" w:hint="default"/>
          <w:sz w:val="21"/>
          <w:szCs w:val="21"/>
        </w:rPr>
        <w:t>2000</w:t>
      </w:r>
      <w:r>
        <w:rPr>
          <w:rFonts w:ascii="宋体" w:hAnsi="宋体" w:cs="宋体" w:eastAsia="宋体" w:hint="default"/>
          <w:sz w:val="21"/>
          <w:szCs w:val="21"/>
        </w:rPr>
        <w:t>】</w:t>
      </w:r>
      <w:r>
        <w:rPr>
          <w:rFonts w:ascii="Arial Narrow" w:hAnsi="Arial Narrow" w:cs="Arial Narrow" w:eastAsia="Arial Narrow" w:hint="default"/>
          <w:sz w:val="21"/>
          <w:szCs w:val="21"/>
        </w:rPr>
        <w:t>25 </w:t>
      </w:r>
      <w:r>
        <w:rPr>
          <w:rFonts w:ascii="宋体" w:hAnsi="宋体" w:cs="宋体" w:eastAsia="宋体" w:hint="default"/>
          <w:sz w:val="21"/>
          <w:szCs w:val="21"/>
        </w:rPr>
        <w:t>号文规定，安徽鑫龙自动化有限公司自 </w:t>
      </w:r>
      <w:r>
        <w:rPr>
          <w:rFonts w:ascii="Arial Narrow" w:hAnsi="Arial Narrow" w:cs="Arial Narrow" w:eastAsia="Arial Narrow" w:hint="default"/>
          <w:sz w:val="21"/>
          <w:szCs w:val="21"/>
        </w:rPr>
        <w:t>2003 </w:t>
      </w:r>
      <w:r>
        <w:rPr>
          <w:rFonts w:ascii="宋体" w:hAnsi="宋体" w:cs="宋体" w:eastAsia="宋体" w:hint="default"/>
          <w:sz w:val="21"/>
          <w:szCs w:val="21"/>
        </w:rPr>
        <w:t>年 </w:t>
      </w:r>
      <w:r>
        <w:rPr>
          <w:rFonts w:ascii="Arial Narrow" w:hAnsi="Arial Narrow" w:cs="Arial Narrow" w:eastAsia="Arial Narrow" w:hint="default"/>
          <w:sz w:val="21"/>
          <w:szCs w:val="21"/>
        </w:rPr>
        <w:t>4 </w:t>
      </w:r>
      <w:r>
        <w:rPr>
          <w:rFonts w:ascii="宋体" w:hAnsi="宋体" w:cs="宋体" w:eastAsia="宋体" w:hint="default"/>
          <w:sz w:val="21"/>
          <w:szCs w:val="21"/>
        </w:rPr>
        <w:t>月起至</w:t>
      </w:r>
      <w:r>
        <w:rPr>
          <w:rFonts w:ascii="宋体" w:hAnsi="宋体" w:cs="宋体" w:eastAsia="宋体" w:hint="default"/>
          <w:spacing w:val="-8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w w:val="100"/>
          <w:sz w:val="21"/>
          <w:szCs w:val="21"/>
        </w:rPr>
        <w:t> </w:t>
      </w:r>
      <w:r>
        <w:rPr>
          <w:rFonts w:ascii="宋体" w:hAnsi="宋体" w:cs="宋体" w:eastAsia="宋体" w:hint="default"/>
          <w:sz w:val="21"/>
          <w:szCs w:val="21"/>
        </w:rPr>
        <w:t>年底以前，对其按 </w:t>
      </w:r>
      <w:r>
        <w:rPr>
          <w:rFonts w:ascii="Arial Narrow" w:hAnsi="Arial Narrow" w:cs="Arial Narrow" w:eastAsia="Arial Narrow" w:hint="default"/>
          <w:sz w:val="21"/>
          <w:szCs w:val="21"/>
        </w:rPr>
        <w:t>17%</w:t>
      </w:r>
      <w:r>
        <w:rPr>
          <w:rFonts w:ascii="宋体" w:hAnsi="宋体" w:cs="宋体" w:eastAsia="宋体" w:hint="default"/>
          <w:sz w:val="21"/>
          <w:szCs w:val="21"/>
        </w:rPr>
        <w:t>的法定税率征收增值税后，其增值税实际税负超过</w:t>
      </w:r>
      <w:r>
        <w:rPr>
          <w:rFonts w:ascii="宋体" w:hAnsi="宋体" w:cs="宋体" w:eastAsia="宋体" w:hint="default"/>
          <w:spacing w:val="-58"/>
          <w:sz w:val="21"/>
          <w:szCs w:val="21"/>
        </w:rPr>
        <w:t> </w:t>
      </w:r>
      <w:r>
        <w:rPr>
          <w:rFonts w:ascii="Arial Narrow" w:hAnsi="Arial Narrow" w:cs="Arial Narrow" w:eastAsia="Arial Narrow" w:hint="default"/>
          <w:sz w:val="21"/>
          <w:szCs w:val="21"/>
        </w:rPr>
        <w:t>3%</w:t>
      </w:r>
      <w:r>
        <w:rPr>
          <w:rFonts w:ascii="宋体" w:hAnsi="宋体" w:cs="宋体" w:eastAsia="宋体" w:hint="default"/>
          <w:sz w:val="21"/>
          <w:szCs w:val="21"/>
        </w:rPr>
        <w:t>的部分实行即</w:t>
      </w:r>
      <w:r>
        <w:rPr>
          <w:rFonts w:ascii="宋体" w:hAnsi="宋体" w:cs="宋体" w:eastAsia="宋体" w:hint="default"/>
          <w:w w:val="100"/>
          <w:sz w:val="21"/>
          <w:szCs w:val="21"/>
        </w:rPr>
        <w:t> </w:t>
      </w:r>
      <w:r>
        <w:rPr>
          <w:rFonts w:ascii="宋体" w:hAnsi="宋体" w:cs="宋体" w:eastAsia="宋体" w:hint="default"/>
          <w:sz w:val="21"/>
          <w:szCs w:val="21"/>
        </w:rPr>
        <w:t>征即退政策。</w:t>
      </w:r>
    </w:p>
    <w:p>
      <w:pPr>
        <w:spacing w:line="343" w:lineRule="auto" w:before="49"/>
        <w:ind w:left="498" w:right="488" w:firstLine="419"/>
        <w:jc w:val="both"/>
        <w:rPr>
          <w:rFonts w:ascii="宋体" w:hAnsi="宋体" w:cs="宋体" w:eastAsia="宋体" w:hint="default"/>
          <w:sz w:val="21"/>
          <w:szCs w:val="21"/>
        </w:rPr>
      </w:pPr>
      <w:r>
        <w:rPr>
          <w:rFonts w:ascii="宋体" w:hAnsi="宋体" w:cs="宋体" w:eastAsia="宋体" w:hint="default"/>
          <w:spacing w:val="-1"/>
          <w:w w:val="100"/>
          <w:sz w:val="21"/>
          <w:szCs w:val="21"/>
        </w:rPr>
        <w:t>注</w:t>
      </w:r>
      <w:r>
        <w:rPr>
          <w:rFonts w:ascii="Arial Narrow" w:hAnsi="Arial Narrow" w:cs="Arial Narrow" w:eastAsia="Arial Narrow" w:hint="default"/>
          <w:spacing w:val="-1"/>
          <w:w w:val="100"/>
          <w:sz w:val="21"/>
          <w:szCs w:val="21"/>
        </w:rPr>
        <w:t>.2</w:t>
      </w:r>
      <w:r>
        <w:rPr>
          <w:rFonts w:ascii="Arial Narrow" w:hAnsi="Arial Narrow" w:cs="Arial Narrow" w:eastAsia="Arial Narrow" w:hint="default"/>
          <w:spacing w:val="6"/>
          <w:w w:val="100"/>
          <w:sz w:val="21"/>
          <w:szCs w:val="21"/>
        </w:rPr>
        <w:t> </w:t>
      </w:r>
      <w:r>
        <w:rPr>
          <w:rFonts w:ascii="宋体" w:hAnsi="宋体" w:cs="宋体" w:eastAsia="宋体" w:hint="default"/>
          <w:spacing w:val="-5"/>
          <w:w w:val="100"/>
          <w:sz w:val="21"/>
          <w:szCs w:val="21"/>
        </w:rPr>
        <w:t>根据科技部、财政部、国家税务总局《高新技术企业认定管理办法》，安徽鑫龙电</w:t>
      </w:r>
      <w:r>
        <w:rPr>
          <w:rFonts w:ascii="宋体" w:hAnsi="宋体" w:cs="宋体" w:eastAsia="宋体" w:hint="default"/>
          <w:w w:val="100"/>
          <w:sz w:val="21"/>
          <w:szCs w:val="21"/>
        </w:rPr>
        <w:t> </w:t>
      </w:r>
      <w:r>
        <w:rPr>
          <w:rFonts w:ascii="宋体" w:hAnsi="宋体" w:cs="宋体" w:eastAsia="宋体" w:hint="default"/>
          <w:spacing w:val="-4"/>
          <w:sz w:val="21"/>
          <w:szCs w:val="21"/>
        </w:rPr>
        <w:t>器股份有限公司本部和其控股子公司安徽森源电器有限公司、安徽鑫龙自动化有限公司、安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徽鑫龙低压电器有限公司、安徽鑫龙变压器有限公司被认定为高新技术企业，自 </w:t>
      </w:r>
      <w:r>
        <w:rPr>
          <w:rFonts w:ascii="Arial Narrow" w:hAnsi="Arial Narrow" w:cs="Arial Narrow" w:eastAsia="Arial Narrow" w:hint="default"/>
          <w:sz w:val="21"/>
          <w:szCs w:val="21"/>
        </w:rPr>
        <w:t>2008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w w:val="100"/>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日起享受国家高新技术企业所得税等优惠政策，即适用</w:t>
      </w:r>
      <w:r>
        <w:rPr>
          <w:rFonts w:ascii="宋体" w:hAnsi="宋体" w:cs="宋体" w:eastAsia="宋体" w:hint="default"/>
          <w:spacing w:val="-55"/>
          <w:sz w:val="21"/>
          <w:szCs w:val="21"/>
        </w:rPr>
        <w:t> </w:t>
      </w:r>
      <w:r>
        <w:rPr>
          <w:rFonts w:ascii="Arial Narrow" w:hAnsi="Arial Narrow" w:cs="Arial Narrow" w:eastAsia="Arial Narrow" w:hint="default"/>
          <w:sz w:val="21"/>
          <w:szCs w:val="21"/>
        </w:rPr>
        <w:t>15%</w:t>
      </w:r>
      <w:r>
        <w:rPr>
          <w:rFonts w:ascii="宋体" w:hAnsi="宋体" w:cs="宋体" w:eastAsia="宋体" w:hint="default"/>
          <w:sz w:val="21"/>
          <w:szCs w:val="21"/>
        </w:rPr>
        <w:t>的企业所得税税率。</w:t>
      </w:r>
    </w:p>
    <w:p>
      <w:pPr>
        <w:spacing w:line="338" w:lineRule="auto" w:before="19"/>
        <w:ind w:left="498" w:right="489"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.3 </w:t>
      </w:r>
      <w:r>
        <w:rPr>
          <w:rFonts w:ascii="宋体" w:hAnsi="宋体" w:cs="宋体" w:eastAsia="宋体" w:hint="default"/>
          <w:spacing w:val="-4"/>
          <w:sz w:val="21"/>
          <w:szCs w:val="21"/>
        </w:rPr>
        <w:t>根据芜湖市地税局芜地税企所鸠核字（</w:t>
      </w:r>
      <w:r>
        <w:rPr>
          <w:rFonts w:ascii="Arial Narrow" w:hAnsi="Arial Narrow" w:cs="Arial Narrow" w:eastAsia="Arial Narrow" w:hint="default"/>
          <w:spacing w:val="-4"/>
          <w:sz w:val="21"/>
          <w:szCs w:val="21"/>
        </w:rPr>
        <w:t>2008</w:t>
      </w:r>
      <w:r>
        <w:rPr>
          <w:rFonts w:ascii="宋体" w:hAnsi="宋体" w:cs="宋体" w:eastAsia="宋体" w:hint="default"/>
          <w:spacing w:val="-4"/>
          <w:sz w:val="21"/>
          <w:szCs w:val="21"/>
        </w:rPr>
        <w:t>）地税字第 </w:t>
      </w:r>
      <w:r>
        <w:rPr>
          <w:rFonts w:ascii="Arial Narrow" w:hAnsi="Arial Narrow" w:cs="Arial Narrow" w:eastAsia="Arial Narrow" w:hint="default"/>
          <w:spacing w:val="-3"/>
          <w:sz w:val="21"/>
          <w:szCs w:val="21"/>
        </w:rPr>
        <w:t>110004</w:t>
      </w:r>
      <w:r>
        <w:rPr>
          <w:rFonts w:ascii="Arial Narrow" w:hAnsi="Arial Narrow" w:cs="Arial Narrow" w:eastAsia="Arial Narrow" w:hint="default"/>
          <w:spacing w:val="15"/>
          <w:sz w:val="21"/>
          <w:szCs w:val="21"/>
        </w:rPr>
        <w:t> </w:t>
      </w:r>
      <w:r>
        <w:rPr>
          <w:rFonts w:ascii="宋体" w:hAnsi="宋体" w:cs="宋体" w:eastAsia="宋体" w:hint="default"/>
          <w:spacing w:val="-4"/>
          <w:sz w:val="21"/>
          <w:szCs w:val="21"/>
        </w:rPr>
        <w:t>号通知书，安徽鑫龙</w:t>
      </w:r>
      <w:r>
        <w:rPr>
          <w:rFonts w:ascii="宋体" w:hAnsi="宋体" w:cs="宋体" w:eastAsia="宋体" w:hint="default"/>
          <w:w w:val="100"/>
          <w:sz w:val="21"/>
          <w:szCs w:val="21"/>
        </w:rPr>
        <w:t> </w:t>
      </w:r>
      <w:r>
        <w:rPr>
          <w:rFonts w:ascii="宋体" w:hAnsi="宋体" w:cs="宋体" w:eastAsia="宋体" w:hint="default"/>
          <w:sz w:val="21"/>
          <w:szCs w:val="21"/>
        </w:rPr>
        <w:t>电力安装工程有限公司自</w:t>
      </w:r>
      <w:r>
        <w:rPr>
          <w:rFonts w:ascii="宋体" w:hAnsi="宋体" w:cs="宋体" w:eastAsia="宋体" w:hint="default"/>
          <w:spacing w:val="-56"/>
          <w:sz w:val="21"/>
          <w:szCs w:val="21"/>
        </w:rPr>
        <w:t> </w:t>
      </w:r>
      <w:r>
        <w:rPr>
          <w:rFonts w:ascii="Arial Narrow" w:hAnsi="Arial Narrow" w:cs="Arial Narrow" w:eastAsia="Arial Narrow" w:hint="default"/>
          <w:sz w:val="21"/>
          <w:szCs w:val="21"/>
        </w:rPr>
        <w:t>2008</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日起实行核定征收方式征收企业所得税。</w:t>
      </w:r>
    </w:p>
    <w:p>
      <w:pPr>
        <w:spacing w:line="338" w:lineRule="auto" w:before="21"/>
        <w:ind w:left="498" w:right="488"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.4 </w:t>
      </w:r>
      <w:r>
        <w:rPr>
          <w:rFonts w:ascii="宋体" w:hAnsi="宋体" w:cs="宋体" w:eastAsia="宋体" w:hint="default"/>
          <w:sz w:val="21"/>
          <w:szCs w:val="21"/>
        </w:rPr>
        <w:t>根据芜税通【</w:t>
      </w:r>
      <w:r>
        <w:rPr>
          <w:rFonts w:ascii="Arial Narrow" w:hAnsi="Arial Narrow" w:cs="Arial Narrow" w:eastAsia="Arial Narrow" w:hint="default"/>
          <w:sz w:val="21"/>
          <w:szCs w:val="21"/>
        </w:rPr>
        <w:t>2009</w:t>
      </w:r>
      <w:r>
        <w:rPr>
          <w:rFonts w:ascii="宋体" w:hAnsi="宋体" w:cs="宋体" w:eastAsia="宋体" w:hint="default"/>
          <w:sz w:val="21"/>
          <w:szCs w:val="21"/>
        </w:rPr>
        <w:t>】</w:t>
      </w:r>
      <w:r>
        <w:rPr>
          <w:rFonts w:ascii="Arial Narrow" w:hAnsi="Arial Narrow" w:cs="Arial Narrow" w:eastAsia="Arial Narrow" w:hint="default"/>
          <w:sz w:val="21"/>
          <w:szCs w:val="21"/>
        </w:rPr>
        <w:t>5072 </w:t>
      </w:r>
      <w:r>
        <w:rPr>
          <w:rFonts w:ascii="宋体" w:hAnsi="宋体" w:cs="宋体" w:eastAsia="宋体" w:hint="default"/>
          <w:sz w:val="21"/>
          <w:szCs w:val="21"/>
        </w:rPr>
        <w:t>号文规定，芜湖斯高思电器有限公司 </w:t>
      </w:r>
      <w:r>
        <w:rPr>
          <w:rFonts w:ascii="Arial Narrow" w:hAnsi="Arial Narrow" w:cs="Arial Narrow" w:eastAsia="Arial Narrow" w:hint="default"/>
          <w:sz w:val="21"/>
          <w:szCs w:val="21"/>
        </w:rPr>
        <w:t>2009</w:t>
      </w:r>
      <w:r>
        <w:rPr>
          <w:rFonts w:ascii="Arial Narrow" w:hAnsi="Arial Narrow" w:cs="Arial Narrow" w:eastAsia="Arial Narrow" w:hint="default"/>
          <w:spacing w:val="-7"/>
          <w:sz w:val="21"/>
          <w:szCs w:val="21"/>
        </w:rPr>
        <w:t> </w:t>
      </w:r>
      <w:r>
        <w:rPr>
          <w:rFonts w:ascii="宋体" w:hAnsi="宋体" w:cs="宋体" w:eastAsia="宋体" w:hint="default"/>
          <w:sz w:val="21"/>
          <w:szCs w:val="21"/>
        </w:rPr>
        <w:t>年度免征企业</w:t>
      </w:r>
      <w:r>
        <w:rPr>
          <w:rFonts w:ascii="宋体" w:hAnsi="宋体" w:cs="宋体" w:eastAsia="宋体" w:hint="default"/>
          <w:w w:val="100"/>
          <w:sz w:val="21"/>
          <w:szCs w:val="21"/>
        </w:rPr>
        <w:t> </w:t>
      </w:r>
      <w:r>
        <w:rPr>
          <w:rFonts w:ascii="宋体" w:hAnsi="宋体" w:cs="宋体" w:eastAsia="宋体" w:hint="default"/>
          <w:sz w:val="21"/>
          <w:szCs w:val="21"/>
        </w:rPr>
        <w:t>所得税，</w:t>
      </w:r>
      <w:r>
        <w:rPr>
          <w:rFonts w:ascii="Arial Narrow" w:hAnsi="Arial Narrow" w:cs="Arial Narrow" w:eastAsia="Arial Narrow" w:hint="default"/>
          <w:sz w:val="21"/>
          <w:szCs w:val="21"/>
        </w:rPr>
        <w:t>2010 </w:t>
      </w:r>
      <w:r>
        <w:rPr>
          <w:rFonts w:ascii="宋体" w:hAnsi="宋体" w:cs="宋体" w:eastAsia="宋体" w:hint="default"/>
          <w:sz w:val="21"/>
          <w:szCs w:val="21"/>
        </w:rPr>
        <w:t>年－</w:t>
      </w:r>
      <w:r>
        <w:rPr>
          <w:rFonts w:ascii="Arial Narrow" w:hAnsi="Arial Narrow" w:cs="Arial Narrow" w:eastAsia="Arial Narrow" w:hint="default"/>
          <w:sz w:val="21"/>
          <w:szCs w:val="21"/>
        </w:rPr>
        <w:t>2012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年减半征收企业所得税。</w:t>
      </w:r>
    </w:p>
    <w:p>
      <w:pPr>
        <w:tabs>
          <w:tab w:pos="1217" w:val="left" w:leader="none"/>
        </w:tabs>
        <w:spacing w:before="81"/>
        <w:ind w:left="858" w:right="5021"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w:t>
        <w:tab/>
      </w:r>
      <w:r>
        <w:rPr>
          <w:rFonts w:ascii="宋体" w:hAnsi="宋体" w:cs="宋体" w:eastAsia="宋体" w:hint="default"/>
          <w:b/>
          <w:bCs/>
          <w:sz w:val="21"/>
          <w:szCs w:val="21"/>
        </w:rPr>
        <w:t>房产税</w:t>
      </w:r>
      <w:r>
        <w:rPr>
          <w:rFonts w:ascii="宋体" w:hAnsi="宋体" w:cs="宋体" w:eastAsia="宋体" w:hint="default"/>
          <w:sz w:val="21"/>
          <w:szCs w:val="21"/>
        </w:rPr>
      </w:r>
    </w:p>
    <w:p>
      <w:pPr>
        <w:spacing w:line="338" w:lineRule="auto" w:before="181"/>
        <w:ind w:left="498" w:right="489" w:firstLine="419"/>
        <w:jc w:val="both"/>
        <w:rPr>
          <w:rFonts w:ascii="宋体" w:hAnsi="宋体" w:cs="宋体" w:eastAsia="宋体" w:hint="default"/>
          <w:sz w:val="21"/>
          <w:szCs w:val="21"/>
        </w:rPr>
      </w:pPr>
      <w:r>
        <w:rPr>
          <w:rFonts w:ascii="宋体" w:hAnsi="宋体" w:cs="宋体" w:eastAsia="宋体" w:hint="default"/>
          <w:sz w:val="21"/>
          <w:szCs w:val="21"/>
        </w:rPr>
        <w:t>房产税按照房产原值的 </w:t>
      </w:r>
      <w:r>
        <w:rPr>
          <w:rFonts w:ascii="Arial Narrow" w:hAnsi="Arial Narrow" w:cs="Arial Narrow" w:eastAsia="Arial Narrow" w:hint="default"/>
          <w:spacing w:val="-4"/>
          <w:sz w:val="21"/>
          <w:szCs w:val="21"/>
        </w:rPr>
        <w:t>70%</w:t>
      </w:r>
      <w:r>
        <w:rPr>
          <w:rFonts w:ascii="宋体" w:hAnsi="宋体" w:cs="宋体" w:eastAsia="宋体" w:hint="default"/>
          <w:spacing w:val="-4"/>
          <w:sz w:val="21"/>
          <w:szCs w:val="21"/>
        </w:rPr>
        <w:t>为纳税基准，税率为</w:t>
      </w:r>
      <w:r>
        <w:rPr>
          <w:rFonts w:ascii="宋体" w:hAnsi="宋体" w:cs="宋体" w:eastAsia="宋体" w:hint="default"/>
          <w:spacing w:val="-65"/>
          <w:sz w:val="21"/>
          <w:szCs w:val="21"/>
        </w:rPr>
        <w:t> </w:t>
      </w:r>
      <w:r>
        <w:rPr>
          <w:rFonts w:ascii="Arial Narrow" w:hAnsi="Arial Narrow" w:cs="Arial Narrow" w:eastAsia="Arial Narrow" w:hint="default"/>
          <w:spacing w:val="-5"/>
          <w:sz w:val="21"/>
          <w:szCs w:val="21"/>
        </w:rPr>
        <w:t>1.2%</w:t>
      </w:r>
      <w:r>
        <w:rPr>
          <w:rFonts w:ascii="宋体" w:hAnsi="宋体" w:cs="宋体" w:eastAsia="宋体" w:hint="default"/>
          <w:spacing w:val="-5"/>
          <w:sz w:val="21"/>
          <w:szCs w:val="21"/>
        </w:rPr>
        <w:t>，或以租金收入为纳税基准，税率</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宋体" w:hAnsi="宋体" w:cs="宋体" w:eastAsia="宋体" w:hint="default"/>
          <w:sz w:val="21"/>
          <w:szCs w:val="21"/>
        </w:rPr>
        <w:t>。</w:t>
      </w:r>
    </w:p>
    <w:p>
      <w:pPr>
        <w:tabs>
          <w:tab w:pos="1217" w:val="left" w:leader="none"/>
        </w:tabs>
        <w:spacing w:line="388" w:lineRule="auto" w:before="81"/>
        <w:ind w:left="858" w:right="5021"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4.</w:t>
        <w:tab/>
      </w:r>
      <w:r>
        <w:rPr>
          <w:rFonts w:ascii="宋体" w:hAnsi="宋体" w:cs="宋体" w:eastAsia="宋体" w:hint="default"/>
          <w:b/>
          <w:bCs/>
          <w:sz w:val="21"/>
          <w:szCs w:val="21"/>
        </w:rPr>
        <w:t>个人所得税</w:t>
      </w:r>
      <w:r>
        <w:rPr>
          <w:rFonts w:ascii="宋体" w:hAnsi="宋体" w:cs="宋体" w:eastAsia="宋体" w:hint="default"/>
          <w:b/>
          <w:bCs/>
          <w:w w:val="100"/>
          <w:sz w:val="21"/>
          <w:szCs w:val="21"/>
        </w:rPr>
        <w:t> </w:t>
      </w:r>
      <w:r>
        <w:rPr>
          <w:rFonts w:ascii="宋体" w:hAnsi="宋体" w:cs="宋体" w:eastAsia="宋体" w:hint="default"/>
          <w:sz w:val="21"/>
          <w:szCs w:val="21"/>
        </w:rPr>
        <w:t>员工个人所得税由本公司代扣代缴。</w:t>
      </w:r>
    </w:p>
    <w:p>
      <w:pPr>
        <w:spacing w:line="240" w:lineRule="auto" w:before="1"/>
        <w:rPr>
          <w:rFonts w:ascii="宋体" w:hAnsi="宋体" w:cs="宋体" w:eastAsia="宋体" w:hint="default"/>
          <w:sz w:val="18"/>
          <w:szCs w:val="18"/>
        </w:rPr>
      </w:pPr>
    </w:p>
    <w:p>
      <w:pPr>
        <w:pStyle w:val="BodyText"/>
        <w:spacing w:line="240" w:lineRule="auto" w:before="0"/>
        <w:ind w:left="858" w:right="5021"/>
        <w:jc w:val="left"/>
        <w:rPr>
          <w:rFonts w:ascii="黑体" w:hAnsi="黑体" w:cs="黑体" w:eastAsia="黑体" w:hint="default"/>
        </w:rPr>
      </w:pPr>
      <w:r>
        <w:rPr>
          <w:rFonts w:ascii="黑体" w:hAnsi="黑体" w:cs="黑体" w:eastAsia="黑体" w:hint="default"/>
        </w:rPr>
        <w:t>四、企业合并及合并财务报表</w:t>
      </w:r>
    </w:p>
    <w:p>
      <w:pPr>
        <w:spacing w:line="240" w:lineRule="auto" w:before="13"/>
        <w:rPr>
          <w:rFonts w:ascii="黑体" w:hAnsi="黑体" w:cs="黑体" w:eastAsia="黑体" w:hint="default"/>
          <w:sz w:val="25"/>
          <w:szCs w:val="25"/>
        </w:rPr>
      </w:pPr>
    </w:p>
    <w:p>
      <w:pPr>
        <w:spacing w:before="0"/>
        <w:ind w:left="858" w:right="5021"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103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  </w:t>
      </w:r>
      <w:r>
        <w:rPr>
          <w:rFonts w:ascii="Arial Narrow" w:hAnsi="Arial Narrow" w:cs="Arial Narrow" w:eastAsia="Arial Narrow" w:hint="default"/>
          <w:b/>
          <w:bCs/>
          <w:spacing w:val="11"/>
          <w:sz w:val="21"/>
          <w:szCs w:val="21"/>
        </w:rPr>
        <w:t> </w: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3" w:type="dxa"/>
        <w:tblLayout w:type="fixed"/>
        <w:tblCellMar>
          <w:top w:w="0" w:type="dxa"/>
          <w:left w:w="0" w:type="dxa"/>
          <w:bottom w:w="0" w:type="dxa"/>
          <w:right w:w="0" w:type="dxa"/>
        </w:tblCellMar>
        <w:tblLook w:val="01E0"/>
      </w:tblPr>
      <w:tblGrid>
        <w:gridCol w:w="1525"/>
        <w:gridCol w:w="792"/>
        <w:gridCol w:w="1088"/>
        <w:gridCol w:w="1339"/>
        <w:gridCol w:w="1330"/>
        <w:gridCol w:w="857"/>
        <w:gridCol w:w="2157"/>
      </w:tblGrid>
      <w:tr>
        <w:trPr>
          <w:trHeight w:val="607" w:hRule="exact"/>
        </w:trPr>
        <w:tc>
          <w:tcPr>
            <w:tcW w:w="1525"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54"/>
              <w:ind w:left="600" w:right="105" w:hanging="452"/>
              <w:jc w:val="left"/>
              <w:rPr>
                <w:rFonts w:ascii="宋体" w:hAnsi="宋体" w:cs="宋体" w:eastAsia="宋体" w:hint="default"/>
                <w:sz w:val="18"/>
                <w:szCs w:val="18"/>
              </w:rPr>
            </w:pPr>
            <w:r>
              <w:rPr>
                <w:rFonts w:ascii="宋体" w:hAnsi="宋体" w:cs="宋体" w:eastAsia="宋体" w:hint="default"/>
                <w:sz w:val="18"/>
                <w:szCs w:val="18"/>
              </w:rPr>
              <w:t>子公司名称（全 称）</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208" w:right="119"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7"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54"/>
              <w:ind w:left="331" w:right="149"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21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7"/>
              <w:ind w:right="29"/>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494" w:hRule="exact"/>
        </w:trPr>
        <w:tc>
          <w:tcPr>
            <w:tcW w:w="15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45" w:right="93"/>
              <w:jc w:val="left"/>
              <w:rPr>
                <w:rFonts w:ascii="宋体" w:hAnsi="宋体" w:cs="宋体" w:eastAsia="宋体" w:hint="default"/>
                <w:sz w:val="18"/>
                <w:szCs w:val="18"/>
              </w:rPr>
            </w:pPr>
            <w:r>
              <w:rPr>
                <w:rFonts w:ascii="宋体" w:hAnsi="宋体" w:cs="宋体" w:eastAsia="宋体" w:hint="default"/>
                <w:sz w:val="18"/>
                <w:szCs w:val="18"/>
              </w:rPr>
              <w:t>安徽森源电器有</w:t>
            </w:r>
            <w:r>
              <w:rPr>
                <w:rFonts w:ascii="宋体" w:hAnsi="宋体" w:cs="宋体" w:eastAsia="宋体" w:hint="default"/>
                <w:spacing w:val="-77"/>
                <w:sz w:val="18"/>
                <w:szCs w:val="18"/>
              </w:rPr>
              <w:t> </w:t>
            </w:r>
            <w:r>
              <w:rPr>
                <w:rFonts w:ascii="宋体" w:hAnsi="宋体" w:cs="宋体" w:eastAsia="宋体" w:hint="default"/>
                <w:sz w:val="18"/>
                <w:szCs w:val="18"/>
              </w:rPr>
              <w:t>限公司</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18"/>
                <w:szCs w:val="18"/>
              </w:rPr>
            </w:pPr>
            <w:r>
              <w:rPr>
                <w:rFonts w:ascii="Arial Narrow" w:hAnsi="Arial Narrow" w:cs="Arial Narrow" w:eastAsia="Arial Narrow" w:hint="default"/>
                <w:sz w:val="18"/>
                <w:szCs w:val="18"/>
              </w:rPr>
              <w:t>7560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唐荣保</w:t>
            </w:r>
          </w:p>
        </w:tc>
        <w:tc>
          <w:tcPr>
            <w:tcW w:w="2157" w:type="dxa"/>
            <w:tcBorders>
              <w:top w:val="single" w:sz="6" w:space="0" w:color="000000"/>
              <w:left w:val="single" w:sz="6" w:space="0" w:color="000000"/>
              <w:bottom w:val="single" w:sz="6" w:space="0" w:color="000000"/>
              <w:right w:val="nil" w:sz="6" w:space="0" w:color="auto"/>
            </w:tcBorders>
          </w:tcPr>
          <w:p>
            <w:pPr>
              <w:pStyle w:val="TableParagraph"/>
              <w:spacing w:line="276" w:lineRule="auto" w:before="5"/>
              <w:ind w:left="100" w:right="28"/>
              <w:jc w:val="left"/>
              <w:rPr>
                <w:rFonts w:ascii="宋体" w:hAnsi="宋体" w:cs="宋体" w:eastAsia="宋体" w:hint="default"/>
                <w:sz w:val="16"/>
                <w:szCs w:val="16"/>
              </w:rPr>
            </w:pPr>
            <w:r>
              <w:rPr>
                <w:rFonts w:ascii="宋体" w:hAnsi="宋体" w:cs="宋体" w:eastAsia="宋体" w:hint="default"/>
                <w:spacing w:val="-43"/>
                <w:w w:val="100"/>
                <w:sz w:val="16"/>
                <w:szCs w:val="16"/>
              </w:rPr>
              <w:t>高、低压电器元器件、开关配件设计、</w:t>
            </w:r>
            <w:r>
              <w:rPr>
                <w:rFonts w:ascii="宋体" w:hAnsi="宋体" w:cs="宋体" w:eastAsia="宋体" w:hint="default"/>
                <w:spacing w:val="-70"/>
                <w:w w:val="100"/>
                <w:sz w:val="16"/>
                <w:szCs w:val="16"/>
              </w:rPr>
              <w:t> </w:t>
            </w:r>
            <w:r>
              <w:rPr>
                <w:rFonts w:ascii="宋体" w:hAnsi="宋体" w:cs="宋体" w:eastAsia="宋体" w:hint="default"/>
                <w:spacing w:val="-70"/>
                <w:w w:val="100"/>
                <w:sz w:val="16"/>
                <w:szCs w:val="16"/>
              </w:rPr>
            </w:r>
            <w:r>
              <w:rPr>
                <w:rFonts w:ascii="宋体" w:hAnsi="宋体" w:cs="宋体" w:eastAsia="宋体" w:hint="default"/>
                <w:spacing w:val="-41"/>
                <w:sz w:val="16"/>
                <w:szCs w:val="16"/>
              </w:rPr>
              <w:t>制造、销售。钣金机械加工。</w:t>
            </w:r>
            <w:r>
              <w:rPr>
                <w:rFonts w:ascii="宋体" w:hAnsi="宋体" w:cs="宋体" w:eastAsia="宋体" w:hint="default"/>
                <w:sz w:val="16"/>
                <w:szCs w:val="16"/>
              </w:rPr>
            </w:r>
          </w:p>
        </w:tc>
      </w:tr>
      <w:tr>
        <w:trPr>
          <w:trHeight w:val="735" w:hRule="exact"/>
        </w:trPr>
        <w:tc>
          <w:tcPr>
            <w:tcW w:w="1525"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2"/>
              <w:ind w:left="145" w:right="93"/>
              <w:jc w:val="left"/>
              <w:rPr>
                <w:rFonts w:ascii="宋体" w:hAnsi="宋体" w:cs="宋体" w:eastAsia="宋体" w:hint="default"/>
                <w:sz w:val="18"/>
                <w:szCs w:val="18"/>
              </w:rPr>
            </w:pPr>
            <w:r>
              <w:rPr>
                <w:rFonts w:ascii="宋体" w:hAnsi="宋体" w:cs="宋体" w:eastAsia="宋体" w:hint="default"/>
                <w:sz w:val="18"/>
                <w:szCs w:val="18"/>
              </w:rPr>
              <w:t>安徽鑫龙电器元</w:t>
            </w:r>
            <w:r>
              <w:rPr>
                <w:rFonts w:ascii="宋体" w:hAnsi="宋体" w:cs="宋体" w:eastAsia="宋体" w:hint="default"/>
                <w:spacing w:val="-77"/>
                <w:sz w:val="18"/>
                <w:szCs w:val="18"/>
              </w:rPr>
              <w:t> </w:t>
            </w:r>
            <w:r>
              <w:rPr>
                <w:rFonts w:ascii="宋体" w:hAnsi="宋体" w:cs="宋体" w:eastAsia="宋体" w:hint="default"/>
                <w:sz w:val="18"/>
                <w:szCs w:val="18"/>
              </w:rPr>
              <w:t>件销售有限公司</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500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张祥</w:t>
            </w:r>
          </w:p>
        </w:tc>
        <w:tc>
          <w:tcPr>
            <w:tcW w:w="2157" w:type="dxa"/>
            <w:tcBorders>
              <w:top w:val="single" w:sz="6" w:space="0" w:color="000000"/>
              <w:left w:val="single" w:sz="6" w:space="0" w:color="000000"/>
              <w:bottom w:val="single" w:sz="6" w:space="0" w:color="000000"/>
              <w:right w:val="nil" w:sz="6" w:space="0" w:color="auto"/>
            </w:tcBorders>
          </w:tcPr>
          <w:p>
            <w:pPr>
              <w:pStyle w:val="TableParagraph"/>
              <w:spacing w:line="276" w:lineRule="auto" w:before="5"/>
              <w:ind w:left="100" w:right="91"/>
              <w:jc w:val="both"/>
              <w:rPr>
                <w:rFonts w:ascii="宋体" w:hAnsi="宋体" w:cs="宋体" w:eastAsia="宋体" w:hint="default"/>
                <w:sz w:val="16"/>
                <w:szCs w:val="16"/>
              </w:rPr>
            </w:pPr>
            <w:r>
              <w:rPr>
                <w:rFonts w:ascii="宋体" w:hAnsi="宋体" w:cs="宋体" w:eastAsia="宋体" w:hint="default"/>
                <w:spacing w:val="-39"/>
                <w:sz w:val="16"/>
                <w:szCs w:val="16"/>
              </w:rPr>
              <w:t>高、低压电器元件，工控元器件，智</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pacing w:val="-39"/>
                <w:sz w:val="16"/>
                <w:szCs w:val="16"/>
              </w:rPr>
              <w:t>能化仪器仪表，变压器、电线电缆销</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pacing w:val="-41"/>
                <w:sz w:val="16"/>
                <w:szCs w:val="16"/>
              </w:rPr>
              <w:t>售。</w:t>
            </w:r>
            <w:r>
              <w:rPr>
                <w:rFonts w:ascii="宋体" w:hAnsi="宋体" w:cs="宋体" w:eastAsia="宋体" w:hint="default"/>
                <w:sz w:val="16"/>
                <w:szCs w:val="16"/>
              </w:rPr>
            </w:r>
          </w:p>
        </w:tc>
      </w:tr>
      <w:tr>
        <w:trPr>
          <w:trHeight w:val="1937" w:hRule="exact"/>
        </w:trPr>
        <w:tc>
          <w:tcPr>
            <w:tcW w:w="152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4" w:lineRule="auto"/>
              <w:ind w:left="145" w:right="95"/>
              <w:jc w:val="left"/>
              <w:rPr>
                <w:rFonts w:ascii="宋体" w:hAnsi="宋体" w:cs="宋体" w:eastAsia="宋体" w:hint="default"/>
                <w:sz w:val="18"/>
                <w:szCs w:val="18"/>
              </w:rPr>
            </w:pPr>
            <w:r>
              <w:rPr>
                <w:rFonts w:ascii="宋体" w:hAnsi="宋体" w:cs="宋体" w:eastAsia="宋体" w:hint="default"/>
                <w:sz w:val="18"/>
                <w:szCs w:val="18"/>
              </w:rPr>
              <w:t>安徽鑫龙自动化</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1000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束龙胜</w:t>
            </w:r>
          </w:p>
        </w:tc>
        <w:tc>
          <w:tcPr>
            <w:tcW w:w="2157" w:type="dxa"/>
            <w:tcBorders>
              <w:top w:val="single" w:sz="6" w:space="0" w:color="000000"/>
              <w:left w:val="single" w:sz="6" w:space="0" w:color="000000"/>
              <w:bottom w:val="single" w:sz="6" w:space="0" w:color="000000"/>
              <w:right w:val="nil" w:sz="6" w:space="0" w:color="auto"/>
            </w:tcBorders>
          </w:tcPr>
          <w:p>
            <w:pPr>
              <w:pStyle w:val="TableParagraph"/>
              <w:spacing w:line="276" w:lineRule="auto" w:before="7"/>
              <w:ind w:left="100" w:right="87"/>
              <w:jc w:val="both"/>
              <w:rPr>
                <w:rFonts w:ascii="宋体" w:hAnsi="宋体" w:cs="宋体" w:eastAsia="宋体" w:hint="default"/>
                <w:sz w:val="16"/>
                <w:szCs w:val="16"/>
              </w:rPr>
            </w:pPr>
            <w:r>
              <w:rPr>
                <w:rFonts w:ascii="宋体" w:hAnsi="宋体" w:cs="宋体" w:eastAsia="宋体" w:hint="default"/>
                <w:spacing w:val="-42"/>
                <w:sz w:val="16"/>
                <w:szCs w:val="16"/>
              </w:rPr>
              <w:t>变电站微机综合自动化系统；数控直</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42"/>
                <w:sz w:val="16"/>
                <w:szCs w:val="16"/>
              </w:rPr>
              <w:t>流电源柜及部件；全数字软启动器及</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41"/>
                <w:sz w:val="16"/>
                <w:szCs w:val="16"/>
              </w:rPr>
              <w:t>装置；智能型全数字晶闸管调功器；</w:t>
            </w:r>
            <w:r>
              <w:rPr>
                <w:rFonts w:ascii="宋体" w:hAnsi="宋体" w:cs="宋体" w:eastAsia="宋体" w:hint="default"/>
                <w:spacing w:val="-68"/>
                <w:sz w:val="16"/>
                <w:szCs w:val="16"/>
              </w:rPr>
              <w:t> </w:t>
            </w:r>
            <w:r>
              <w:rPr>
                <w:rFonts w:ascii="宋体" w:hAnsi="宋体" w:cs="宋体" w:eastAsia="宋体" w:hint="default"/>
                <w:spacing w:val="-39"/>
                <w:sz w:val="16"/>
                <w:szCs w:val="16"/>
              </w:rPr>
              <w:t>全数字交、直流调速系统及装置；工</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pacing w:val="-32"/>
                <w:sz w:val="16"/>
                <w:szCs w:val="16"/>
              </w:rPr>
              <w:t>业生产过程自动化控制系统，</w:t>
            </w:r>
            <w:r>
              <w:rPr>
                <w:rFonts w:ascii="宋体" w:hAnsi="宋体" w:cs="宋体" w:eastAsia="宋体" w:hint="default"/>
                <w:spacing w:val="-32"/>
                <w:sz w:val="16"/>
                <w:szCs w:val="16"/>
              </w:rPr>
              <w:t>DCS</w:t>
            </w:r>
            <w:r>
              <w:rPr>
                <w:rFonts w:ascii="宋体" w:hAnsi="宋体" w:cs="宋体" w:eastAsia="宋体" w:hint="default"/>
                <w:spacing w:val="-32"/>
                <w:sz w:val="16"/>
                <w:szCs w:val="16"/>
              </w:rPr>
              <w:t>、</w:t>
            </w:r>
            <w:r>
              <w:rPr>
                <w:rFonts w:ascii="宋体" w:hAnsi="宋体" w:cs="宋体" w:eastAsia="宋体" w:hint="default"/>
                <w:spacing w:val="-61"/>
                <w:sz w:val="16"/>
                <w:szCs w:val="16"/>
              </w:rPr>
              <w:t> </w:t>
            </w:r>
            <w:r>
              <w:rPr>
                <w:rFonts w:ascii="宋体" w:hAnsi="宋体" w:cs="宋体" w:eastAsia="宋体" w:hint="default"/>
                <w:spacing w:val="-14"/>
                <w:sz w:val="16"/>
                <w:szCs w:val="16"/>
              </w:rPr>
              <w:t>PLC</w:t>
            </w:r>
            <w:r>
              <w:rPr>
                <w:rFonts w:ascii="宋体" w:hAnsi="宋体" w:cs="宋体" w:eastAsia="宋体" w:hint="default"/>
                <w:spacing w:val="-42"/>
                <w:sz w:val="16"/>
                <w:szCs w:val="16"/>
              </w:rPr>
              <w:t> </w:t>
            </w:r>
            <w:r>
              <w:rPr>
                <w:rFonts w:ascii="宋体" w:hAnsi="宋体" w:cs="宋体" w:eastAsia="宋体" w:hint="default"/>
                <w:spacing w:val="-41"/>
                <w:sz w:val="16"/>
                <w:szCs w:val="16"/>
              </w:rPr>
              <w:t>控制；智能化数字仪表设计、生</w:t>
            </w:r>
            <w:r>
              <w:rPr>
                <w:rFonts w:ascii="宋体" w:hAnsi="宋体" w:cs="宋体" w:eastAsia="宋体" w:hint="default"/>
                <w:spacing w:val="-73"/>
                <w:sz w:val="16"/>
                <w:szCs w:val="16"/>
              </w:rPr>
              <w:t> </w:t>
            </w:r>
            <w:r>
              <w:rPr>
                <w:rFonts w:ascii="宋体" w:hAnsi="宋体" w:cs="宋体" w:eastAsia="宋体" w:hint="default"/>
                <w:spacing w:val="-41"/>
                <w:sz w:val="16"/>
                <w:szCs w:val="16"/>
              </w:rPr>
              <w:t>产；安全防范技术工程设计、施工、</w:t>
            </w:r>
            <w:r>
              <w:rPr>
                <w:rFonts w:ascii="宋体" w:hAnsi="宋体" w:cs="宋体" w:eastAsia="宋体" w:hint="default"/>
                <w:spacing w:val="-68"/>
                <w:sz w:val="16"/>
                <w:szCs w:val="16"/>
              </w:rPr>
              <w:t> </w:t>
            </w:r>
            <w:r>
              <w:rPr>
                <w:rFonts w:ascii="宋体" w:hAnsi="宋体" w:cs="宋体" w:eastAsia="宋体" w:hint="default"/>
                <w:spacing w:val="-41"/>
                <w:sz w:val="16"/>
                <w:szCs w:val="16"/>
              </w:rPr>
              <w:t>维修。</w:t>
            </w:r>
            <w:r>
              <w:rPr>
                <w:rFonts w:ascii="宋体" w:hAnsi="宋体" w:cs="宋体" w:eastAsia="宋体" w:hint="default"/>
                <w:sz w:val="16"/>
                <w:szCs w:val="16"/>
              </w:rPr>
            </w:r>
          </w:p>
        </w:tc>
      </w:tr>
      <w:tr>
        <w:trPr>
          <w:trHeight w:val="307" w:hRule="exact"/>
        </w:trPr>
        <w:tc>
          <w:tcPr>
            <w:tcW w:w="15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left="145" w:right="0"/>
              <w:jc w:val="left"/>
              <w:rPr>
                <w:rFonts w:ascii="宋体" w:hAnsi="宋体" w:cs="宋体" w:eastAsia="宋体" w:hint="default"/>
                <w:sz w:val="18"/>
                <w:szCs w:val="18"/>
              </w:rPr>
            </w:pPr>
            <w:r>
              <w:rPr>
                <w:rFonts w:ascii="宋体" w:hAnsi="宋体" w:cs="宋体" w:eastAsia="宋体" w:hint="default"/>
                <w:sz w:val="18"/>
                <w:szCs w:val="18"/>
              </w:rPr>
              <w:t>安徽鑫龙低压电</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生产、销售</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1"/>
              <w:jc w:val="center"/>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张祥</w:t>
            </w:r>
          </w:p>
        </w:tc>
        <w:tc>
          <w:tcPr>
            <w:tcW w:w="21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25"/>
              <w:jc w:val="center"/>
              <w:rPr>
                <w:rFonts w:ascii="宋体" w:hAnsi="宋体" w:cs="宋体" w:eastAsia="宋体" w:hint="default"/>
                <w:sz w:val="16"/>
                <w:szCs w:val="16"/>
              </w:rPr>
            </w:pPr>
            <w:r>
              <w:rPr>
                <w:rFonts w:ascii="宋体" w:hAnsi="宋体" w:cs="宋体" w:eastAsia="宋体" w:hint="default"/>
                <w:spacing w:val="-41"/>
                <w:sz w:val="16"/>
                <w:szCs w:val="16"/>
              </w:rPr>
              <w:t>低压电器设备、元件及附件的设计、</w:t>
            </w:r>
            <w:r>
              <w:rPr>
                <w:rFonts w:ascii="宋体" w:hAnsi="宋体" w:cs="宋体" w:eastAsia="宋体" w:hint="default"/>
                <w:sz w:val="16"/>
                <w:szCs w:val="16"/>
              </w:rPr>
            </w:r>
          </w:p>
        </w:tc>
      </w:tr>
    </w:tbl>
    <w:p>
      <w:pPr>
        <w:spacing w:after="0" w:line="240" w:lineRule="auto"/>
        <w:jc w:val="center"/>
        <w:rPr>
          <w:rFonts w:ascii="宋体" w:hAnsi="宋体" w:cs="宋体" w:eastAsia="宋体" w:hint="default"/>
          <w:sz w:val="16"/>
          <w:szCs w:val="16"/>
        </w:rPr>
        <w:sectPr>
          <w:pgSz w:w="11910" w:h="16840"/>
          <w:pgMar w:header="816" w:footer="858" w:top="1160" w:bottom="1040" w:left="1300" w:right="1300"/>
        </w:sectPr>
      </w:pPr>
    </w:p>
    <w:p>
      <w:pPr>
        <w:spacing w:line="240" w:lineRule="auto" w:before="9"/>
        <w:rPr>
          <w:rFonts w:ascii="宋体" w:hAnsi="宋体" w:cs="宋体" w:eastAsia="宋体" w:hint="default"/>
          <w:b/>
          <w:bCs/>
          <w:sz w:val="19"/>
          <w:szCs w:val="19"/>
        </w:rPr>
      </w:pPr>
    </w:p>
    <w:tbl>
      <w:tblPr>
        <w:tblW w:w="0" w:type="auto"/>
        <w:jc w:val="left"/>
        <w:tblInd w:w="114" w:type="dxa"/>
        <w:tblLayout w:type="fixed"/>
        <w:tblCellMar>
          <w:top w:w="0" w:type="dxa"/>
          <w:left w:w="0" w:type="dxa"/>
          <w:bottom w:w="0" w:type="dxa"/>
          <w:right w:w="0" w:type="dxa"/>
        </w:tblCellMar>
        <w:tblLook w:val="01E0"/>
      </w:tblPr>
      <w:tblGrid>
        <w:gridCol w:w="1500"/>
        <w:gridCol w:w="396"/>
        <w:gridCol w:w="396"/>
        <w:gridCol w:w="1088"/>
        <w:gridCol w:w="1339"/>
        <w:gridCol w:w="1330"/>
        <w:gridCol w:w="857"/>
        <w:gridCol w:w="2132"/>
      </w:tblGrid>
      <w:tr>
        <w:trPr>
          <w:trHeight w:val="307" w:hRule="exact"/>
        </w:trPr>
        <w:tc>
          <w:tcPr>
            <w:tcW w:w="1500" w:type="dxa"/>
            <w:tcBorders>
              <w:top w:val="single" w:sz="12" w:space="0" w:color="000000"/>
              <w:left w:val="nil" w:sz="6" w:space="0" w:color="auto"/>
              <w:bottom w:val="single" w:sz="6" w:space="0" w:color="000000"/>
              <w:right w:val="single" w:sz="6" w:space="0" w:color="000000"/>
            </w:tcBorders>
          </w:tcPr>
          <w:p>
            <w:pPr>
              <w:pStyle w:val="TableParagraph"/>
              <w:spacing w:line="217" w:lineRule="exact"/>
              <w:ind w:left="120"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792" w:type="dxa"/>
            <w:gridSpan w:val="2"/>
            <w:tcBorders>
              <w:top w:val="single" w:sz="12" w:space="0" w:color="000000"/>
              <w:left w:val="single" w:sz="6" w:space="0" w:color="000000"/>
              <w:bottom w:val="single" w:sz="6" w:space="0" w:color="000000"/>
              <w:right w:val="single" w:sz="6" w:space="0" w:color="000000"/>
            </w:tcBorders>
          </w:tcPr>
          <w:p>
            <w:pPr/>
          </w:p>
        </w:tc>
        <w:tc>
          <w:tcPr>
            <w:tcW w:w="1088" w:type="dxa"/>
            <w:tcBorders>
              <w:top w:val="single" w:sz="12" w:space="0" w:color="000000"/>
              <w:left w:val="single" w:sz="6" w:space="0" w:color="000000"/>
              <w:bottom w:val="single" w:sz="6" w:space="0" w:color="000000"/>
              <w:right w:val="single" w:sz="6" w:space="0" w:color="000000"/>
            </w:tcBorders>
          </w:tcPr>
          <w:p>
            <w:pPr/>
          </w:p>
        </w:tc>
        <w:tc>
          <w:tcPr>
            <w:tcW w:w="1339" w:type="dxa"/>
            <w:tcBorders>
              <w:top w:val="single" w:sz="12" w:space="0" w:color="000000"/>
              <w:left w:val="single" w:sz="6" w:space="0" w:color="000000"/>
              <w:bottom w:val="single" w:sz="6" w:space="0" w:color="000000"/>
              <w:right w:val="single" w:sz="6" w:space="0" w:color="000000"/>
            </w:tcBorders>
          </w:tcPr>
          <w:p>
            <w:pPr/>
          </w:p>
        </w:tc>
        <w:tc>
          <w:tcPr>
            <w:tcW w:w="1330" w:type="dxa"/>
            <w:tcBorders>
              <w:top w:val="single" w:sz="12" w:space="0" w:color="000000"/>
              <w:left w:val="single" w:sz="6" w:space="0" w:color="000000"/>
              <w:bottom w:val="single" w:sz="6" w:space="0" w:color="000000"/>
              <w:right w:val="single" w:sz="6" w:space="0" w:color="000000"/>
            </w:tcBorders>
          </w:tcPr>
          <w:p>
            <w:pPr/>
          </w:p>
        </w:tc>
        <w:tc>
          <w:tcPr>
            <w:tcW w:w="857" w:type="dxa"/>
            <w:tcBorders>
              <w:top w:val="single" w:sz="12" w:space="0" w:color="000000"/>
              <w:left w:val="single" w:sz="6" w:space="0" w:color="000000"/>
              <w:bottom w:val="single" w:sz="6" w:space="0" w:color="000000"/>
              <w:right w:val="single" w:sz="6" w:space="0" w:color="000000"/>
            </w:tcBorders>
          </w:tcPr>
          <w:p>
            <w:pPr/>
          </w:p>
        </w:tc>
        <w:tc>
          <w:tcPr>
            <w:tcW w:w="21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left="100" w:right="0"/>
              <w:jc w:val="left"/>
              <w:rPr>
                <w:rFonts w:ascii="宋体" w:hAnsi="宋体" w:cs="宋体" w:eastAsia="宋体" w:hint="default"/>
                <w:sz w:val="16"/>
                <w:szCs w:val="16"/>
              </w:rPr>
            </w:pPr>
            <w:r>
              <w:rPr>
                <w:rFonts w:ascii="宋体" w:hAnsi="宋体" w:cs="宋体" w:eastAsia="宋体" w:hint="default"/>
                <w:spacing w:val="-41"/>
                <w:sz w:val="16"/>
                <w:szCs w:val="16"/>
              </w:rPr>
              <w:t>制造、销售。</w:t>
            </w:r>
            <w:r>
              <w:rPr>
                <w:rFonts w:ascii="宋体" w:hAnsi="宋体" w:cs="宋体" w:eastAsia="宋体" w:hint="default"/>
                <w:sz w:val="16"/>
                <w:szCs w:val="16"/>
              </w:rPr>
            </w:r>
          </w:p>
        </w:tc>
      </w:tr>
      <w:tr>
        <w:trPr>
          <w:trHeight w:val="97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4" w:lineRule="auto"/>
              <w:ind w:left="120" w:right="93"/>
              <w:jc w:val="left"/>
              <w:rPr>
                <w:rFonts w:ascii="宋体" w:hAnsi="宋体" w:cs="宋体" w:eastAsia="宋体" w:hint="default"/>
                <w:sz w:val="18"/>
                <w:szCs w:val="18"/>
              </w:rPr>
            </w:pPr>
            <w:r>
              <w:rPr>
                <w:rFonts w:ascii="宋体" w:hAnsi="宋体" w:cs="宋体" w:eastAsia="宋体" w:hint="default"/>
                <w:sz w:val="18"/>
                <w:szCs w:val="18"/>
              </w:rPr>
              <w:t>安徽鑫龙变压器</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叶柳</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76" w:lineRule="auto" w:before="5"/>
              <w:ind w:left="100" w:right="63"/>
              <w:jc w:val="both"/>
              <w:rPr>
                <w:rFonts w:ascii="宋体" w:hAnsi="宋体" w:cs="宋体" w:eastAsia="宋体" w:hint="default"/>
                <w:sz w:val="16"/>
                <w:szCs w:val="16"/>
              </w:rPr>
            </w:pPr>
            <w:r>
              <w:rPr>
                <w:rFonts w:ascii="宋体" w:hAnsi="宋体" w:cs="宋体" w:eastAsia="宋体" w:hint="default"/>
                <w:spacing w:val="-39"/>
                <w:sz w:val="16"/>
                <w:szCs w:val="16"/>
              </w:rPr>
              <w:t>油浸式变压器、干式变压器生产、销</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41"/>
                <w:sz w:val="16"/>
                <w:szCs w:val="16"/>
              </w:rPr>
              <w:t>售和维修（涉及国家有关审批项目，</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39"/>
                <w:w w:val="100"/>
                <w:sz w:val="16"/>
                <w:szCs w:val="16"/>
              </w:rPr>
              <w:t>按国家有关法规办理）、预装式变电</w:t>
            </w:r>
            <w:r>
              <w:rPr>
                <w:rFonts w:ascii="宋体" w:hAnsi="宋体" w:cs="宋体" w:eastAsia="宋体" w:hint="default"/>
                <w:spacing w:val="-75"/>
                <w:w w:val="100"/>
                <w:sz w:val="16"/>
                <w:szCs w:val="16"/>
              </w:rPr>
              <w:t> </w:t>
            </w:r>
            <w:r>
              <w:rPr>
                <w:rFonts w:ascii="宋体" w:hAnsi="宋体" w:cs="宋体" w:eastAsia="宋体" w:hint="default"/>
                <w:spacing w:val="-75"/>
                <w:w w:val="100"/>
                <w:sz w:val="16"/>
                <w:szCs w:val="16"/>
              </w:rPr>
            </w:r>
            <w:r>
              <w:rPr>
                <w:rFonts w:ascii="宋体" w:hAnsi="宋体" w:cs="宋体" w:eastAsia="宋体" w:hint="default"/>
                <w:spacing w:val="-41"/>
                <w:sz w:val="16"/>
                <w:szCs w:val="16"/>
              </w:rPr>
              <w:t>站的设计。</w:t>
            </w:r>
            <w:r>
              <w:rPr>
                <w:rFonts w:ascii="宋体" w:hAnsi="宋体" w:cs="宋体" w:eastAsia="宋体" w:hint="default"/>
                <w:sz w:val="16"/>
                <w:szCs w:val="16"/>
              </w:rPr>
            </w:r>
          </w:p>
        </w:tc>
      </w:tr>
      <w:tr>
        <w:trPr>
          <w:trHeight w:val="1466"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4" w:lineRule="auto"/>
              <w:ind w:left="120" w:right="93"/>
              <w:jc w:val="left"/>
              <w:rPr>
                <w:rFonts w:ascii="宋体" w:hAnsi="宋体" w:cs="宋体" w:eastAsia="宋体" w:hint="default"/>
                <w:sz w:val="18"/>
                <w:szCs w:val="18"/>
              </w:rPr>
            </w:pPr>
            <w:r>
              <w:rPr>
                <w:rFonts w:ascii="宋体" w:hAnsi="宋体" w:cs="宋体" w:eastAsia="宋体" w:hint="default"/>
                <w:sz w:val="18"/>
                <w:szCs w:val="18"/>
              </w:rPr>
              <w:t>安徽鑫龙电力工</w:t>
            </w:r>
            <w:r>
              <w:rPr>
                <w:rFonts w:ascii="宋体" w:hAnsi="宋体" w:cs="宋体" w:eastAsia="宋体" w:hint="default"/>
                <w:spacing w:val="-77"/>
                <w:sz w:val="18"/>
                <w:szCs w:val="18"/>
              </w:rPr>
              <w:t> </w:t>
            </w:r>
            <w:r>
              <w:rPr>
                <w:rFonts w:ascii="宋体" w:hAnsi="宋体" w:cs="宋体" w:eastAsia="宋体" w:hint="default"/>
                <w:sz w:val="18"/>
                <w:szCs w:val="18"/>
              </w:rPr>
              <w:t>程安装有限公司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Arial Narrow" w:hAnsi="Arial Narrow" w:cs="Arial Narrow" w:eastAsia="Arial Narrow" w:hint="default"/>
                <w:sz w:val="18"/>
                <w:szCs w:val="18"/>
              </w:rPr>
              <w:t>300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李小庆</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183" w:lineRule="exact"/>
              <w:ind w:left="100" w:right="0"/>
              <w:jc w:val="both"/>
              <w:rPr>
                <w:rFonts w:ascii="宋体" w:hAnsi="宋体" w:cs="宋体" w:eastAsia="宋体" w:hint="default"/>
                <w:sz w:val="16"/>
                <w:szCs w:val="16"/>
              </w:rPr>
            </w:pPr>
            <w:r>
              <w:rPr>
                <w:rFonts w:ascii="宋体" w:hAnsi="宋体" w:cs="宋体" w:eastAsia="宋体" w:hint="default"/>
                <w:spacing w:val="-42"/>
                <w:sz w:val="16"/>
                <w:szCs w:val="16"/>
              </w:rPr>
              <w:t>电气设备（含发电、输电、配电、电</w:t>
            </w:r>
            <w:r>
              <w:rPr>
                <w:rFonts w:ascii="宋体" w:hAnsi="宋体" w:cs="宋体" w:eastAsia="宋体" w:hint="default"/>
                <w:sz w:val="16"/>
                <w:szCs w:val="16"/>
              </w:rPr>
            </w:r>
          </w:p>
          <w:p>
            <w:pPr>
              <w:pStyle w:val="TableParagraph"/>
              <w:spacing w:line="237" w:lineRule="auto" w:before="1"/>
              <w:ind w:left="100" w:right="63"/>
              <w:jc w:val="both"/>
              <w:rPr>
                <w:rFonts w:ascii="宋体" w:hAnsi="宋体" w:cs="宋体" w:eastAsia="宋体" w:hint="default"/>
                <w:sz w:val="16"/>
                <w:szCs w:val="16"/>
              </w:rPr>
            </w:pPr>
            <w:r>
              <w:rPr>
                <w:rFonts w:ascii="宋体" w:hAnsi="宋体" w:cs="宋体" w:eastAsia="宋体" w:hint="default"/>
                <w:spacing w:val="-31"/>
                <w:sz w:val="16"/>
                <w:szCs w:val="16"/>
              </w:rPr>
              <w:t>气传动、自动化仪表、通讯工业电</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39"/>
                <w:w w:val="100"/>
                <w:sz w:val="16"/>
                <w:szCs w:val="16"/>
              </w:rPr>
              <w:t>视）、工业过程控制及监控系统、计</w:t>
            </w:r>
            <w:r>
              <w:rPr>
                <w:rFonts w:ascii="宋体" w:hAnsi="宋体" w:cs="宋体" w:eastAsia="宋体" w:hint="default"/>
                <w:spacing w:val="-75"/>
                <w:w w:val="100"/>
                <w:sz w:val="16"/>
                <w:szCs w:val="16"/>
              </w:rPr>
              <w:t> </w:t>
            </w:r>
            <w:r>
              <w:rPr>
                <w:rFonts w:ascii="宋体" w:hAnsi="宋体" w:cs="宋体" w:eastAsia="宋体" w:hint="default"/>
                <w:spacing w:val="-75"/>
                <w:w w:val="100"/>
                <w:sz w:val="16"/>
                <w:szCs w:val="16"/>
              </w:rPr>
            </w:r>
            <w:r>
              <w:rPr>
                <w:rFonts w:ascii="宋体" w:hAnsi="宋体" w:cs="宋体" w:eastAsia="宋体" w:hint="default"/>
                <w:spacing w:val="-41"/>
                <w:sz w:val="16"/>
                <w:szCs w:val="16"/>
              </w:rPr>
              <w:t>算机应用服务与综合信息网络工程、</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39"/>
                <w:sz w:val="16"/>
                <w:szCs w:val="16"/>
              </w:rPr>
              <w:t>电子声像工程、智能化系统和技术防</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39"/>
                <w:sz w:val="16"/>
                <w:szCs w:val="16"/>
              </w:rPr>
              <w:t>范工程安装、调试、维护（凡涉及专</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pacing w:val="-43"/>
                <w:w w:val="100"/>
                <w:sz w:val="16"/>
                <w:szCs w:val="16"/>
              </w:rPr>
              <w:t>项审批的凭许可证经营）。</w:t>
            </w:r>
          </w:p>
        </w:tc>
      </w:tr>
      <w:tr>
        <w:trPr>
          <w:trHeight w:val="1469"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32" w:lineRule="exact"/>
              <w:ind w:left="120" w:right="93"/>
              <w:jc w:val="left"/>
              <w:rPr>
                <w:rFonts w:ascii="宋体" w:hAnsi="宋体" w:cs="宋体" w:eastAsia="宋体" w:hint="default"/>
                <w:sz w:val="18"/>
                <w:szCs w:val="18"/>
              </w:rPr>
            </w:pPr>
            <w:r>
              <w:rPr>
                <w:rFonts w:ascii="宋体" w:hAnsi="宋体" w:cs="宋体" w:eastAsia="宋体" w:hint="default"/>
                <w:sz w:val="18"/>
                <w:szCs w:val="18"/>
              </w:rPr>
              <w:t>芜湖斯高思电器</w:t>
            </w:r>
            <w:r>
              <w:rPr>
                <w:rFonts w:ascii="宋体" w:hAnsi="宋体" w:cs="宋体" w:eastAsia="宋体" w:hint="default"/>
                <w:spacing w:val="-77"/>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*1</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芜湖市</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2"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500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万美元</w:t>
            </w:r>
          </w:p>
          <w:p>
            <w:pPr>
              <w:pStyle w:val="TableParagraph"/>
              <w:spacing w:line="232" w:lineRule="exact" w:before="18"/>
              <w:ind w:left="129" w:right="127"/>
              <w:jc w:val="center"/>
              <w:rPr>
                <w:rFonts w:ascii="宋体" w:hAnsi="宋体" w:cs="宋体" w:eastAsia="宋体" w:hint="default"/>
                <w:sz w:val="18"/>
                <w:szCs w:val="18"/>
              </w:rPr>
            </w:pPr>
            <w:r>
              <w:rPr>
                <w:rFonts w:ascii="宋体" w:hAnsi="宋体" w:cs="宋体" w:eastAsia="宋体" w:hint="default"/>
                <w:sz w:val="18"/>
                <w:szCs w:val="18"/>
              </w:rPr>
              <w:t>（实收</w:t>
            </w:r>
            <w:r>
              <w:rPr>
                <w:rFonts w:ascii="宋体" w:hAnsi="宋体" w:cs="宋体" w:eastAsia="宋体" w:hint="default"/>
                <w:spacing w:val="-45"/>
                <w:sz w:val="18"/>
                <w:szCs w:val="18"/>
              </w:rPr>
              <w:t> </w:t>
            </w:r>
            <w:r>
              <w:rPr>
                <w:rFonts w:ascii="Arial Narrow" w:hAnsi="Arial Narrow" w:cs="Arial Narrow" w:eastAsia="Arial Narrow" w:hint="default"/>
                <w:sz w:val="18"/>
                <w:szCs w:val="18"/>
              </w:rPr>
              <w:t>800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 元人民币）</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束龙胜</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184" w:lineRule="exact"/>
              <w:ind w:left="100" w:right="0"/>
              <w:jc w:val="both"/>
              <w:rPr>
                <w:rFonts w:ascii="宋体" w:hAnsi="宋体" w:cs="宋体" w:eastAsia="宋体" w:hint="default"/>
                <w:sz w:val="16"/>
                <w:szCs w:val="16"/>
              </w:rPr>
            </w:pPr>
            <w:r>
              <w:rPr>
                <w:rFonts w:ascii="宋体" w:hAnsi="宋体" w:cs="宋体" w:eastAsia="宋体" w:hint="default"/>
                <w:spacing w:val="-42"/>
                <w:sz w:val="16"/>
                <w:szCs w:val="16"/>
              </w:rPr>
              <w:t>电气设备（含发电、输电、配电、电</w:t>
            </w:r>
            <w:r>
              <w:rPr>
                <w:rFonts w:ascii="宋体" w:hAnsi="宋体" w:cs="宋体" w:eastAsia="宋体" w:hint="default"/>
                <w:sz w:val="16"/>
                <w:szCs w:val="16"/>
              </w:rPr>
            </w:r>
          </w:p>
          <w:p>
            <w:pPr>
              <w:pStyle w:val="TableParagraph"/>
              <w:spacing w:line="237" w:lineRule="auto"/>
              <w:ind w:left="100" w:right="63"/>
              <w:jc w:val="both"/>
              <w:rPr>
                <w:rFonts w:ascii="宋体" w:hAnsi="宋体" w:cs="宋体" w:eastAsia="宋体" w:hint="default"/>
                <w:sz w:val="16"/>
                <w:szCs w:val="16"/>
              </w:rPr>
            </w:pPr>
            <w:r>
              <w:rPr>
                <w:rFonts w:ascii="宋体" w:hAnsi="宋体" w:cs="宋体" w:eastAsia="宋体" w:hint="default"/>
                <w:spacing w:val="-31"/>
                <w:sz w:val="16"/>
                <w:szCs w:val="16"/>
              </w:rPr>
              <w:t>气传动、自动化仪表、通讯工业电</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39"/>
                <w:w w:val="100"/>
                <w:sz w:val="16"/>
                <w:szCs w:val="16"/>
              </w:rPr>
              <w:t>视）、工业过程控制及监控系统、计</w:t>
            </w:r>
            <w:r>
              <w:rPr>
                <w:rFonts w:ascii="宋体" w:hAnsi="宋体" w:cs="宋体" w:eastAsia="宋体" w:hint="default"/>
                <w:spacing w:val="-75"/>
                <w:w w:val="100"/>
                <w:sz w:val="16"/>
                <w:szCs w:val="16"/>
              </w:rPr>
              <w:t> </w:t>
            </w:r>
            <w:r>
              <w:rPr>
                <w:rFonts w:ascii="宋体" w:hAnsi="宋体" w:cs="宋体" w:eastAsia="宋体" w:hint="default"/>
                <w:spacing w:val="-75"/>
                <w:w w:val="100"/>
                <w:sz w:val="16"/>
                <w:szCs w:val="16"/>
              </w:rPr>
            </w:r>
            <w:r>
              <w:rPr>
                <w:rFonts w:ascii="宋体" w:hAnsi="宋体" w:cs="宋体" w:eastAsia="宋体" w:hint="default"/>
                <w:spacing w:val="-41"/>
                <w:sz w:val="16"/>
                <w:szCs w:val="16"/>
              </w:rPr>
              <w:t>算机应用服务与综合信息网络工程、</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39"/>
                <w:sz w:val="16"/>
                <w:szCs w:val="16"/>
              </w:rPr>
              <w:t>电子声像工程、智能化系统和技术防</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39"/>
                <w:sz w:val="16"/>
                <w:szCs w:val="16"/>
              </w:rPr>
              <w:t>范工程安装、调试、维护（凡涉及专</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pacing w:val="-43"/>
                <w:w w:val="100"/>
                <w:sz w:val="16"/>
                <w:szCs w:val="16"/>
              </w:rPr>
              <w:t>项审批的凭许可证经营）。</w:t>
            </w:r>
          </w:p>
        </w:tc>
      </w:tr>
      <w:tr>
        <w:trPr>
          <w:trHeight w:val="482" w:hRule="exact"/>
        </w:trPr>
        <w:tc>
          <w:tcPr>
            <w:tcW w:w="1500" w:type="dxa"/>
            <w:vMerge w:val="restart"/>
            <w:tcBorders>
              <w:top w:val="single" w:sz="6"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575" w:right="105" w:hanging="452"/>
              <w:jc w:val="left"/>
              <w:rPr>
                <w:rFonts w:ascii="宋体" w:hAnsi="宋体" w:cs="宋体" w:eastAsia="宋体" w:hint="default"/>
                <w:sz w:val="18"/>
                <w:szCs w:val="18"/>
              </w:rPr>
            </w:pPr>
            <w:r>
              <w:rPr>
                <w:rFonts w:ascii="宋体" w:hAnsi="宋体" w:cs="宋体" w:eastAsia="宋体" w:hint="default"/>
                <w:sz w:val="18"/>
                <w:szCs w:val="18"/>
              </w:rPr>
              <w:t>子公司名称（全 称）</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firstLine="16"/>
              <w:jc w:val="left"/>
              <w:rPr>
                <w:rFonts w:ascii="宋体" w:hAnsi="宋体" w:cs="宋体" w:eastAsia="宋体" w:hint="default"/>
                <w:sz w:val="18"/>
                <w:szCs w:val="18"/>
              </w:rPr>
            </w:pPr>
            <w:r>
              <w:rPr>
                <w:rFonts w:ascii="宋体" w:hAnsi="宋体" w:cs="宋体" w:eastAsia="宋体" w:hint="default"/>
                <w:sz w:val="18"/>
                <w:szCs w:val="18"/>
              </w:rPr>
              <w:t>持股比</w:t>
            </w:r>
          </w:p>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08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99" w:right="175" w:hanging="24"/>
              <w:jc w:val="left"/>
              <w:rPr>
                <w:rFonts w:ascii="宋体" w:hAnsi="宋体" w:cs="宋体" w:eastAsia="宋体" w:hint="default"/>
                <w:sz w:val="18"/>
                <w:szCs w:val="18"/>
              </w:rPr>
            </w:pPr>
            <w:r>
              <w:rPr>
                <w:rFonts w:ascii="宋体" w:hAnsi="宋体" w:cs="宋体" w:eastAsia="宋体" w:hint="default"/>
                <w:sz w:val="18"/>
                <w:szCs w:val="18"/>
              </w:rPr>
              <w:t>表决权比 例（</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339"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571" w:right="120" w:hanging="449"/>
              <w:jc w:val="left"/>
              <w:rPr>
                <w:rFonts w:ascii="宋体" w:hAnsi="宋体" w:cs="宋体" w:eastAsia="宋体" w:hint="default"/>
                <w:sz w:val="18"/>
                <w:szCs w:val="18"/>
              </w:rPr>
            </w:pPr>
            <w:r>
              <w:rPr>
                <w:rFonts w:ascii="宋体" w:hAnsi="宋体" w:cs="宋体" w:eastAsia="宋体" w:hint="default"/>
                <w:sz w:val="18"/>
                <w:szCs w:val="18"/>
              </w:rPr>
              <w:t>年末实际出资 额</w:t>
            </w:r>
          </w:p>
        </w:tc>
        <w:tc>
          <w:tcPr>
            <w:tcW w:w="2187" w:type="dxa"/>
            <w:gridSpan w:val="2"/>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76" w:right="185" w:hanging="92"/>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2132" w:type="dxa"/>
            <w:vMerge w:val="restart"/>
            <w:tcBorders>
              <w:top w:val="single" w:sz="6" w:space="0" w:color="000000"/>
              <w:left w:val="single" w:sz="6" w:space="0" w:color="000000"/>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878" w:right="883"/>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80" w:hRule="exact"/>
        </w:trPr>
        <w:tc>
          <w:tcPr>
            <w:tcW w:w="1500" w:type="dxa"/>
            <w:vMerge/>
            <w:tcBorders>
              <w:left w:val="nil" w:sz="6" w:space="0" w:color="auto"/>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接</w:t>
            </w:r>
          </w:p>
        </w:tc>
        <w:tc>
          <w:tcPr>
            <w:tcW w:w="1088" w:type="dxa"/>
            <w:vMerge/>
            <w:tcBorders>
              <w:left w:val="single" w:sz="6" w:space="0" w:color="000000"/>
              <w:bottom w:val="single" w:sz="6" w:space="0" w:color="000000"/>
              <w:right w:val="single" w:sz="6" w:space="0" w:color="000000"/>
            </w:tcBorders>
          </w:tcPr>
          <w:p>
            <w:pPr/>
          </w:p>
        </w:tc>
        <w:tc>
          <w:tcPr>
            <w:tcW w:w="1339" w:type="dxa"/>
            <w:vMerge/>
            <w:tcBorders>
              <w:left w:val="single" w:sz="6" w:space="0" w:color="000000"/>
              <w:bottom w:val="single" w:sz="6" w:space="0" w:color="000000"/>
              <w:right w:val="single" w:sz="6" w:space="0" w:color="000000"/>
            </w:tcBorders>
          </w:tcPr>
          <w:p>
            <w:pPr/>
          </w:p>
        </w:tc>
        <w:tc>
          <w:tcPr>
            <w:tcW w:w="2187" w:type="dxa"/>
            <w:gridSpan w:val="2"/>
            <w:vMerge/>
            <w:tcBorders>
              <w:left w:val="single" w:sz="6" w:space="0" w:color="000000"/>
              <w:bottom w:val="single" w:sz="6" w:space="0" w:color="000000"/>
              <w:right w:val="single" w:sz="6" w:space="0" w:color="000000"/>
            </w:tcBorders>
          </w:tcPr>
          <w:p>
            <w:pPr/>
          </w:p>
        </w:tc>
        <w:tc>
          <w:tcPr>
            <w:tcW w:w="2132" w:type="dxa"/>
            <w:vMerge/>
            <w:tcBorders>
              <w:left w:val="single" w:sz="6" w:space="0" w:color="000000"/>
              <w:bottom w:val="single" w:sz="6" w:space="0" w:color="000000"/>
              <w:right w:val="nil" w:sz="6" w:space="0" w:color="auto"/>
            </w:tcBorders>
          </w:tcPr>
          <w:p>
            <w:pPr/>
          </w:p>
        </w:tc>
      </w:tr>
      <w:tr>
        <w:trPr>
          <w:trHeight w:val="497"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0" w:right="93"/>
              <w:jc w:val="left"/>
              <w:rPr>
                <w:rFonts w:ascii="宋体" w:hAnsi="宋体" w:cs="宋体" w:eastAsia="宋体" w:hint="default"/>
                <w:sz w:val="18"/>
                <w:szCs w:val="18"/>
              </w:rPr>
            </w:pPr>
            <w:r>
              <w:rPr>
                <w:rFonts w:ascii="宋体" w:hAnsi="宋体" w:cs="宋体" w:eastAsia="宋体" w:hint="default"/>
                <w:sz w:val="18"/>
                <w:szCs w:val="18"/>
              </w:rPr>
              <w:t>安徽森源电器有</w:t>
            </w:r>
            <w:r>
              <w:rPr>
                <w:rFonts w:ascii="宋体" w:hAnsi="宋体" w:cs="宋体" w:eastAsia="宋体" w:hint="default"/>
                <w:spacing w:val="-77"/>
                <w:sz w:val="18"/>
                <w:szCs w:val="18"/>
              </w:rPr>
              <w:t> </w:t>
            </w:r>
            <w:r>
              <w:rPr>
                <w:rFonts w:ascii="宋体" w:hAnsi="宋体" w:cs="宋体" w:eastAsia="宋体" w:hint="default"/>
                <w:sz w:val="18"/>
                <w:szCs w:val="18"/>
              </w:rPr>
              <w:t>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0" w:right="0"/>
              <w:jc w:val="left"/>
              <w:rPr>
                <w:rFonts w:ascii="Arial Narrow" w:hAnsi="Arial Narrow" w:cs="Arial Narrow" w:eastAsia="Arial Narrow" w:hint="default"/>
                <w:sz w:val="21"/>
                <w:szCs w:val="21"/>
              </w:rPr>
            </w:pPr>
            <w:r>
              <w:rPr>
                <w:rFonts w:ascii="Arial Narrow"/>
                <w:sz w:val="21"/>
              </w:rPr>
              <w:t>95,678,925.69</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安徽鑫龙电器元</w:t>
            </w:r>
            <w:r>
              <w:rPr>
                <w:rFonts w:ascii="宋体" w:hAnsi="宋体" w:cs="宋体" w:eastAsia="宋体" w:hint="default"/>
                <w:spacing w:val="-77"/>
                <w:sz w:val="18"/>
                <w:szCs w:val="18"/>
              </w:rPr>
              <w:t> </w:t>
            </w:r>
            <w:r>
              <w:rPr>
                <w:rFonts w:ascii="宋体" w:hAnsi="宋体" w:cs="宋体" w:eastAsia="宋体" w:hint="default"/>
                <w:sz w:val="18"/>
                <w:szCs w:val="18"/>
              </w:rPr>
              <w:t>件销售有限公司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58" w:right="0"/>
              <w:jc w:val="left"/>
              <w:rPr>
                <w:rFonts w:ascii="Arial Narrow" w:hAnsi="Arial Narrow" w:cs="Arial Narrow" w:eastAsia="Arial Narrow" w:hint="default"/>
                <w:sz w:val="21"/>
                <w:szCs w:val="21"/>
              </w:rPr>
            </w:pPr>
            <w:r>
              <w:rPr>
                <w:rFonts w:ascii="Arial Narrow"/>
                <w:sz w:val="21"/>
              </w:rPr>
              <w:t>4,979,262.50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安徽鑫龙自动化</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0" w:right="0"/>
              <w:jc w:val="left"/>
              <w:rPr>
                <w:rFonts w:ascii="Arial Narrow" w:hAnsi="Arial Narrow" w:cs="Arial Narrow" w:eastAsia="Arial Narrow" w:hint="default"/>
                <w:sz w:val="21"/>
                <w:szCs w:val="21"/>
              </w:rPr>
            </w:pPr>
            <w:r>
              <w:rPr>
                <w:rFonts w:ascii="Arial Narrow"/>
                <w:sz w:val="21"/>
              </w:rPr>
              <w:t>10,266,868.00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安徽鑫龙低压电</w:t>
            </w:r>
            <w:r>
              <w:rPr>
                <w:rFonts w:ascii="宋体" w:hAnsi="宋体" w:cs="宋体" w:eastAsia="宋体" w:hint="default"/>
                <w:spacing w:val="-77"/>
                <w:sz w:val="18"/>
                <w:szCs w:val="18"/>
              </w:rPr>
              <w:t> </w:t>
            </w:r>
            <w:r>
              <w:rPr>
                <w:rFonts w:ascii="宋体" w:hAnsi="宋体" w:cs="宋体" w:eastAsia="宋体" w:hint="default"/>
                <w:sz w:val="18"/>
                <w:szCs w:val="18"/>
              </w:rPr>
              <w:t>器有限公司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58" w:right="0"/>
              <w:jc w:val="left"/>
              <w:rPr>
                <w:rFonts w:ascii="Arial Narrow" w:hAnsi="Arial Narrow" w:cs="Arial Narrow" w:eastAsia="Arial Narrow" w:hint="default"/>
                <w:sz w:val="21"/>
                <w:szCs w:val="21"/>
              </w:rPr>
            </w:pPr>
            <w:r>
              <w:rPr>
                <w:rFonts w:ascii="Arial Narrow"/>
                <w:sz w:val="21"/>
              </w:rPr>
              <w:t>3,070,266.00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7"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0" w:right="93"/>
              <w:jc w:val="left"/>
              <w:rPr>
                <w:rFonts w:ascii="宋体" w:hAnsi="宋体" w:cs="宋体" w:eastAsia="宋体" w:hint="default"/>
                <w:sz w:val="18"/>
                <w:szCs w:val="18"/>
              </w:rPr>
            </w:pPr>
            <w:r>
              <w:rPr>
                <w:rFonts w:ascii="宋体" w:hAnsi="宋体" w:cs="宋体" w:eastAsia="宋体" w:hint="default"/>
                <w:sz w:val="18"/>
                <w:szCs w:val="18"/>
              </w:rPr>
              <w:t>安徽鑫龙变压器</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58" w:right="0"/>
              <w:jc w:val="left"/>
              <w:rPr>
                <w:rFonts w:ascii="Arial Narrow" w:hAnsi="Arial Narrow" w:cs="Arial Narrow" w:eastAsia="Arial Narrow" w:hint="default"/>
                <w:sz w:val="21"/>
                <w:szCs w:val="21"/>
              </w:rPr>
            </w:pPr>
            <w:r>
              <w:rPr>
                <w:rFonts w:ascii="Arial Narrow"/>
                <w:sz w:val="21"/>
              </w:rPr>
              <w:t>3,066,448.50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安徽鑫龙电力工</w:t>
            </w:r>
            <w:r>
              <w:rPr>
                <w:rFonts w:ascii="宋体" w:hAnsi="宋体" w:cs="宋体" w:eastAsia="宋体" w:hint="default"/>
                <w:spacing w:val="-77"/>
                <w:sz w:val="18"/>
                <w:szCs w:val="18"/>
              </w:rPr>
              <w:t> </w:t>
            </w:r>
            <w:r>
              <w:rPr>
                <w:rFonts w:ascii="宋体" w:hAnsi="宋体" w:cs="宋体" w:eastAsia="宋体" w:hint="default"/>
                <w:sz w:val="18"/>
                <w:szCs w:val="18"/>
              </w:rPr>
              <w:t>程安装有限公司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44" w:right="0"/>
              <w:jc w:val="left"/>
              <w:rPr>
                <w:rFonts w:ascii="Arial Narrow" w:hAnsi="Arial Narrow" w:cs="Arial Narrow" w:eastAsia="Arial Narrow" w:hint="default"/>
                <w:sz w:val="21"/>
                <w:szCs w:val="21"/>
              </w:rPr>
            </w:pPr>
            <w:r>
              <w:rPr>
                <w:rFonts w:ascii="Arial Narrow"/>
                <w:sz w:val="21"/>
              </w:rPr>
              <w:t>100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Arial Narrow" w:hAnsi="Arial Narrow" w:cs="Arial Narrow" w:eastAsia="Arial Narrow" w:hint="default"/>
                <w:sz w:val="21"/>
                <w:szCs w:val="21"/>
              </w:rPr>
            </w:pPr>
            <w:r>
              <w:rPr>
                <w:rFonts w:ascii="Arial Narrow"/>
                <w:sz w:val="21"/>
              </w:rPr>
              <w:t>100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58" w:right="0"/>
              <w:jc w:val="left"/>
              <w:rPr>
                <w:rFonts w:ascii="Arial Narrow" w:hAnsi="Arial Narrow" w:cs="Arial Narrow" w:eastAsia="Arial Narrow" w:hint="default"/>
                <w:sz w:val="21"/>
                <w:szCs w:val="21"/>
              </w:rPr>
            </w:pPr>
            <w:r>
              <w:rPr>
                <w:rFonts w:ascii="Arial Narrow"/>
                <w:sz w:val="21"/>
              </w:rPr>
              <w:t>2,994,091.50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芜湖斯高思电器</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*1</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Arial Narrow" w:hAnsi="Arial Narrow" w:cs="Arial Narrow" w:eastAsia="Arial Narrow" w:hint="default"/>
                <w:sz w:val="21"/>
                <w:szCs w:val="21"/>
              </w:rPr>
            </w:pPr>
            <w:r>
              <w:rPr>
                <w:rFonts w:ascii="Arial Narrow"/>
                <w:sz w:val="21"/>
              </w:rPr>
              <w:t>75</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Arial Narrow" w:hAnsi="Arial Narrow" w:cs="Arial Narrow" w:eastAsia="Arial Narrow" w:hint="default"/>
                <w:sz w:val="21"/>
                <w:szCs w:val="21"/>
              </w:rPr>
            </w:pPr>
            <w:r>
              <w:rPr>
                <w:rFonts w:ascii="Arial Narrow"/>
                <w:sz w:val="21"/>
              </w:rPr>
              <w:t>75</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58" w:right="0"/>
              <w:jc w:val="left"/>
              <w:rPr>
                <w:rFonts w:ascii="Arial Narrow" w:hAnsi="Arial Narrow" w:cs="Arial Narrow" w:eastAsia="Arial Narrow" w:hint="default"/>
                <w:sz w:val="21"/>
                <w:szCs w:val="21"/>
              </w:rPr>
            </w:pPr>
            <w:r>
              <w:rPr>
                <w:rFonts w:ascii="Arial Narrow"/>
                <w:sz w:val="21"/>
              </w:rPr>
              <w:t>6,000,000.00</w:t>
            </w:r>
          </w:p>
        </w:tc>
        <w:tc>
          <w:tcPr>
            <w:tcW w:w="2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97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4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575" w:right="105" w:hanging="452"/>
              <w:jc w:val="left"/>
              <w:rPr>
                <w:rFonts w:ascii="宋体" w:hAnsi="宋体" w:cs="宋体" w:eastAsia="宋体" w:hint="default"/>
                <w:sz w:val="18"/>
                <w:szCs w:val="18"/>
              </w:rPr>
            </w:pPr>
            <w:r>
              <w:rPr>
                <w:rFonts w:ascii="宋体" w:hAnsi="宋体" w:cs="宋体" w:eastAsia="宋体" w:hint="default"/>
                <w:sz w:val="18"/>
                <w:szCs w:val="18"/>
              </w:rPr>
              <w:t>子公司名称（全 称）</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297" w:right="119"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355" w:right="17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37" w:lineRule="auto"/>
              <w:ind w:left="117" w:right="117"/>
              <w:jc w:val="center"/>
              <w:rPr>
                <w:rFonts w:ascii="宋体" w:hAnsi="宋体" w:cs="宋体" w:eastAsia="宋体" w:hint="default"/>
                <w:sz w:val="18"/>
                <w:szCs w:val="18"/>
              </w:rPr>
            </w:pPr>
            <w:r>
              <w:rPr>
                <w:rFonts w:ascii="宋体" w:hAnsi="宋体" w:cs="宋体" w:eastAsia="宋体" w:hint="default"/>
                <w:sz w:val="18"/>
                <w:szCs w:val="18"/>
              </w:rPr>
              <w:t>中用于冲减少 数股东损益的 金额</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从母公司所有者权益冲减子公司少</w:t>
            </w:r>
          </w:p>
          <w:p>
            <w:pPr>
              <w:pStyle w:val="TableParagraph"/>
              <w:spacing w:line="237" w:lineRule="auto"/>
              <w:ind w:left="136" w:right="142"/>
              <w:jc w:val="center"/>
              <w:rPr>
                <w:rFonts w:ascii="宋体" w:hAnsi="宋体" w:cs="宋体" w:eastAsia="宋体" w:hint="default"/>
                <w:sz w:val="18"/>
                <w:szCs w:val="18"/>
              </w:rPr>
            </w:pPr>
            <w:r>
              <w:rPr>
                <w:rFonts w:ascii="宋体" w:hAnsi="宋体" w:cs="宋体" w:eastAsia="宋体" w:hint="default"/>
                <w:sz w:val="18"/>
                <w:szCs w:val="18"/>
              </w:rPr>
              <w:t>数股东分担的本期亏损超过少数股 东在该子公司期初所有者权益中所 享有份额后的余额</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安徽森源电器有</w:t>
            </w:r>
            <w:r>
              <w:rPr>
                <w:rFonts w:ascii="宋体" w:hAnsi="宋体" w:cs="宋体" w:eastAsia="宋体" w:hint="default"/>
                <w:spacing w:val="-77"/>
                <w:sz w:val="18"/>
                <w:szCs w:val="18"/>
              </w:rPr>
              <w:t> </w:t>
            </w:r>
            <w:r>
              <w:rPr>
                <w:rFonts w:ascii="宋体" w:hAnsi="宋体" w:cs="宋体" w:eastAsia="宋体" w:hint="default"/>
                <w:sz w:val="18"/>
                <w:szCs w:val="18"/>
              </w:rPr>
              <w:t>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2" w:lineRule="exact" w:before="1"/>
              <w:ind w:left="297" w:right="119"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53"/>
              <w:jc w:val="center"/>
              <w:rPr>
                <w:rFonts w:ascii="Times New Roman" w:hAnsi="Times New Roman" w:cs="Times New Roman" w:eastAsia="Times New Roman" w:hint="default"/>
                <w:sz w:val="18"/>
                <w:szCs w:val="18"/>
              </w:rPr>
            </w:pPr>
            <w:r>
              <w:rPr>
                <w:rFonts w:ascii="Times New Roman"/>
                <w:sz w:val="18"/>
              </w:rPr>
              <w:t>73732202-0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安徽鑫龙电器元</w:t>
            </w:r>
            <w:r>
              <w:rPr>
                <w:rFonts w:ascii="宋体" w:hAnsi="宋体" w:cs="宋体" w:eastAsia="宋体" w:hint="default"/>
                <w:spacing w:val="-77"/>
                <w:sz w:val="18"/>
                <w:szCs w:val="18"/>
              </w:rPr>
              <w:t> </w:t>
            </w:r>
            <w:r>
              <w:rPr>
                <w:rFonts w:ascii="宋体" w:hAnsi="宋体" w:cs="宋体" w:eastAsia="宋体" w:hint="default"/>
                <w:sz w:val="18"/>
                <w:szCs w:val="18"/>
              </w:rPr>
              <w:t>件销售有限公司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8"/>
              <w:jc w:val="center"/>
              <w:rPr>
                <w:rFonts w:ascii="Times New Roman" w:hAnsi="Times New Roman" w:cs="Times New Roman" w:eastAsia="Times New Roman" w:hint="default"/>
                <w:sz w:val="18"/>
                <w:szCs w:val="18"/>
              </w:rPr>
            </w:pPr>
            <w:r>
              <w:rPr>
                <w:rFonts w:ascii="Times New Roman"/>
                <w:sz w:val="18"/>
              </w:rPr>
              <w:t>75095582-6</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7"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before="2"/>
              <w:ind w:left="120" w:right="93"/>
              <w:jc w:val="left"/>
              <w:rPr>
                <w:rFonts w:ascii="宋体" w:hAnsi="宋体" w:cs="宋体" w:eastAsia="宋体" w:hint="default"/>
                <w:sz w:val="18"/>
                <w:szCs w:val="18"/>
              </w:rPr>
            </w:pPr>
            <w:r>
              <w:rPr>
                <w:rFonts w:ascii="宋体" w:hAnsi="宋体" w:cs="宋体" w:eastAsia="宋体" w:hint="default"/>
                <w:sz w:val="18"/>
                <w:szCs w:val="18"/>
              </w:rPr>
              <w:t>安徽鑫龙自动化</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51"/>
              <w:jc w:val="center"/>
              <w:rPr>
                <w:rFonts w:ascii="Times New Roman" w:hAnsi="Times New Roman" w:cs="Times New Roman" w:eastAsia="Times New Roman" w:hint="default"/>
                <w:sz w:val="18"/>
                <w:szCs w:val="18"/>
              </w:rPr>
            </w:pPr>
            <w:r>
              <w:rPr>
                <w:rFonts w:ascii="Times New Roman"/>
                <w:sz w:val="18"/>
              </w:rPr>
              <w:t>74891213-0</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安徽鑫龙低压电</w:t>
            </w:r>
            <w:r>
              <w:rPr>
                <w:rFonts w:ascii="宋体" w:hAnsi="宋体" w:cs="宋体" w:eastAsia="宋体" w:hint="default"/>
                <w:spacing w:val="-77"/>
                <w:sz w:val="18"/>
                <w:szCs w:val="18"/>
              </w:rPr>
              <w:t> </w:t>
            </w:r>
            <w:r>
              <w:rPr>
                <w:rFonts w:ascii="宋体" w:hAnsi="宋体" w:cs="宋体" w:eastAsia="宋体" w:hint="default"/>
                <w:sz w:val="18"/>
                <w:szCs w:val="18"/>
              </w:rPr>
              <w:t>器有限公司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51"/>
              <w:jc w:val="center"/>
              <w:rPr>
                <w:rFonts w:ascii="Times New Roman" w:hAnsi="Times New Roman" w:cs="Times New Roman" w:eastAsia="Times New Roman" w:hint="default"/>
                <w:sz w:val="18"/>
                <w:szCs w:val="18"/>
              </w:rPr>
            </w:pPr>
            <w:r>
              <w:rPr>
                <w:rFonts w:ascii="Times New Roman"/>
                <w:sz w:val="18"/>
              </w:rPr>
              <w:t>74891214-9</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安徽鑫龙变压器</w:t>
            </w:r>
            <w:r>
              <w:rPr>
                <w:rFonts w:ascii="宋体" w:hAnsi="宋体" w:cs="宋体" w:eastAsia="宋体" w:hint="default"/>
                <w:spacing w:val="-77"/>
                <w:sz w:val="18"/>
                <w:szCs w:val="18"/>
              </w:rPr>
              <w:t> </w:t>
            </w:r>
            <w:r>
              <w:rPr>
                <w:rFonts w:ascii="宋体" w:hAnsi="宋体" w:cs="宋体" w:eastAsia="宋体" w:hint="default"/>
                <w:sz w:val="18"/>
                <w:szCs w:val="18"/>
              </w:rPr>
              <w:t>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51"/>
              <w:jc w:val="center"/>
              <w:rPr>
                <w:rFonts w:ascii="Times New Roman" w:hAnsi="Times New Roman" w:cs="Times New Roman" w:eastAsia="Times New Roman" w:hint="default"/>
                <w:sz w:val="18"/>
                <w:szCs w:val="18"/>
              </w:rPr>
            </w:pPr>
            <w:r>
              <w:rPr>
                <w:rFonts w:ascii="Times New Roman"/>
                <w:sz w:val="18"/>
              </w:rPr>
              <w:t>74891215-7</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4"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93"/>
              <w:jc w:val="left"/>
              <w:rPr>
                <w:rFonts w:ascii="宋体" w:hAnsi="宋体" w:cs="宋体" w:eastAsia="宋体" w:hint="default"/>
                <w:sz w:val="18"/>
                <w:szCs w:val="18"/>
              </w:rPr>
            </w:pPr>
            <w:r>
              <w:rPr>
                <w:rFonts w:ascii="宋体" w:hAnsi="宋体" w:cs="宋体" w:eastAsia="宋体" w:hint="default"/>
                <w:sz w:val="18"/>
                <w:szCs w:val="18"/>
              </w:rPr>
              <w:t>安徽鑫龙电力工</w:t>
            </w:r>
            <w:r>
              <w:rPr>
                <w:rFonts w:ascii="宋体" w:hAnsi="宋体" w:cs="宋体" w:eastAsia="宋体" w:hint="default"/>
                <w:spacing w:val="-77"/>
                <w:sz w:val="18"/>
                <w:szCs w:val="18"/>
              </w:rPr>
              <w:t> </w:t>
            </w:r>
            <w:r>
              <w:rPr>
                <w:rFonts w:ascii="宋体" w:hAnsi="宋体" w:cs="宋体" w:eastAsia="宋体" w:hint="default"/>
                <w:sz w:val="18"/>
                <w:szCs w:val="18"/>
              </w:rPr>
              <w:t>程安装有限公司</w:t>
            </w:r>
          </w:p>
        </w:tc>
        <w:tc>
          <w:tcPr>
            <w:tcW w:w="7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有限公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58"/>
              <w:jc w:val="center"/>
              <w:rPr>
                <w:rFonts w:ascii="Times New Roman" w:hAnsi="Times New Roman" w:cs="Times New Roman" w:eastAsia="Times New Roman" w:hint="default"/>
                <w:sz w:val="18"/>
                <w:szCs w:val="18"/>
              </w:rPr>
            </w:pPr>
            <w:r>
              <w:rPr>
                <w:rFonts w:ascii="Times New Roman"/>
                <w:sz w:val="18"/>
              </w:rPr>
              <w:t>77114405-3</w:t>
            </w:r>
          </w:p>
        </w:tc>
        <w:tc>
          <w:tcPr>
            <w:tcW w:w="1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92" w:hRule="exact"/>
        </w:trPr>
        <w:tc>
          <w:tcPr>
            <w:tcW w:w="150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芜湖斯高思电器</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*1</w:t>
            </w:r>
          </w:p>
        </w:tc>
        <w:tc>
          <w:tcPr>
            <w:tcW w:w="79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合资公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7"/>
              <w:ind w:right="46"/>
              <w:jc w:val="center"/>
              <w:rPr>
                <w:rFonts w:ascii="Times New Roman" w:hAnsi="Times New Roman" w:cs="Times New Roman" w:eastAsia="Times New Roman" w:hint="default"/>
                <w:sz w:val="18"/>
                <w:szCs w:val="18"/>
              </w:rPr>
            </w:pPr>
            <w:r>
              <w:rPr>
                <w:rFonts w:ascii="Times New Roman"/>
                <w:sz w:val="18"/>
              </w:rPr>
              <w:t>79356169-1</w:t>
            </w:r>
          </w:p>
        </w:tc>
        <w:tc>
          <w:tcPr>
            <w:tcW w:w="1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218" w:right="0"/>
              <w:jc w:val="left"/>
              <w:rPr>
                <w:rFonts w:ascii="Arial Narrow" w:hAnsi="Arial Narrow" w:cs="Arial Narrow" w:eastAsia="Arial Narrow" w:hint="default"/>
                <w:sz w:val="21"/>
                <w:szCs w:val="21"/>
              </w:rPr>
            </w:pPr>
            <w:r>
              <w:rPr>
                <w:rFonts w:ascii="Arial Narrow"/>
                <w:sz w:val="21"/>
              </w:rPr>
              <w:t>3,040,288.00</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98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2"/>
        <w:rPr>
          <w:rFonts w:ascii="宋体" w:hAnsi="宋体" w:cs="宋体" w:eastAsia="宋体" w:hint="default"/>
          <w:b/>
          <w:bCs/>
          <w:sz w:val="12"/>
          <w:szCs w:val="12"/>
        </w:rPr>
      </w:pPr>
    </w:p>
    <w:p>
      <w:pPr>
        <w:spacing w:before="41"/>
        <w:ind w:left="678" w:right="0" w:firstLine="0"/>
        <w:jc w:val="left"/>
        <w:rPr>
          <w:rFonts w:ascii="宋体" w:hAnsi="宋体" w:cs="宋体" w:eastAsia="宋体" w:hint="default"/>
          <w:sz w:val="18"/>
          <w:szCs w:val="18"/>
        </w:rPr>
      </w:pPr>
      <w:r>
        <w:rPr>
          <w:rFonts w:ascii="宋体" w:hAnsi="宋体" w:cs="宋体" w:eastAsia="宋体" w:hint="default"/>
          <w:sz w:val="19"/>
          <w:szCs w:val="19"/>
        </w:rPr>
        <w:t>注：</w:t>
      </w:r>
      <w:r>
        <w:rPr>
          <w:rFonts w:ascii="Arial Narrow" w:hAnsi="Arial Narrow" w:cs="Arial Narrow" w:eastAsia="Arial Narrow" w:hint="default"/>
          <w:sz w:val="19"/>
          <w:szCs w:val="19"/>
        </w:rPr>
        <w:t>*1</w:t>
      </w:r>
      <w:r>
        <w:rPr>
          <w:rFonts w:ascii="Arial Narrow" w:hAnsi="Arial Narrow" w:cs="Arial Narrow" w:eastAsia="Arial Narrow" w:hint="default"/>
          <w:spacing w:val="2"/>
          <w:sz w:val="19"/>
          <w:szCs w:val="19"/>
        </w:rPr>
        <w:t> </w:t>
      </w:r>
      <w:r>
        <w:rPr>
          <w:rFonts w:ascii="宋体" w:hAnsi="宋体" w:cs="宋体" w:eastAsia="宋体" w:hint="default"/>
          <w:sz w:val="18"/>
          <w:szCs w:val="18"/>
        </w:rPr>
        <w:t>芜湖斯高思电器有限公司系安徽森源电器有限公司的控股子公司。</w:t>
      </w:r>
    </w:p>
    <w:p>
      <w:pPr>
        <w:spacing w:after="0"/>
        <w:jc w:val="left"/>
        <w:rPr>
          <w:rFonts w:ascii="宋体" w:hAnsi="宋体" w:cs="宋体" w:eastAsia="宋体" w:hint="default"/>
          <w:sz w:val="18"/>
          <w:szCs w:val="18"/>
        </w:rPr>
        <w:sectPr>
          <w:pgSz w:w="11910" w:h="16840"/>
          <w:pgMar w:header="816" w:footer="858" w:top="1160" w:bottom="1040" w:left="1300" w:right="1300"/>
        </w:sectPr>
      </w:pPr>
    </w:p>
    <w:p>
      <w:pPr>
        <w:spacing w:line="240" w:lineRule="auto" w:before="4"/>
        <w:rPr>
          <w:rFonts w:ascii="宋体" w:hAnsi="宋体" w:cs="宋体" w:eastAsia="宋体" w:hint="default"/>
          <w:sz w:val="14"/>
          <w:szCs w:val="14"/>
        </w:rPr>
      </w:pPr>
    </w:p>
    <w:p>
      <w:pPr>
        <w:tabs>
          <w:tab w:pos="4970" w:val="left" w:leader="none"/>
        </w:tabs>
        <w:spacing w:before="36"/>
        <w:ind w:left="758" w:right="335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23"/>
          <w:sz w:val="21"/>
          <w:szCs w:val="21"/>
        </w:rPr>
        <w:t> </w:t>
      </w:r>
      <w:r>
        <w:rPr>
          <w:rFonts w:ascii="宋体" w:hAnsi="宋体" w:cs="宋体" w:eastAsia="宋体" w:hint="default"/>
          <w:b/>
          <w:bCs/>
          <w:sz w:val="21"/>
          <w:szCs w:val="21"/>
        </w:rPr>
        <w:t>同一控制下的企业合并取得的子公司</w:t>
        <w:tab/>
        <w:t>无</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tabs>
          <w:tab w:pos="4970" w:val="left" w:leader="none"/>
        </w:tabs>
        <w:spacing w:before="0"/>
        <w:ind w:left="758" w:right="335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  </w:t>
      </w:r>
      <w:r>
        <w:rPr>
          <w:rFonts w:ascii="Arial Narrow" w:hAnsi="Arial Narrow" w:cs="Arial Narrow" w:eastAsia="Arial Narrow" w:hint="default"/>
          <w:b/>
          <w:bCs/>
          <w:spacing w:val="24"/>
          <w:sz w:val="21"/>
          <w:szCs w:val="21"/>
        </w:rPr>
        <w:t> </w:t>
      </w:r>
      <w:r>
        <w:rPr>
          <w:rFonts w:ascii="宋体" w:hAnsi="宋体" w:cs="宋体" w:eastAsia="宋体" w:hint="default"/>
          <w:b/>
          <w:bCs/>
          <w:sz w:val="21"/>
          <w:szCs w:val="21"/>
        </w:rPr>
        <w:t>非同一控制下的企业合并取得的子公司</w:t>
        <w:tab/>
        <w:t>无</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487" w:lineRule="auto" w:before="0"/>
        <w:ind w:left="1065" w:right="3358" w:hanging="308"/>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Arial Narrow" w:hAnsi="Arial Narrow" w:cs="Arial Narrow" w:eastAsia="Arial Narrow" w:hint="default"/>
          <w:b/>
          <w:bCs/>
          <w:spacing w:val="24"/>
          <w:sz w:val="21"/>
          <w:szCs w:val="21"/>
        </w:rPr>
        <w:t> </w:t>
      </w:r>
      <w:r>
        <w:rPr>
          <w:rFonts w:ascii="宋体" w:hAnsi="宋体" w:cs="宋体" w:eastAsia="宋体" w:hint="default"/>
          <w:b/>
          <w:bCs/>
          <w:sz w:val="21"/>
          <w:szCs w:val="21"/>
        </w:rPr>
        <w:t>合并范围发生变更的说明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本期合并范围未发生变化。</w:t>
      </w:r>
    </w:p>
    <w:p>
      <w:pPr>
        <w:pStyle w:val="BodyText"/>
        <w:spacing w:line="240" w:lineRule="auto" w:before="153"/>
        <w:ind w:left="758" w:right="3358"/>
        <w:jc w:val="left"/>
        <w:rPr>
          <w:rFonts w:ascii="黑体" w:hAnsi="黑体" w:cs="黑体" w:eastAsia="黑体" w:hint="default"/>
        </w:rPr>
      </w:pPr>
      <w:r>
        <w:rPr>
          <w:rFonts w:ascii="黑体" w:hAnsi="黑体" w:cs="黑体" w:eastAsia="黑体" w:hint="default"/>
        </w:rPr>
        <w:t>五、财务报表主要项目注释</w:t>
      </w:r>
    </w:p>
    <w:p>
      <w:pPr>
        <w:spacing w:line="240" w:lineRule="auto" w:before="3"/>
        <w:rPr>
          <w:rFonts w:ascii="黑体" w:hAnsi="黑体" w:cs="黑体" w:eastAsia="黑体" w:hint="default"/>
          <w:sz w:val="21"/>
          <w:szCs w:val="21"/>
        </w:rPr>
      </w:pPr>
    </w:p>
    <w:p>
      <w:pPr>
        <w:spacing w:before="0"/>
        <w:ind w:left="755" w:right="3358" w:firstLine="0"/>
        <w:jc w:val="left"/>
        <w:rPr>
          <w:rFonts w:ascii="宋体" w:hAnsi="宋体" w:cs="宋体" w:eastAsia="宋体" w:hint="default"/>
          <w:sz w:val="21"/>
          <w:szCs w:val="21"/>
        </w:rPr>
      </w:pPr>
      <w:r>
        <w:rPr>
          <w:rFonts w:ascii="宋体" w:hAnsi="宋体" w:cs="宋体" w:eastAsia="宋体" w:hint="default"/>
          <w:b/>
          <w:bCs/>
          <w:sz w:val="21"/>
          <w:szCs w:val="21"/>
        </w:rPr>
        <w:t>（一）合并财务报表主要项目注释</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tabs>
          <w:tab w:pos="2377" w:val="left" w:leader="none"/>
        </w:tabs>
        <w:spacing w:before="0"/>
        <w:ind w:left="1838" w:right="3358"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1</w:t>
      </w:r>
      <w:r>
        <w:rPr>
          <w:rFonts w:ascii="宋体" w:hAnsi="宋体" w:cs="宋体" w:eastAsia="宋体" w:hint="default"/>
          <w:b/>
          <w:bCs/>
          <w:spacing w:val="-1"/>
          <w:sz w:val="21"/>
          <w:szCs w:val="21"/>
        </w:rPr>
        <w:t>．</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099"/>
        <w:gridCol w:w="2880"/>
        <w:gridCol w:w="2880"/>
      </w:tblGrid>
      <w:tr>
        <w:trPr>
          <w:trHeight w:val="362" w:hRule="exact"/>
        </w:trPr>
        <w:tc>
          <w:tcPr>
            <w:tcW w:w="3099" w:type="dxa"/>
            <w:tcBorders>
              <w:top w:val="single" w:sz="12" w:space="0" w:color="000000"/>
              <w:left w:val="nil" w:sz="6" w:space="0" w:color="auto"/>
              <w:bottom w:val="single" w:sz="6" w:space="0" w:color="000000"/>
              <w:right w:val="single" w:sz="6" w:space="0" w:color="000000"/>
            </w:tcBorders>
          </w:tcPr>
          <w:p>
            <w:pPr>
              <w:pStyle w:val="TableParagraph"/>
              <w:tabs>
                <w:tab w:pos="525" w:val="left" w:leader="none"/>
              </w:tabs>
              <w:spacing w:line="274" w:lineRule="exact"/>
              <w:ind w:right="11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638,803.77</w:t>
            </w:r>
            <w:r>
              <w:rPr>
                <w:rFonts w:ascii="Arial Narrow"/>
                <w:sz w:val="20"/>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660,163.29</w:t>
            </w:r>
            <w:r>
              <w:rPr>
                <w:rFonts w:ascii="Arial Narrow"/>
                <w:sz w:val="20"/>
              </w:rPr>
            </w:r>
          </w:p>
        </w:tc>
      </w:tr>
      <w:tr>
        <w:trPr>
          <w:trHeight w:val="35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spacing w:val="-1"/>
                <w:w w:val="95"/>
                <w:sz w:val="20"/>
              </w:rPr>
              <w:t>173,110,700.09</w:t>
            </w:r>
            <w:r>
              <w:rPr>
                <w:rFonts w:ascii="Arial Narrow"/>
                <w:spacing w:val="-1"/>
                <w:sz w:val="20"/>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199,567,617.23</w:t>
            </w:r>
            <w:r>
              <w:rPr>
                <w:rFonts w:ascii="Arial Narrow"/>
                <w:sz w:val="20"/>
              </w:rPr>
            </w:r>
          </w:p>
        </w:tc>
      </w:tr>
      <w:tr>
        <w:trPr>
          <w:trHeight w:val="35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18,605,512.81</w:t>
            </w:r>
            <w:r>
              <w:rPr>
                <w:rFonts w:ascii="Arial Narrow"/>
                <w:sz w:val="20"/>
              </w:rPr>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45,457,274.81</w:t>
            </w:r>
            <w:r>
              <w:rPr>
                <w:rFonts w:ascii="Arial Narrow"/>
                <w:sz w:val="20"/>
              </w:rPr>
            </w:r>
          </w:p>
        </w:tc>
      </w:tr>
      <w:tr>
        <w:trPr>
          <w:trHeight w:val="362" w:hRule="exact"/>
        </w:trPr>
        <w:tc>
          <w:tcPr>
            <w:tcW w:w="3099" w:type="dxa"/>
            <w:tcBorders>
              <w:top w:val="single" w:sz="6" w:space="0" w:color="000000"/>
              <w:left w:val="nil" w:sz="6" w:space="0" w:color="auto"/>
              <w:bottom w:val="single" w:sz="12" w:space="0" w:color="000000"/>
              <w:right w:val="single" w:sz="6" w:space="0" w:color="000000"/>
            </w:tcBorders>
          </w:tcPr>
          <w:p>
            <w:pPr>
              <w:pStyle w:val="TableParagraph"/>
              <w:tabs>
                <w:tab w:pos="525" w:val="left" w:leader="none"/>
              </w:tabs>
              <w:spacing w:line="274" w:lineRule="exact"/>
              <w:ind w:right="11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192,355,016.67</w:t>
            </w:r>
            <w:r>
              <w:rPr>
                <w:rFonts w:ascii="Arial Narrow"/>
                <w:sz w:val="20"/>
              </w:rPr>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245,685,055.33</w:t>
            </w:r>
            <w:r>
              <w:rPr>
                <w:rFonts w:ascii="Arial Narrow"/>
                <w:sz w:val="20"/>
              </w:rPr>
            </w:r>
          </w:p>
        </w:tc>
      </w:tr>
    </w:tbl>
    <w:p>
      <w:pPr>
        <w:spacing w:line="338" w:lineRule="auto" w:before="86"/>
        <w:ind w:left="398" w:right="0" w:firstLine="419"/>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日止，其他货币资金</w:t>
      </w:r>
      <w:r>
        <w:rPr>
          <w:rFonts w:ascii="宋体" w:hAnsi="宋体" w:cs="宋体" w:eastAsia="宋体" w:hint="default"/>
          <w:spacing w:val="-56"/>
          <w:sz w:val="21"/>
          <w:szCs w:val="21"/>
        </w:rPr>
        <w:t> </w:t>
      </w:r>
      <w:r>
        <w:rPr>
          <w:rFonts w:ascii="Arial Narrow" w:hAnsi="Arial Narrow" w:cs="Arial Narrow" w:eastAsia="Arial Narrow" w:hint="default"/>
          <w:sz w:val="20"/>
          <w:szCs w:val="20"/>
        </w:rPr>
        <w:t>18,605,512.81</w:t>
      </w:r>
      <w:r>
        <w:rPr>
          <w:rFonts w:ascii="Arial Narrow" w:hAnsi="Arial Narrow" w:cs="Arial Narrow" w:eastAsia="Arial Narrow" w:hint="default"/>
          <w:spacing w:val="2"/>
          <w:sz w:val="20"/>
          <w:szCs w:val="20"/>
        </w:rPr>
        <w:t> </w:t>
      </w:r>
      <w:r>
        <w:rPr>
          <w:rFonts w:ascii="宋体" w:hAnsi="宋体" w:cs="宋体" w:eastAsia="宋体" w:hint="default"/>
          <w:sz w:val="21"/>
          <w:szCs w:val="21"/>
        </w:rPr>
        <w:t>元为票据和保函保证金；除此之</w:t>
      </w:r>
      <w:r>
        <w:rPr>
          <w:rFonts w:ascii="宋体" w:hAnsi="宋体" w:cs="宋体" w:eastAsia="宋体" w:hint="default"/>
          <w:w w:val="100"/>
          <w:sz w:val="21"/>
          <w:szCs w:val="21"/>
        </w:rPr>
        <w:t> </w:t>
      </w:r>
      <w:r>
        <w:rPr>
          <w:rFonts w:ascii="宋体" w:hAnsi="宋体" w:cs="宋体" w:eastAsia="宋体" w:hint="default"/>
          <w:sz w:val="21"/>
          <w:szCs w:val="21"/>
        </w:rPr>
        <w:t>外本公司不存在其他抵押、冻结，或有潜在收回风险的款项。</w:t>
      </w:r>
    </w:p>
    <w:p>
      <w:pPr>
        <w:spacing w:before="45"/>
        <w:ind w:left="837" w:right="3358" w:firstLine="0"/>
        <w:jc w:val="left"/>
        <w:rPr>
          <w:rFonts w:ascii="新宋体" w:hAnsi="新宋体" w:cs="新宋体" w:eastAsia="新宋体" w:hint="default"/>
          <w:sz w:val="22"/>
          <w:szCs w:val="22"/>
        </w:rPr>
      </w:pPr>
      <w:r>
        <w:rPr>
          <w:rFonts w:ascii="新宋体" w:hAnsi="新宋体" w:cs="新宋体" w:eastAsia="新宋体" w:hint="default"/>
          <w:sz w:val="22"/>
          <w:szCs w:val="22"/>
        </w:rPr>
        <w:t>其中：外币列示如下：</w:t>
      </w:r>
    </w:p>
    <w:p>
      <w:pPr>
        <w:spacing w:line="240" w:lineRule="auto" w:before="8"/>
        <w:rPr>
          <w:rFonts w:ascii="新宋体" w:hAnsi="新宋体" w:cs="新宋体" w:eastAsia="新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574"/>
        <w:gridCol w:w="1215"/>
        <w:gridCol w:w="972"/>
        <w:gridCol w:w="1457"/>
        <w:gridCol w:w="1214"/>
        <w:gridCol w:w="973"/>
        <w:gridCol w:w="1454"/>
      </w:tblGrid>
      <w:tr>
        <w:trPr>
          <w:trHeight w:val="363" w:hRule="exact"/>
        </w:trPr>
        <w:tc>
          <w:tcPr>
            <w:tcW w:w="1574" w:type="dxa"/>
            <w:vMerge w:val="restart"/>
            <w:tcBorders>
              <w:top w:val="single" w:sz="12" w:space="0" w:color="000000"/>
              <w:left w:val="nil" w:sz="6" w:space="0" w:color="auto"/>
              <w:right w:val="single" w:sz="6" w:space="0" w:color="000000"/>
            </w:tcBorders>
          </w:tcPr>
          <w:p>
            <w:pPr>
              <w:pStyle w:val="TableParagraph"/>
              <w:tabs>
                <w:tab w:pos="952" w:val="left" w:leader="none"/>
              </w:tabs>
              <w:spacing w:line="240" w:lineRule="auto" w:before="177"/>
              <w:ind w:left="4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4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1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41"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118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574" w:type="dxa"/>
            <w:vMerge/>
            <w:tcBorders>
              <w:left w:val="nil" w:sz="6" w:space="0" w:color="auto"/>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45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92"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15"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401,134.82</w:t>
            </w:r>
            <w:r>
              <w:rPr>
                <w:rFonts w:ascii="Arial Narrow"/>
                <w:sz w:val="20"/>
              </w:rPr>
            </w:r>
          </w:p>
        </w:tc>
        <w:tc>
          <w:tcPr>
            <w:tcW w:w="1214"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413,162.77</w:t>
            </w:r>
            <w:r>
              <w:rPr>
                <w:rFonts w:ascii="Arial Narrow"/>
                <w:sz w:val="20"/>
              </w:rPr>
            </w:r>
          </w:p>
        </w:tc>
      </w:tr>
      <w:tr>
        <w:trPr>
          <w:trHeight w:val="355" w:hRule="exact"/>
        </w:trPr>
        <w:tc>
          <w:tcPr>
            <w:tcW w:w="157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9" w:right="0"/>
              <w:jc w:val="left"/>
              <w:rPr>
                <w:rFonts w:ascii="Arial Narrow" w:hAnsi="Arial Narrow" w:cs="Arial Narrow" w:eastAsia="Arial Narrow" w:hint="default"/>
                <w:sz w:val="20"/>
                <w:szCs w:val="20"/>
              </w:rPr>
            </w:pPr>
            <w:r>
              <w:rPr>
                <w:rFonts w:ascii="Arial Narrow"/>
                <w:sz w:val="20"/>
              </w:rPr>
              <w:t>60,569.68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6.6227</w:t>
            </w:r>
            <w:r>
              <w:rPr>
                <w:rFonts w:ascii="Arial Narrow"/>
                <w:sz w:val="20"/>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401,134.82</w:t>
            </w:r>
            <w:r>
              <w:rPr>
                <w:rFonts w:ascii="Arial Narrow"/>
                <w:sz w:val="20"/>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7" w:right="0"/>
              <w:jc w:val="left"/>
              <w:rPr>
                <w:rFonts w:ascii="Arial Narrow" w:hAnsi="Arial Narrow" w:cs="Arial Narrow" w:eastAsia="Arial Narrow" w:hint="default"/>
                <w:sz w:val="20"/>
                <w:szCs w:val="20"/>
              </w:rPr>
            </w:pPr>
            <w:r>
              <w:rPr>
                <w:rFonts w:ascii="Arial Narrow"/>
                <w:sz w:val="20"/>
              </w:rPr>
              <w:t>60,508.30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6.8282</w:t>
            </w:r>
            <w:r>
              <w:rPr>
                <w:rFonts w:ascii="Arial Narrow"/>
                <w:sz w:val="20"/>
              </w:rPr>
            </w:r>
          </w:p>
        </w:tc>
        <w:tc>
          <w:tcPr>
            <w:tcW w:w="14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413,162.77</w:t>
            </w:r>
            <w:r>
              <w:rPr>
                <w:rFonts w:ascii="Arial Narrow"/>
                <w:sz w:val="20"/>
              </w:rPr>
            </w:r>
          </w:p>
        </w:tc>
      </w:tr>
      <w:tr>
        <w:trPr>
          <w:trHeight w:val="362" w:hRule="exact"/>
        </w:trPr>
        <w:tc>
          <w:tcPr>
            <w:tcW w:w="1574" w:type="dxa"/>
            <w:tcBorders>
              <w:top w:val="single" w:sz="6" w:space="0" w:color="000000"/>
              <w:left w:val="nil" w:sz="6" w:space="0" w:color="auto"/>
              <w:bottom w:val="single" w:sz="12" w:space="0" w:color="000000"/>
              <w:right w:val="single" w:sz="6" w:space="0" w:color="000000"/>
            </w:tcBorders>
          </w:tcPr>
          <w:p>
            <w:pPr>
              <w:pStyle w:val="TableParagraph"/>
              <w:tabs>
                <w:tab w:pos="952" w:val="left" w:leader="none"/>
              </w:tabs>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369" w:right="0"/>
              <w:jc w:val="left"/>
              <w:rPr>
                <w:rFonts w:ascii="Arial Narrow" w:hAnsi="Arial Narrow" w:cs="Arial Narrow" w:eastAsia="Arial Narrow" w:hint="default"/>
                <w:sz w:val="20"/>
                <w:szCs w:val="20"/>
              </w:rPr>
            </w:pPr>
            <w:r>
              <w:rPr>
                <w:rFonts w:ascii="Arial Narrow"/>
                <w:sz w:val="20"/>
              </w:rPr>
              <w:t>60,569.68</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6.6227</w:t>
            </w:r>
            <w:r>
              <w:rPr>
                <w:rFonts w:ascii="Arial Narrow"/>
                <w:sz w:val="20"/>
              </w:rPr>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401,134.82</w:t>
            </w:r>
            <w:r>
              <w:rPr>
                <w:rFonts w:ascii="Arial Narrow"/>
                <w:sz w:val="20"/>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367" w:right="0"/>
              <w:jc w:val="left"/>
              <w:rPr>
                <w:rFonts w:ascii="Arial Narrow" w:hAnsi="Arial Narrow" w:cs="Arial Narrow" w:eastAsia="Arial Narrow" w:hint="default"/>
                <w:sz w:val="20"/>
                <w:szCs w:val="20"/>
              </w:rPr>
            </w:pPr>
            <w:r>
              <w:rPr>
                <w:rFonts w:ascii="Arial Narrow"/>
                <w:sz w:val="20"/>
              </w:rPr>
              <w:t>60,508.30</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6.8282</w:t>
            </w:r>
            <w:r>
              <w:rPr>
                <w:rFonts w:ascii="Arial Narrow"/>
                <w:sz w:val="20"/>
              </w:rPr>
            </w:r>
          </w:p>
        </w:tc>
        <w:tc>
          <w:tcPr>
            <w:tcW w:w="14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413,162.77</w:t>
            </w:r>
            <w:r>
              <w:rPr>
                <w:rFonts w:ascii="Arial Narrow"/>
                <w:sz w:val="20"/>
              </w:rPr>
            </w:r>
          </w:p>
        </w:tc>
      </w:tr>
    </w:tbl>
    <w:p>
      <w:pPr>
        <w:spacing w:before="26"/>
        <w:ind w:left="2078" w:right="335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78"/>
        <w:ind w:left="818" w:right="335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）应收票据分类：</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953"/>
        <w:gridCol w:w="2938"/>
        <w:gridCol w:w="2969"/>
      </w:tblGrid>
      <w:tr>
        <w:trPr>
          <w:trHeight w:val="365" w:hRule="exact"/>
        </w:trPr>
        <w:tc>
          <w:tcPr>
            <w:tcW w:w="2953" w:type="dxa"/>
            <w:tcBorders>
              <w:top w:val="single" w:sz="12" w:space="0" w:color="000000"/>
              <w:left w:val="nil" w:sz="6" w:space="0" w:color="auto"/>
              <w:bottom w:val="single" w:sz="6" w:space="0" w:color="000000"/>
              <w:right w:val="single" w:sz="6" w:space="0" w:color="000000"/>
            </w:tcBorders>
          </w:tcPr>
          <w:p>
            <w:pPr>
              <w:pStyle w:val="TableParagraph"/>
              <w:tabs>
                <w:tab w:pos="422" w:val="left" w:leader="none"/>
              </w:tabs>
              <w:spacing w:line="240" w:lineRule="auto" w:before="2"/>
              <w:ind w:right="1143"/>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9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30"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84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21,592,718.90</w:t>
            </w:r>
            <w:r>
              <w:rPr>
                <w:rFonts w:ascii="Arial Narrow"/>
                <w:sz w:val="20"/>
              </w:rPr>
            </w:r>
          </w:p>
        </w:tc>
        <w:tc>
          <w:tcPr>
            <w:tcW w:w="29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0"/>
                <w:szCs w:val="20"/>
              </w:rPr>
            </w:pPr>
            <w:r>
              <w:rPr>
                <w:rFonts w:ascii="Arial Narrow"/>
                <w:spacing w:val="-1"/>
                <w:w w:val="95"/>
                <w:sz w:val="20"/>
              </w:rPr>
              <w:t>11,208,700.00</w:t>
            </w:r>
            <w:r>
              <w:rPr>
                <w:rFonts w:ascii="Arial Narrow"/>
                <w:spacing w:val="-1"/>
                <w:sz w:val="20"/>
              </w:rPr>
            </w:r>
          </w:p>
        </w:tc>
      </w:tr>
      <w:tr>
        <w:trPr>
          <w:trHeight w:val="353" w:hRule="exact"/>
        </w:trPr>
        <w:tc>
          <w:tcPr>
            <w:tcW w:w="29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38" w:type="dxa"/>
            <w:tcBorders>
              <w:top w:val="single" w:sz="6" w:space="0" w:color="000000"/>
              <w:left w:val="single" w:sz="6" w:space="0" w:color="000000"/>
              <w:bottom w:val="single" w:sz="6" w:space="0" w:color="000000"/>
              <w:right w:val="single" w:sz="6" w:space="0" w:color="000000"/>
            </w:tcBorders>
          </w:tcPr>
          <w:p>
            <w:pPr/>
          </w:p>
        </w:tc>
        <w:tc>
          <w:tcPr>
            <w:tcW w:w="2969"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53" w:type="dxa"/>
            <w:tcBorders>
              <w:top w:val="single" w:sz="6" w:space="0" w:color="000000"/>
              <w:left w:val="nil" w:sz="6" w:space="0" w:color="auto"/>
              <w:bottom w:val="single" w:sz="12" w:space="0" w:color="000000"/>
              <w:right w:val="single" w:sz="6" w:space="0" w:color="000000"/>
            </w:tcBorders>
          </w:tcPr>
          <w:p>
            <w:pPr>
              <w:pStyle w:val="TableParagraph"/>
              <w:tabs>
                <w:tab w:pos="422" w:val="left" w:leader="none"/>
              </w:tabs>
              <w:spacing w:line="240" w:lineRule="auto" w:before="2"/>
              <w:ind w:right="114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3"/>
              <w:ind w:right="98"/>
              <w:jc w:val="right"/>
              <w:rPr>
                <w:rFonts w:ascii="Arial Narrow" w:hAnsi="Arial Narrow" w:cs="Arial Narrow" w:eastAsia="Arial Narrow" w:hint="default"/>
                <w:sz w:val="20"/>
                <w:szCs w:val="20"/>
              </w:rPr>
            </w:pPr>
            <w:r>
              <w:rPr>
                <w:rFonts w:ascii="Arial Narrow"/>
                <w:w w:val="95"/>
                <w:sz w:val="20"/>
              </w:rPr>
              <w:t>21,592,718.90</w:t>
            </w:r>
            <w:r>
              <w:rPr>
                <w:rFonts w:ascii="Arial Narrow"/>
                <w:sz w:val="20"/>
              </w:rPr>
            </w:r>
          </w:p>
        </w:tc>
        <w:tc>
          <w:tcPr>
            <w:tcW w:w="29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0"/>
                <w:szCs w:val="20"/>
              </w:rPr>
            </w:pPr>
            <w:r>
              <w:rPr>
                <w:rFonts w:ascii="Arial Narrow"/>
                <w:spacing w:val="-1"/>
                <w:w w:val="95"/>
                <w:sz w:val="20"/>
              </w:rPr>
              <w:t>11,208,700.00</w:t>
            </w:r>
            <w:r>
              <w:rPr>
                <w:rFonts w:ascii="Arial Narrow"/>
                <w:spacing w:val="-1"/>
                <w:sz w:val="20"/>
              </w:rPr>
            </w:r>
          </w:p>
        </w:tc>
      </w:tr>
    </w:tbl>
    <w:p>
      <w:pPr>
        <w:spacing w:before="86"/>
        <w:ind w:left="818" w:right="335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）期末无质押的应收票据。</w:t>
      </w:r>
    </w:p>
    <w:p>
      <w:pPr>
        <w:spacing w:line="240" w:lineRule="auto" w:before="3"/>
        <w:rPr>
          <w:rFonts w:ascii="宋体" w:hAnsi="宋体" w:cs="宋体" w:eastAsia="宋体" w:hint="default"/>
          <w:sz w:val="18"/>
          <w:szCs w:val="18"/>
        </w:rPr>
      </w:pPr>
    </w:p>
    <w:p>
      <w:pPr>
        <w:spacing w:before="0"/>
        <w:ind w:left="8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）期末已背书未到期的票据金额最大的前五项明细列示如下：</w:t>
      </w: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77"/>
        <w:gridCol w:w="2386"/>
        <w:gridCol w:w="2470"/>
        <w:gridCol w:w="1832"/>
      </w:tblGrid>
      <w:tr>
        <w:trPr>
          <w:trHeight w:val="552"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885"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23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出票日</w:t>
            </w:r>
          </w:p>
        </w:tc>
        <w:tc>
          <w:tcPr>
            <w:tcW w:w="24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5"/>
              <w:ind w:left="698"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Narrow" w:hAnsi="Arial Narrow" w:cs="Arial Narrow" w:eastAsia="Arial Narrow" w:hint="default"/>
                <w:sz w:val="20"/>
                <w:szCs w:val="20"/>
              </w:rPr>
            </w:pPr>
            <w:r>
              <w:rPr>
                <w:rFonts w:ascii="Arial Narrow"/>
                <w:sz w:val="20"/>
              </w:rPr>
              <w:t>2010-11-24</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2011-05-24</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711" w:right="0"/>
              <w:jc w:val="left"/>
              <w:rPr>
                <w:rFonts w:ascii="Arial Narrow" w:hAnsi="Arial Narrow" w:cs="Arial Narrow" w:eastAsia="Arial Narrow" w:hint="default"/>
                <w:sz w:val="21"/>
                <w:szCs w:val="21"/>
              </w:rPr>
            </w:pPr>
            <w:r>
              <w:rPr>
                <w:rFonts w:ascii="Arial Narrow"/>
                <w:sz w:val="21"/>
              </w:rPr>
              <w:t>2,000,000.00</w:t>
            </w:r>
          </w:p>
        </w:tc>
      </w:tr>
      <w:tr>
        <w:trPr>
          <w:trHeight w:val="362"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Arial Narrow" w:hAnsi="Arial Narrow" w:cs="Arial Narrow" w:eastAsia="Arial Narrow" w:hint="default"/>
                <w:sz w:val="20"/>
                <w:szCs w:val="20"/>
              </w:rPr>
            </w:pPr>
            <w:r>
              <w:rPr>
                <w:rFonts w:ascii="Arial Narrow"/>
                <w:sz w:val="20"/>
              </w:rPr>
              <w:t>2010-11-24</w:t>
            </w:r>
          </w:p>
        </w:tc>
        <w:tc>
          <w:tcPr>
            <w:tcW w:w="24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2011-05-24</w:t>
            </w:r>
          </w:p>
        </w:tc>
        <w:tc>
          <w:tcPr>
            <w:tcW w:w="18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711" w:right="0"/>
              <w:jc w:val="left"/>
              <w:rPr>
                <w:rFonts w:ascii="Arial Narrow" w:hAnsi="Arial Narrow" w:cs="Arial Narrow" w:eastAsia="Arial Narrow" w:hint="default"/>
                <w:sz w:val="21"/>
                <w:szCs w:val="21"/>
              </w:rPr>
            </w:pPr>
            <w:r>
              <w:rPr>
                <w:rFonts w:ascii="Arial Narrow"/>
                <w:sz w:val="21"/>
              </w:rPr>
              <w:t>2,000,000.00</w:t>
            </w:r>
          </w:p>
        </w:tc>
      </w:tr>
    </w:tbl>
    <w:p>
      <w:pPr>
        <w:spacing w:after="0" w:line="240" w:lineRule="auto"/>
        <w:jc w:val="left"/>
        <w:rPr>
          <w:rFonts w:ascii="Arial Narrow" w:hAnsi="Arial Narrow" w:cs="Arial Narrow" w:eastAsia="Arial Narrow" w:hint="default"/>
          <w:sz w:val="21"/>
          <w:szCs w:val="21"/>
        </w:rPr>
        <w:sectPr>
          <w:pgSz w:w="11910" w:h="16840"/>
          <w:pgMar w:header="816" w:footer="858" w:top="1160" w:bottom="1040" w:left="1400" w:right="1380"/>
        </w:sectPr>
      </w:pPr>
    </w:p>
    <w:p>
      <w:pPr>
        <w:spacing w:line="240" w:lineRule="auto" w:before="9"/>
        <w:rPr>
          <w:rFonts w:ascii="宋体" w:hAnsi="宋体" w:cs="宋体" w:eastAsia="宋体" w:hint="default"/>
          <w:sz w:val="19"/>
          <w:szCs w:val="19"/>
        </w:rPr>
      </w:pPr>
    </w:p>
    <w:tbl>
      <w:tblPr>
        <w:tblW w:w="0" w:type="auto"/>
        <w:jc w:val="left"/>
        <w:tblInd w:w="320" w:type="dxa"/>
        <w:tblLayout w:type="fixed"/>
        <w:tblCellMar>
          <w:top w:w="0" w:type="dxa"/>
          <w:left w:w="0" w:type="dxa"/>
          <w:bottom w:w="0" w:type="dxa"/>
          <w:right w:w="0" w:type="dxa"/>
        </w:tblCellMar>
        <w:tblLook w:val="01E0"/>
      </w:tblPr>
      <w:tblGrid>
        <w:gridCol w:w="2177"/>
        <w:gridCol w:w="2386"/>
        <w:gridCol w:w="2470"/>
        <w:gridCol w:w="1832"/>
      </w:tblGrid>
      <w:tr>
        <w:trPr>
          <w:trHeight w:val="363"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3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2010-08-24</w:t>
            </w:r>
          </w:p>
        </w:tc>
        <w:tc>
          <w:tcPr>
            <w:tcW w:w="24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2011-02-24</w:t>
            </w:r>
          </w:p>
        </w:tc>
        <w:tc>
          <w:tcPr>
            <w:tcW w:w="18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2,000,000.00</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2010-09-09</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2011-03-09</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1,000,000.00</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Narrow" w:hAnsi="Arial Narrow" w:cs="Arial Narrow" w:eastAsia="Arial Narrow" w:hint="default"/>
                <w:sz w:val="20"/>
                <w:szCs w:val="20"/>
              </w:rPr>
            </w:pPr>
            <w:r>
              <w:rPr>
                <w:rFonts w:ascii="Arial Narrow"/>
                <w:sz w:val="20"/>
              </w:rPr>
              <w:t>2010-11-08</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2011-05-08</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1,000,000.00</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第六名</w:t>
            </w:r>
          </w:p>
        </w:tc>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Narrow" w:hAnsi="Arial Narrow" w:cs="Arial Narrow" w:eastAsia="Arial Narrow" w:hint="default"/>
                <w:sz w:val="20"/>
                <w:szCs w:val="20"/>
              </w:rPr>
            </w:pPr>
            <w:r>
              <w:rPr>
                <w:rFonts w:ascii="Arial Narrow"/>
                <w:sz w:val="20"/>
              </w:rPr>
              <w:t>2010-11-30</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Narrow" w:hAnsi="Arial Narrow" w:cs="Arial Narrow" w:eastAsia="Arial Narrow" w:hint="default"/>
                <w:sz w:val="20"/>
                <w:szCs w:val="20"/>
              </w:rPr>
            </w:pPr>
            <w:r>
              <w:rPr>
                <w:rFonts w:ascii="Arial Narrow"/>
                <w:sz w:val="20"/>
              </w:rPr>
              <w:t>2011-05-30</w:t>
            </w:r>
          </w:p>
        </w:tc>
        <w:tc>
          <w:tcPr>
            <w:tcW w:w="18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1,000,000.00</w:t>
            </w:r>
          </w:p>
        </w:tc>
      </w:tr>
      <w:tr>
        <w:trPr>
          <w:trHeight w:val="362"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6" w:type="dxa"/>
            <w:tcBorders>
              <w:top w:val="single" w:sz="6" w:space="0" w:color="000000"/>
              <w:left w:val="single" w:sz="6" w:space="0" w:color="000000"/>
              <w:bottom w:val="single" w:sz="12" w:space="0" w:color="000000"/>
              <w:right w:val="single" w:sz="6" w:space="0" w:color="000000"/>
            </w:tcBorders>
          </w:tcPr>
          <w:p>
            <w:pPr/>
          </w:p>
        </w:tc>
        <w:tc>
          <w:tcPr>
            <w:tcW w:w="2470" w:type="dxa"/>
            <w:tcBorders>
              <w:top w:val="single" w:sz="6" w:space="0" w:color="000000"/>
              <w:left w:val="single" w:sz="6" w:space="0" w:color="000000"/>
              <w:bottom w:val="single" w:sz="12" w:space="0" w:color="000000"/>
              <w:right w:val="single" w:sz="6" w:space="0" w:color="000000"/>
            </w:tcBorders>
          </w:tcPr>
          <w:p>
            <w:pPr/>
          </w:p>
        </w:tc>
        <w:tc>
          <w:tcPr>
            <w:tcW w:w="18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9,000,000.00</w:t>
            </w:r>
            <w:r>
              <w:rPr>
                <w:rFonts w:ascii="Arial Narrow"/>
                <w:sz w:val="21"/>
              </w:rPr>
            </w:r>
          </w:p>
        </w:tc>
      </w:tr>
    </w:tbl>
    <w:p>
      <w:pPr>
        <w:spacing w:line="338" w:lineRule="auto" w:before="86"/>
        <w:ind w:left="618" w:right="60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日止，应收票据余额中无持有本公司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w:t>
      </w:r>
      <w:r>
        <w:rPr>
          <w:rFonts w:ascii="宋体" w:hAnsi="宋体" w:cs="宋体" w:eastAsia="宋体" w:hint="default"/>
          <w:w w:val="100"/>
          <w:sz w:val="21"/>
          <w:szCs w:val="21"/>
        </w:rPr>
        <w:t> </w:t>
      </w:r>
      <w:r>
        <w:rPr>
          <w:rFonts w:ascii="宋体" w:hAnsi="宋体" w:cs="宋体" w:eastAsia="宋体" w:hint="default"/>
          <w:sz w:val="21"/>
          <w:szCs w:val="21"/>
        </w:rPr>
        <w:t>权股份的股东单位及关联方欠款。</w:t>
      </w:r>
    </w:p>
    <w:p>
      <w:pPr>
        <w:spacing w:line="338" w:lineRule="auto" w:before="169"/>
        <w:ind w:left="618" w:right="60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）年末应收票据余额比年初增加</w:t>
      </w:r>
      <w:r>
        <w:rPr>
          <w:rFonts w:ascii="宋体" w:hAnsi="宋体" w:cs="宋体" w:eastAsia="宋体" w:hint="default"/>
          <w:spacing w:val="-41"/>
          <w:sz w:val="21"/>
          <w:szCs w:val="21"/>
        </w:rPr>
        <w:t> </w:t>
      </w:r>
      <w:r>
        <w:rPr>
          <w:rFonts w:ascii="Arial Narrow" w:hAnsi="Arial Narrow" w:cs="Arial Narrow" w:eastAsia="Arial Narrow" w:hint="default"/>
          <w:sz w:val="21"/>
          <w:szCs w:val="21"/>
        </w:rPr>
        <w:t>92.64%</w:t>
      </w:r>
      <w:r>
        <w:rPr>
          <w:rFonts w:ascii="宋体" w:hAnsi="宋体" w:cs="宋体" w:eastAsia="宋体" w:hint="default"/>
          <w:sz w:val="21"/>
          <w:szCs w:val="21"/>
        </w:rPr>
        <w:t>，主要原因为本期收到银行承兑汇票增加所</w:t>
      </w:r>
      <w:r>
        <w:rPr>
          <w:rFonts w:ascii="宋体" w:hAnsi="宋体" w:cs="宋体" w:eastAsia="宋体" w:hint="default"/>
          <w:w w:val="100"/>
          <w:sz w:val="21"/>
          <w:szCs w:val="21"/>
        </w:rPr>
        <w:t> </w:t>
      </w:r>
      <w:r>
        <w:rPr>
          <w:rFonts w:ascii="宋体" w:hAnsi="宋体" w:cs="宋体" w:eastAsia="宋体" w:hint="default"/>
          <w:sz w:val="21"/>
          <w:szCs w:val="21"/>
        </w:rPr>
        <w:t>致。</w:t>
      </w:r>
    </w:p>
    <w:p>
      <w:pPr>
        <w:spacing w:before="107"/>
        <w:ind w:left="2298" w:right="60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1757" w:val="left" w:leader="none"/>
        </w:tabs>
        <w:spacing w:before="178"/>
        <w:ind w:left="1038" w:right="605"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应收账款按类别列示如下：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672"/>
        <w:gridCol w:w="1567"/>
        <w:gridCol w:w="838"/>
        <w:gridCol w:w="1344"/>
        <w:gridCol w:w="1083"/>
        <w:gridCol w:w="1769"/>
      </w:tblGrid>
      <w:tr>
        <w:trPr>
          <w:trHeight w:val="365" w:hRule="exact"/>
        </w:trPr>
        <w:tc>
          <w:tcPr>
            <w:tcW w:w="267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601"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672" w:type="dxa"/>
            <w:vMerge/>
            <w:tcBorders>
              <w:left w:val="nil" w:sz="6" w:space="0" w:color="auto"/>
              <w:right w:val="single" w:sz="6" w:space="0" w:color="000000"/>
            </w:tcBorders>
          </w:tcPr>
          <w:p>
            <w:pPr/>
          </w:p>
        </w:tc>
        <w:tc>
          <w:tcPr>
            <w:tcW w:w="24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4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69"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672"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sz w:val="21"/>
                <w:szCs w:val="21"/>
              </w:rPr>
              <w:t>金额</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8" w:lineRule="exact"/>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769" w:type="dxa"/>
            <w:vMerge/>
            <w:tcBorders>
              <w:left w:val="single" w:sz="6" w:space="0" w:color="000000"/>
              <w:bottom w:val="single" w:sz="6" w:space="0" w:color="000000"/>
              <w:right w:val="nil" w:sz="6" w:space="0" w:color="auto"/>
            </w:tcBorders>
          </w:tcPr>
          <w:p>
            <w:pPr/>
          </w:p>
        </w:tc>
      </w:tr>
      <w:tr>
        <w:trPr>
          <w:trHeight w:val="559"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按帐龄组合计提坏账准备</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295,879,407.31</w:t>
            </w:r>
            <w:r>
              <w:rPr>
                <w:rFonts w:ascii="Arial Narrow"/>
                <w:sz w:val="20"/>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10,121,708.84</w:t>
            </w:r>
            <w:r>
              <w:rPr>
                <w:rFonts w:ascii="Arial Narrow"/>
                <w:sz w:val="20"/>
              </w:rPr>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3.42</w:t>
            </w:r>
            <w:r>
              <w:rPr>
                <w:rFonts w:ascii="Arial Narrow"/>
                <w:sz w:val="20"/>
              </w:rPr>
            </w:r>
          </w:p>
        </w:tc>
        <w:tc>
          <w:tcPr>
            <w:tcW w:w="17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7"/>
              <w:jc w:val="right"/>
              <w:rPr>
                <w:rFonts w:ascii="Arial Narrow" w:hAnsi="Arial Narrow" w:cs="Arial Narrow" w:eastAsia="Arial Narrow" w:hint="default"/>
                <w:sz w:val="20"/>
                <w:szCs w:val="20"/>
              </w:rPr>
            </w:pPr>
            <w:r>
              <w:rPr>
                <w:rFonts w:ascii="Arial Narrow"/>
                <w:w w:val="95"/>
                <w:sz w:val="20"/>
              </w:rPr>
              <w:t>285,757,698.47</w:t>
            </w:r>
            <w:r>
              <w:rPr>
                <w:rFonts w:ascii="Arial Narrow"/>
                <w:sz w:val="20"/>
              </w:rPr>
            </w:r>
          </w:p>
        </w:tc>
      </w:tr>
      <w:tr>
        <w:trPr>
          <w:trHeight w:val="560"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tabs>
                <w:tab w:pos="445" w:val="left" w:leader="none"/>
              </w:tabs>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295,879,407.31</w:t>
            </w:r>
            <w:r>
              <w:rPr>
                <w:rFonts w:ascii="Arial Narrow"/>
                <w:sz w:val="20"/>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10,121,708.84</w:t>
            </w:r>
            <w:r>
              <w:rPr>
                <w:rFonts w:ascii="Arial Narrow"/>
                <w:sz w:val="20"/>
              </w:rPr>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3.42</w:t>
            </w:r>
            <w:r>
              <w:rPr>
                <w:rFonts w:ascii="Arial Narrow"/>
                <w:sz w:val="20"/>
              </w:rPr>
            </w:r>
          </w:p>
        </w:tc>
        <w:tc>
          <w:tcPr>
            <w:tcW w:w="17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Arial Narrow" w:hAnsi="Arial Narrow" w:cs="Arial Narrow" w:eastAsia="Arial Narrow" w:hint="default"/>
                <w:sz w:val="20"/>
                <w:szCs w:val="20"/>
              </w:rPr>
            </w:pPr>
            <w:r>
              <w:rPr>
                <w:rFonts w:ascii="Arial Narrow"/>
                <w:w w:val="95"/>
                <w:sz w:val="20"/>
              </w:rPr>
              <w:t>285,757,698.47</w:t>
            </w:r>
            <w:r>
              <w:rPr>
                <w:rFonts w:ascii="Arial Narrow"/>
                <w:sz w:val="20"/>
              </w:rPr>
            </w:r>
          </w:p>
        </w:tc>
      </w:tr>
      <w:tr>
        <w:trPr>
          <w:trHeight w:val="355" w:hRule="exact"/>
        </w:trPr>
        <w:tc>
          <w:tcPr>
            <w:tcW w:w="267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601"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672" w:type="dxa"/>
            <w:vMerge/>
            <w:tcBorders>
              <w:left w:val="nil" w:sz="6" w:space="0" w:color="auto"/>
              <w:right w:val="single" w:sz="6" w:space="0" w:color="000000"/>
            </w:tcBorders>
          </w:tcPr>
          <w:p>
            <w:pPr/>
          </w:p>
        </w:tc>
        <w:tc>
          <w:tcPr>
            <w:tcW w:w="24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4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69"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672" w:type="dxa"/>
            <w:vMerge/>
            <w:tcBorders>
              <w:left w:val="nil" w:sz="6" w:space="0" w:color="auto"/>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9"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769" w:type="dxa"/>
            <w:vMerge/>
            <w:tcBorders>
              <w:left w:val="single" w:sz="6" w:space="0" w:color="000000"/>
              <w:bottom w:val="single" w:sz="6" w:space="0" w:color="000000"/>
              <w:right w:val="nil" w:sz="6" w:space="0" w:color="auto"/>
            </w:tcBorders>
          </w:tcPr>
          <w:p>
            <w:pPr/>
          </w:p>
        </w:tc>
      </w:tr>
      <w:tr>
        <w:trPr>
          <w:trHeight w:val="562"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按帐龄组合计提坏账准备</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的应收账款</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0"/>
                <w:szCs w:val="20"/>
              </w:rPr>
            </w:pPr>
            <w:r>
              <w:rPr>
                <w:rFonts w:ascii="Arial Narrow"/>
                <w:w w:val="95"/>
                <w:sz w:val="20"/>
              </w:rPr>
              <w:t>136,031,938.82</w:t>
            </w:r>
            <w:r>
              <w:rPr>
                <w:rFonts w:ascii="Arial Narrow"/>
                <w:sz w:val="20"/>
              </w:rPr>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5"/>
              <w:jc w:val="right"/>
              <w:rPr>
                <w:rFonts w:ascii="Arial Narrow" w:hAnsi="Arial Narrow" w:cs="Arial Narrow" w:eastAsia="Arial Narrow" w:hint="default"/>
                <w:sz w:val="20"/>
                <w:szCs w:val="20"/>
              </w:rPr>
            </w:pPr>
            <w:r>
              <w:rPr>
                <w:rFonts w:ascii="Arial Narrow"/>
                <w:w w:val="95"/>
                <w:sz w:val="20"/>
              </w:rPr>
              <w:t>6,253,583.30</w:t>
            </w:r>
            <w:r>
              <w:rPr>
                <w:rFonts w:ascii="Arial Narrow"/>
                <w:sz w:val="20"/>
              </w:rPr>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Arial Narrow" w:hAnsi="Arial Narrow" w:cs="Arial Narrow" w:eastAsia="Arial Narrow" w:hint="default"/>
                <w:sz w:val="20"/>
                <w:szCs w:val="20"/>
              </w:rPr>
            </w:pPr>
            <w:r>
              <w:rPr>
                <w:rFonts w:ascii="Arial Narrow"/>
                <w:w w:val="95"/>
                <w:sz w:val="20"/>
              </w:rPr>
              <w:t>4.60</w:t>
            </w:r>
            <w:r>
              <w:rPr>
                <w:rFonts w:ascii="Arial Narrow"/>
                <w:sz w:val="20"/>
              </w:rPr>
            </w:r>
          </w:p>
        </w:tc>
        <w:tc>
          <w:tcPr>
            <w:tcW w:w="17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1"/>
              <w:ind w:right="107"/>
              <w:jc w:val="right"/>
              <w:rPr>
                <w:rFonts w:ascii="Arial Narrow" w:hAnsi="Arial Narrow" w:cs="Arial Narrow" w:eastAsia="Arial Narrow" w:hint="default"/>
                <w:sz w:val="20"/>
                <w:szCs w:val="20"/>
              </w:rPr>
            </w:pPr>
            <w:r>
              <w:rPr>
                <w:rFonts w:ascii="Arial Narrow"/>
                <w:w w:val="95"/>
                <w:sz w:val="20"/>
              </w:rPr>
              <w:t>129,778,355.52</w:t>
            </w:r>
            <w:r>
              <w:rPr>
                <w:rFonts w:ascii="Arial Narrow"/>
                <w:sz w:val="20"/>
              </w:rPr>
            </w:r>
          </w:p>
        </w:tc>
      </w:tr>
      <w:tr>
        <w:trPr>
          <w:trHeight w:val="559" w:hRule="exact"/>
        </w:trPr>
        <w:tc>
          <w:tcPr>
            <w:tcW w:w="2672"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计提坏账准备的应收账款</w:t>
            </w:r>
          </w:p>
        </w:tc>
        <w:tc>
          <w:tcPr>
            <w:tcW w:w="1567"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672"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136,031,938.82</w:t>
            </w:r>
            <w:r>
              <w:rPr>
                <w:rFonts w:ascii="Arial Narrow"/>
                <w:sz w:val="20"/>
              </w:rPr>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0"/>
                <w:szCs w:val="20"/>
              </w:rPr>
            </w:pPr>
            <w:r>
              <w:rPr>
                <w:rFonts w:ascii="Arial Narrow"/>
                <w:w w:val="95"/>
                <w:sz w:val="20"/>
              </w:rPr>
              <w:t>6,253,583.30</w:t>
            </w:r>
            <w:r>
              <w:rPr>
                <w:rFonts w:ascii="Arial Narrow"/>
                <w:sz w:val="20"/>
              </w:rPr>
            </w:r>
          </w:p>
        </w:tc>
        <w:tc>
          <w:tcPr>
            <w:tcW w:w="10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4.60</w:t>
            </w:r>
            <w:r>
              <w:rPr>
                <w:rFonts w:ascii="Arial Narrow"/>
                <w:sz w:val="20"/>
              </w:rPr>
            </w:r>
          </w:p>
        </w:tc>
        <w:tc>
          <w:tcPr>
            <w:tcW w:w="17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129,778,355.52</w:t>
            </w:r>
            <w:r>
              <w:rPr>
                <w:rFonts w:ascii="Arial Narrow"/>
                <w:sz w:val="20"/>
              </w:rPr>
            </w:r>
          </w:p>
        </w:tc>
      </w:tr>
    </w:tbl>
    <w:p>
      <w:pPr>
        <w:spacing w:before="86"/>
        <w:ind w:left="1038" w:right="6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）应收账款按账龄分析列示如下：</w:t>
      </w:r>
    </w:p>
    <w:p>
      <w:pPr>
        <w:spacing w:line="240" w:lineRule="auto" w:before="11"/>
        <w:rPr>
          <w:rFonts w:ascii="宋体" w:hAnsi="宋体" w:cs="宋体" w:eastAsia="宋体" w:hint="default"/>
          <w:sz w:val="11"/>
          <w:szCs w:val="11"/>
        </w:rPr>
      </w:pPr>
    </w:p>
    <w:tbl>
      <w:tblPr>
        <w:tblW w:w="0" w:type="auto"/>
        <w:jc w:val="left"/>
        <w:tblInd w:w="322" w:type="dxa"/>
        <w:tblLayout w:type="fixed"/>
        <w:tblCellMar>
          <w:top w:w="0" w:type="dxa"/>
          <w:left w:w="0" w:type="dxa"/>
          <w:bottom w:w="0" w:type="dxa"/>
          <w:right w:w="0" w:type="dxa"/>
        </w:tblCellMar>
        <w:tblLook w:val="01E0"/>
      </w:tblPr>
      <w:tblGrid>
        <w:gridCol w:w="2086"/>
        <w:gridCol w:w="1961"/>
        <w:gridCol w:w="1071"/>
        <w:gridCol w:w="1783"/>
        <w:gridCol w:w="1959"/>
      </w:tblGrid>
      <w:tr>
        <w:trPr>
          <w:trHeight w:val="305"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8"/>
              <w:jc w:val="right"/>
              <w:rPr>
                <w:rFonts w:ascii="宋体" w:hAnsi="宋体" w:cs="宋体" w:eastAsia="宋体" w:hint="default"/>
                <w:sz w:val="21"/>
                <w:szCs w:val="21"/>
              </w:rPr>
            </w:pPr>
            <w:r>
              <w:rPr>
                <w:rFonts w:ascii="宋体" w:hAnsi="宋体" w:cs="宋体" w:eastAsia="宋体" w:hint="default"/>
                <w:spacing w:val="-8"/>
                <w:sz w:val="21"/>
                <w:szCs w:val="21"/>
              </w:rPr>
              <w:t>比例（</w:t>
            </w:r>
            <w:r>
              <w:rPr>
                <w:rFonts w:ascii="Arial Narrow" w:hAnsi="Arial Narrow" w:cs="Arial Narrow" w:eastAsia="Arial Narrow" w:hint="default"/>
                <w:spacing w:val="-8"/>
                <w:sz w:val="21"/>
                <w:szCs w:val="21"/>
              </w:rPr>
              <w:t>%</w:t>
            </w:r>
            <w:r>
              <w:rPr>
                <w:rFonts w:ascii="宋体" w:hAnsi="宋体" w:cs="宋体" w:eastAsia="宋体" w:hint="default"/>
                <w:spacing w:val="-8"/>
                <w:sz w:val="21"/>
                <w:szCs w:val="21"/>
              </w:rPr>
              <w:t>）</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285,657,000.44</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96.55</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8,569,710.01</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277,087,290.43</w:t>
            </w:r>
            <w:r>
              <w:rPr>
                <w:rFonts w:ascii="Arial Narrow"/>
                <w:sz w:val="20"/>
              </w:rPr>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8,049,965.68</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2.72</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804,996.57</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6"/>
              <w:jc w:val="right"/>
              <w:rPr>
                <w:rFonts w:ascii="Arial Narrow" w:hAnsi="Arial Narrow" w:cs="Arial Narrow" w:eastAsia="Arial Narrow" w:hint="default"/>
                <w:sz w:val="20"/>
                <w:szCs w:val="20"/>
              </w:rPr>
            </w:pPr>
            <w:r>
              <w:rPr>
                <w:rFonts w:ascii="Arial Narrow"/>
                <w:spacing w:val="-2"/>
                <w:sz w:val="20"/>
              </w:rPr>
              <w:t>7,244,969.11</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1,130,727.83</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0.38</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226,145.57</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904,582.26</w:t>
            </w:r>
            <w:r>
              <w:rPr>
                <w:rFonts w:ascii="Arial Narrow"/>
                <w:sz w:val="20"/>
              </w:rPr>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spacing w:val="-1"/>
                <w:sz w:val="20"/>
              </w:rPr>
              <w:t>1,041,713.36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0.35</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520,856.69</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520,856.67</w:t>
            </w:r>
            <w:r>
              <w:rPr>
                <w:rFonts w:ascii="Arial Narrow"/>
                <w:sz w:val="20"/>
              </w:rPr>
            </w: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48"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295,879,407.31</w:t>
            </w:r>
            <w:r>
              <w:rPr>
                <w:rFonts w:ascii="Arial Narrow"/>
                <w:sz w:val="20"/>
              </w:rPr>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10,121,708.84</w:t>
            </w:r>
            <w:r>
              <w:rPr>
                <w:rFonts w:ascii="Arial Narrow"/>
                <w:sz w:val="20"/>
              </w:rPr>
            </w:r>
          </w:p>
        </w:tc>
        <w:tc>
          <w:tcPr>
            <w:tcW w:w="1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285,757,698.47</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180" w:right="1180"/>
        </w:sectPr>
      </w:pPr>
    </w:p>
    <w:p>
      <w:pPr>
        <w:spacing w:line="240" w:lineRule="auto" w:before="9"/>
        <w:rPr>
          <w:rFonts w:ascii="宋体" w:hAnsi="宋体" w:cs="宋体" w:eastAsia="宋体" w:hint="default"/>
          <w:sz w:val="19"/>
          <w:szCs w:val="19"/>
        </w:rPr>
      </w:pPr>
    </w:p>
    <w:tbl>
      <w:tblPr>
        <w:tblW w:w="0" w:type="auto"/>
        <w:jc w:val="left"/>
        <w:tblInd w:w="702" w:type="dxa"/>
        <w:tblLayout w:type="fixed"/>
        <w:tblCellMar>
          <w:top w:w="0" w:type="dxa"/>
          <w:left w:w="0" w:type="dxa"/>
          <w:bottom w:w="0" w:type="dxa"/>
          <w:right w:w="0" w:type="dxa"/>
        </w:tblCellMar>
        <w:tblLook w:val="01E0"/>
      </w:tblPr>
      <w:tblGrid>
        <w:gridCol w:w="2086"/>
        <w:gridCol w:w="1961"/>
        <w:gridCol w:w="1071"/>
        <w:gridCol w:w="1783"/>
        <w:gridCol w:w="1959"/>
      </w:tblGrid>
      <w:tr>
        <w:trPr>
          <w:trHeight w:val="307"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22"/>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8" w:hRule="exact"/>
        </w:trPr>
        <w:tc>
          <w:tcPr>
            <w:tcW w:w="2086" w:type="dxa"/>
            <w:vMerge/>
            <w:tcBorders>
              <w:left w:val="nil" w:sz="6" w:space="0" w:color="auto"/>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
              <w:jc w:val="right"/>
              <w:rPr>
                <w:rFonts w:ascii="宋体" w:hAnsi="宋体" w:cs="宋体" w:eastAsia="宋体" w:hint="default"/>
                <w:sz w:val="21"/>
                <w:szCs w:val="21"/>
              </w:rPr>
            </w:pPr>
            <w:r>
              <w:rPr>
                <w:rFonts w:ascii="宋体" w:hAnsi="宋体" w:cs="宋体" w:eastAsia="宋体" w:hint="default"/>
                <w:spacing w:val="-8"/>
                <w:sz w:val="21"/>
                <w:szCs w:val="21"/>
              </w:rPr>
              <w:t>比例（</w:t>
            </w:r>
            <w:r>
              <w:rPr>
                <w:rFonts w:ascii="Arial Narrow" w:hAnsi="Arial Narrow" w:cs="Arial Narrow" w:eastAsia="Arial Narrow" w:hint="default"/>
                <w:spacing w:val="-8"/>
                <w:sz w:val="21"/>
                <w:szCs w:val="21"/>
              </w:rPr>
              <w:t>%</w:t>
            </w:r>
            <w:r>
              <w:rPr>
                <w:rFonts w:ascii="宋体" w:hAnsi="宋体" w:cs="宋体" w:eastAsia="宋体" w:hint="default"/>
                <w:spacing w:val="-8"/>
                <w:sz w:val="21"/>
                <w:szCs w:val="21"/>
              </w:rPr>
              <w:t>）</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4"/>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spacing w:val="-1"/>
                <w:w w:val="95"/>
                <w:sz w:val="20"/>
              </w:rPr>
              <w:t>115,842,003.20</w:t>
            </w:r>
            <w:r>
              <w:rPr>
                <w:rFonts w:ascii="Arial Narrow"/>
                <w:spacing w:val="-1"/>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85.16</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3,475,260.10</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7"/>
              <w:jc w:val="right"/>
              <w:rPr>
                <w:rFonts w:ascii="Arial Narrow" w:hAnsi="Arial Narrow" w:cs="Arial Narrow" w:eastAsia="Arial Narrow" w:hint="default"/>
                <w:sz w:val="20"/>
                <w:szCs w:val="20"/>
              </w:rPr>
            </w:pPr>
            <w:r>
              <w:rPr>
                <w:rFonts w:ascii="Arial Narrow"/>
                <w:spacing w:val="-1"/>
                <w:w w:val="95"/>
                <w:sz w:val="20"/>
              </w:rPr>
              <w:t>112,366,743.10</w:t>
            </w:r>
            <w:r>
              <w:rPr>
                <w:rFonts w:ascii="Arial Narrow"/>
                <w:spacing w:val="-1"/>
                <w:sz w:val="20"/>
              </w:rPr>
            </w:r>
          </w:p>
        </w:tc>
      </w:tr>
      <w:tr>
        <w:trPr>
          <w:trHeight w:val="29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17,605,714.91</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12.94</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1,760,571.49</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15,845,143.42</w:t>
            </w:r>
            <w:r>
              <w:rPr>
                <w:rFonts w:ascii="Arial Narrow"/>
                <w:sz w:val="20"/>
              </w:rPr>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914,528.85</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0.67</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182,905.77</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731,623.08</w:t>
            </w:r>
            <w:r>
              <w:rPr>
                <w:rFonts w:ascii="Arial Narrow"/>
                <w:sz w:val="20"/>
              </w:rPr>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1,669,691.86</w:t>
            </w:r>
            <w:r>
              <w:rPr>
                <w:rFonts w:ascii="Arial Narrow"/>
                <w:sz w:val="20"/>
              </w:rPr>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1.23</w:t>
            </w:r>
            <w:r>
              <w:rPr>
                <w:rFonts w:ascii="Arial Narrow"/>
                <w:sz w:val="20"/>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834,845.94</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834,845.92</w:t>
            </w:r>
            <w:r>
              <w:rPr>
                <w:rFonts w:ascii="Arial Narrow"/>
                <w:sz w:val="20"/>
              </w:rPr>
            </w: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46"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136,031,938.82</w:t>
            </w:r>
            <w:r>
              <w:rPr>
                <w:rFonts w:ascii="Arial Narrow"/>
                <w:sz w:val="20"/>
              </w:rPr>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spacing w:val="-1"/>
                <w:sz w:val="20"/>
              </w:rPr>
              <w:t>6,253,583.30</w:t>
            </w:r>
          </w:p>
        </w:tc>
        <w:tc>
          <w:tcPr>
            <w:tcW w:w="1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129,778,355.52</w:t>
            </w:r>
            <w:r>
              <w:rPr>
                <w:rFonts w:ascii="Arial Narrow"/>
                <w:sz w:val="20"/>
              </w:rPr>
            </w:r>
          </w:p>
        </w:tc>
      </w:tr>
    </w:tbl>
    <w:p>
      <w:pPr>
        <w:spacing w:before="86"/>
        <w:ind w:left="1418" w:right="98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）年末应收账款前五名单位列示如下：</w:t>
      </w:r>
    </w:p>
    <w:p>
      <w:pPr>
        <w:spacing w:line="240" w:lineRule="auto" w:before="9"/>
        <w:rPr>
          <w:rFonts w:ascii="宋体" w:hAnsi="宋体" w:cs="宋体" w:eastAsia="宋体" w:hint="default"/>
          <w:sz w:val="11"/>
          <w:szCs w:val="11"/>
        </w:rPr>
      </w:pPr>
    </w:p>
    <w:tbl>
      <w:tblPr>
        <w:tblW w:w="0" w:type="auto"/>
        <w:jc w:val="left"/>
        <w:tblInd w:w="356" w:type="dxa"/>
        <w:tblLayout w:type="fixed"/>
        <w:tblCellMar>
          <w:top w:w="0" w:type="dxa"/>
          <w:left w:w="0" w:type="dxa"/>
          <w:bottom w:w="0" w:type="dxa"/>
          <w:right w:w="0" w:type="dxa"/>
        </w:tblCellMar>
        <w:tblLook w:val="01E0"/>
      </w:tblPr>
      <w:tblGrid>
        <w:gridCol w:w="4251"/>
        <w:gridCol w:w="1078"/>
        <w:gridCol w:w="1454"/>
        <w:gridCol w:w="1237"/>
        <w:gridCol w:w="1531"/>
      </w:tblGrid>
      <w:tr>
        <w:trPr>
          <w:trHeight w:val="566" w:hRule="exact"/>
        </w:trPr>
        <w:tc>
          <w:tcPr>
            <w:tcW w:w="42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4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31"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00" w:right="0" w:firstLine="26"/>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00"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pacing w:val="-42"/>
                <w:sz w:val="21"/>
                <w:szCs w:val="21"/>
              </w:rPr>
              <w:t>中铁电气化局京沪高铁电气化项目分部第一工区</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44,326,570.20</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14.98</w:t>
            </w:r>
          </w:p>
        </w:tc>
      </w:tr>
      <w:tr>
        <w:trPr>
          <w:trHeight w:val="298"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久泰能源内蒙古有限公司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15,937,639.84</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z w:val="20"/>
              </w:rPr>
              <w:t>5.39</w:t>
            </w:r>
          </w:p>
        </w:tc>
      </w:tr>
      <w:tr>
        <w:trPr>
          <w:trHeight w:val="301"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山东埕口盐化有限责任公司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9,242,975.27</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3.12</w:t>
            </w:r>
          </w:p>
        </w:tc>
      </w:tr>
      <w:tr>
        <w:trPr>
          <w:trHeight w:val="300"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河北华电石家庄鹿华热电有限公司</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8,654,100.00</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2.92</w:t>
            </w:r>
          </w:p>
        </w:tc>
      </w:tr>
      <w:tr>
        <w:trPr>
          <w:trHeight w:val="298"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0" w:right="0"/>
              <w:jc w:val="left"/>
              <w:rPr>
                <w:rFonts w:ascii="宋体" w:hAnsi="宋体" w:cs="宋体" w:eastAsia="宋体" w:hint="default"/>
                <w:sz w:val="21"/>
                <w:szCs w:val="21"/>
              </w:rPr>
            </w:pPr>
            <w:r>
              <w:rPr>
                <w:rFonts w:ascii="宋体" w:hAnsi="宋体" w:cs="宋体" w:eastAsia="宋体" w:hint="default"/>
                <w:spacing w:val="-42"/>
                <w:sz w:val="21"/>
                <w:szCs w:val="21"/>
              </w:rPr>
              <w:t>中铁电气化局集团海南东环铁路系统集成项目经理部</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8,368,374.00</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z w:val="20"/>
              </w:rPr>
              <w:t>2.83</w:t>
            </w:r>
          </w:p>
        </w:tc>
      </w:tr>
      <w:tr>
        <w:trPr>
          <w:trHeight w:val="307" w:hRule="exact"/>
        </w:trPr>
        <w:tc>
          <w:tcPr>
            <w:tcW w:w="4251"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8"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78" w:type="dxa"/>
            <w:tcBorders>
              <w:top w:val="single" w:sz="6" w:space="0" w:color="000000"/>
              <w:left w:val="single" w:sz="6" w:space="0" w:color="000000"/>
              <w:bottom w:val="single" w:sz="12" w:space="0" w:color="000000"/>
              <w:right w:val="single" w:sz="6" w:space="0" w:color="000000"/>
            </w:tcBorders>
          </w:tcPr>
          <w:p>
            <w:pP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86,529,659.31</w:t>
            </w:r>
            <w:r>
              <w:rPr>
                <w:rFonts w:ascii="Arial Narrow"/>
                <w:sz w:val="20"/>
              </w:rPr>
            </w:r>
          </w:p>
        </w:tc>
        <w:tc>
          <w:tcPr>
            <w:tcW w:w="1237"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z w:val="20"/>
              </w:rPr>
              <w:t>29.24</w:t>
            </w:r>
          </w:p>
        </w:tc>
      </w:tr>
    </w:tbl>
    <w:p>
      <w:pPr>
        <w:spacing w:line="340" w:lineRule="auto" w:before="86"/>
        <w:ind w:left="998" w:right="98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日止，应收账款余额中无应收持有本公司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表决权股份的股东单位及关联方欠款。</w:t>
      </w:r>
    </w:p>
    <w:p>
      <w:pPr>
        <w:spacing w:line="338" w:lineRule="auto" w:before="45"/>
        <w:ind w:left="998" w:right="986" w:firstLine="4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）年末应收账款余额比年初增加</w:t>
      </w:r>
      <w:r>
        <w:rPr>
          <w:rFonts w:ascii="宋体" w:hAnsi="宋体" w:cs="宋体" w:eastAsia="宋体" w:hint="default"/>
          <w:spacing w:val="-11"/>
          <w:sz w:val="21"/>
          <w:szCs w:val="21"/>
        </w:rPr>
        <w:t> </w:t>
      </w:r>
      <w:r>
        <w:rPr>
          <w:rFonts w:ascii="Arial Narrow" w:hAnsi="Arial Narrow" w:cs="Arial Narrow" w:eastAsia="Arial Narrow" w:hint="default"/>
          <w:spacing w:val="-3"/>
          <w:sz w:val="21"/>
          <w:szCs w:val="21"/>
        </w:rPr>
        <w:t>120.19%</w:t>
      </w:r>
      <w:r>
        <w:rPr>
          <w:rFonts w:ascii="宋体" w:hAnsi="宋体" w:cs="宋体" w:eastAsia="宋体" w:hint="default"/>
          <w:spacing w:val="-3"/>
          <w:sz w:val="21"/>
          <w:szCs w:val="21"/>
        </w:rPr>
        <w:t>，主要原因为营业收入增加导致应收款亦增</w:t>
      </w:r>
      <w:r>
        <w:rPr>
          <w:rFonts w:ascii="宋体" w:hAnsi="宋体" w:cs="宋体" w:eastAsia="宋体" w:hint="default"/>
          <w:w w:val="100"/>
          <w:sz w:val="21"/>
          <w:szCs w:val="21"/>
        </w:rPr>
        <w:t> </w:t>
      </w:r>
      <w:r>
        <w:rPr>
          <w:rFonts w:ascii="宋体" w:hAnsi="宋体" w:cs="宋体" w:eastAsia="宋体" w:hint="default"/>
          <w:sz w:val="21"/>
          <w:szCs w:val="21"/>
        </w:rPr>
        <w:t>加。</w:t>
      </w:r>
    </w:p>
    <w:p>
      <w:pPr>
        <w:spacing w:before="107"/>
        <w:ind w:left="1522" w:right="5205"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79"/>
        <w:ind w:left="1522" w:right="5265" w:firstLine="0"/>
        <w:jc w:val="center"/>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51"/>
          <w:sz w:val="21"/>
          <w:szCs w:val="21"/>
        </w:rPr>
        <w:t> </w:t>
      </w:r>
      <w:r>
        <w:rPr>
          <w:rFonts w:ascii="宋体" w:hAnsi="宋体" w:cs="宋体" w:eastAsia="宋体" w:hint="default"/>
          <w:spacing w:val="-2"/>
          <w:sz w:val="21"/>
          <w:szCs w:val="21"/>
        </w:rPr>
        <w:t>预付款项按账龄分析列示如下：</w:t>
      </w:r>
    </w:p>
    <w:p>
      <w:pPr>
        <w:spacing w:line="240" w:lineRule="auto" w:before="11"/>
        <w:rPr>
          <w:rFonts w:ascii="宋体" w:hAnsi="宋体" w:cs="宋体" w:eastAsia="宋体" w:hint="default"/>
          <w:sz w:val="11"/>
          <w:szCs w:val="11"/>
        </w:rPr>
      </w:pPr>
    </w:p>
    <w:tbl>
      <w:tblPr>
        <w:tblW w:w="0" w:type="auto"/>
        <w:jc w:val="left"/>
        <w:tblInd w:w="702" w:type="dxa"/>
        <w:tblLayout w:type="fixed"/>
        <w:tblCellMar>
          <w:top w:w="0" w:type="dxa"/>
          <w:left w:w="0" w:type="dxa"/>
          <w:bottom w:w="0" w:type="dxa"/>
          <w:right w:w="0" w:type="dxa"/>
        </w:tblCellMar>
        <w:tblLook w:val="01E0"/>
      </w:tblPr>
      <w:tblGrid>
        <w:gridCol w:w="1769"/>
        <w:gridCol w:w="1772"/>
        <w:gridCol w:w="1774"/>
        <w:gridCol w:w="1771"/>
        <w:gridCol w:w="1774"/>
      </w:tblGrid>
      <w:tr>
        <w:trPr>
          <w:trHeight w:val="305"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122"/>
              <w:ind w:left="47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45"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1769" w:type="dxa"/>
            <w:vMerge/>
            <w:tcBorders>
              <w:left w:val="nil" w:sz="6" w:space="0" w:color="auto"/>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8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left="3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17,777,510.66</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93.98</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22,278,841.74</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84.15</w:t>
            </w:r>
            <w:r>
              <w:rPr>
                <w:rFonts w:ascii="Arial Narrow"/>
                <w:sz w:val="20"/>
              </w:rPr>
            </w:r>
          </w:p>
        </w:tc>
      </w:tr>
      <w:tr>
        <w:trPr>
          <w:trHeight w:val="298"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8"/>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 </w:t>
            </w:r>
            <w:r>
              <w:rPr>
                <w:rFonts w:ascii="宋体" w:hAnsi="宋体" w:cs="宋体" w:eastAsia="宋体" w:hint="default"/>
                <w:spacing w:val="-22"/>
                <w:sz w:val="21"/>
                <w:szCs w:val="21"/>
              </w:rPr>
              <w:t>年（含 </w:t>
            </w:r>
            <w:r>
              <w:rPr>
                <w:rFonts w:ascii="Arial Narrow" w:hAnsi="Arial Narrow" w:cs="Arial Narrow" w:eastAsia="Arial Narrow" w:hint="default"/>
                <w:sz w:val="21"/>
                <w:szCs w:val="21"/>
              </w:rPr>
              <w:t>2</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1,139,476.85</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6.02</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4,196,149.19</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15.85</w:t>
            </w:r>
            <w:r>
              <w:rPr>
                <w:rFonts w:ascii="Arial Narrow"/>
                <w:sz w:val="20"/>
              </w:rPr>
            </w:r>
          </w:p>
        </w:tc>
      </w:tr>
      <w:tr>
        <w:trPr>
          <w:trHeight w:val="307"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998" w:val="left" w:leader="none"/>
              </w:tabs>
              <w:spacing w:line="248" w:lineRule="exact"/>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18,916,987.51</w:t>
            </w:r>
            <w:r>
              <w:rPr>
                <w:rFonts w:ascii="Arial Narrow"/>
                <w:sz w:val="20"/>
              </w:rPr>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26,474,990.93</w:t>
            </w:r>
            <w:r>
              <w:rPr>
                <w:rFonts w:ascii="Arial Narrow"/>
                <w:sz w:val="20"/>
              </w:rPr>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spacing w:before="86"/>
        <w:ind w:left="1358" w:right="98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46"/>
          <w:sz w:val="21"/>
          <w:szCs w:val="21"/>
        </w:rPr>
        <w:t> </w:t>
      </w:r>
      <w:r>
        <w:rPr>
          <w:rFonts w:ascii="宋体" w:hAnsi="宋体" w:cs="宋体" w:eastAsia="宋体" w:hint="default"/>
          <w:spacing w:val="-2"/>
          <w:sz w:val="21"/>
          <w:szCs w:val="21"/>
        </w:rPr>
        <w:t>年末预付款项前五名单位列示如下：</w:t>
      </w:r>
    </w:p>
    <w:p>
      <w:pPr>
        <w:spacing w:line="240" w:lineRule="auto" w:before="9"/>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207"/>
        <w:gridCol w:w="1370"/>
        <w:gridCol w:w="1656"/>
        <w:gridCol w:w="1114"/>
        <w:gridCol w:w="1237"/>
        <w:gridCol w:w="1447"/>
      </w:tblGrid>
      <w:tr>
        <w:trPr>
          <w:trHeight w:val="840" w:hRule="exact"/>
        </w:trPr>
        <w:tc>
          <w:tcPr>
            <w:tcW w:w="32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3"/>
              <w:ind w:left="571" w:right="149" w:hanging="420"/>
              <w:jc w:val="left"/>
              <w:rPr>
                <w:rFonts w:ascii="宋体" w:hAnsi="宋体" w:cs="宋体" w:eastAsia="宋体" w:hint="default"/>
                <w:sz w:val="21"/>
                <w:szCs w:val="21"/>
              </w:rPr>
            </w:pPr>
            <w:r>
              <w:rPr>
                <w:rFonts w:ascii="宋体" w:hAnsi="宋体" w:cs="宋体" w:eastAsia="宋体" w:hint="default"/>
                <w:sz w:val="21"/>
                <w:szCs w:val="21"/>
              </w:rPr>
              <w:t>与本公司关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占预付账</w:t>
            </w:r>
          </w:p>
          <w:p>
            <w:pPr>
              <w:pStyle w:val="TableParagraph"/>
              <w:spacing w:line="240" w:lineRule="auto"/>
              <w:ind w:left="100" w:right="0" w:firstLine="28"/>
              <w:jc w:val="left"/>
              <w:rPr>
                <w:rFonts w:ascii="宋体" w:hAnsi="宋体" w:cs="宋体" w:eastAsia="宋体" w:hint="default"/>
                <w:sz w:val="21"/>
                <w:szCs w:val="21"/>
              </w:rPr>
            </w:pPr>
            <w:r>
              <w:rPr>
                <w:rFonts w:ascii="宋体" w:hAnsi="宋体" w:cs="宋体" w:eastAsia="宋体" w:hint="default"/>
                <w:sz w:val="21"/>
                <w:szCs w:val="21"/>
              </w:rPr>
              <w:t>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14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00" w:hRule="exact"/>
        </w:trPr>
        <w:tc>
          <w:tcPr>
            <w:tcW w:w="3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江苏金方圆数控机床有限公司</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6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5,017,206.84</w:t>
            </w:r>
            <w:r>
              <w:rPr>
                <w:rFonts w:ascii="Arial Narrow"/>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26.52</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301" w:hRule="exact"/>
        </w:trPr>
        <w:tc>
          <w:tcPr>
            <w:tcW w:w="32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pacing w:val="-34"/>
                <w:sz w:val="21"/>
                <w:szCs w:val="21"/>
              </w:rPr>
              <w:t>库迈思精密机械（上海）有限公司</w:t>
            </w:r>
            <w:r>
              <w:rPr>
                <w:rFonts w:ascii="宋体" w:hAnsi="宋体" w:cs="宋体" w:eastAsia="宋体" w:hint="default"/>
                <w:sz w:val="21"/>
                <w:szCs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6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1,141,200.00</w:t>
            </w:r>
            <w:r>
              <w:rPr>
                <w:rFonts w:ascii="Arial Narrow"/>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6.03</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298" w:hRule="exact"/>
        </w:trPr>
        <w:tc>
          <w:tcPr>
            <w:tcW w:w="32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pacing w:val="-39"/>
                <w:sz w:val="21"/>
                <w:szCs w:val="21"/>
              </w:rPr>
              <w:t>苏州工业园区瑞峰自动化有限公司</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900,000.00</w:t>
            </w:r>
            <w:r>
              <w:rPr>
                <w:rFonts w:ascii="Arial Narrow"/>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4.76</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300" w:hRule="exact"/>
        </w:trPr>
        <w:tc>
          <w:tcPr>
            <w:tcW w:w="32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无锡正怡涂装环保机械有限公司</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6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855,000.00</w:t>
            </w:r>
            <w:r>
              <w:rPr>
                <w:rFonts w:ascii="Arial Narrow"/>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4.52</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298" w:hRule="exact"/>
        </w:trPr>
        <w:tc>
          <w:tcPr>
            <w:tcW w:w="32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日东电子科技（深圳）有限公司</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6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816,000.00</w:t>
            </w:r>
            <w:r>
              <w:rPr>
                <w:rFonts w:ascii="Arial Narrow"/>
                <w:sz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4.31</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货未到</w:t>
            </w:r>
          </w:p>
        </w:tc>
      </w:tr>
      <w:tr>
        <w:trPr>
          <w:trHeight w:val="307" w:hRule="exact"/>
        </w:trPr>
        <w:tc>
          <w:tcPr>
            <w:tcW w:w="3207"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8"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70"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7"/>
              <w:jc w:val="right"/>
              <w:rPr>
                <w:rFonts w:ascii="Arial Narrow" w:hAnsi="Arial Narrow" w:cs="Arial Narrow" w:eastAsia="Arial Narrow" w:hint="default"/>
                <w:sz w:val="21"/>
                <w:szCs w:val="21"/>
              </w:rPr>
            </w:pPr>
            <w:r>
              <w:rPr>
                <w:rFonts w:ascii="Arial Narrow"/>
                <w:spacing w:val="-1"/>
                <w:sz w:val="21"/>
              </w:rPr>
              <w:t>8,729,406.84</w:t>
            </w:r>
            <w:r>
              <w:rPr>
                <w:rFonts w:ascii="Arial Narrow"/>
                <w:sz w:val="21"/>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46.15</w:t>
            </w:r>
            <w:r>
              <w:rPr>
                <w:rFonts w:ascii="Arial Narrow"/>
                <w:sz w:val="20"/>
              </w:rPr>
            </w:r>
          </w:p>
        </w:tc>
        <w:tc>
          <w:tcPr>
            <w:tcW w:w="1237" w:type="dxa"/>
            <w:tcBorders>
              <w:top w:val="single" w:sz="6" w:space="0" w:color="000000"/>
              <w:left w:val="single" w:sz="6" w:space="0" w:color="000000"/>
              <w:bottom w:val="single" w:sz="12" w:space="0" w:color="000000"/>
              <w:right w:val="single" w:sz="6" w:space="0" w:color="000000"/>
            </w:tcBorders>
          </w:tcPr>
          <w:p>
            <w:pPr/>
          </w:p>
        </w:tc>
        <w:tc>
          <w:tcPr>
            <w:tcW w:w="1447" w:type="dxa"/>
            <w:tcBorders>
              <w:top w:val="single" w:sz="6" w:space="0" w:color="000000"/>
              <w:left w:val="single" w:sz="6" w:space="0" w:color="000000"/>
              <w:bottom w:val="single" w:sz="12" w:space="0" w:color="000000"/>
              <w:right w:val="nil" w:sz="6" w:space="0" w:color="auto"/>
            </w:tcBorders>
          </w:tcPr>
          <w:p>
            <w:pPr/>
          </w:p>
        </w:tc>
      </w:tr>
    </w:tbl>
    <w:p>
      <w:pPr>
        <w:spacing w:before="86"/>
        <w:ind w:left="1418" w:right="98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日止，预付款项余额中无账龄超过一年的大额预付款项。</w:t>
      </w:r>
    </w:p>
    <w:p>
      <w:pPr>
        <w:spacing w:line="240" w:lineRule="auto" w:before="5"/>
        <w:rPr>
          <w:rFonts w:ascii="宋体" w:hAnsi="宋体" w:cs="宋体" w:eastAsia="宋体" w:hint="default"/>
          <w:sz w:val="18"/>
          <w:szCs w:val="18"/>
        </w:rPr>
      </w:pPr>
    </w:p>
    <w:p>
      <w:pPr>
        <w:spacing w:line="338" w:lineRule="auto" w:before="0"/>
        <w:ind w:left="998" w:right="98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日止，预付款项余额中无预付持有本公司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表决权股份的股东单位及关联方款项。</w:t>
      </w:r>
    </w:p>
    <w:p>
      <w:pPr>
        <w:spacing w:after="0" w:line="338" w:lineRule="auto"/>
        <w:jc w:val="left"/>
        <w:rPr>
          <w:rFonts w:ascii="宋体" w:hAnsi="宋体" w:cs="宋体" w:eastAsia="宋体" w:hint="default"/>
          <w:sz w:val="21"/>
          <w:szCs w:val="21"/>
        </w:rPr>
        <w:sectPr>
          <w:pgSz w:w="11910" w:h="16840"/>
          <w:pgMar w:header="816" w:footer="858" w:top="1160" w:bottom="1040" w:left="800" w:right="800"/>
        </w:sectPr>
      </w:pPr>
    </w:p>
    <w:p>
      <w:pPr>
        <w:spacing w:line="240" w:lineRule="auto" w:before="4"/>
        <w:rPr>
          <w:rFonts w:ascii="宋体" w:hAnsi="宋体" w:cs="宋体" w:eastAsia="宋体" w:hint="default"/>
          <w:sz w:val="14"/>
          <w:szCs w:val="14"/>
        </w:rPr>
      </w:pPr>
    </w:p>
    <w:p>
      <w:pPr>
        <w:spacing w:before="36"/>
        <w:ind w:left="0" w:right="3471"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719" w:val="left" w:leader="none"/>
        </w:tabs>
        <w:spacing w:before="179"/>
        <w:ind w:left="0" w:right="3594" w:firstLine="0"/>
        <w:jc w:val="center"/>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其他应收款按类别分析列示如下：</w:t>
      </w:r>
    </w:p>
    <w:p>
      <w:pPr>
        <w:spacing w:line="240" w:lineRule="auto" w:before="9"/>
        <w:rPr>
          <w:rFonts w:ascii="宋体" w:hAnsi="宋体" w:cs="宋体" w:eastAsia="宋体" w:hint="default"/>
          <w:sz w:val="11"/>
          <w:szCs w:val="11"/>
        </w:rPr>
      </w:pPr>
    </w:p>
    <w:tbl>
      <w:tblPr>
        <w:tblW w:w="0" w:type="auto"/>
        <w:jc w:val="left"/>
        <w:tblInd w:w="433" w:type="dxa"/>
        <w:tblLayout w:type="fixed"/>
        <w:tblCellMar>
          <w:top w:w="0" w:type="dxa"/>
          <w:left w:w="0" w:type="dxa"/>
          <w:bottom w:w="0" w:type="dxa"/>
          <w:right w:w="0" w:type="dxa"/>
        </w:tblCellMar>
        <w:tblLook w:val="01E0"/>
      </w:tblPr>
      <w:tblGrid>
        <w:gridCol w:w="2825"/>
        <w:gridCol w:w="1356"/>
        <w:gridCol w:w="891"/>
        <w:gridCol w:w="1471"/>
        <w:gridCol w:w="985"/>
        <w:gridCol w:w="1474"/>
      </w:tblGrid>
      <w:tr>
        <w:trPr>
          <w:trHeight w:val="362" w:hRule="exact"/>
        </w:trPr>
        <w:tc>
          <w:tcPr>
            <w:tcW w:w="282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76"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25" w:type="dxa"/>
            <w:vMerge/>
            <w:tcBorders>
              <w:left w:val="nil" w:sz="6" w:space="0" w:color="auto"/>
              <w:right w:val="single" w:sz="6" w:space="0" w:color="000000"/>
            </w:tcBorders>
          </w:tcPr>
          <w:p>
            <w:pPr/>
          </w:p>
        </w:tc>
        <w:tc>
          <w:tcPr>
            <w:tcW w:w="2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96"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4"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2" w:hRule="exact"/>
        </w:trPr>
        <w:tc>
          <w:tcPr>
            <w:tcW w:w="2825" w:type="dxa"/>
            <w:vMerge/>
            <w:tcBorders>
              <w:left w:val="nil" w:sz="6" w:space="0" w:color="auto"/>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firstLine="67"/>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8" w:lineRule="exact"/>
              <w:ind w:left="98" w:right="0"/>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74" w:type="dxa"/>
            <w:vMerge/>
            <w:tcBorders>
              <w:left w:val="single" w:sz="6" w:space="0" w:color="000000"/>
              <w:bottom w:val="single" w:sz="6" w:space="0" w:color="000000"/>
              <w:right w:val="nil" w:sz="6" w:space="0" w:color="auto"/>
            </w:tcBorders>
          </w:tcPr>
          <w:p>
            <w:pP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356"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按帐龄组合计提坏账准备的</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91" w:right="0"/>
              <w:jc w:val="center"/>
              <w:rPr>
                <w:rFonts w:ascii="Arial Narrow" w:hAnsi="Arial Narrow" w:cs="Arial Narrow" w:eastAsia="Arial Narrow" w:hint="default"/>
                <w:sz w:val="20"/>
                <w:szCs w:val="20"/>
              </w:rPr>
            </w:pPr>
            <w:r>
              <w:rPr>
                <w:rFonts w:ascii="Arial Narrow"/>
                <w:sz w:val="20"/>
              </w:rPr>
              <w:t>22,032,888.58</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32" w:right="0"/>
              <w:jc w:val="left"/>
              <w:rPr>
                <w:rFonts w:ascii="Arial Narrow" w:hAnsi="Arial Narrow" w:cs="Arial Narrow" w:eastAsia="Arial Narrow" w:hint="default"/>
                <w:sz w:val="20"/>
                <w:szCs w:val="20"/>
              </w:rPr>
            </w:pPr>
            <w:r>
              <w:rPr>
                <w:rFonts w:ascii="Arial Narrow"/>
                <w:sz w:val="20"/>
              </w:rPr>
              <w:t>998,637.72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4.53</w:t>
            </w:r>
            <w:r>
              <w:rPr>
                <w:rFonts w:ascii="Arial Narrow"/>
                <w:sz w:val="20"/>
              </w:rPr>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7"/>
              <w:jc w:val="right"/>
              <w:rPr>
                <w:rFonts w:ascii="Arial Narrow" w:hAnsi="Arial Narrow" w:cs="Arial Narrow" w:eastAsia="Arial Narrow" w:hint="default"/>
                <w:sz w:val="20"/>
                <w:szCs w:val="20"/>
              </w:rPr>
            </w:pPr>
            <w:r>
              <w:rPr>
                <w:rFonts w:ascii="Arial Narrow"/>
                <w:w w:val="95"/>
                <w:sz w:val="20"/>
              </w:rPr>
              <w:t>21,034,250.86</w:t>
            </w:r>
            <w:r>
              <w:rPr>
                <w:rFonts w:ascii="Arial Narrow"/>
                <w:sz w:val="20"/>
              </w:rPr>
            </w: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356"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tabs>
                <w:tab w:pos="422" w:val="left" w:leader="none"/>
              </w:tabs>
              <w:spacing w:line="240" w:lineRule="auto" w:before="2"/>
              <w:ind w:right="10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1" w:right="0"/>
              <w:jc w:val="center"/>
              <w:rPr>
                <w:rFonts w:ascii="Arial Narrow" w:hAnsi="Arial Narrow" w:cs="Arial Narrow" w:eastAsia="Arial Narrow" w:hint="default"/>
                <w:sz w:val="20"/>
                <w:szCs w:val="20"/>
              </w:rPr>
            </w:pPr>
            <w:r>
              <w:rPr>
                <w:rFonts w:ascii="Arial Narrow"/>
                <w:sz w:val="20"/>
              </w:rPr>
              <w:t>22,032,888.58</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32" w:right="0"/>
              <w:jc w:val="left"/>
              <w:rPr>
                <w:rFonts w:ascii="Arial Narrow" w:hAnsi="Arial Narrow" w:cs="Arial Narrow" w:eastAsia="Arial Narrow" w:hint="default"/>
                <w:sz w:val="20"/>
                <w:szCs w:val="20"/>
              </w:rPr>
            </w:pPr>
            <w:r>
              <w:rPr>
                <w:rFonts w:ascii="Arial Narrow"/>
                <w:sz w:val="20"/>
              </w:rPr>
              <w:t>998,637.72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4.53</w:t>
            </w:r>
            <w:r>
              <w:rPr>
                <w:rFonts w:ascii="Arial Narrow"/>
                <w:sz w:val="20"/>
              </w:rPr>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21,034,250.86</w:t>
            </w:r>
            <w:r>
              <w:rPr>
                <w:rFonts w:ascii="Arial Narrow"/>
                <w:sz w:val="20"/>
              </w:rPr>
            </w:r>
          </w:p>
        </w:tc>
      </w:tr>
      <w:tr>
        <w:trPr>
          <w:trHeight w:val="355" w:hRule="exact"/>
        </w:trPr>
        <w:tc>
          <w:tcPr>
            <w:tcW w:w="282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76"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825" w:type="dxa"/>
            <w:vMerge/>
            <w:tcBorders>
              <w:left w:val="nil" w:sz="6" w:space="0" w:color="auto"/>
              <w:right w:val="single" w:sz="6" w:space="0" w:color="000000"/>
            </w:tcBorders>
          </w:tcPr>
          <w:p>
            <w:pPr/>
          </w:p>
        </w:tc>
        <w:tc>
          <w:tcPr>
            <w:tcW w:w="22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96"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4"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25" w:type="dxa"/>
            <w:vMerge/>
            <w:tcBorders>
              <w:left w:val="nil" w:sz="6" w:space="0" w:color="auto"/>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firstLine="67"/>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98" w:right="0"/>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474" w:type="dxa"/>
            <w:vMerge/>
            <w:tcBorders>
              <w:left w:val="single" w:sz="6" w:space="0" w:color="000000"/>
              <w:bottom w:val="single" w:sz="6" w:space="0" w:color="000000"/>
              <w:right w:val="nil" w:sz="6" w:space="0" w:color="auto"/>
            </w:tcBorders>
          </w:tcPr>
          <w:p>
            <w:pP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356"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按帐龄组合计提坏账准备的</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91" w:right="0"/>
              <w:jc w:val="center"/>
              <w:rPr>
                <w:rFonts w:ascii="Arial Narrow" w:hAnsi="Arial Narrow" w:cs="Arial Narrow" w:eastAsia="Arial Narrow" w:hint="default"/>
                <w:sz w:val="20"/>
                <w:szCs w:val="20"/>
              </w:rPr>
            </w:pPr>
            <w:r>
              <w:rPr>
                <w:rFonts w:ascii="Arial Narrow"/>
                <w:sz w:val="20"/>
              </w:rPr>
              <w:t>17,477,967.81</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32" w:right="0"/>
              <w:jc w:val="left"/>
              <w:rPr>
                <w:rFonts w:ascii="Arial Narrow" w:hAnsi="Arial Narrow" w:cs="Arial Narrow" w:eastAsia="Arial Narrow" w:hint="default"/>
                <w:sz w:val="20"/>
                <w:szCs w:val="20"/>
              </w:rPr>
            </w:pPr>
            <w:r>
              <w:rPr>
                <w:rFonts w:ascii="Arial Narrow"/>
                <w:sz w:val="20"/>
              </w:rPr>
              <w:t>793,936.58</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4.54</w:t>
            </w:r>
            <w:r>
              <w:rPr>
                <w:rFonts w:ascii="Arial Narrow"/>
                <w:sz w:val="20"/>
              </w:rPr>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7"/>
              <w:jc w:val="right"/>
              <w:rPr>
                <w:rFonts w:ascii="Arial Narrow" w:hAnsi="Arial Narrow" w:cs="Arial Narrow" w:eastAsia="Arial Narrow" w:hint="default"/>
                <w:sz w:val="20"/>
                <w:szCs w:val="20"/>
              </w:rPr>
            </w:pPr>
            <w:r>
              <w:rPr>
                <w:rFonts w:ascii="Arial Narrow"/>
                <w:w w:val="95"/>
                <w:sz w:val="20"/>
              </w:rPr>
              <w:t>16,684,031.23</w:t>
            </w:r>
            <w:r>
              <w:rPr>
                <w:rFonts w:ascii="Arial Narrow"/>
                <w:sz w:val="20"/>
              </w:rPr>
            </w:r>
          </w:p>
        </w:tc>
      </w:tr>
      <w:tr>
        <w:trPr>
          <w:trHeight w:val="559" w:hRule="exact"/>
        </w:trPr>
        <w:tc>
          <w:tcPr>
            <w:tcW w:w="2825"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356" w:type="dxa"/>
            <w:tcBorders>
              <w:top w:val="single" w:sz="6" w:space="0" w:color="000000"/>
              <w:left w:val="single" w:sz="6" w:space="0" w:color="000000"/>
              <w:bottom w:val="single" w:sz="6" w:space="0" w:color="000000"/>
              <w:right w:val="single" w:sz="6" w:space="0" w:color="000000"/>
            </w:tcBorders>
          </w:tcPr>
          <w:p>
            <w:pPr/>
          </w:p>
        </w:tc>
        <w:tc>
          <w:tcPr>
            <w:tcW w:w="891"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825" w:type="dxa"/>
            <w:tcBorders>
              <w:top w:val="single" w:sz="6" w:space="0" w:color="000000"/>
              <w:left w:val="nil" w:sz="6" w:space="0" w:color="auto"/>
              <w:bottom w:val="single" w:sz="12" w:space="0" w:color="000000"/>
              <w:right w:val="single" w:sz="6" w:space="0" w:color="000000"/>
            </w:tcBorders>
          </w:tcPr>
          <w:p>
            <w:pPr>
              <w:pStyle w:val="TableParagraph"/>
              <w:tabs>
                <w:tab w:pos="422" w:val="left" w:leader="none"/>
              </w:tabs>
              <w:spacing w:line="274" w:lineRule="exact"/>
              <w:ind w:right="10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91" w:right="0"/>
              <w:jc w:val="center"/>
              <w:rPr>
                <w:rFonts w:ascii="Arial Narrow" w:hAnsi="Arial Narrow" w:cs="Arial Narrow" w:eastAsia="Arial Narrow" w:hint="default"/>
                <w:sz w:val="20"/>
                <w:szCs w:val="20"/>
              </w:rPr>
            </w:pPr>
            <w:r>
              <w:rPr>
                <w:rFonts w:ascii="Arial Narrow"/>
                <w:sz w:val="20"/>
              </w:rPr>
              <w:t>17,477,967.81</w:t>
            </w:r>
          </w:p>
        </w:tc>
        <w:tc>
          <w:tcPr>
            <w:tcW w:w="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532" w:right="0"/>
              <w:jc w:val="left"/>
              <w:rPr>
                <w:rFonts w:ascii="Arial Narrow" w:hAnsi="Arial Narrow" w:cs="Arial Narrow" w:eastAsia="Arial Narrow" w:hint="default"/>
                <w:sz w:val="20"/>
                <w:szCs w:val="20"/>
              </w:rPr>
            </w:pPr>
            <w:r>
              <w:rPr>
                <w:rFonts w:ascii="Arial Narrow"/>
                <w:sz w:val="20"/>
              </w:rPr>
              <w:t>793,936.58</w:t>
            </w:r>
          </w:p>
        </w:tc>
        <w:tc>
          <w:tcPr>
            <w:tcW w:w="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4.54</w:t>
            </w:r>
            <w:r>
              <w:rPr>
                <w:rFonts w:ascii="Arial Narrow"/>
                <w:sz w:val="20"/>
              </w:rPr>
            </w:r>
          </w:p>
        </w:tc>
        <w:tc>
          <w:tcPr>
            <w:tcW w:w="14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16,684,031.23</w:t>
            </w:r>
            <w:r>
              <w:rPr>
                <w:rFonts w:ascii="Arial Narrow"/>
                <w:sz w:val="20"/>
              </w:rPr>
            </w:r>
          </w:p>
        </w:tc>
      </w:tr>
    </w:tbl>
    <w:p>
      <w:pPr>
        <w:spacing w:before="86"/>
        <w:ind w:left="12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）其他应收款按账龄分析列示如下：</w:t>
      </w:r>
    </w:p>
    <w:p>
      <w:pPr>
        <w:spacing w:line="240" w:lineRule="auto" w:before="9"/>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083"/>
        <w:gridCol w:w="1959"/>
        <w:gridCol w:w="1078"/>
        <w:gridCol w:w="1781"/>
        <w:gridCol w:w="1959"/>
      </w:tblGrid>
      <w:tr>
        <w:trPr>
          <w:trHeight w:val="336" w:hRule="exact"/>
        </w:trPr>
        <w:tc>
          <w:tcPr>
            <w:tcW w:w="2083" w:type="dxa"/>
            <w:vMerge w:val="restart"/>
            <w:tcBorders>
              <w:top w:val="single" w:sz="12" w:space="0" w:color="000000"/>
              <w:left w:val="nil" w:sz="6" w:space="0" w:color="auto"/>
              <w:right w:val="single" w:sz="6" w:space="0" w:color="000000"/>
            </w:tcBorders>
          </w:tcPr>
          <w:p>
            <w:pPr>
              <w:pStyle w:val="TableParagraph"/>
              <w:spacing w:line="240" w:lineRule="auto" w:before="150"/>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7" w:type="dxa"/>
            <w:gridSpan w:val="4"/>
            <w:tcBorders>
              <w:top w:val="single" w:sz="12"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083" w:type="dxa"/>
            <w:vMerge/>
            <w:tcBorders>
              <w:left w:val="nil" w:sz="6" w:space="0" w:color="auto"/>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761"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19,380,853.18</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87.96</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581,425.59</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18,799,427.59</w:t>
            </w:r>
            <w:r>
              <w:rPr>
                <w:rFonts w:ascii="Arial Narrow"/>
                <w:sz w:val="20"/>
              </w:rPr>
            </w:r>
          </w:p>
        </w:tc>
      </w:tr>
      <w:tr>
        <w:trPr>
          <w:trHeight w:val="329"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1,738,214.97</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7.89</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173,821.50</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1,564,393.47</w:t>
            </w:r>
            <w:r>
              <w:rPr>
                <w:rFonts w:ascii="Arial Narrow"/>
                <w:sz w:val="20"/>
              </w:rPr>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Narrow" w:hAnsi="Arial Narrow" w:cs="Arial Narrow" w:eastAsia="Arial Narrow" w:hint="default"/>
                <w:sz w:val="20"/>
                <w:szCs w:val="20"/>
              </w:rPr>
            </w:pPr>
            <w:r>
              <w:rPr>
                <w:rFonts w:ascii="Arial Narrow"/>
                <w:spacing w:val="-2"/>
                <w:sz w:val="20"/>
              </w:rPr>
              <w:t>711,731.98</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w w:val="95"/>
                <w:sz w:val="20"/>
              </w:rPr>
              <w:t>3.23</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142,346.40</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569,385.58</w:t>
            </w:r>
            <w:r>
              <w:rPr>
                <w:rFonts w:ascii="Arial Narrow"/>
                <w:sz w:val="20"/>
              </w:rPr>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202,088.45</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w w:val="95"/>
                <w:sz w:val="20"/>
              </w:rPr>
              <w:t>0.92</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101,044.23</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101,044.22</w:t>
            </w:r>
            <w:r>
              <w:rPr>
                <w:rFonts w:ascii="Arial Narrow"/>
                <w:sz w:val="20"/>
              </w:rPr>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tabs>
                <w:tab w:pos="443"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22,032,888.58</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998,637.72</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21,034,250.86</w:t>
            </w:r>
            <w:r>
              <w:rPr>
                <w:rFonts w:ascii="Arial Narrow"/>
                <w:sz w:val="20"/>
              </w:rPr>
            </w:r>
          </w:p>
        </w:tc>
      </w:tr>
      <w:tr>
        <w:trPr>
          <w:trHeight w:val="329" w:hRule="exact"/>
        </w:trPr>
        <w:tc>
          <w:tcPr>
            <w:tcW w:w="2083" w:type="dxa"/>
            <w:vMerge w:val="restart"/>
            <w:tcBorders>
              <w:top w:val="single" w:sz="6" w:space="0" w:color="000000"/>
              <w:left w:val="nil" w:sz="6" w:space="0" w:color="auto"/>
              <w:right w:val="single" w:sz="6" w:space="0" w:color="000000"/>
            </w:tcBorders>
          </w:tcPr>
          <w:p>
            <w:pPr>
              <w:pStyle w:val="TableParagraph"/>
              <w:spacing w:line="240" w:lineRule="auto" w:before="150"/>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7" w:type="dxa"/>
            <w:gridSpan w:val="4"/>
            <w:tcBorders>
              <w:top w:val="single" w:sz="6"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083" w:type="dxa"/>
            <w:vMerge/>
            <w:tcBorders>
              <w:left w:val="nil" w:sz="6" w:space="0" w:color="auto"/>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761"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27"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0"/>
                <w:szCs w:val="20"/>
              </w:rPr>
            </w:pPr>
            <w:r>
              <w:rPr>
                <w:rFonts w:ascii="Arial Narrow"/>
                <w:w w:val="95"/>
                <w:sz w:val="20"/>
              </w:rPr>
              <w:t>14,755,951.40</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Arial Narrow" w:hAnsi="Arial Narrow" w:cs="Arial Narrow" w:eastAsia="Arial Narrow" w:hint="default"/>
                <w:sz w:val="20"/>
                <w:szCs w:val="20"/>
              </w:rPr>
            </w:pPr>
            <w:r>
              <w:rPr>
                <w:rFonts w:ascii="Arial Narrow"/>
                <w:w w:val="95"/>
                <w:sz w:val="20"/>
              </w:rPr>
              <w:t>84.43</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Arial Narrow" w:hAnsi="Arial Narrow" w:cs="Arial Narrow" w:eastAsia="Arial Narrow" w:hint="default"/>
                <w:sz w:val="20"/>
                <w:szCs w:val="20"/>
              </w:rPr>
            </w:pPr>
            <w:r>
              <w:rPr>
                <w:rFonts w:ascii="Arial Narrow"/>
                <w:w w:val="95"/>
                <w:sz w:val="20"/>
              </w:rPr>
              <w:t>442,678.54</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5"/>
              <w:jc w:val="right"/>
              <w:rPr>
                <w:rFonts w:ascii="Arial Narrow" w:hAnsi="Arial Narrow" w:cs="Arial Narrow" w:eastAsia="Arial Narrow" w:hint="default"/>
                <w:sz w:val="20"/>
                <w:szCs w:val="20"/>
              </w:rPr>
            </w:pPr>
            <w:r>
              <w:rPr>
                <w:rFonts w:ascii="Arial Narrow"/>
                <w:w w:val="95"/>
                <w:sz w:val="20"/>
              </w:rPr>
              <w:t>14,313,272.86</w:t>
            </w:r>
            <w:r>
              <w:rPr>
                <w:rFonts w:ascii="Arial Narrow"/>
                <w:sz w:val="20"/>
              </w:rPr>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2,399,152.46</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13.73</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239,915.25</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2,159,237.21</w:t>
            </w:r>
            <w:r>
              <w:rPr>
                <w:rFonts w:ascii="Arial Narrow"/>
                <w:sz w:val="20"/>
              </w:rPr>
            </w:r>
          </w:p>
        </w:tc>
      </w:tr>
      <w:tr>
        <w:trPr>
          <w:trHeight w:val="329"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5"/>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166,963.95</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0.96</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33,392.79</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133,571.16</w:t>
            </w:r>
            <w:r>
              <w:rPr>
                <w:rFonts w:ascii="Arial Narrow"/>
                <w:sz w:val="20"/>
              </w:rPr>
            </w:r>
          </w:p>
        </w:tc>
      </w:tr>
      <w:tr>
        <w:trPr>
          <w:trHeight w:val="326" w:hRule="exact"/>
        </w:trPr>
        <w:tc>
          <w:tcPr>
            <w:tcW w:w="2083"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155,900.00</w:t>
            </w:r>
            <w:r>
              <w:rPr>
                <w:rFonts w:ascii="Arial Narrow"/>
                <w:sz w:val="20"/>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w w:val="95"/>
                <w:sz w:val="20"/>
              </w:rPr>
              <w:t>0.88</w:t>
            </w:r>
            <w:r>
              <w:rPr>
                <w:rFonts w:ascii="Arial Narrow"/>
                <w:sz w:val="20"/>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77,950.00</w:t>
            </w:r>
            <w:r>
              <w:rPr>
                <w:rFonts w:ascii="Arial Narrow"/>
                <w:sz w:val="20"/>
              </w:rPr>
            </w:r>
          </w:p>
        </w:tc>
        <w:tc>
          <w:tcPr>
            <w:tcW w:w="1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77,950.00</w:t>
            </w:r>
            <w:r>
              <w:rPr>
                <w:rFonts w:ascii="Arial Narrow"/>
                <w:sz w:val="20"/>
              </w:rPr>
            </w:r>
          </w:p>
        </w:tc>
      </w:tr>
      <w:tr>
        <w:trPr>
          <w:trHeight w:val="336" w:hRule="exact"/>
        </w:trPr>
        <w:tc>
          <w:tcPr>
            <w:tcW w:w="2083"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17,477,967.81</w:t>
            </w:r>
            <w:r>
              <w:rPr>
                <w:rFonts w:ascii="Arial Narrow"/>
                <w:sz w:val="20"/>
              </w:rPr>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793,936.58</w:t>
            </w:r>
            <w:r>
              <w:rPr>
                <w:rFonts w:ascii="Arial Narrow"/>
                <w:sz w:val="20"/>
              </w:rPr>
            </w:r>
          </w:p>
        </w:tc>
        <w:tc>
          <w:tcPr>
            <w:tcW w:w="1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16,684,031.23</w:t>
            </w:r>
            <w:r>
              <w:rPr>
                <w:rFonts w:ascii="Arial Narrow"/>
                <w:sz w:val="20"/>
              </w:rPr>
            </w:r>
          </w:p>
        </w:tc>
      </w:tr>
    </w:tbl>
    <w:p>
      <w:pPr>
        <w:spacing w:before="86"/>
        <w:ind w:left="1158"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49"/>
          <w:sz w:val="21"/>
          <w:szCs w:val="21"/>
        </w:rPr>
        <w:t> </w:t>
      </w:r>
      <w:r>
        <w:rPr>
          <w:rFonts w:ascii="宋体" w:hAnsi="宋体" w:cs="宋体" w:eastAsia="宋体" w:hint="default"/>
          <w:spacing w:val="-2"/>
          <w:sz w:val="21"/>
          <w:szCs w:val="21"/>
        </w:rPr>
        <w:t>年末其他应收款前五名列示如下：</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107"/>
        <w:gridCol w:w="1394"/>
        <w:gridCol w:w="984"/>
        <w:gridCol w:w="1243"/>
        <w:gridCol w:w="1227"/>
        <w:gridCol w:w="1690"/>
      </w:tblGrid>
      <w:tr>
        <w:trPr>
          <w:trHeight w:val="576" w:hRule="exact"/>
        </w:trPr>
        <w:tc>
          <w:tcPr>
            <w:tcW w:w="3107"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4" w:lineRule="exact"/>
              <w:ind w:left="168"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129" w:right="0" w:hanging="29"/>
              <w:jc w:val="left"/>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left="129"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bl>
    <w:p>
      <w:pPr>
        <w:spacing w:after="0" w:line="289" w:lineRule="exact"/>
        <w:jc w:val="left"/>
        <w:rPr>
          <w:rFonts w:ascii="宋体" w:hAnsi="宋体" w:cs="宋体" w:eastAsia="宋体" w:hint="default"/>
          <w:sz w:val="21"/>
          <w:szCs w:val="21"/>
        </w:rPr>
        <w:sectPr>
          <w:pgSz w:w="11910" w:h="16840"/>
          <w:pgMar w:header="816" w:footer="858" w:top="1160" w:bottom="1040" w:left="1000" w:right="1000"/>
        </w:sectPr>
      </w:pPr>
    </w:p>
    <w:p>
      <w:pPr>
        <w:spacing w:line="240" w:lineRule="auto" w:before="9"/>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107"/>
        <w:gridCol w:w="1394"/>
        <w:gridCol w:w="984"/>
        <w:gridCol w:w="1243"/>
        <w:gridCol w:w="1227"/>
        <w:gridCol w:w="1690"/>
      </w:tblGrid>
      <w:tr>
        <w:trPr>
          <w:trHeight w:val="307" w:hRule="exact"/>
        </w:trPr>
        <w:tc>
          <w:tcPr>
            <w:tcW w:w="3107" w:type="dxa"/>
            <w:tcBorders>
              <w:top w:val="single" w:sz="12"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昆明新机场建设指挥部</w:t>
            </w:r>
          </w:p>
        </w:tc>
        <w:tc>
          <w:tcPr>
            <w:tcW w:w="1394"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984"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1,684,000.00</w:t>
            </w:r>
            <w:r>
              <w:rPr>
                <w:rFonts w:ascii="Arial Narrow"/>
                <w:sz w:val="20"/>
              </w:rPr>
            </w:r>
          </w:p>
        </w:tc>
        <w:tc>
          <w:tcPr>
            <w:tcW w:w="1227"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7.64</w:t>
            </w:r>
            <w:r>
              <w:rPr>
                <w:rFonts w:ascii="Arial Narrow"/>
                <w:sz w:val="20"/>
              </w:rPr>
            </w:r>
          </w:p>
        </w:tc>
      </w:tr>
      <w:tr>
        <w:trPr>
          <w:trHeight w:val="298" w:hRule="exact"/>
        </w:trPr>
        <w:tc>
          <w:tcPr>
            <w:tcW w:w="31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pacing w:val="-47"/>
                <w:sz w:val="21"/>
                <w:szCs w:val="21"/>
              </w:rPr>
              <w:t>北京中铁建电气化设计研究院有限公司</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852,000.00</w:t>
            </w:r>
            <w:r>
              <w:rPr>
                <w:rFonts w:ascii="Arial Narrow"/>
                <w:sz w:val="20"/>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3.87</w:t>
            </w:r>
            <w:r>
              <w:rPr>
                <w:rFonts w:ascii="Arial Narrow"/>
                <w:sz w:val="20"/>
              </w:rPr>
            </w:r>
          </w:p>
        </w:tc>
      </w:tr>
      <w:tr>
        <w:trPr>
          <w:trHeight w:val="300" w:hRule="exact"/>
        </w:trPr>
        <w:tc>
          <w:tcPr>
            <w:tcW w:w="31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铁道部工程交易中心上海分中心</w:t>
            </w:r>
            <w:r>
              <w:rPr>
                <w:rFonts w:ascii="宋体" w:hAnsi="宋体" w:cs="宋体" w:eastAsia="宋体" w:hint="default"/>
                <w:sz w:val="21"/>
                <w:szCs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750,000.00</w:t>
            </w:r>
            <w:r>
              <w:rPr>
                <w:rFonts w:ascii="Arial Narrow"/>
                <w:sz w:val="20"/>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3.40</w:t>
            </w:r>
            <w:r>
              <w:rPr>
                <w:rFonts w:ascii="Arial Narrow"/>
                <w:sz w:val="20"/>
              </w:rPr>
            </w:r>
          </w:p>
        </w:tc>
      </w:tr>
      <w:tr>
        <w:trPr>
          <w:trHeight w:val="298" w:hRule="exact"/>
        </w:trPr>
        <w:tc>
          <w:tcPr>
            <w:tcW w:w="3107"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刘德俊</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个人借款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员工</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500,000.00</w:t>
            </w:r>
            <w:r>
              <w:rPr>
                <w:rFonts w:ascii="Arial Narrow"/>
                <w:sz w:val="20"/>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2.27</w:t>
            </w:r>
            <w:r>
              <w:rPr>
                <w:rFonts w:ascii="Arial Narrow"/>
                <w:sz w:val="20"/>
              </w:rPr>
            </w:r>
          </w:p>
        </w:tc>
      </w:tr>
      <w:tr>
        <w:trPr>
          <w:trHeight w:val="300" w:hRule="exact"/>
        </w:trPr>
        <w:tc>
          <w:tcPr>
            <w:tcW w:w="31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芜湖市政府招标采购代理处</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467,852.00</w:t>
            </w:r>
            <w:r>
              <w:rPr>
                <w:rFonts w:ascii="Arial Narrow"/>
                <w:sz w:val="20"/>
              </w:rPr>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2.12</w:t>
            </w:r>
            <w:r>
              <w:rPr>
                <w:rFonts w:ascii="Arial Narrow"/>
                <w:sz w:val="20"/>
              </w:rPr>
            </w:r>
          </w:p>
        </w:tc>
      </w:tr>
      <w:tr>
        <w:trPr>
          <w:trHeight w:val="307" w:hRule="exact"/>
        </w:trPr>
        <w:tc>
          <w:tcPr>
            <w:tcW w:w="3107"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8"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94" w:type="dxa"/>
            <w:tcBorders>
              <w:top w:val="single" w:sz="6" w:space="0" w:color="000000"/>
              <w:left w:val="single" w:sz="6" w:space="0" w:color="000000"/>
              <w:bottom w:val="single" w:sz="12" w:space="0" w:color="000000"/>
              <w:right w:val="single" w:sz="6" w:space="0" w:color="000000"/>
            </w:tcBorders>
          </w:tcPr>
          <w:p>
            <w:pPr/>
          </w:p>
        </w:tc>
        <w:tc>
          <w:tcPr>
            <w:tcW w:w="984" w:type="dxa"/>
            <w:tcBorders>
              <w:top w:val="single" w:sz="6" w:space="0" w:color="000000"/>
              <w:left w:val="single" w:sz="6" w:space="0" w:color="000000"/>
              <w:bottom w:val="single" w:sz="12" w:space="0" w:color="000000"/>
              <w:right w:val="single" w:sz="6" w:space="0" w:color="000000"/>
            </w:tcBorders>
          </w:tcPr>
          <w:p>
            <w:pP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4,253,852.00</w:t>
            </w:r>
            <w:r>
              <w:rPr>
                <w:rFonts w:ascii="Arial Narrow"/>
                <w:sz w:val="21"/>
              </w:rPr>
            </w:r>
          </w:p>
        </w:tc>
        <w:tc>
          <w:tcPr>
            <w:tcW w:w="1227" w:type="dxa"/>
            <w:tcBorders>
              <w:top w:val="single" w:sz="6" w:space="0" w:color="000000"/>
              <w:left w:val="single" w:sz="6" w:space="0" w:color="000000"/>
              <w:bottom w:val="single" w:sz="12" w:space="0" w:color="000000"/>
              <w:right w:val="single" w:sz="6" w:space="0" w:color="000000"/>
            </w:tcBorders>
          </w:tcPr>
          <w:p>
            <w:pPr/>
          </w:p>
        </w:tc>
        <w:tc>
          <w:tcPr>
            <w:tcW w:w="16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19.31</w:t>
            </w:r>
            <w:r>
              <w:rPr>
                <w:rFonts w:ascii="Arial Narrow"/>
                <w:sz w:val="20"/>
              </w:rPr>
            </w:r>
          </w:p>
        </w:tc>
      </w:tr>
    </w:tbl>
    <w:p>
      <w:pPr>
        <w:spacing w:line="338" w:lineRule="auto" w:before="86"/>
        <w:ind w:left="798" w:right="0" w:firstLine="283"/>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本报告期其他应收款中持有本公司</w:t>
      </w:r>
      <w:r>
        <w:rPr>
          <w:rFonts w:ascii="宋体" w:hAnsi="宋体" w:cs="宋体" w:eastAsia="宋体" w:hint="default"/>
          <w:spacing w:val="-40"/>
          <w:sz w:val="21"/>
          <w:szCs w:val="21"/>
        </w:rPr>
        <w:t> </w:t>
      </w:r>
      <w:r>
        <w:rPr>
          <w:rFonts w:ascii="Arial Narrow" w:hAnsi="Arial Narrow" w:cs="Arial Narrow" w:eastAsia="Arial Narrow" w:hint="default"/>
          <w:spacing w:val="-9"/>
          <w:sz w:val="21"/>
          <w:szCs w:val="21"/>
        </w:rPr>
        <w:t>5%</w:t>
      </w:r>
      <w:r>
        <w:rPr>
          <w:rFonts w:ascii="宋体" w:hAnsi="宋体" w:cs="宋体" w:eastAsia="宋体" w:hint="default"/>
          <w:spacing w:val="-9"/>
          <w:sz w:val="21"/>
          <w:szCs w:val="21"/>
        </w:rPr>
        <w:t>（含</w:t>
      </w:r>
      <w:r>
        <w:rPr>
          <w:rFonts w:ascii="宋体" w:hAnsi="宋体" w:cs="宋体" w:eastAsia="宋体" w:hint="default"/>
          <w:spacing w:val="-39"/>
          <w:sz w:val="21"/>
          <w:szCs w:val="21"/>
        </w:rPr>
        <w:t> </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）以上表决权股份的股东单位及关联</w:t>
      </w:r>
      <w:r>
        <w:rPr>
          <w:rFonts w:ascii="宋体" w:hAnsi="宋体" w:cs="宋体" w:eastAsia="宋体" w:hint="default"/>
          <w:w w:val="100"/>
          <w:sz w:val="21"/>
          <w:szCs w:val="21"/>
        </w:rPr>
        <w:t> </w:t>
      </w:r>
      <w:r>
        <w:rPr>
          <w:rFonts w:ascii="宋体" w:hAnsi="宋体" w:cs="宋体" w:eastAsia="宋体" w:hint="default"/>
          <w:sz w:val="21"/>
          <w:szCs w:val="21"/>
        </w:rPr>
        <w:t>方欠款情况如下：</w:t>
      </w:r>
    </w:p>
    <w:p>
      <w:pPr>
        <w:spacing w:line="240" w:lineRule="auto" w:before="5"/>
        <w:rPr>
          <w:rFonts w:ascii="宋体" w:hAnsi="宋体" w:cs="宋体" w:eastAsia="宋体" w:hint="default"/>
          <w:sz w:val="6"/>
          <w:szCs w:val="6"/>
        </w:rPr>
      </w:pPr>
    </w:p>
    <w:tbl>
      <w:tblPr>
        <w:tblW w:w="0" w:type="auto"/>
        <w:jc w:val="left"/>
        <w:tblInd w:w="296" w:type="dxa"/>
        <w:tblLayout w:type="fixed"/>
        <w:tblCellMar>
          <w:top w:w="0" w:type="dxa"/>
          <w:left w:w="0" w:type="dxa"/>
          <w:bottom w:w="0" w:type="dxa"/>
          <w:right w:w="0" w:type="dxa"/>
        </w:tblCellMar>
        <w:tblLook w:val="01E0"/>
      </w:tblPr>
      <w:tblGrid>
        <w:gridCol w:w="2643"/>
        <w:gridCol w:w="1656"/>
        <w:gridCol w:w="1659"/>
        <w:gridCol w:w="1657"/>
        <w:gridCol w:w="1658"/>
      </w:tblGrid>
      <w:tr>
        <w:trPr>
          <w:trHeight w:val="305" w:hRule="exact"/>
        </w:trPr>
        <w:tc>
          <w:tcPr>
            <w:tcW w:w="2643" w:type="dxa"/>
            <w:vMerge w:val="restart"/>
            <w:tcBorders>
              <w:top w:val="single" w:sz="12" w:space="0" w:color="000000"/>
              <w:left w:val="nil" w:sz="6" w:space="0" w:color="auto"/>
              <w:right w:val="single" w:sz="6" w:space="0" w:color="000000"/>
            </w:tcBorders>
          </w:tcPr>
          <w:p>
            <w:pPr>
              <w:pStyle w:val="TableParagraph"/>
              <w:spacing w:line="240" w:lineRule="auto" w:before="12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1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101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315" w:type="dxa"/>
            <w:gridSpan w:val="2"/>
            <w:tcBorders>
              <w:top w:val="single" w:sz="12" w:space="0" w:color="000000"/>
              <w:left w:val="single" w:sz="6" w:space="0" w:color="000000"/>
              <w:bottom w:val="single" w:sz="6" w:space="0" w:color="000000"/>
              <w:right w:val="nil" w:sz="6" w:space="0" w:color="auto"/>
            </w:tcBorders>
          </w:tcPr>
          <w:p>
            <w:pPr>
              <w:pStyle w:val="TableParagraph"/>
              <w:spacing w:line="246" w:lineRule="exact"/>
              <w:ind w:left="102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2643" w:type="dxa"/>
            <w:vMerge/>
            <w:tcBorders>
              <w:left w:val="nil" w:sz="6" w:space="0" w:color="auto"/>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坏账准备金额</w:t>
            </w:r>
          </w:p>
        </w:tc>
      </w:tr>
      <w:tr>
        <w:trPr>
          <w:trHeight w:val="300"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29,522.82</w:t>
            </w:r>
            <w:r>
              <w:rPr>
                <w:rFonts w:ascii="Arial Narrow"/>
                <w:sz w:val="20"/>
              </w:rPr>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14,761.41</w:t>
            </w:r>
            <w:r>
              <w:rPr>
                <w:rFonts w:ascii="Arial Narrow"/>
                <w:sz w:val="20"/>
              </w:rPr>
            </w:r>
          </w:p>
        </w:tc>
      </w:tr>
      <w:tr>
        <w:trPr>
          <w:trHeight w:val="308" w:hRule="exact"/>
        </w:trPr>
        <w:tc>
          <w:tcPr>
            <w:tcW w:w="2643"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46"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29,522.82</w:t>
            </w:r>
            <w:r>
              <w:rPr>
                <w:rFonts w:ascii="Arial Narrow"/>
                <w:sz w:val="20"/>
              </w:rPr>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14,761.41</w:t>
            </w:r>
            <w:r>
              <w:rPr>
                <w:rFonts w:ascii="Arial Narrow"/>
                <w:sz w:val="20"/>
              </w:rPr>
            </w:r>
          </w:p>
        </w:tc>
      </w:tr>
    </w:tbl>
    <w:p>
      <w:pPr>
        <w:spacing w:before="26"/>
        <w:ind w:left="247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tabs>
          <w:tab w:pos="1937" w:val="left" w:leader="none"/>
        </w:tabs>
        <w:spacing w:before="178"/>
        <w:ind w:left="1218"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t>存货分项列示如下：</w:t>
      </w:r>
    </w:p>
    <w:p>
      <w:pPr>
        <w:spacing w:line="240" w:lineRule="auto" w:before="9"/>
        <w:rPr>
          <w:rFonts w:ascii="宋体" w:hAnsi="宋体" w:cs="宋体" w:eastAsia="宋体" w:hint="default"/>
          <w:sz w:val="11"/>
          <w:szCs w:val="11"/>
        </w:rPr>
      </w:pPr>
    </w:p>
    <w:tbl>
      <w:tblPr>
        <w:tblW w:w="0" w:type="auto"/>
        <w:jc w:val="left"/>
        <w:tblInd w:w="402" w:type="dxa"/>
        <w:tblLayout w:type="fixed"/>
        <w:tblCellMar>
          <w:top w:w="0" w:type="dxa"/>
          <w:left w:w="0" w:type="dxa"/>
          <w:bottom w:w="0" w:type="dxa"/>
          <w:right w:w="0" w:type="dxa"/>
        </w:tblCellMar>
        <w:tblLook w:val="01E0"/>
      </w:tblPr>
      <w:tblGrid>
        <w:gridCol w:w="1337"/>
        <w:gridCol w:w="1357"/>
        <w:gridCol w:w="1075"/>
        <w:gridCol w:w="1388"/>
        <w:gridCol w:w="1378"/>
        <w:gridCol w:w="1117"/>
        <w:gridCol w:w="1411"/>
      </w:tblGrid>
      <w:tr>
        <w:trPr>
          <w:trHeight w:val="362" w:hRule="exact"/>
        </w:trPr>
        <w:tc>
          <w:tcPr>
            <w:tcW w:w="1337" w:type="dxa"/>
            <w:vMerge w:val="restart"/>
            <w:tcBorders>
              <w:top w:val="single" w:sz="12" w:space="0" w:color="000000"/>
              <w:left w:val="nil" w:sz="6" w:space="0" w:color="auto"/>
              <w:right w:val="single" w:sz="6" w:space="0" w:color="000000"/>
            </w:tcBorders>
          </w:tcPr>
          <w:p>
            <w:pPr>
              <w:pStyle w:val="TableParagraph"/>
              <w:tabs>
                <w:tab w:pos="832" w:val="left" w:leader="none"/>
              </w:tabs>
              <w:spacing w:line="240" w:lineRule="auto" w:before="179"/>
              <w:ind w:left="3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1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90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337" w:type="dxa"/>
            <w:vMerge/>
            <w:tcBorders>
              <w:left w:val="nil" w:sz="6" w:space="0" w:color="auto"/>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6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left="2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3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55,133,549.71</w:t>
            </w:r>
            <w:r>
              <w:rPr>
                <w:rFonts w:ascii="Arial Narrow"/>
                <w:sz w:val="20"/>
              </w:rPr>
            </w:r>
          </w:p>
        </w:tc>
        <w:tc>
          <w:tcPr>
            <w:tcW w:w="107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55,133,549.71</w:t>
            </w:r>
            <w:r>
              <w:rPr>
                <w:rFonts w:ascii="Arial Narro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35,532,594.89</w:t>
            </w:r>
            <w:r>
              <w:rPr>
                <w:rFonts w:ascii="Arial Narrow"/>
                <w:sz w:val="20"/>
              </w:rPr>
            </w:r>
          </w:p>
        </w:tc>
        <w:tc>
          <w:tcPr>
            <w:tcW w:w="111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35,532,594.89</w:t>
            </w:r>
            <w:r>
              <w:rPr>
                <w:rFonts w:ascii="Arial Narrow"/>
                <w:sz w:val="20"/>
              </w:rPr>
            </w:r>
          </w:p>
        </w:tc>
      </w:tr>
      <w:tr>
        <w:trPr>
          <w:trHeight w:val="355" w:hRule="exact"/>
        </w:trPr>
        <w:tc>
          <w:tcPr>
            <w:tcW w:w="13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35,390.81</w:t>
            </w:r>
            <w:r>
              <w:rPr>
                <w:rFonts w:ascii="Arial Narrow"/>
                <w:sz w:val="20"/>
              </w:rPr>
            </w:r>
          </w:p>
        </w:tc>
        <w:tc>
          <w:tcPr>
            <w:tcW w:w="107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35,390.81</w:t>
            </w:r>
            <w:r>
              <w:rPr>
                <w:rFonts w:ascii="Arial Narro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35,349.17</w:t>
            </w:r>
            <w:r>
              <w:rPr>
                <w:rFonts w:ascii="Arial Narrow"/>
                <w:sz w:val="20"/>
              </w:rPr>
            </w:r>
          </w:p>
        </w:tc>
        <w:tc>
          <w:tcPr>
            <w:tcW w:w="111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Narrow" w:hAnsi="Arial Narrow" w:cs="Arial Narrow" w:eastAsia="Arial Narrow" w:hint="default"/>
                <w:sz w:val="20"/>
                <w:szCs w:val="20"/>
              </w:rPr>
            </w:pPr>
            <w:r>
              <w:rPr>
                <w:rFonts w:ascii="Arial Narrow"/>
                <w:w w:val="95"/>
                <w:sz w:val="20"/>
              </w:rPr>
              <w:t>35,349.17</w:t>
            </w:r>
            <w:r>
              <w:rPr>
                <w:rFonts w:ascii="Arial Narrow"/>
                <w:sz w:val="20"/>
              </w:rPr>
            </w:r>
          </w:p>
        </w:tc>
      </w:tr>
      <w:tr>
        <w:trPr>
          <w:trHeight w:val="355" w:hRule="exact"/>
        </w:trPr>
        <w:tc>
          <w:tcPr>
            <w:tcW w:w="13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57,354,067.66</w:t>
            </w:r>
            <w:r>
              <w:rPr>
                <w:rFonts w:ascii="Arial Narrow"/>
                <w:sz w:val="20"/>
              </w:rPr>
            </w:r>
          </w:p>
        </w:tc>
        <w:tc>
          <w:tcPr>
            <w:tcW w:w="107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57,354,067.66</w:t>
            </w:r>
            <w:r>
              <w:rPr>
                <w:rFonts w:ascii="Arial Narro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32,073,470.16</w:t>
            </w:r>
            <w:r>
              <w:rPr>
                <w:rFonts w:ascii="Arial Narrow"/>
                <w:sz w:val="20"/>
              </w:rPr>
            </w:r>
          </w:p>
        </w:tc>
        <w:tc>
          <w:tcPr>
            <w:tcW w:w="111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32,073,470.16</w:t>
            </w:r>
            <w:r>
              <w:rPr>
                <w:rFonts w:ascii="Arial Narrow"/>
                <w:sz w:val="20"/>
              </w:rPr>
            </w:r>
          </w:p>
        </w:tc>
      </w:tr>
      <w:tr>
        <w:trPr>
          <w:trHeight w:val="355" w:hRule="exact"/>
        </w:trPr>
        <w:tc>
          <w:tcPr>
            <w:tcW w:w="13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357,059,030.30</w:t>
            </w:r>
            <w:r>
              <w:rPr>
                <w:rFonts w:ascii="Arial Narrow"/>
                <w:sz w:val="20"/>
              </w:rPr>
            </w:r>
          </w:p>
        </w:tc>
        <w:tc>
          <w:tcPr>
            <w:tcW w:w="1075"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357,059,030.30</w:t>
            </w:r>
            <w:r>
              <w:rPr>
                <w:rFonts w:ascii="Arial Narro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257,261,569.79</w:t>
            </w:r>
            <w:r>
              <w:rPr>
                <w:rFonts w:ascii="Arial Narrow"/>
                <w:sz w:val="20"/>
              </w:rPr>
            </w:r>
          </w:p>
        </w:tc>
        <w:tc>
          <w:tcPr>
            <w:tcW w:w="111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257,261,569.79</w:t>
            </w:r>
            <w:r>
              <w:rPr>
                <w:rFonts w:ascii="Arial Narrow"/>
                <w:sz w:val="20"/>
              </w:rPr>
            </w:r>
          </w:p>
        </w:tc>
      </w:tr>
      <w:tr>
        <w:trPr>
          <w:trHeight w:val="362" w:hRule="exact"/>
        </w:trPr>
        <w:tc>
          <w:tcPr>
            <w:tcW w:w="1337" w:type="dxa"/>
            <w:tcBorders>
              <w:top w:val="single" w:sz="6" w:space="0" w:color="000000"/>
              <w:left w:val="nil" w:sz="6" w:space="0" w:color="auto"/>
              <w:bottom w:val="single" w:sz="12" w:space="0" w:color="000000"/>
              <w:right w:val="single" w:sz="6" w:space="0" w:color="000000"/>
            </w:tcBorders>
          </w:tcPr>
          <w:p>
            <w:pPr>
              <w:pStyle w:val="TableParagraph"/>
              <w:tabs>
                <w:tab w:pos="832" w:val="left" w:leader="none"/>
              </w:tabs>
              <w:spacing w:line="274" w:lineRule="exact"/>
              <w:ind w:left="3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469,582,038.48</w:t>
            </w:r>
            <w:r>
              <w:rPr>
                <w:rFonts w:ascii="Arial Narrow"/>
                <w:sz w:val="20"/>
              </w:rPr>
            </w:r>
          </w:p>
        </w:tc>
        <w:tc>
          <w:tcPr>
            <w:tcW w:w="1075" w:type="dxa"/>
            <w:tcBorders>
              <w:top w:val="single" w:sz="6" w:space="0" w:color="000000"/>
              <w:left w:val="single" w:sz="6" w:space="0" w:color="000000"/>
              <w:bottom w:val="single" w:sz="12" w:space="0" w:color="000000"/>
              <w:right w:val="single" w:sz="6" w:space="0" w:color="000000"/>
            </w:tcBorders>
          </w:tcPr>
          <w:p>
            <w:pP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469,582,038.48</w:t>
            </w:r>
            <w:r>
              <w:rPr>
                <w:rFonts w:ascii="Arial Narrow"/>
                <w:sz w:val="20"/>
              </w:rPr>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324,902,984.01</w:t>
            </w:r>
            <w:r>
              <w:rPr>
                <w:rFonts w:ascii="Arial Narrow"/>
                <w:sz w:val="20"/>
              </w:rPr>
            </w:r>
          </w:p>
        </w:tc>
        <w:tc>
          <w:tcPr>
            <w:tcW w:w="1117" w:type="dxa"/>
            <w:tcBorders>
              <w:top w:val="single" w:sz="6" w:space="0" w:color="000000"/>
              <w:left w:val="single" w:sz="6" w:space="0" w:color="000000"/>
              <w:bottom w:val="single" w:sz="12" w:space="0" w:color="000000"/>
              <w:right w:val="single" w:sz="6" w:space="0" w:color="000000"/>
            </w:tcBorders>
          </w:tcPr>
          <w:p>
            <w:pPr/>
          </w:p>
        </w:tc>
        <w:tc>
          <w:tcPr>
            <w:tcW w:w="14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0"/>
                <w:szCs w:val="20"/>
              </w:rPr>
            </w:pPr>
            <w:r>
              <w:rPr>
                <w:rFonts w:ascii="Arial Narrow"/>
                <w:w w:val="95"/>
                <w:sz w:val="20"/>
              </w:rPr>
              <w:t>324,902,984.01</w:t>
            </w:r>
            <w:r>
              <w:rPr>
                <w:rFonts w:ascii="Arial Narrow"/>
                <w:sz w:val="20"/>
              </w:rPr>
            </w:r>
          </w:p>
        </w:tc>
      </w:tr>
    </w:tbl>
    <w:p>
      <w:pPr>
        <w:tabs>
          <w:tab w:pos="1937" w:val="left" w:leader="none"/>
        </w:tabs>
        <w:spacing w:before="86"/>
        <w:ind w:left="1218"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w:t>
        <w:tab/>
      </w:r>
      <w:r>
        <w:rPr>
          <w:rFonts w:ascii="宋体" w:hAnsi="宋体" w:cs="宋体" w:eastAsia="宋体" w:hint="default"/>
          <w:spacing w:val="-2"/>
          <w:sz w:val="21"/>
          <w:szCs w:val="21"/>
        </w:rPr>
        <w:t>本年末本公司存货未出现减值迹象，无需计提跌价准备。</w:t>
      </w:r>
    </w:p>
    <w:p>
      <w:pPr>
        <w:spacing w:line="240" w:lineRule="auto" w:before="3"/>
        <w:rPr>
          <w:rFonts w:ascii="宋体" w:hAnsi="宋体" w:cs="宋体" w:eastAsia="宋体" w:hint="default"/>
          <w:sz w:val="18"/>
          <w:szCs w:val="18"/>
        </w:rPr>
      </w:pPr>
    </w:p>
    <w:p>
      <w:pPr>
        <w:tabs>
          <w:tab w:pos="1937" w:val="left" w:leader="none"/>
        </w:tabs>
        <w:spacing w:line="340" w:lineRule="auto" w:before="0"/>
        <w:ind w:left="1938" w:right="791" w:hanging="7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w:t>
        <w:tab/>
      </w:r>
      <w:r>
        <w:rPr>
          <w:rFonts w:ascii="宋体" w:hAnsi="宋体" w:cs="宋体" w:eastAsia="宋体" w:hint="default"/>
          <w:spacing w:val="-2"/>
          <w:sz w:val="21"/>
          <w:szCs w:val="21"/>
        </w:rPr>
        <w:t>年末存货余额比年初增加</w:t>
      </w:r>
      <w:r>
        <w:rPr>
          <w:rFonts w:ascii="宋体" w:hAnsi="宋体" w:cs="宋体" w:eastAsia="宋体" w:hint="default"/>
          <w:spacing w:val="36"/>
          <w:sz w:val="21"/>
          <w:szCs w:val="21"/>
        </w:rPr>
        <w:t> </w:t>
      </w:r>
      <w:r>
        <w:rPr>
          <w:rFonts w:ascii="Arial Narrow" w:hAnsi="Arial Narrow" w:cs="Arial Narrow" w:eastAsia="Arial Narrow" w:hint="default"/>
          <w:spacing w:val="-2"/>
          <w:sz w:val="21"/>
          <w:szCs w:val="21"/>
        </w:rPr>
        <w:t>44.53%</w:t>
      </w:r>
      <w:r>
        <w:rPr>
          <w:rFonts w:ascii="宋体" w:hAnsi="宋体" w:cs="宋体" w:eastAsia="宋体" w:hint="default"/>
          <w:spacing w:val="-2"/>
          <w:sz w:val="21"/>
          <w:szCs w:val="21"/>
        </w:rPr>
        <w:t>，主要原因为本期订单增加导致备料及产量增</w:t>
      </w:r>
      <w:r>
        <w:rPr>
          <w:rFonts w:ascii="宋体" w:hAnsi="宋体" w:cs="宋体" w:eastAsia="宋体" w:hint="default"/>
          <w:w w:val="100"/>
          <w:sz w:val="21"/>
          <w:szCs w:val="21"/>
        </w:rPr>
        <w:t> </w:t>
      </w:r>
      <w:r>
        <w:rPr>
          <w:rFonts w:ascii="宋体" w:hAnsi="宋体" w:cs="宋体" w:eastAsia="宋体" w:hint="default"/>
          <w:sz w:val="21"/>
          <w:szCs w:val="21"/>
        </w:rPr>
        <w:t>加所致。</w:t>
      </w:r>
    </w:p>
    <w:p>
      <w:pPr>
        <w:spacing w:before="105"/>
        <w:ind w:left="247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78"/>
        <w:ind w:left="13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9"/>
        <w:rPr>
          <w:rFonts w:ascii="宋体" w:hAnsi="宋体" w:cs="宋体" w:eastAsia="宋体" w:hint="default"/>
          <w:sz w:val="11"/>
          <w:szCs w:val="11"/>
        </w:rPr>
      </w:pPr>
    </w:p>
    <w:tbl>
      <w:tblPr>
        <w:tblW w:w="0" w:type="auto"/>
        <w:jc w:val="left"/>
        <w:tblInd w:w="315" w:type="dxa"/>
        <w:tblLayout w:type="fixed"/>
        <w:tblCellMar>
          <w:top w:w="0" w:type="dxa"/>
          <w:left w:w="0" w:type="dxa"/>
          <w:bottom w:w="0" w:type="dxa"/>
          <w:right w:w="0" w:type="dxa"/>
        </w:tblCellMar>
        <w:tblLook w:val="01E0"/>
      </w:tblPr>
      <w:tblGrid>
        <w:gridCol w:w="3037"/>
        <w:gridCol w:w="1548"/>
        <w:gridCol w:w="1551"/>
        <w:gridCol w:w="1551"/>
        <w:gridCol w:w="1548"/>
      </w:tblGrid>
      <w:tr>
        <w:trPr>
          <w:trHeight w:val="362" w:hRule="exact"/>
        </w:trPr>
        <w:tc>
          <w:tcPr>
            <w:tcW w:w="30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34"/>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42"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4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39"/>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95,154,592.18</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10,741,612.52</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20"/>
                <w:szCs w:val="20"/>
              </w:rPr>
            </w:pPr>
            <w:r>
              <w:rPr>
                <w:rFonts w:ascii="Arial Narrow"/>
                <w:w w:val="95"/>
                <w:sz w:val="20"/>
              </w:rPr>
              <w:t>920,383.28</w:t>
            </w:r>
            <w:r>
              <w:rPr>
                <w:rFonts w:ascii="Arial Narrow"/>
                <w:sz w:val="20"/>
              </w:rPr>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104,975,821.42</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、房屋及建筑物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Arial Narrow" w:hAnsi="Arial Narrow" w:cs="Arial Narrow" w:eastAsia="Arial Narrow" w:hint="default"/>
                <w:sz w:val="20"/>
                <w:szCs w:val="20"/>
              </w:rPr>
            </w:pPr>
            <w:r>
              <w:rPr>
                <w:rFonts w:ascii="Arial Narrow"/>
                <w:w w:val="95"/>
                <w:sz w:val="20"/>
              </w:rPr>
              <w:t>45,524,090.05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540,000.00</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46,064,090.05</w:t>
            </w:r>
            <w:r>
              <w:rPr>
                <w:rFonts w:ascii="Arial Narrow"/>
                <w:sz w:val="20"/>
              </w:rPr>
            </w:r>
          </w:p>
        </w:tc>
      </w:tr>
      <w:tr>
        <w:trPr>
          <w:trHeight w:val="356"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8"/>
              <w:jc w:val="right"/>
              <w:rPr>
                <w:rFonts w:ascii="Arial Narrow" w:hAnsi="Arial Narrow" w:cs="Arial Narrow" w:eastAsia="Arial Narrow" w:hint="default"/>
                <w:sz w:val="20"/>
                <w:szCs w:val="20"/>
              </w:rPr>
            </w:pPr>
            <w:r>
              <w:rPr>
                <w:rFonts w:ascii="Arial Narrow"/>
                <w:w w:val="95"/>
                <w:sz w:val="20"/>
              </w:rPr>
              <w:t>33,251,994.43</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9"/>
              <w:jc w:val="right"/>
              <w:rPr>
                <w:rFonts w:ascii="Arial Narrow" w:hAnsi="Arial Narrow" w:cs="Arial Narrow" w:eastAsia="Arial Narrow" w:hint="default"/>
                <w:sz w:val="20"/>
                <w:szCs w:val="20"/>
              </w:rPr>
            </w:pPr>
            <w:r>
              <w:rPr>
                <w:rFonts w:ascii="Arial Narrow"/>
                <w:spacing w:val="-1"/>
                <w:sz w:val="20"/>
              </w:rPr>
              <w:t>5,918,537.45</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0"/>
                <w:szCs w:val="20"/>
              </w:rPr>
            </w:pPr>
            <w:r>
              <w:rPr>
                <w:rFonts w:ascii="Arial Narrow"/>
                <w:w w:val="95"/>
                <w:sz w:val="20"/>
              </w:rPr>
              <w:t>39,170,531.88</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10,723,122.37</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2,551,176.72</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920,383.28</w:t>
            </w:r>
            <w:r>
              <w:rPr>
                <w:rFonts w:ascii="Arial Narrow"/>
                <w:sz w:val="20"/>
              </w:rPr>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12,353,915.81</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5,655,385.33</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1,731,898.35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7,387,283.68</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40,410,214.53</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7,579,753.71</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848,027.79</w:t>
            </w:r>
            <w:r>
              <w:rPr>
                <w:rFonts w:ascii="Arial Narrow"/>
                <w:sz w:val="20"/>
              </w:rPr>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47,141,940.45</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13,059,088.75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2,171,212.62</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15,230,301.37</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9"/>
              <w:jc w:val="right"/>
              <w:rPr>
                <w:rFonts w:ascii="Arial Narrow" w:hAnsi="Arial Narrow" w:cs="Arial Narrow" w:eastAsia="Arial Narrow" w:hint="default"/>
                <w:sz w:val="20"/>
                <w:szCs w:val="20"/>
              </w:rPr>
            </w:pPr>
            <w:r>
              <w:rPr>
                <w:rFonts w:ascii="Arial Narrow"/>
                <w:w w:val="95"/>
                <w:sz w:val="20"/>
              </w:rPr>
              <w:t>17,816,145.66</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3,340,990.73</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21,157,136.39</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5,048,574.66</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1,632,408.05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848,027.79</w:t>
            </w:r>
            <w:r>
              <w:rPr>
                <w:rFonts w:ascii="Arial Narrow"/>
                <w:sz w:val="20"/>
              </w:rPr>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5,832,954.92</w:t>
            </w:r>
            <w:r>
              <w:rPr>
                <w:rFonts w:ascii="Arial Narrow"/>
                <w:sz w:val="20"/>
              </w:rPr>
            </w:r>
          </w:p>
        </w:tc>
      </w:tr>
      <w:tr>
        <w:trPr>
          <w:trHeight w:val="362" w:hRule="exact"/>
        </w:trPr>
        <w:tc>
          <w:tcPr>
            <w:tcW w:w="303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5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4,486,405.46</w:t>
            </w:r>
            <w:r>
              <w:rPr>
                <w:rFonts w:ascii="Arial Narrow"/>
                <w:sz w:val="20"/>
              </w:rPr>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435,142.31</w:t>
            </w:r>
            <w:r>
              <w:rPr>
                <w:rFonts w:ascii="Arial Narrow"/>
                <w:sz w:val="20"/>
              </w:rPr>
            </w:r>
          </w:p>
        </w:tc>
        <w:tc>
          <w:tcPr>
            <w:tcW w:w="1551" w:type="dxa"/>
            <w:tcBorders>
              <w:top w:val="single" w:sz="6" w:space="0" w:color="000000"/>
              <w:left w:val="single" w:sz="6" w:space="0" w:color="000000"/>
              <w:bottom w:val="single" w:sz="12" w:space="0" w:color="000000"/>
              <w:right w:val="single" w:sz="6" w:space="0" w:color="000000"/>
            </w:tcBorders>
          </w:tcPr>
          <w:p>
            <w:pPr/>
          </w:p>
        </w:tc>
        <w:tc>
          <w:tcPr>
            <w:tcW w:w="15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4,921,547.77</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000" w:right="1000"/>
        </w:sectPr>
      </w:pPr>
    </w:p>
    <w:p>
      <w:pPr>
        <w:spacing w:line="240" w:lineRule="auto" w:before="9"/>
        <w:rPr>
          <w:rFonts w:ascii="宋体" w:hAnsi="宋体" w:cs="宋体" w:eastAsia="宋体" w:hint="default"/>
          <w:sz w:val="19"/>
          <w:szCs w:val="19"/>
        </w:rPr>
      </w:pPr>
    </w:p>
    <w:tbl>
      <w:tblPr>
        <w:tblW w:w="0" w:type="auto"/>
        <w:jc w:val="left"/>
        <w:tblInd w:w="235" w:type="dxa"/>
        <w:tblLayout w:type="fixed"/>
        <w:tblCellMar>
          <w:top w:w="0" w:type="dxa"/>
          <w:left w:w="0" w:type="dxa"/>
          <w:bottom w:w="0" w:type="dxa"/>
          <w:right w:w="0" w:type="dxa"/>
        </w:tblCellMar>
        <w:tblLook w:val="01E0"/>
      </w:tblPr>
      <w:tblGrid>
        <w:gridCol w:w="3037"/>
        <w:gridCol w:w="1548"/>
        <w:gridCol w:w="1551"/>
        <w:gridCol w:w="1551"/>
        <w:gridCol w:w="1548"/>
      </w:tblGrid>
      <w:tr>
        <w:trPr>
          <w:trHeight w:val="363" w:hRule="exact"/>
        </w:trPr>
        <w:tc>
          <w:tcPr>
            <w:tcW w:w="303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34"/>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4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39"/>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54,744,377.65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57,833,880.97</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32,465,001.30</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30,833,788.68</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15,435,848.77</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18,013,395.49</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5,674,547.71</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6,520,960.89</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8"/>
              <w:jc w:val="right"/>
              <w:rPr>
                <w:rFonts w:ascii="Arial Narrow" w:hAnsi="Arial Narrow" w:cs="Arial Narrow" w:eastAsia="Arial Narrow" w:hint="default"/>
                <w:sz w:val="20"/>
                <w:szCs w:val="20"/>
              </w:rPr>
            </w:pPr>
            <w:r>
              <w:rPr>
                <w:rFonts w:ascii="Arial Narrow"/>
                <w:w w:val="95"/>
                <w:sz w:val="20"/>
              </w:rPr>
              <w:t>1,168,979.87</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2,465,735.91</w:t>
            </w:r>
            <w:r>
              <w:rPr>
                <w:rFonts w:ascii="Arial Narrow"/>
                <w:sz w:val="20"/>
              </w:rPr>
            </w:r>
          </w:p>
        </w:tc>
      </w:tr>
      <w:tr>
        <w:trPr>
          <w:trHeight w:val="559"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四、固定资产减值准备累计金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额合计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54,744,377.65</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57,833,880.97</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32,465,001.30</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30,833,788.68</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15,435,848.77</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18,013,395.49</w:t>
            </w:r>
            <w:r>
              <w:rPr>
                <w:rFonts w:ascii="Arial Narrow"/>
                <w:sz w:val="20"/>
              </w:rPr>
            </w:r>
          </w:p>
        </w:tc>
      </w:tr>
      <w:tr>
        <w:trPr>
          <w:trHeight w:val="355" w:hRule="exact"/>
        </w:trPr>
        <w:tc>
          <w:tcPr>
            <w:tcW w:w="30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、运输工具</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5,674,547.71</w:t>
            </w:r>
            <w:r>
              <w:rPr>
                <w:rFonts w:ascii="Arial Narrow"/>
                <w:sz w:val="20"/>
              </w:rPr>
            </w:r>
          </w:p>
        </w:tc>
        <w:tc>
          <w:tcPr>
            <w:tcW w:w="1551" w:type="dxa"/>
            <w:tcBorders>
              <w:top w:val="single" w:sz="6" w:space="0" w:color="000000"/>
              <w:left w:val="single" w:sz="6" w:space="0" w:color="000000"/>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6,520,960.89</w:t>
            </w:r>
            <w:r>
              <w:rPr>
                <w:rFonts w:ascii="Arial Narrow"/>
                <w:sz w:val="20"/>
              </w:rPr>
            </w:r>
          </w:p>
        </w:tc>
      </w:tr>
      <w:tr>
        <w:trPr>
          <w:trHeight w:val="365" w:hRule="exact"/>
        </w:trPr>
        <w:tc>
          <w:tcPr>
            <w:tcW w:w="3037"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、其他设备</w:t>
            </w:r>
          </w:p>
        </w:tc>
        <w:tc>
          <w:tcPr>
            <w:tcW w:w="15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1,168,979.87</w:t>
            </w:r>
            <w:r>
              <w:rPr>
                <w:rFonts w:ascii="Arial Narrow"/>
                <w:sz w:val="20"/>
              </w:rPr>
            </w:r>
          </w:p>
        </w:tc>
        <w:tc>
          <w:tcPr>
            <w:tcW w:w="1551" w:type="dxa"/>
            <w:tcBorders>
              <w:top w:val="single" w:sz="6" w:space="0" w:color="000000"/>
              <w:left w:val="single" w:sz="6" w:space="0" w:color="000000"/>
              <w:bottom w:val="single" w:sz="12" w:space="0" w:color="000000"/>
              <w:right w:val="single" w:sz="6" w:space="0" w:color="000000"/>
            </w:tcBorders>
          </w:tcPr>
          <w:p>
            <w:pPr/>
          </w:p>
        </w:tc>
        <w:tc>
          <w:tcPr>
            <w:tcW w:w="1551" w:type="dxa"/>
            <w:tcBorders>
              <w:top w:val="single" w:sz="6" w:space="0" w:color="000000"/>
              <w:left w:val="single" w:sz="6" w:space="0" w:color="000000"/>
              <w:bottom w:val="single" w:sz="12" w:space="0" w:color="000000"/>
              <w:right w:val="single" w:sz="6" w:space="0" w:color="000000"/>
            </w:tcBorders>
          </w:tcPr>
          <w:p>
            <w:pPr/>
          </w:p>
        </w:tc>
        <w:tc>
          <w:tcPr>
            <w:tcW w:w="15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2,465,735.91</w:t>
            </w:r>
            <w:r>
              <w:rPr>
                <w:rFonts w:ascii="Arial Narrow"/>
                <w:sz w:val="20"/>
              </w:rPr>
            </w:r>
          </w:p>
        </w:tc>
      </w:tr>
    </w:tbl>
    <w:p>
      <w:pPr>
        <w:spacing w:before="86"/>
        <w:ind w:left="1138" w:right="0" w:firstLine="0"/>
        <w:jc w:val="left"/>
        <w:rPr>
          <w:rFonts w:ascii="宋体" w:hAnsi="宋体" w:cs="宋体" w:eastAsia="宋体" w:hint="default"/>
          <w:sz w:val="21"/>
          <w:szCs w:val="21"/>
        </w:rPr>
      </w:pPr>
      <w:r>
        <w:rPr>
          <w:rFonts w:ascii="宋体" w:hAnsi="宋体" w:cs="宋体" w:eastAsia="宋体" w:hint="default"/>
          <w:sz w:val="21"/>
          <w:szCs w:val="21"/>
        </w:rPr>
        <w:t>本年计提的折旧额为</w:t>
      </w:r>
      <w:r>
        <w:rPr>
          <w:rFonts w:ascii="宋体" w:hAnsi="宋体" w:cs="宋体" w:eastAsia="宋体" w:hint="default"/>
          <w:spacing w:val="-55"/>
          <w:sz w:val="21"/>
          <w:szCs w:val="21"/>
        </w:rPr>
        <w:t> </w:t>
      </w:r>
      <w:r>
        <w:rPr>
          <w:rFonts w:ascii="Arial Narrow" w:hAnsi="Arial Narrow" w:cs="Arial Narrow" w:eastAsia="Arial Narrow" w:hint="default"/>
          <w:sz w:val="20"/>
          <w:szCs w:val="20"/>
        </w:rPr>
        <w:t>7,579,753.71</w:t>
      </w:r>
      <w:r>
        <w:rPr>
          <w:rFonts w:ascii="Arial Narrow" w:hAnsi="Arial Narrow" w:cs="Arial Narrow" w:eastAsia="Arial Narrow" w:hint="default"/>
          <w:spacing w:val="2"/>
          <w:sz w:val="20"/>
          <w:szCs w:val="20"/>
        </w:rPr>
        <w:t> </w:t>
      </w:r>
      <w:r>
        <w:rPr>
          <w:rFonts w:ascii="宋体" w:hAnsi="宋体" w:cs="宋体" w:eastAsia="宋体" w:hint="default"/>
          <w:sz w:val="21"/>
          <w:szCs w:val="21"/>
        </w:rPr>
        <w:t>元。</w:t>
      </w:r>
    </w:p>
    <w:p>
      <w:pPr>
        <w:spacing w:before="120"/>
        <w:ind w:left="1138" w:right="0" w:firstLine="0"/>
        <w:jc w:val="left"/>
        <w:rPr>
          <w:rFonts w:ascii="宋体" w:hAnsi="宋体" w:cs="宋体" w:eastAsia="宋体" w:hint="default"/>
          <w:sz w:val="21"/>
          <w:szCs w:val="21"/>
        </w:rPr>
      </w:pPr>
      <w:r>
        <w:rPr>
          <w:rFonts w:ascii="宋体" w:hAnsi="宋体" w:cs="宋体" w:eastAsia="宋体" w:hint="default"/>
          <w:sz w:val="21"/>
          <w:szCs w:val="21"/>
        </w:rPr>
        <w:t>本年在建工程完工转入固定资产的原价为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3,658,825.64</w:t>
      </w:r>
      <w:r>
        <w:rPr>
          <w:rFonts w:ascii="Arial Narrow" w:hAnsi="Arial Narrow" w:cs="Arial Narrow" w:eastAsia="Arial Narrow" w:hint="default"/>
          <w:spacing w:val="2"/>
          <w:sz w:val="21"/>
          <w:szCs w:val="21"/>
        </w:rPr>
        <w:t> </w:t>
      </w:r>
      <w:r>
        <w:rPr>
          <w:rFonts w:ascii="宋体" w:hAnsi="宋体" w:cs="宋体" w:eastAsia="宋体" w:hint="default"/>
          <w:sz w:val="21"/>
          <w:szCs w:val="21"/>
        </w:rPr>
        <w:t>元。</w:t>
      </w:r>
    </w:p>
    <w:p>
      <w:pPr>
        <w:spacing w:before="101"/>
        <w:ind w:left="10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）本年末本公司固定资产未出现减值迹象，无需计提减值准备。</w:t>
      </w:r>
    </w:p>
    <w:p>
      <w:pPr>
        <w:spacing w:before="179"/>
        <w:ind w:left="239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81"/>
        <w:ind w:left="12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宋体" w:hAnsi="宋体" w:cs="宋体" w:eastAsia="宋体" w:hint="default"/>
          <w:sz w:val="21"/>
          <w:szCs w:val="21"/>
        </w:rPr>
        <w:t>在建工程分项列示如下：</w:t>
      </w:r>
    </w:p>
    <w:p>
      <w:pPr>
        <w:spacing w:line="240" w:lineRule="auto" w:before="9"/>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2984"/>
        <w:gridCol w:w="1265"/>
        <w:gridCol w:w="696"/>
        <w:gridCol w:w="1284"/>
        <w:gridCol w:w="1037"/>
        <w:gridCol w:w="764"/>
        <w:gridCol w:w="1342"/>
      </w:tblGrid>
      <w:tr>
        <w:trPr>
          <w:trHeight w:val="307" w:hRule="exact"/>
        </w:trPr>
        <w:tc>
          <w:tcPr>
            <w:tcW w:w="298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97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42" w:type="dxa"/>
            <w:gridSpan w:val="3"/>
            <w:tcBorders>
              <w:top w:val="single" w:sz="12" w:space="0" w:color="000000"/>
              <w:left w:val="single" w:sz="6" w:space="0" w:color="000000"/>
              <w:bottom w:val="single" w:sz="6" w:space="0" w:color="000000"/>
              <w:right w:val="nil" w:sz="6" w:space="0" w:color="auto"/>
            </w:tcBorders>
          </w:tcPr>
          <w:p>
            <w:pPr>
              <w:pStyle w:val="TableParagraph"/>
              <w:spacing w:line="248" w:lineRule="exact"/>
              <w:ind w:left="90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9" w:hRule="exact"/>
        </w:trPr>
        <w:tc>
          <w:tcPr>
            <w:tcW w:w="2984" w:type="dxa"/>
            <w:vMerge/>
            <w:tcBorders>
              <w:left w:val="nil" w:sz="6" w:space="0" w:color="auto"/>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账面净额</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账面净额</w:t>
            </w:r>
          </w:p>
        </w:tc>
      </w:tr>
      <w:tr>
        <w:trPr>
          <w:trHeight w:val="559" w:hRule="exact"/>
        </w:trPr>
        <w:tc>
          <w:tcPr>
            <w:tcW w:w="29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智能化箱式变电站生产线技术</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91" w:right="0"/>
              <w:jc w:val="center"/>
              <w:rPr>
                <w:rFonts w:ascii="Arial Narrow" w:hAnsi="Arial Narrow" w:cs="Arial Narrow" w:eastAsia="Arial Narrow" w:hint="default"/>
                <w:sz w:val="20"/>
                <w:szCs w:val="20"/>
              </w:rPr>
            </w:pPr>
            <w:r>
              <w:rPr>
                <w:rFonts w:ascii="Arial Narrow"/>
                <w:sz w:val="20"/>
              </w:rPr>
              <w:t>1,042,061.00</w:t>
            </w:r>
          </w:p>
        </w:tc>
        <w:tc>
          <w:tcPr>
            <w:tcW w:w="696"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1,042,061.00</w:t>
            </w:r>
            <w:r>
              <w:rPr>
                <w:rFonts w:ascii="Arial Narrow"/>
                <w:sz w:val="20"/>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138,961.00</w:t>
            </w:r>
            <w:r>
              <w:rPr>
                <w:rFonts w:ascii="Arial Narrow"/>
                <w:sz w:val="20"/>
              </w:rPr>
            </w:r>
          </w:p>
        </w:tc>
        <w:tc>
          <w:tcPr>
            <w:tcW w:w="76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15"/>
              <w:jc w:val="right"/>
              <w:rPr>
                <w:rFonts w:ascii="Arial Narrow" w:hAnsi="Arial Narrow" w:cs="Arial Narrow" w:eastAsia="Arial Narrow" w:hint="default"/>
                <w:sz w:val="20"/>
                <w:szCs w:val="20"/>
              </w:rPr>
            </w:pPr>
            <w:r>
              <w:rPr>
                <w:rFonts w:ascii="Arial Narrow"/>
                <w:w w:val="95"/>
                <w:sz w:val="20"/>
              </w:rPr>
              <w:t>138,961.00</w:t>
            </w:r>
            <w:r>
              <w:rPr>
                <w:rFonts w:ascii="Arial Narrow"/>
                <w:sz w:val="20"/>
              </w:rPr>
            </w:r>
          </w:p>
        </w:tc>
      </w:tr>
      <w:tr>
        <w:trPr>
          <w:trHeight w:val="559" w:hRule="exact"/>
        </w:trPr>
        <w:tc>
          <w:tcPr>
            <w:tcW w:w="2984"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智能化永磁真空断路器生产线</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技术改造项目</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Arial Narrow" w:hAnsi="Arial Narrow" w:cs="Arial Narrow" w:eastAsia="Arial Narrow" w:hint="default"/>
                <w:sz w:val="20"/>
                <w:szCs w:val="20"/>
              </w:rPr>
            </w:pPr>
            <w:r>
              <w:rPr>
                <w:rFonts w:ascii="Arial Narrow"/>
                <w:sz w:val="20"/>
              </w:rPr>
              <w:t>21,314,173.25</w:t>
            </w:r>
          </w:p>
        </w:tc>
        <w:tc>
          <w:tcPr>
            <w:tcW w:w="696"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21,314,173.25</w:t>
            </w:r>
            <w:r>
              <w:rPr>
                <w:rFonts w:ascii="Arial Narrow"/>
                <w:sz w:val="20"/>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212.00</w:t>
            </w:r>
            <w:r>
              <w:rPr>
                <w:rFonts w:ascii="Arial Narrow"/>
                <w:sz w:val="20"/>
              </w:rPr>
            </w:r>
          </w:p>
        </w:tc>
        <w:tc>
          <w:tcPr>
            <w:tcW w:w="76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15"/>
              <w:jc w:val="right"/>
              <w:rPr>
                <w:rFonts w:ascii="Arial Narrow" w:hAnsi="Arial Narrow" w:cs="Arial Narrow" w:eastAsia="Arial Narrow" w:hint="default"/>
                <w:sz w:val="20"/>
                <w:szCs w:val="20"/>
              </w:rPr>
            </w:pPr>
            <w:r>
              <w:rPr>
                <w:rFonts w:ascii="Arial Narrow"/>
                <w:w w:val="95"/>
                <w:sz w:val="20"/>
              </w:rPr>
              <w:t>212.00</w:t>
            </w:r>
            <w:r>
              <w:rPr>
                <w:rFonts w:ascii="Arial Narrow"/>
                <w:sz w:val="20"/>
              </w:rPr>
            </w:r>
          </w:p>
        </w:tc>
      </w:tr>
      <w:tr>
        <w:trPr>
          <w:trHeight w:val="562" w:hRule="exact"/>
        </w:trPr>
        <w:tc>
          <w:tcPr>
            <w:tcW w:w="298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智能化电力供配电微机综合保</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护装置生产线项目</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center"/>
              <w:rPr>
                <w:rFonts w:ascii="Arial Narrow" w:hAnsi="Arial Narrow" w:cs="Arial Narrow" w:eastAsia="Arial Narrow" w:hint="default"/>
                <w:sz w:val="20"/>
                <w:szCs w:val="20"/>
              </w:rPr>
            </w:pPr>
            <w:r>
              <w:rPr>
                <w:rFonts w:ascii="Arial Narrow"/>
                <w:sz w:val="20"/>
              </w:rPr>
              <w:t>23,421,376.25</w:t>
            </w:r>
          </w:p>
        </w:tc>
        <w:tc>
          <w:tcPr>
            <w:tcW w:w="696"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23,421,376.25</w:t>
            </w:r>
            <w:r>
              <w:rPr>
                <w:rFonts w:ascii="Arial Narrow"/>
                <w:sz w:val="20"/>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13,183.60</w:t>
            </w:r>
            <w:r>
              <w:rPr>
                <w:rFonts w:ascii="Arial Narrow"/>
                <w:sz w:val="20"/>
              </w:rPr>
            </w:r>
          </w:p>
        </w:tc>
        <w:tc>
          <w:tcPr>
            <w:tcW w:w="76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15"/>
              <w:jc w:val="right"/>
              <w:rPr>
                <w:rFonts w:ascii="Arial Narrow" w:hAnsi="Arial Narrow" w:cs="Arial Narrow" w:eastAsia="Arial Narrow" w:hint="default"/>
                <w:sz w:val="20"/>
                <w:szCs w:val="20"/>
              </w:rPr>
            </w:pPr>
            <w:r>
              <w:rPr>
                <w:rFonts w:ascii="Arial Narrow"/>
                <w:w w:val="95"/>
                <w:sz w:val="20"/>
              </w:rPr>
              <w:t>13,183.60</w:t>
            </w:r>
            <w:r>
              <w:rPr>
                <w:rFonts w:ascii="Arial Narrow"/>
                <w:sz w:val="20"/>
              </w:rPr>
            </w:r>
          </w:p>
        </w:tc>
      </w:tr>
      <w:tr>
        <w:trPr>
          <w:trHeight w:val="308" w:hRule="exact"/>
        </w:trPr>
        <w:tc>
          <w:tcPr>
            <w:tcW w:w="298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45,777,610.50</w:t>
            </w:r>
          </w:p>
        </w:tc>
        <w:tc>
          <w:tcPr>
            <w:tcW w:w="696" w:type="dxa"/>
            <w:tcBorders>
              <w:top w:val="single" w:sz="6" w:space="0" w:color="000000"/>
              <w:left w:val="single" w:sz="6" w:space="0" w:color="000000"/>
              <w:bottom w:val="single" w:sz="12" w:space="0" w:color="000000"/>
              <w:right w:val="single" w:sz="6" w:space="0" w:color="000000"/>
            </w:tcBorders>
          </w:tcPr>
          <w:p>
            <w:pP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45,777,610.50</w:t>
            </w:r>
            <w:r>
              <w:rPr>
                <w:rFonts w:ascii="Arial Narrow"/>
                <w:sz w:val="20"/>
              </w:rPr>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152,356.60</w:t>
            </w:r>
            <w:r>
              <w:rPr>
                <w:rFonts w:ascii="Arial Narrow"/>
                <w:sz w:val="20"/>
              </w:rPr>
            </w:r>
          </w:p>
        </w:tc>
        <w:tc>
          <w:tcPr>
            <w:tcW w:w="764"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15"/>
              <w:jc w:val="right"/>
              <w:rPr>
                <w:rFonts w:ascii="Arial Narrow" w:hAnsi="Arial Narrow" w:cs="Arial Narrow" w:eastAsia="Arial Narrow" w:hint="default"/>
                <w:sz w:val="20"/>
                <w:szCs w:val="20"/>
              </w:rPr>
            </w:pPr>
            <w:r>
              <w:rPr>
                <w:rFonts w:ascii="Arial Narrow"/>
                <w:w w:val="95"/>
                <w:sz w:val="20"/>
              </w:rPr>
              <w:t>152,356.60</w:t>
            </w:r>
            <w:r>
              <w:rPr>
                <w:rFonts w:ascii="Arial Narrow"/>
                <w:sz w:val="20"/>
              </w:rPr>
            </w:r>
          </w:p>
        </w:tc>
      </w:tr>
    </w:tbl>
    <w:p>
      <w:pPr>
        <w:spacing w:before="86"/>
        <w:ind w:left="11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）重大在建工程项目基本情况及增减变动如下：</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167"/>
        <w:gridCol w:w="658"/>
        <w:gridCol w:w="703"/>
        <w:gridCol w:w="1220"/>
        <w:gridCol w:w="1183"/>
        <w:gridCol w:w="1330"/>
        <w:gridCol w:w="1222"/>
      </w:tblGrid>
      <w:tr>
        <w:trPr>
          <w:trHeight w:val="362" w:hRule="exact"/>
        </w:trPr>
        <w:tc>
          <w:tcPr>
            <w:tcW w:w="3167"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658" w:type="dxa"/>
            <w:vMerge w:val="restart"/>
            <w:tcBorders>
              <w:top w:val="single" w:sz="12" w:space="0" w:color="000000"/>
              <w:left w:val="single" w:sz="6" w:space="0" w:color="000000"/>
              <w:right w:val="single" w:sz="6" w:space="0" w:color="000000"/>
            </w:tcBorders>
          </w:tcPr>
          <w:p>
            <w:pPr>
              <w:pStyle w:val="TableParagraph"/>
              <w:spacing w:line="240" w:lineRule="auto" w:before="143"/>
              <w:ind w:left="110" w:right="108"/>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3" w:type="dxa"/>
            <w:vMerge w:val="restart"/>
            <w:tcBorders>
              <w:top w:val="single" w:sz="12" w:space="0" w:color="000000"/>
              <w:left w:val="single" w:sz="6" w:space="0" w:color="000000"/>
              <w:right w:val="single" w:sz="6" w:space="0" w:color="000000"/>
            </w:tcBorders>
          </w:tcPr>
          <w:p>
            <w:pPr>
              <w:pStyle w:val="TableParagraph"/>
              <w:spacing w:line="240" w:lineRule="auto" w:before="143"/>
              <w:ind w:left="134" w:right="13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24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73"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2552"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本年增加额</w:t>
            </w:r>
          </w:p>
        </w:tc>
      </w:tr>
      <w:tr>
        <w:trPr>
          <w:trHeight w:val="559" w:hRule="exact"/>
        </w:trPr>
        <w:tc>
          <w:tcPr>
            <w:tcW w:w="3167" w:type="dxa"/>
            <w:vMerge/>
            <w:tcBorders>
              <w:left w:val="nil" w:sz="6" w:space="0" w:color="auto"/>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6" w:space="0" w:color="000000"/>
            </w:tcBorders>
          </w:tcPr>
          <w:p>
            <w:pPr/>
          </w:p>
        </w:tc>
        <w:tc>
          <w:tcPr>
            <w:tcW w:w="703" w:type="dxa"/>
            <w:vMerge/>
            <w:tcBorders>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利息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资本化</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2"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pacing w:val="-10"/>
                <w:sz w:val="21"/>
                <w:szCs w:val="21"/>
              </w:rPr>
              <w:t>其中：利息</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资本化</w:t>
            </w:r>
          </w:p>
        </w:tc>
      </w:tr>
      <w:tr>
        <w:trPr>
          <w:trHeight w:val="559" w:hRule="exact"/>
        </w:trPr>
        <w:tc>
          <w:tcPr>
            <w:tcW w:w="316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13"/>
                <w:sz w:val="21"/>
                <w:szCs w:val="21"/>
              </w:rPr>
              <w:t>智能化箱式变电站生产线技术</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23"/>
              <w:ind w:left="115" w:right="0"/>
              <w:jc w:val="left"/>
              <w:rPr>
                <w:rFonts w:ascii="Arial Narrow" w:hAnsi="Arial Narrow" w:cs="Arial Narrow" w:eastAsia="Arial Narrow" w:hint="default"/>
                <w:sz w:val="20"/>
                <w:szCs w:val="20"/>
              </w:rPr>
            </w:pPr>
            <w:r>
              <w:rPr>
                <w:rFonts w:ascii="Arial Narrow"/>
                <w:sz w:val="20"/>
              </w:rPr>
              <w:t>7,000</w:t>
            </w:r>
          </w:p>
          <w:p>
            <w:pPr>
              <w:pStyle w:val="TableParagraph"/>
              <w:spacing w:line="249" w:lineRule="exact"/>
              <w:ind w:left="120"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募投</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138,961.00</w:t>
            </w:r>
            <w:r>
              <w:rPr>
                <w:rFonts w:ascii="Arial Narrow"/>
                <w:sz w:val="20"/>
              </w:rPr>
            </w:r>
          </w:p>
        </w:tc>
        <w:tc>
          <w:tcPr>
            <w:tcW w:w="1183"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3,810,900.00</w:t>
            </w:r>
            <w:r>
              <w:rPr>
                <w:rFonts w:ascii="Arial Narrow"/>
                <w:sz w:val="20"/>
              </w:rPr>
            </w:r>
          </w:p>
        </w:tc>
        <w:tc>
          <w:tcPr>
            <w:tcW w:w="1222" w:type="dxa"/>
            <w:tcBorders>
              <w:top w:val="single" w:sz="6" w:space="0" w:color="000000"/>
              <w:left w:val="single" w:sz="6" w:space="0" w:color="000000"/>
              <w:bottom w:val="single" w:sz="6" w:space="0" w:color="000000"/>
              <w:right w:val="nil" w:sz="6" w:space="0" w:color="auto"/>
            </w:tcBorders>
          </w:tcPr>
          <w:p>
            <w:pPr/>
          </w:p>
        </w:tc>
      </w:tr>
      <w:tr>
        <w:trPr>
          <w:trHeight w:val="569" w:hRule="exact"/>
        </w:trPr>
        <w:tc>
          <w:tcPr>
            <w:tcW w:w="3167"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pacing w:val="13"/>
                <w:sz w:val="21"/>
                <w:szCs w:val="21"/>
              </w:rPr>
              <w:t>智能化永磁真空断路器生产线</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技术改造项目</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before="23"/>
              <w:ind w:left="115" w:right="0"/>
              <w:jc w:val="left"/>
              <w:rPr>
                <w:rFonts w:ascii="Arial Narrow" w:hAnsi="Arial Narrow" w:cs="Arial Narrow" w:eastAsia="Arial Narrow" w:hint="default"/>
                <w:sz w:val="20"/>
                <w:szCs w:val="20"/>
              </w:rPr>
            </w:pPr>
            <w:r>
              <w:rPr>
                <w:rFonts w:ascii="Arial Narrow"/>
                <w:sz w:val="20"/>
              </w:rPr>
              <w:t>5,000</w:t>
            </w:r>
          </w:p>
          <w:p>
            <w:pPr>
              <w:pStyle w:val="TableParagraph"/>
              <w:spacing w:line="249" w:lineRule="exact"/>
              <w:ind w:left="120"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募投</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212</w:t>
            </w:r>
            <w:r>
              <w:rPr>
                <w:rFonts w:ascii="Arial Narrow"/>
                <w:sz w:val="20"/>
              </w:rPr>
            </w:r>
          </w:p>
        </w:tc>
        <w:tc>
          <w:tcPr>
            <w:tcW w:w="1183"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21,316,773.25</w:t>
            </w:r>
            <w:r>
              <w:rPr>
                <w:rFonts w:ascii="Arial Narrow"/>
                <w:sz w:val="20"/>
              </w:rPr>
            </w:r>
          </w:p>
        </w:tc>
        <w:tc>
          <w:tcPr>
            <w:tcW w:w="122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16" w:footer="858" w:top="1160" w:bottom="1040" w:left="1080" w:right="1080"/>
        </w:sectPr>
      </w:pPr>
    </w:p>
    <w:p>
      <w:pPr>
        <w:spacing w:line="240" w:lineRule="auto" w:before="9"/>
        <w:rPr>
          <w:rFonts w:ascii="宋体" w:hAnsi="宋体" w:cs="宋体" w:eastAsia="宋体" w:hint="default"/>
          <w:sz w:val="19"/>
          <w:szCs w:val="19"/>
        </w:rPr>
      </w:pPr>
    </w:p>
    <w:tbl>
      <w:tblPr>
        <w:tblW w:w="0" w:type="auto"/>
        <w:jc w:val="left"/>
        <w:tblInd w:w="392" w:type="dxa"/>
        <w:tblLayout w:type="fixed"/>
        <w:tblCellMar>
          <w:top w:w="0" w:type="dxa"/>
          <w:left w:w="0" w:type="dxa"/>
          <w:bottom w:w="0" w:type="dxa"/>
          <w:right w:w="0" w:type="dxa"/>
        </w:tblCellMar>
        <w:tblLook w:val="01E0"/>
      </w:tblPr>
      <w:tblGrid>
        <w:gridCol w:w="3167"/>
        <w:gridCol w:w="658"/>
        <w:gridCol w:w="703"/>
        <w:gridCol w:w="1220"/>
        <w:gridCol w:w="1183"/>
        <w:gridCol w:w="1330"/>
        <w:gridCol w:w="1222"/>
      </w:tblGrid>
      <w:tr>
        <w:trPr>
          <w:trHeight w:val="567" w:hRule="exact"/>
        </w:trPr>
        <w:tc>
          <w:tcPr>
            <w:tcW w:w="3167"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pacing w:val="13"/>
                <w:sz w:val="21"/>
                <w:szCs w:val="21"/>
              </w:rPr>
              <w:t>智能化电力供配电微机综合保</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护装置生产线项目</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before="23"/>
              <w:ind w:left="115" w:right="0"/>
              <w:jc w:val="left"/>
              <w:rPr>
                <w:rFonts w:ascii="Arial Narrow" w:hAnsi="Arial Narrow" w:cs="Arial Narrow" w:eastAsia="Arial Narrow" w:hint="default"/>
                <w:sz w:val="20"/>
                <w:szCs w:val="20"/>
              </w:rPr>
            </w:pPr>
            <w:r>
              <w:rPr>
                <w:rFonts w:ascii="Arial Narrow"/>
                <w:sz w:val="20"/>
              </w:rPr>
              <w:t>4,500</w:t>
            </w:r>
          </w:p>
          <w:p>
            <w:pPr>
              <w:pStyle w:val="TableParagraph"/>
              <w:spacing w:line="249" w:lineRule="exact"/>
              <w:ind w:left="120"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募投</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13,183.60</w:t>
            </w:r>
            <w:r>
              <w:rPr>
                <w:rFonts w:ascii="Arial Narrow"/>
                <w:sz w:val="20"/>
              </w:rPr>
            </w:r>
          </w:p>
        </w:tc>
        <w:tc>
          <w:tcPr>
            <w:tcW w:w="1183" w:type="dxa"/>
            <w:tcBorders>
              <w:top w:val="single" w:sz="12" w:space="0" w:color="000000"/>
              <w:left w:val="single" w:sz="6" w:space="0" w:color="000000"/>
              <w:bottom w:val="single" w:sz="6" w:space="0" w:color="000000"/>
              <w:right w:val="single" w:sz="6" w:space="0" w:color="000000"/>
            </w:tcBorders>
          </w:tcPr>
          <w:p>
            <w:pP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23,619,218.29</w:t>
            </w:r>
            <w:r>
              <w:rPr>
                <w:rFonts w:ascii="Arial Narrow"/>
                <w:sz w:val="20"/>
              </w:rPr>
            </w:r>
          </w:p>
        </w:tc>
        <w:tc>
          <w:tcPr>
            <w:tcW w:w="1222"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3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新木工房工程</w:t>
            </w:r>
          </w:p>
        </w:tc>
        <w:tc>
          <w:tcPr>
            <w:tcW w:w="658"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自筹</w:t>
            </w:r>
          </w:p>
        </w:tc>
        <w:tc>
          <w:tcPr>
            <w:tcW w:w="1220"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20"/>
                <w:szCs w:val="20"/>
              </w:rPr>
            </w:pPr>
            <w:r>
              <w:rPr>
                <w:rFonts w:ascii="Arial Narrow"/>
                <w:w w:val="95"/>
                <w:sz w:val="20"/>
              </w:rPr>
              <w:t>540,000.00</w:t>
            </w:r>
            <w:r>
              <w:rPr>
                <w:rFonts w:ascii="Arial Narrow"/>
                <w:sz w:val="20"/>
              </w:rPr>
            </w:r>
          </w:p>
        </w:tc>
        <w:tc>
          <w:tcPr>
            <w:tcW w:w="122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1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58" w:type="dxa"/>
            <w:tcBorders>
              <w:top w:val="single" w:sz="6" w:space="0" w:color="000000"/>
              <w:left w:val="single" w:sz="6" w:space="0" w:color="000000"/>
              <w:bottom w:val="single" w:sz="12" w:space="0" w:color="000000"/>
              <w:right w:val="single" w:sz="6" w:space="0" w:color="000000"/>
            </w:tcBorders>
          </w:tcPr>
          <w:p>
            <w:pPr/>
          </w:p>
        </w:tc>
        <w:tc>
          <w:tcPr>
            <w:tcW w:w="703" w:type="dxa"/>
            <w:tcBorders>
              <w:top w:val="single" w:sz="6" w:space="0" w:color="000000"/>
              <w:left w:val="single" w:sz="6" w:space="0" w:color="000000"/>
              <w:bottom w:val="single" w:sz="12" w:space="0" w:color="000000"/>
              <w:right w:val="single" w:sz="6" w:space="0" w:color="000000"/>
            </w:tcBorders>
          </w:tcPr>
          <w:p>
            <w:pP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152,356.60</w:t>
            </w:r>
            <w:r>
              <w:rPr>
                <w:rFonts w:ascii="Arial Narrow"/>
                <w:sz w:val="20"/>
              </w:rPr>
            </w:r>
          </w:p>
        </w:tc>
        <w:tc>
          <w:tcPr>
            <w:tcW w:w="1183"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49,286,891.54</w:t>
            </w:r>
            <w:r>
              <w:rPr>
                <w:rFonts w:ascii="Arial Narrow"/>
                <w:sz w:val="20"/>
              </w:rPr>
            </w:r>
          </w:p>
        </w:tc>
        <w:tc>
          <w:tcPr>
            <w:tcW w:w="1222"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1418" w:right="98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98"/>
        <w:gridCol w:w="1174"/>
        <w:gridCol w:w="1210"/>
        <w:gridCol w:w="1267"/>
        <w:gridCol w:w="852"/>
        <w:gridCol w:w="1232"/>
        <w:gridCol w:w="1099"/>
      </w:tblGrid>
      <w:tr>
        <w:trPr>
          <w:trHeight w:val="362" w:hRule="exact"/>
        </w:trPr>
        <w:tc>
          <w:tcPr>
            <w:tcW w:w="319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3"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238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5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211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31"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3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87"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1099" w:type="dxa"/>
            <w:vMerge w:val="restart"/>
            <w:tcBorders>
              <w:top w:val="single" w:sz="12" w:space="0" w:color="000000"/>
              <w:left w:val="single" w:sz="6" w:space="0" w:color="000000"/>
              <w:right w:val="nil" w:sz="6" w:space="0" w:color="auto"/>
            </w:tcBorders>
          </w:tcPr>
          <w:p>
            <w:pPr>
              <w:pStyle w:val="TableParagraph"/>
              <w:spacing w:line="237" w:lineRule="auto" w:before="148"/>
              <w:ind w:left="122" w:right="125"/>
              <w:jc w:val="both"/>
              <w:rPr>
                <w:rFonts w:ascii="宋体" w:hAnsi="宋体" w:cs="宋体" w:eastAsia="宋体" w:hint="default"/>
                <w:sz w:val="21"/>
                <w:szCs w:val="21"/>
              </w:rPr>
            </w:pPr>
            <w:r>
              <w:rPr>
                <w:rFonts w:ascii="宋体" w:hAnsi="宋体" w:cs="宋体" w:eastAsia="宋体" w:hint="default"/>
                <w:sz w:val="21"/>
                <w:szCs w:val="21"/>
              </w:rPr>
              <w:t>工程投入</w:t>
            </w:r>
            <w:r>
              <w:rPr>
                <w:rFonts w:ascii="宋体" w:hAnsi="宋体" w:cs="宋体" w:eastAsia="宋体" w:hint="default"/>
                <w:w w:val="100"/>
                <w:sz w:val="21"/>
                <w:szCs w:val="21"/>
              </w:rPr>
              <w:t> </w:t>
            </w:r>
            <w:r>
              <w:rPr>
                <w:rFonts w:ascii="宋体" w:hAnsi="宋体" w:cs="宋体" w:eastAsia="宋体" w:hint="default"/>
                <w:sz w:val="21"/>
                <w:szCs w:val="21"/>
              </w:rPr>
              <w:t>占预算比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833" w:hRule="exact"/>
        </w:trPr>
        <w:tc>
          <w:tcPr>
            <w:tcW w:w="3198" w:type="dxa"/>
            <w:vMerge/>
            <w:tcBorders>
              <w:left w:val="nil" w:sz="6" w:space="0" w:color="auto"/>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6" w:right="96" w:hanging="286"/>
              <w:jc w:val="left"/>
              <w:rPr>
                <w:rFonts w:ascii="宋体" w:hAnsi="宋体" w:cs="宋体" w:eastAsia="宋体" w:hint="default"/>
                <w:sz w:val="21"/>
                <w:szCs w:val="21"/>
              </w:rPr>
            </w:pPr>
            <w:r>
              <w:rPr>
                <w:rFonts w:ascii="宋体" w:hAnsi="宋体" w:cs="宋体" w:eastAsia="宋体" w:hint="default"/>
                <w:spacing w:val="-13"/>
                <w:sz w:val="21"/>
                <w:szCs w:val="21"/>
              </w:rPr>
              <w:t>其中：本年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转固</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2" w:lineRule="exact" w:before="26"/>
              <w:ind w:left="206" w:right="101" w:hanging="106"/>
              <w:jc w:val="left"/>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w:t>
            </w:r>
          </w:p>
        </w:tc>
        <w:tc>
          <w:tcPr>
            <w:tcW w:w="1232" w:type="dxa"/>
            <w:vMerge/>
            <w:tcBorders>
              <w:left w:val="single" w:sz="6" w:space="0" w:color="000000"/>
              <w:bottom w:val="single" w:sz="6" w:space="0" w:color="000000"/>
              <w:right w:val="single" w:sz="6" w:space="0" w:color="000000"/>
            </w:tcBorders>
          </w:tcPr>
          <w:p>
            <w:pPr/>
          </w:p>
        </w:tc>
        <w:tc>
          <w:tcPr>
            <w:tcW w:w="1099" w:type="dxa"/>
            <w:vMerge/>
            <w:tcBorders>
              <w:left w:val="single" w:sz="6" w:space="0" w:color="000000"/>
              <w:bottom w:val="single" w:sz="6" w:space="0" w:color="000000"/>
              <w:right w:val="nil" w:sz="6" w:space="0" w:color="auto"/>
            </w:tcBorders>
          </w:tcPr>
          <w:p>
            <w:pPr/>
          </w:p>
        </w:tc>
      </w:tr>
      <w:tr>
        <w:trPr>
          <w:trHeight w:val="559" w:hRule="exact"/>
        </w:trPr>
        <w:tc>
          <w:tcPr>
            <w:tcW w:w="319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智能化箱式变电站生产线技术改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造项目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2,907,800.00</w:t>
            </w:r>
            <w:r>
              <w:rPr>
                <w:rFonts w:ascii="Arial Narrow"/>
                <w:sz w:val="20"/>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2,907,800.00</w:t>
            </w:r>
            <w:r>
              <w:rPr>
                <w:rFonts w:ascii="Arial Narrow"/>
                <w:sz w:val="20"/>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1,042,061.00</w:t>
            </w:r>
            <w:r>
              <w:rPr>
                <w:rFonts w:ascii="Arial Narrow"/>
                <w:sz w:val="20"/>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7"/>
              <w:jc w:val="right"/>
              <w:rPr>
                <w:rFonts w:ascii="Arial Narrow" w:hAnsi="Arial Narrow" w:cs="Arial Narrow" w:eastAsia="Arial Narrow" w:hint="default"/>
                <w:sz w:val="20"/>
                <w:szCs w:val="20"/>
              </w:rPr>
            </w:pPr>
            <w:r>
              <w:rPr>
                <w:rFonts w:ascii="Arial Narrow"/>
                <w:sz w:val="20"/>
              </w:rPr>
              <w:t>20.06%</w:t>
            </w:r>
          </w:p>
        </w:tc>
        <w:tc>
          <w:tcPr>
            <w:tcW w:w="10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20.06</w:t>
            </w:r>
            <w:r>
              <w:rPr>
                <w:rFonts w:ascii="Arial Narrow"/>
                <w:sz w:val="20"/>
              </w:rPr>
            </w:r>
          </w:p>
        </w:tc>
      </w:tr>
      <w:tr>
        <w:trPr>
          <w:trHeight w:val="559" w:hRule="exact"/>
        </w:trPr>
        <w:tc>
          <w:tcPr>
            <w:tcW w:w="319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智能化永磁真空断路器生产线技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2,812.00</w:t>
            </w:r>
            <w:r>
              <w:rPr>
                <w:rFonts w:ascii="Arial Narrow"/>
                <w:sz w:val="20"/>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21,314,173.25</w:t>
            </w:r>
            <w:r>
              <w:rPr>
                <w:rFonts w:ascii="Arial Narrow"/>
                <w:sz w:val="20"/>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7"/>
              <w:jc w:val="right"/>
              <w:rPr>
                <w:rFonts w:ascii="Arial Narrow" w:hAnsi="Arial Narrow" w:cs="Arial Narrow" w:eastAsia="Arial Narrow" w:hint="default"/>
                <w:sz w:val="20"/>
                <w:szCs w:val="20"/>
              </w:rPr>
            </w:pPr>
            <w:r>
              <w:rPr>
                <w:rFonts w:ascii="Arial Narrow"/>
                <w:sz w:val="20"/>
              </w:rPr>
              <w:t>50.13%</w:t>
            </w:r>
          </w:p>
        </w:tc>
        <w:tc>
          <w:tcPr>
            <w:tcW w:w="10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50.13</w:t>
            </w:r>
            <w:r>
              <w:rPr>
                <w:rFonts w:ascii="Arial Narrow"/>
                <w:sz w:val="20"/>
              </w:rPr>
            </w:r>
          </w:p>
        </w:tc>
      </w:tr>
      <w:tr>
        <w:trPr>
          <w:trHeight w:val="562" w:hRule="exact"/>
        </w:trPr>
        <w:tc>
          <w:tcPr>
            <w:tcW w:w="319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智能化电力供配电微机综合保护</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装置生产线项目</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9"/>
              <w:jc w:val="right"/>
              <w:rPr>
                <w:rFonts w:ascii="Arial Narrow" w:hAnsi="Arial Narrow" w:cs="Arial Narrow" w:eastAsia="Arial Narrow" w:hint="default"/>
                <w:sz w:val="20"/>
                <w:szCs w:val="20"/>
              </w:rPr>
            </w:pPr>
            <w:r>
              <w:rPr>
                <w:rFonts w:ascii="Arial Narrow"/>
                <w:spacing w:val="-2"/>
                <w:sz w:val="20"/>
              </w:rPr>
              <w:t>211,025.64</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00"/>
              <w:jc w:val="right"/>
              <w:rPr>
                <w:rFonts w:ascii="Arial Narrow" w:hAnsi="Arial Narrow" w:cs="Arial Narrow" w:eastAsia="Arial Narrow" w:hint="default"/>
                <w:sz w:val="20"/>
                <w:szCs w:val="20"/>
              </w:rPr>
            </w:pPr>
            <w:r>
              <w:rPr>
                <w:rFonts w:ascii="Arial Narrow"/>
                <w:spacing w:val="-2"/>
                <w:sz w:val="20"/>
              </w:rPr>
              <w:t>211,025.64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Arial Narrow" w:hAnsi="Arial Narrow" w:cs="Arial Narrow" w:eastAsia="Arial Narrow" w:hint="default"/>
                <w:sz w:val="20"/>
                <w:szCs w:val="20"/>
              </w:rPr>
            </w:pPr>
            <w:r>
              <w:rPr>
                <w:rFonts w:ascii="Arial Narrow"/>
                <w:w w:val="95"/>
                <w:sz w:val="20"/>
              </w:rPr>
              <w:t>23,421,376.25</w:t>
            </w:r>
            <w:r>
              <w:rPr>
                <w:rFonts w:ascii="Arial Narrow"/>
                <w:sz w:val="20"/>
              </w:rPr>
            </w:r>
          </w:p>
        </w:tc>
        <w:tc>
          <w:tcPr>
            <w:tcW w:w="85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Arial Narrow" w:hAnsi="Arial Narrow" w:cs="Arial Narrow" w:eastAsia="Arial Narrow" w:hint="default"/>
                <w:sz w:val="20"/>
                <w:szCs w:val="20"/>
              </w:rPr>
            </w:pPr>
            <w:r>
              <w:rPr>
                <w:rFonts w:ascii="Arial Narrow"/>
                <w:sz w:val="20"/>
              </w:rPr>
              <w:t>59.67%</w:t>
            </w:r>
          </w:p>
        </w:tc>
        <w:tc>
          <w:tcPr>
            <w:tcW w:w="10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105"/>
              <w:jc w:val="right"/>
              <w:rPr>
                <w:rFonts w:ascii="Arial Narrow" w:hAnsi="Arial Narrow" w:cs="Arial Narrow" w:eastAsia="Arial Narrow" w:hint="default"/>
                <w:sz w:val="20"/>
                <w:szCs w:val="20"/>
              </w:rPr>
            </w:pPr>
            <w:r>
              <w:rPr>
                <w:rFonts w:ascii="Arial Narrow"/>
                <w:w w:val="95"/>
                <w:sz w:val="20"/>
              </w:rPr>
              <w:t>59.67</w:t>
            </w:r>
            <w:r>
              <w:rPr>
                <w:rFonts w:ascii="Arial Narrow"/>
                <w:sz w:val="20"/>
              </w:rPr>
            </w:r>
          </w:p>
        </w:tc>
      </w:tr>
      <w:tr>
        <w:trPr>
          <w:trHeight w:val="353" w:hRule="exact"/>
        </w:trPr>
        <w:tc>
          <w:tcPr>
            <w:tcW w:w="31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新木工房工程</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540,000.00</w:t>
            </w:r>
            <w:r>
              <w:rPr>
                <w:rFonts w:ascii="Arial Narrow"/>
                <w:sz w:val="20"/>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540,000.00</w:t>
            </w:r>
            <w:r>
              <w:rPr>
                <w:rFonts w:ascii="Arial Narrow"/>
                <w:sz w:val="20"/>
              </w:rPr>
            </w:r>
          </w:p>
        </w:tc>
        <w:tc>
          <w:tcPr>
            <w:tcW w:w="1267"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198" w:type="dxa"/>
            <w:tcBorders>
              <w:top w:val="single" w:sz="6" w:space="0" w:color="000000"/>
              <w:left w:val="nil" w:sz="6" w:space="0" w:color="auto"/>
              <w:bottom w:val="single" w:sz="12" w:space="0" w:color="000000"/>
              <w:right w:val="single" w:sz="6" w:space="0" w:color="000000"/>
            </w:tcBorders>
          </w:tcPr>
          <w:p>
            <w:pP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3,661,637.64</w:t>
            </w:r>
            <w:r>
              <w:rPr>
                <w:rFonts w:ascii="Arial Narrow"/>
                <w:sz w:val="20"/>
              </w:rPr>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3,658,825.64</w:t>
            </w:r>
            <w:r>
              <w:rPr>
                <w:rFonts w:ascii="Arial Narrow"/>
                <w:sz w:val="20"/>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45,777,610.50</w:t>
            </w:r>
            <w:r>
              <w:rPr>
                <w:rFonts w:ascii="Arial Narrow"/>
                <w:sz w:val="20"/>
              </w:rPr>
            </w:r>
          </w:p>
        </w:tc>
        <w:tc>
          <w:tcPr>
            <w:tcW w:w="852" w:type="dxa"/>
            <w:tcBorders>
              <w:top w:val="single" w:sz="6" w:space="0" w:color="000000"/>
              <w:left w:val="single" w:sz="6" w:space="0" w:color="000000"/>
              <w:bottom w:val="single" w:sz="12" w:space="0" w:color="000000"/>
              <w:right w:val="single" w:sz="6" w:space="0" w:color="000000"/>
            </w:tcBorders>
          </w:tcPr>
          <w:p>
            <w:pPr/>
          </w:p>
        </w:tc>
        <w:tc>
          <w:tcPr>
            <w:tcW w:w="1232" w:type="dxa"/>
            <w:tcBorders>
              <w:top w:val="single" w:sz="6" w:space="0" w:color="000000"/>
              <w:left w:val="single" w:sz="6" w:space="0" w:color="000000"/>
              <w:bottom w:val="single" w:sz="12" w:space="0" w:color="000000"/>
              <w:right w:val="single" w:sz="6" w:space="0" w:color="000000"/>
            </w:tcBorders>
          </w:tcPr>
          <w:p>
            <w:pPr/>
          </w:p>
        </w:tc>
        <w:tc>
          <w:tcPr>
            <w:tcW w:w="1099" w:type="dxa"/>
            <w:tcBorders>
              <w:top w:val="single" w:sz="6" w:space="0" w:color="000000"/>
              <w:left w:val="single" w:sz="6" w:space="0" w:color="000000"/>
              <w:bottom w:val="single" w:sz="12" w:space="0" w:color="000000"/>
              <w:right w:val="nil" w:sz="6" w:space="0" w:color="auto"/>
            </w:tcBorders>
          </w:tcPr>
          <w:p>
            <w:pPr/>
          </w:p>
        </w:tc>
      </w:tr>
    </w:tbl>
    <w:p>
      <w:pPr>
        <w:spacing w:before="86"/>
        <w:ind w:left="1312" w:right="989"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）本年末本公司在建工程未出现减值迹象，无需计提减值准备。</w:t>
      </w:r>
    </w:p>
    <w:p>
      <w:pPr>
        <w:spacing w:line="338" w:lineRule="auto" w:before="118"/>
        <w:ind w:left="998" w:right="986" w:firstLine="314"/>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）年末在建工程余额比年初增加</w:t>
      </w:r>
      <w:r>
        <w:rPr>
          <w:rFonts w:ascii="宋体" w:hAnsi="宋体" w:cs="宋体" w:eastAsia="宋体" w:hint="default"/>
          <w:spacing w:val="-14"/>
          <w:sz w:val="21"/>
          <w:szCs w:val="21"/>
        </w:rPr>
        <w:t> </w:t>
      </w:r>
      <w:r>
        <w:rPr>
          <w:rFonts w:ascii="Arial Narrow" w:hAnsi="Arial Narrow" w:cs="Arial Narrow" w:eastAsia="Arial Narrow" w:hint="default"/>
          <w:sz w:val="21"/>
          <w:szCs w:val="21"/>
        </w:rPr>
        <w:t>29946.36%</w:t>
      </w:r>
      <w:r>
        <w:rPr>
          <w:rFonts w:ascii="宋体" w:hAnsi="宋体" w:cs="宋体" w:eastAsia="宋体" w:hint="default"/>
          <w:sz w:val="21"/>
          <w:szCs w:val="21"/>
        </w:rPr>
        <w:t>，其原因为募集资金到位后募投项目建设</w:t>
      </w:r>
      <w:r>
        <w:rPr>
          <w:rFonts w:ascii="宋体" w:hAnsi="宋体" w:cs="宋体" w:eastAsia="宋体" w:hint="default"/>
          <w:w w:val="100"/>
          <w:sz w:val="21"/>
          <w:szCs w:val="21"/>
        </w:rPr>
        <w:t> </w:t>
      </w:r>
      <w:r>
        <w:rPr>
          <w:rFonts w:ascii="宋体" w:hAnsi="宋体" w:cs="宋体" w:eastAsia="宋体" w:hint="default"/>
          <w:sz w:val="21"/>
          <w:szCs w:val="21"/>
        </w:rPr>
        <w:t>所致。</w:t>
      </w:r>
    </w:p>
    <w:p>
      <w:pPr>
        <w:spacing w:before="109"/>
        <w:ind w:left="2678" w:right="989"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tabs>
          <w:tab w:pos="2137" w:val="left" w:leader="none"/>
        </w:tabs>
        <w:spacing w:before="178"/>
        <w:ind w:left="1418" w:right="989"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t>无形资产情况</w:t>
      </w:r>
    </w:p>
    <w:p>
      <w:pPr>
        <w:spacing w:line="240" w:lineRule="auto" w:before="9"/>
        <w:rPr>
          <w:rFonts w:ascii="宋体" w:hAnsi="宋体" w:cs="宋体" w:eastAsia="宋体" w:hint="default"/>
          <w:sz w:val="11"/>
          <w:szCs w:val="11"/>
        </w:rPr>
      </w:pPr>
    </w:p>
    <w:tbl>
      <w:tblPr>
        <w:tblW w:w="0" w:type="auto"/>
        <w:jc w:val="left"/>
        <w:tblInd w:w="351" w:type="dxa"/>
        <w:tblLayout w:type="fixed"/>
        <w:tblCellMar>
          <w:top w:w="0" w:type="dxa"/>
          <w:left w:w="0" w:type="dxa"/>
          <w:bottom w:w="0" w:type="dxa"/>
          <w:right w:w="0" w:type="dxa"/>
        </w:tblCellMar>
        <w:tblLook w:val="01E0"/>
      </w:tblPr>
      <w:tblGrid>
        <w:gridCol w:w="3771"/>
        <w:gridCol w:w="1546"/>
        <w:gridCol w:w="1411"/>
        <w:gridCol w:w="1345"/>
        <w:gridCol w:w="1488"/>
      </w:tblGrid>
      <w:tr>
        <w:trPr>
          <w:trHeight w:val="307" w:hRule="exact"/>
        </w:trPr>
        <w:tc>
          <w:tcPr>
            <w:tcW w:w="3771"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70"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本年减少额</w:t>
            </w:r>
          </w:p>
        </w:tc>
        <w:tc>
          <w:tcPr>
            <w:tcW w:w="1488"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43,870,447.82</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spacing w:val="-3"/>
                <w:sz w:val="20"/>
              </w:rPr>
              <w:t>111,171.31</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7"/>
              <w:jc w:val="right"/>
              <w:rPr>
                <w:rFonts w:ascii="Arial Narrow" w:hAnsi="Arial Narrow" w:cs="Arial Narrow" w:eastAsia="Arial Narrow" w:hint="default"/>
                <w:sz w:val="20"/>
                <w:szCs w:val="20"/>
              </w:rPr>
            </w:pPr>
            <w:r>
              <w:rPr>
                <w:rFonts w:ascii="Arial Narrow"/>
                <w:w w:val="95"/>
                <w:sz w:val="20"/>
              </w:rPr>
              <w:t>43,981,619.13</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43,143,840.56</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7"/>
              <w:jc w:val="right"/>
              <w:rPr>
                <w:rFonts w:ascii="Arial Narrow" w:hAnsi="Arial Narrow" w:cs="Arial Narrow" w:eastAsia="Arial Narrow" w:hint="default"/>
                <w:sz w:val="20"/>
                <w:szCs w:val="20"/>
              </w:rPr>
            </w:pPr>
            <w:r>
              <w:rPr>
                <w:rFonts w:ascii="Arial Narrow"/>
                <w:w w:val="95"/>
                <w:sz w:val="20"/>
              </w:rPr>
              <w:t>43,143,840.56</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402,050.00</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402,050.00</w:t>
            </w:r>
            <w:r>
              <w:rPr>
                <w:rFonts w:ascii="Arial Narrow"/>
                <w:sz w:val="20"/>
              </w:rPr>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324,557.26</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spacing w:val="-3"/>
                <w:sz w:val="20"/>
              </w:rPr>
              <w:t>111,171.31</w:t>
            </w: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435,728.57</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5,607,426.81</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922,466.64</w:t>
            </w:r>
            <w:r>
              <w:rPr>
                <w:rFonts w:ascii="Arial Narrow"/>
                <w:sz w:val="20"/>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Narrow" w:hAnsi="Arial Narrow" w:cs="Arial Narrow" w:eastAsia="Arial Narrow" w:hint="default"/>
                <w:sz w:val="20"/>
                <w:szCs w:val="20"/>
              </w:rPr>
            </w:pPr>
            <w:r>
              <w:rPr>
                <w:rFonts w:ascii="Arial Narrow"/>
                <w:w w:val="95"/>
                <w:sz w:val="20"/>
              </w:rPr>
              <w:t>6,529,893.45</w:t>
            </w:r>
            <w:r>
              <w:rPr>
                <w:rFonts w:ascii="Arial Narrow"/>
                <w:sz w:val="20"/>
              </w:rPr>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5,214,895.14</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847,329.96</w:t>
            </w:r>
            <w:r>
              <w:rPr>
                <w:rFonts w:ascii="Arial Narrow"/>
                <w:sz w:val="20"/>
              </w:rPr>
            </w: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Arial Narrow" w:hAnsi="Arial Narrow" w:cs="Arial Narrow" w:eastAsia="Arial Narrow" w:hint="default"/>
                <w:sz w:val="20"/>
                <w:szCs w:val="20"/>
              </w:rPr>
            </w:pPr>
            <w:r>
              <w:rPr>
                <w:rFonts w:ascii="Arial Narrow"/>
                <w:w w:val="95"/>
                <w:sz w:val="20"/>
              </w:rPr>
              <w:t>6,062,225.10</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271,350.00</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40,200.00</w:t>
            </w:r>
            <w:r>
              <w:rPr>
                <w:rFonts w:ascii="Arial Narrow"/>
                <w:sz w:val="20"/>
              </w:rPr>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Narrow" w:hAnsi="Arial Narrow" w:cs="Arial Narrow" w:eastAsia="Arial Narrow" w:hint="default"/>
                <w:sz w:val="20"/>
                <w:szCs w:val="20"/>
              </w:rPr>
            </w:pPr>
            <w:r>
              <w:rPr>
                <w:rFonts w:ascii="Arial Narrow"/>
                <w:spacing w:val="-2"/>
                <w:sz w:val="20"/>
              </w:rPr>
              <w:t>311,550.00</w:t>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121,181.67</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34,936.68</w:t>
            </w:r>
            <w:r>
              <w:rPr>
                <w:rFonts w:ascii="Arial Narrow"/>
                <w:sz w:val="20"/>
              </w:rPr>
            </w: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9"/>
              <w:jc w:val="right"/>
              <w:rPr>
                <w:rFonts w:ascii="Arial Narrow" w:hAnsi="Arial Narrow" w:cs="Arial Narrow" w:eastAsia="Arial Narrow" w:hint="default"/>
                <w:sz w:val="20"/>
                <w:szCs w:val="20"/>
              </w:rPr>
            </w:pPr>
            <w:r>
              <w:rPr>
                <w:rFonts w:ascii="Arial Narrow"/>
                <w:spacing w:val="-2"/>
                <w:sz w:val="20"/>
              </w:rPr>
              <w:t>156,118.35</w:t>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38,263,021.01</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37,451,725.68</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37,928,945.42</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9"/>
              <w:jc w:val="right"/>
              <w:rPr>
                <w:rFonts w:ascii="Arial Narrow" w:hAnsi="Arial Narrow" w:cs="Arial Narrow" w:eastAsia="Arial Narrow" w:hint="default"/>
                <w:sz w:val="20"/>
                <w:szCs w:val="20"/>
              </w:rPr>
            </w:pPr>
            <w:r>
              <w:rPr>
                <w:rFonts w:ascii="Arial Narrow"/>
                <w:w w:val="95"/>
                <w:sz w:val="20"/>
              </w:rPr>
              <w:t>37,081,615.46</w:t>
            </w:r>
            <w:r>
              <w:rPr>
                <w:rFonts w:ascii="Arial Narrow"/>
                <w:sz w:val="20"/>
              </w:rPr>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130,700.00</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90,500.00</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203,375.59</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279,610.22</w:t>
            </w:r>
            <w:r>
              <w:rPr>
                <w:rFonts w:ascii="Arial Narrow"/>
                <w:sz w:val="20"/>
              </w:rPr>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四、无形资产减值准备累计金额合计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38,263,021.01</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37,451,725.68</w:t>
            </w:r>
            <w:r>
              <w:rPr>
                <w:rFonts w:ascii="Arial Narrow"/>
                <w:sz w:val="20"/>
              </w:rPr>
            </w:r>
          </w:p>
        </w:tc>
      </w:tr>
      <w:tr>
        <w:trPr>
          <w:trHeight w:val="298"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37,928,945.42</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37,081,615.46</w:t>
            </w:r>
            <w:r>
              <w:rPr>
                <w:rFonts w:ascii="Arial Narrow"/>
                <w:sz w:val="20"/>
              </w:rPr>
            </w:r>
          </w:p>
        </w:tc>
      </w:tr>
      <w:tr>
        <w:trPr>
          <w:trHeight w:val="300" w:hRule="exact"/>
        </w:trPr>
        <w:tc>
          <w:tcPr>
            <w:tcW w:w="377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Arial Narrow" w:hAnsi="Arial Narrow" w:cs="Arial Narrow" w:eastAsia="Arial Narrow" w:hint="default"/>
                <w:sz w:val="20"/>
                <w:szCs w:val="20"/>
              </w:rPr>
            </w:pPr>
            <w:r>
              <w:rPr>
                <w:rFonts w:ascii="Arial Narrow"/>
                <w:w w:val="95"/>
                <w:sz w:val="20"/>
              </w:rPr>
              <w:t>130,700.00</w:t>
            </w:r>
            <w:r>
              <w:rPr>
                <w:rFonts w:ascii="Arial Narrow"/>
                <w:sz w:val="20"/>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90,500.00</w:t>
            </w:r>
            <w:r>
              <w:rPr>
                <w:rFonts w:ascii="Arial Narrow"/>
                <w:sz w:val="20"/>
              </w:rPr>
            </w:r>
          </w:p>
        </w:tc>
      </w:tr>
      <w:tr>
        <w:trPr>
          <w:trHeight w:val="307" w:hRule="exact"/>
        </w:trPr>
        <w:tc>
          <w:tcPr>
            <w:tcW w:w="3771"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203,375.59</w:t>
            </w:r>
            <w:r>
              <w:rPr>
                <w:rFonts w:ascii="Arial Narrow"/>
                <w:sz w:val="20"/>
              </w:rPr>
            </w:r>
          </w:p>
        </w:tc>
        <w:tc>
          <w:tcPr>
            <w:tcW w:w="1411" w:type="dxa"/>
            <w:tcBorders>
              <w:top w:val="single" w:sz="6" w:space="0" w:color="000000"/>
              <w:left w:val="single" w:sz="6" w:space="0" w:color="000000"/>
              <w:bottom w:val="single" w:sz="12" w:space="0" w:color="000000"/>
              <w:right w:val="single" w:sz="6" w:space="0" w:color="000000"/>
            </w:tcBorders>
          </w:tcPr>
          <w:p>
            <w:pPr/>
          </w:p>
        </w:tc>
        <w:tc>
          <w:tcPr>
            <w:tcW w:w="1345" w:type="dxa"/>
            <w:tcBorders>
              <w:top w:val="single" w:sz="6" w:space="0" w:color="000000"/>
              <w:left w:val="single" w:sz="6" w:space="0" w:color="000000"/>
              <w:bottom w:val="single" w:sz="12" w:space="0" w:color="000000"/>
              <w:right w:val="single" w:sz="6" w:space="0" w:color="000000"/>
            </w:tcBorders>
          </w:tcPr>
          <w:p>
            <w:pPr/>
          </w:p>
        </w:tc>
        <w:tc>
          <w:tcPr>
            <w:tcW w:w="14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279,610.22</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800" w:right="800"/>
        </w:sectPr>
      </w:pPr>
    </w:p>
    <w:p>
      <w:pPr>
        <w:spacing w:line="240" w:lineRule="auto" w:before="4"/>
        <w:rPr>
          <w:rFonts w:ascii="宋体" w:hAnsi="宋体" w:cs="宋体" w:eastAsia="宋体" w:hint="default"/>
          <w:sz w:val="14"/>
          <w:szCs w:val="14"/>
        </w:rPr>
      </w:pPr>
    </w:p>
    <w:p>
      <w:pPr>
        <w:spacing w:before="36"/>
        <w:ind w:left="1103" w:right="565" w:firstLine="0"/>
        <w:jc w:val="left"/>
        <w:rPr>
          <w:rFonts w:ascii="宋体" w:hAnsi="宋体" w:cs="宋体" w:eastAsia="宋体" w:hint="default"/>
          <w:sz w:val="21"/>
          <w:szCs w:val="21"/>
        </w:rPr>
      </w:pPr>
      <w:r>
        <w:rPr>
          <w:rFonts w:ascii="宋体" w:hAnsi="宋体" w:cs="宋体" w:eastAsia="宋体" w:hint="default"/>
          <w:sz w:val="21"/>
          <w:szCs w:val="21"/>
        </w:rPr>
        <w:t>本年摊销额为</w:t>
      </w:r>
      <w:r>
        <w:rPr>
          <w:rFonts w:ascii="宋体" w:hAnsi="宋体" w:cs="宋体" w:eastAsia="宋体" w:hint="default"/>
          <w:spacing w:val="-53"/>
          <w:sz w:val="21"/>
          <w:szCs w:val="21"/>
        </w:rPr>
        <w:t> </w:t>
      </w:r>
      <w:r>
        <w:rPr>
          <w:rFonts w:ascii="Arial Narrow" w:hAnsi="Arial Narrow" w:cs="Arial Narrow" w:eastAsia="Arial Narrow" w:hint="default"/>
          <w:sz w:val="20"/>
          <w:szCs w:val="20"/>
        </w:rPr>
        <w:t>922,466.64</w:t>
      </w:r>
      <w:r>
        <w:rPr>
          <w:rFonts w:ascii="Arial Narrow" w:hAnsi="Arial Narrow" w:cs="Arial Narrow" w:eastAsia="Arial Narrow" w:hint="default"/>
          <w:spacing w:val="3"/>
          <w:sz w:val="20"/>
          <w:szCs w:val="20"/>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21"/>
        <w:ind w:left="892" w:right="5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）本年末本公司无形资产未出现减值迹象，无需计提减值准备。</w:t>
      </w:r>
    </w:p>
    <w:p>
      <w:pPr>
        <w:spacing w:line="240" w:lineRule="auto" w:before="12"/>
        <w:rPr>
          <w:rFonts w:ascii="宋体" w:hAnsi="宋体" w:cs="宋体" w:eastAsia="宋体" w:hint="default"/>
          <w:sz w:val="23"/>
          <w:szCs w:val="23"/>
        </w:rPr>
      </w:pPr>
    </w:p>
    <w:p>
      <w:pPr>
        <w:spacing w:before="0"/>
        <w:ind w:left="2258" w:right="5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10</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78"/>
        <w:ind w:left="998" w:right="5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）明细列示如下：</w:t>
      </w:r>
    </w:p>
    <w:p>
      <w:pPr>
        <w:spacing w:line="240" w:lineRule="auto" w:before="11"/>
        <w:rPr>
          <w:rFonts w:ascii="宋体" w:hAnsi="宋体" w:cs="宋体" w:eastAsia="宋体" w:hint="default"/>
          <w:sz w:val="11"/>
          <w:szCs w:val="11"/>
        </w:rPr>
      </w:pPr>
    </w:p>
    <w:tbl>
      <w:tblPr>
        <w:tblW w:w="0" w:type="auto"/>
        <w:jc w:val="left"/>
        <w:tblInd w:w="282" w:type="dxa"/>
        <w:tblLayout w:type="fixed"/>
        <w:tblCellMar>
          <w:top w:w="0" w:type="dxa"/>
          <w:left w:w="0" w:type="dxa"/>
          <w:bottom w:w="0" w:type="dxa"/>
          <w:right w:w="0" w:type="dxa"/>
        </w:tblCellMar>
        <w:tblLook w:val="01E0"/>
      </w:tblPr>
      <w:tblGrid>
        <w:gridCol w:w="1769"/>
        <w:gridCol w:w="1666"/>
        <w:gridCol w:w="1839"/>
        <w:gridCol w:w="1582"/>
        <w:gridCol w:w="2004"/>
      </w:tblGrid>
      <w:tr>
        <w:trPr>
          <w:trHeight w:val="307"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12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11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86"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15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8" w:hRule="exact"/>
        </w:trPr>
        <w:tc>
          <w:tcPr>
            <w:tcW w:w="1769" w:type="dxa"/>
            <w:vMerge/>
            <w:tcBorders>
              <w:left w:val="nil" w:sz="6" w:space="0" w:color="auto"/>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97"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7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56"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spacing w:val="-1"/>
                <w:w w:val="95"/>
                <w:sz w:val="20"/>
              </w:rPr>
              <w:t>11,120,346.56</w:t>
            </w:r>
            <w:r>
              <w:rPr>
                <w:rFonts w:ascii="Arial Narrow"/>
                <w:spacing w:val="-1"/>
                <w:sz w:val="20"/>
              </w:rPr>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w w:val="95"/>
                <w:sz w:val="20"/>
              </w:rPr>
              <w:t>1,676,416.68</w:t>
            </w:r>
            <w:r>
              <w:rPr>
                <w:rFonts w:ascii="Arial Narrow"/>
                <w:sz w:val="20"/>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7,047,519.88</w:t>
            </w:r>
            <w:r>
              <w:rPr>
                <w:rFonts w:ascii="Arial Narrow"/>
                <w:sz w:val="20"/>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1,065,019.72</w:t>
            </w:r>
            <w:r>
              <w:rPr>
                <w:rFonts w:ascii="Arial Narrow"/>
                <w:sz w:val="20"/>
              </w:rPr>
            </w:r>
          </w:p>
        </w:tc>
      </w:tr>
      <w:tr>
        <w:trPr>
          <w:trHeight w:val="298"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66" w:type="dxa"/>
            <w:tcBorders>
              <w:top w:val="single" w:sz="6" w:space="0" w:color="000000"/>
              <w:left w:val="single" w:sz="6" w:space="0" w:color="000000"/>
              <w:bottom w:val="single" w:sz="6" w:space="0" w:color="000000"/>
              <w:right w:val="single" w:sz="6" w:space="0" w:color="000000"/>
            </w:tcBorders>
          </w:tcPr>
          <w:p>
            <w:pPr/>
          </w:p>
        </w:tc>
        <w:tc>
          <w:tcPr>
            <w:tcW w:w="183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spacing w:val="-1"/>
                <w:w w:val="95"/>
                <w:sz w:val="20"/>
              </w:rPr>
              <w:t>11,120,346.56</w:t>
            </w:r>
            <w:r>
              <w:rPr>
                <w:rFonts w:ascii="Arial Narrow"/>
                <w:spacing w:val="-1"/>
                <w:sz w:val="20"/>
              </w:rPr>
            </w:r>
          </w:p>
        </w:tc>
        <w:tc>
          <w:tcPr>
            <w:tcW w:w="1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w w:val="95"/>
                <w:sz w:val="20"/>
              </w:rPr>
              <w:t>1,676,416.68</w:t>
            </w:r>
            <w:r>
              <w:rPr>
                <w:rFonts w:ascii="Arial Narrow"/>
                <w:sz w:val="20"/>
              </w:rPr>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7,047,519.88</w:t>
            </w:r>
            <w:r>
              <w:rPr>
                <w:rFonts w:ascii="Arial Narrow"/>
                <w:sz w:val="20"/>
              </w:rPr>
            </w:r>
          </w:p>
        </w:tc>
        <w:tc>
          <w:tcPr>
            <w:tcW w:w="20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1,065,019.72</w:t>
            </w:r>
            <w:r>
              <w:rPr>
                <w:rFonts w:ascii="Arial Narrow"/>
                <w:sz w:val="20"/>
              </w:rPr>
            </w:r>
          </w:p>
        </w:tc>
      </w:tr>
    </w:tbl>
    <w:p>
      <w:pPr>
        <w:spacing w:line="340" w:lineRule="auto" w:before="86"/>
        <w:ind w:left="1005" w:right="5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）年末递延所得税资产余额比年初增加</w:t>
      </w:r>
      <w:r>
        <w:rPr>
          <w:rFonts w:ascii="宋体" w:hAnsi="宋体" w:cs="宋体" w:eastAsia="宋体" w:hint="default"/>
          <w:spacing w:val="-49"/>
          <w:sz w:val="21"/>
          <w:szCs w:val="21"/>
        </w:rPr>
        <w:t> </w:t>
      </w:r>
      <w:r>
        <w:rPr>
          <w:rFonts w:ascii="Arial Narrow" w:hAnsi="Arial Narrow" w:cs="Arial Narrow" w:eastAsia="Arial Narrow" w:hint="default"/>
          <w:sz w:val="21"/>
          <w:szCs w:val="21"/>
        </w:rPr>
        <w:t>57.41%</w:t>
      </w:r>
      <w:r>
        <w:rPr>
          <w:rFonts w:ascii="宋体" w:hAnsi="宋体" w:cs="宋体" w:eastAsia="宋体" w:hint="default"/>
          <w:sz w:val="21"/>
          <w:szCs w:val="21"/>
        </w:rPr>
        <w:t>，主要原因为本期应收账款余额增加</w:t>
      </w:r>
      <w:r>
        <w:rPr>
          <w:rFonts w:ascii="宋体" w:hAnsi="宋体" w:cs="宋体" w:eastAsia="宋体" w:hint="default"/>
          <w:w w:val="100"/>
          <w:sz w:val="21"/>
          <w:szCs w:val="21"/>
        </w:rPr>
        <w:t> </w:t>
      </w:r>
      <w:r>
        <w:rPr>
          <w:rFonts w:ascii="宋体" w:hAnsi="宋体" w:cs="宋体" w:eastAsia="宋体" w:hint="default"/>
          <w:sz w:val="21"/>
          <w:szCs w:val="21"/>
        </w:rPr>
        <w:t>所致。</w:t>
      </w:r>
    </w:p>
    <w:p>
      <w:pPr>
        <w:spacing w:line="240" w:lineRule="auto" w:before="3"/>
        <w:rPr>
          <w:rFonts w:ascii="宋体" w:hAnsi="宋体" w:cs="宋体" w:eastAsia="宋体" w:hint="default"/>
          <w:sz w:val="17"/>
          <w:szCs w:val="17"/>
        </w:rPr>
      </w:pPr>
    </w:p>
    <w:p>
      <w:pPr>
        <w:spacing w:before="0"/>
        <w:ind w:left="2258" w:right="5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11</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2249"/>
        <w:gridCol w:w="1527"/>
        <w:gridCol w:w="1268"/>
        <w:gridCol w:w="1130"/>
        <w:gridCol w:w="1140"/>
        <w:gridCol w:w="1892"/>
      </w:tblGrid>
      <w:tr>
        <w:trPr>
          <w:trHeight w:val="336" w:hRule="exact"/>
        </w:trPr>
        <w:tc>
          <w:tcPr>
            <w:tcW w:w="2249" w:type="dxa"/>
            <w:vMerge w:val="restart"/>
            <w:tcBorders>
              <w:top w:val="single" w:sz="12" w:space="0" w:color="000000"/>
              <w:left w:val="nil" w:sz="6" w:space="0" w:color="auto"/>
              <w:right w:val="single" w:sz="6" w:space="0" w:color="000000"/>
            </w:tcBorders>
          </w:tcPr>
          <w:p>
            <w:pPr>
              <w:pStyle w:val="TableParagraph"/>
              <w:tabs>
                <w:tab w:pos="1288" w:val="left" w:leader="none"/>
              </w:tabs>
              <w:spacing w:line="240" w:lineRule="auto" w:before="150"/>
              <w:ind w:left="76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27" w:type="dxa"/>
            <w:vMerge w:val="restart"/>
            <w:tcBorders>
              <w:top w:val="single" w:sz="12" w:space="0" w:color="000000"/>
              <w:left w:val="single" w:sz="6" w:space="0" w:color="000000"/>
              <w:right w:val="single" w:sz="6" w:space="0" w:color="000000"/>
            </w:tcBorders>
          </w:tcPr>
          <w:p>
            <w:pPr>
              <w:pStyle w:val="TableParagraph"/>
              <w:spacing w:line="240" w:lineRule="auto" w:before="150"/>
              <w:ind w:left="12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268" w:type="dxa"/>
            <w:vMerge w:val="restart"/>
            <w:tcBorders>
              <w:top w:val="single" w:sz="12" w:space="0" w:color="000000"/>
              <w:left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22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60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892" w:type="dxa"/>
            <w:vMerge w:val="restart"/>
            <w:tcBorders>
              <w:top w:val="single" w:sz="12" w:space="0" w:color="000000"/>
              <w:left w:val="single" w:sz="6" w:space="0" w:color="000000"/>
              <w:right w:val="nil" w:sz="6" w:space="0" w:color="auto"/>
            </w:tcBorders>
          </w:tcPr>
          <w:p>
            <w:pPr>
              <w:pStyle w:val="TableParagraph"/>
              <w:spacing w:line="240" w:lineRule="auto" w:before="150"/>
              <w:ind w:left="30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249" w:type="dxa"/>
            <w:vMerge/>
            <w:tcBorders>
              <w:left w:val="nil" w:sz="6" w:space="0" w:color="auto"/>
              <w:bottom w:val="single" w:sz="6" w:space="0" w:color="000000"/>
              <w:right w:val="single" w:sz="6" w:space="0" w:color="000000"/>
            </w:tcBorders>
          </w:tcPr>
          <w:p>
            <w:pPr/>
          </w:p>
        </w:tc>
        <w:tc>
          <w:tcPr>
            <w:tcW w:w="1527"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892" w:type="dxa"/>
            <w:vMerge/>
            <w:tcBorders>
              <w:left w:val="single" w:sz="6" w:space="0" w:color="000000"/>
              <w:bottom w:val="single" w:sz="6" w:space="0" w:color="000000"/>
              <w:right w:val="nil" w:sz="6" w:space="0" w:color="auto"/>
            </w:tcBorders>
          </w:tcPr>
          <w:p>
            <w:pPr/>
          </w:p>
        </w:tc>
      </w:tr>
      <w:tr>
        <w:trPr>
          <w:trHeight w:val="326" w:hRule="exact"/>
        </w:trPr>
        <w:tc>
          <w:tcPr>
            <w:tcW w:w="224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7,047,519.88</w:t>
            </w:r>
            <w:r>
              <w:rPr>
                <w:rFonts w:ascii="Arial Narrow"/>
                <w:sz w:val="20"/>
              </w:rPr>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spacing w:val="-1"/>
                <w:w w:val="95"/>
                <w:sz w:val="20"/>
              </w:rPr>
              <w:t>4,259,311.28</w:t>
            </w:r>
            <w:r>
              <w:rPr>
                <w:rFonts w:ascii="Arial Narrow"/>
                <w:spacing w:val="-1"/>
                <w:sz w:val="20"/>
              </w:rPr>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3" w:right="0"/>
              <w:jc w:val="center"/>
              <w:rPr>
                <w:rFonts w:ascii="Arial Narrow" w:hAnsi="Arial Narrow" w:cs="Arial Narrow" w:eastAsia="Arial Narrow" w:hint="default"/>
                <w:sz w:val="20"/>
                <w:szCs w:val="20"/>
              </w:rPr>
            </w:pPr>
            <w:r>
              <w:rPr>
                <w:rFonts w:ascii="Arial Narrow"/>
                <w:sz w:val="20"/>
              </w:rPr>
              <w:t>186,484.60</w:t>
            </w:r>
          </w:p>
        </w:tc>
        <w:tc>
          <w:tcPr>
            <w:tcW w:w="1140"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20"/>
                <w:szCs w:val="20"/>
              </w:rPr>
            </w:pPr>
            <w:r>
              <w:rPr>
                <w:rFonts w:ascii="Arial Narrow"/>
                <w:spacing w:val="-1"/>
                <w:w w:val="95"/>
                <w:sz w:val="20"/>
              </w:rPr>
              <w:t>11,120,346.56</w:t>
            </w:r>
            <w:r>
              <w:rPr>
                <w:rFonts w:ascii="Arial Narrow"/>
                <w:spacing w:val="-1"/>
                <w:sz w:val="20"/>
              </w:rPr>
            </w:r>
          </w:p>
        </w:tc>
      </w:tr>
      <w:tr>
        <w:trPr>
          <w:trHeight w:val="336" w:hRule="exact"/>
        </w:trPr>
        <w:tc>
          <w:tcPr>
            <w:tcW w:w="2249"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6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7,047,519.88</w:t>
            </w:r>
            <w:r>
              <w:rPr>
                <w:rFonts w:ascii="Arial Narrow"/>
                <w:sz w:val="20"/>
              </w:rPr>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spacing w:val="-1"/>
                <w:w w:val="95"/>
                <w:sz w:val="20"/>
              </w:rPr>
              <w:t>4,259,311.28</w:t>
            </w:r>
            <w:r>
              <w:rPr>
                <w:rFonts w:ascii="Arial Narrow"/>
                <w:spacing w:val="-1"/>
                <w:sz w:val="20"/>
              </w:rPr>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93" w:right="0"/>
              <w:jc w:val="center"/>
              <w:rPr>
                <w:rFonts w:ascii="Arial Narrow" w:hAnsi="Arial Narrow" w:cs="Arial Narrow" w:eastAsia="Arial Narrow" w:hint="default"/>
                <w:sz w:val="20"/>
                <w:szCs w:val="20"/>
              </w:rPr>
            </w:pPr>
            <w:r>
              <w:rPr>
                <w:rFonts w:ascii="Arial Narrow"/>
                <w:sz w:val="20"/>
              </w:rPr>
              <w:t>186,484.60</w:t>
            </w:r>
          </w:p>
        </w:tc>
        <w:tc>
          <w:tcPr>
            <w:tcW w:w="1140" w:type="dxa"/>
            <w:tcBorders>
              <w:top w:val="single" w:sz="6" w:space="0" w:color="000000"/>
              <w:left w:val="single" w:sz="6" w:space="0" w:color="000000"/>
              <w:bottom w:val="single" w:sz="12" w:space="0" w:color="000000"/>
              <w:right w:val="single" w:sz="6" w:space="0" w:color="000000"/>
            </w:tcBorders>
          </w:tcPr>
          <w:p>
            <w:pPr/>
          </w:p>
        </w:tc>
        <w:tc>
          <w:tcPr>
            <w:tcW w:w="18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6"/>
              <w:jc w:val="right"/>
              <w:rPr>
                <w:rFonts w:ascii="Arial Narrow" w:hAnsi="Arial Narrow" w:cs="Arial Narrow" w:eastAsia="Arial Narrow" w:hint="default"/>
                <w:sz w:val="20"/>
                <w:szCs w:val="20"/>
              </w:rPr>
            </w:pPr>
            <w:r>
              <w:rPr>
                <w:rFonts w:ascii="Arial Narrow"/>
                <w:spacing w:val="-1"/>
                <w:w w:val="95"/>
                <w:sz w:val="20"/>
              </w:rPr>
              <w:t>11,120,346.56</w:t>
            </w:r>
            <w:r>
              <w:rPr>
                <w:rFonts w:ascii="Arial Narrow"/>
                <w:spacing w:val="-1"/>
                <w:sz w:val="20"/>
              </w:rPr>
            </w:r>
          </w:p>
        </w:tc>
      </w:tr>
    </w:tbl>
    <w:p>
      <w:pPr>
        <w:spacing w:line="240" w:lineRule="auto" w:before="5"/>
        <w:rPr>
          <w:rFonts w:ascii="宋体" w:hAnsi="宋体" w:cs="宋体" w:eastAsia="宋体" w:hint="default"/>
          <w:b/>
          <w:bCs/>
          <w:sz w:val="8"/>
          <w:szCs w:val="8"/>
        </w:rPr>
      </w:pPr>
    </w:p>
    <w:p>
      <w:pPr>
        <w:spacing w:line="388" w:lineRule="auto" w:before="36"/>
        <w:ind w:left="998" w:right="1567" w:firstLine="1260"/>
        <w:jc w:val="left"/>
        <w:rPr>
          <w:rFonts w:ascii="宋体" w:hAnsi="宋体" w:cs="宋体" w:eastAsia="宋体" w:hint="default"/>
          <w:sz w:val="21"/>
          <w:szCs w:val="21"/>
        </w:rPr>
      </w:pPr>
      <w:r>
        <w:rPr>
          <w:rFonts w:ascii="Arial Narrow" w:hAnsi="Arial Narrow" w:cs="Arial Narrow" w:eastAsia="Arial Narrow" w:hint="default"/>
          <w:b/>
          <w:bCs/>
          <w:sz w:val="21"/>
          <w:szCs w:val="21"/>
        </w:rPr>
        <w:t>12</w:t>
      </w:r>
      <w:r>
        <w:rPr>
          <w:rFonts w:ascii="宋体" w:hAnsi="宋体" w:cs="宋体" w:eastAsia="宋体" w:hint="default"/>
          <w:b/>
          <w:bCs/>
          <w:sz w:val="21"/>
          <w:szCs w:val="21"/>
        </w:rPr>
        <w:t>．所有权受到限制的资产</w:t>
      </w:r>
      <w:r>
        <w:rPr>
          <w:rFonts w:ascii="宋体" w:hAnsi="宋体" w:cs="宋体" w:eastAsia="宋体" w:hint="default"/>
          <w:b/>
          <w:bCs/>
          <w:w w:val="100"/>
          <w:sz w:val="21"/>
          <w:szCs w:val="21"/>
        </w:rPr>
        <w:t> </w:t>
      </w:r>
      <w:r>
        <w:rPr>
          <w:rFonts w:ascii="宋体" w:hAnsi="宋体" w:cs="宋体" w:eastAsia="宋体" w:hint="default"/>
          <w:sz w:val="21"/>
          <w:szCs w:val="21"/>
        </w:rPr>
        <w:t>所有权受到限制的资产明细如下：</w:t>
      </w:r>
    </w:p>
    <w:p>
      <w:pPr>
        <w:spacing w:line="240" w:lineRule="auto" w:before="11"/>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1596"/>
        <w:gridCol w:w="1613"/>
        <w:gridCol w:w="1418"/>
        <w:gridCol w:w="1426"/>
        <w:gridCol w:w="1484"/>
        <w:gridCol w:w="1481"/>
      </w:tblGrid>
      <w:tr>
        <w:trPr>
          <w:trHeight w:val="689" w:hRule="exact"/>
        </w:trPr>
        <w:tc>
          <w:tcPr>
            <w:tcW w:w="1596" w:type="dxa"/>
            <w:tcBorders>
              <w:top w:val="single" w:sz="12" w:space="0" w:color="000000"/>
              <w:left w:val="nil" w:sz="6" w:space="0" w:color="auto"/>
              <w:bottom w:val="single" w:sz="6" w:space="0" w:color="000000"/>
              <w:right w:val="single" w:sz="6" w:space="0" w:color="000000"/>
            </w:tcBorders>
          </w:tcPr>
          <w:p>
            <w:pPr>
              <w:pStyle w:val="TableParagraph"/>
              <w:spacing w:line="272" w:lineRule="exact" w:before="56"/>
              <w:ind w:left="168" w:right="156"/>
              <w:jc w:val="left"/>
              <w:rPr>
                <w:rFonts w:ascii="宋体" w:hAnsi="宋体" w:cs="宋体" w:eastAsia="宋体" w:hint="default"/>
                <w:sz w:val="21"/>
                <w:szCs w:val="21"/>
              </w:rPr>
            </w:pPr>
            <w:r>
              <w:rPr>
                <w:rFonts w:ascii="宋体" w:hAnsi="宋体" w:cs="宋体" w:eastAsia="宋体" w:hint="default"/>
                <w:sz w:val="21"/>
                <w:szCs w:val="21"/>
              </w:rPr>
              <w:t>所有权受到限</w:t>
            </w:r>
            <w:r>
              <w:rPr>
                <w:rFonts w:ascii="宋体" w:hAnsi="宋体" w:cs="宋体" w:eastAsia="宋体" w:hint="default"/>
                <w:w w:val="100"/>
                <w:sz w:val="21"/>
                <w:szCs w:val="21"/>
              </w:rPr>
              <w:t> </w:t>
            </w:r>
            <w:r>
              <w:rPr>
                <w:rFonts w:ascii="宋体" w:hAnsi="宋体" w:cs="宋体" w:eastAsia="宋体" w:hint="default"/>
                <w:sz w:val="21"/>
                <w:szCs w:val="21"/>
              </w:rPr>
              <w:t>制的资产类别</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3"/>
              <w:ind w:left="16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3"/>
              <w:ind w:left="17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3"/>
              <w:ind w:left="17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481"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56"/>
              <w:ind w:left="523" w:right="105" w:hanging="420"/>
              <w:jc w:val="left"/>
              <w:rPr>
                <w:rFonts w:ascii="宋体" w:hAnsi="宋体" w:cs="宋体" w:eastAsia="宋体" w:hint="default"/>
                <w:sz w:val="21"/>
                <w:szCs w:val="21"/>
              </w:rPr>
            </w:pPr>
            <w:r>
              <w:rPr>
                <w:rFonts w:ascii="宋体" w:hAnsi="宋体" w:cs="宋体" w:eastAsia="宋体" w:hint="default"/>
                <w:sz w:val="21"/>
                <w:szCs w:val="21"/>
              </w:rPr>
              <w:t>资产受限制的</w:t>
            </w:r>
            <w:r>
              <w:rPr>
                <w:rFonts w:ascii="宋体" w:hAnsi="宋体" w:cs="宋体" w:eastAsia="宋体" w:hint="default"/>
                <w:w w:val="100"/>
                <w:sz w:val="21"/>
                <w:szCs w:val="21"/>
              </w:rPr>
              <w:t> </w:t>
            </w:r>
            <w:r>
              <w:rPr>
                <w:rFonts w:ascii="宋体" w:hAnsi="宋体" w:cs="宋体" w:eastAsia="宋体" w:hint="default"/>
                <w:sz w:val="21"/>
                <w:szCs w:val="21"/>
              </w:rPr>
              <w:t>原因</w:t>
            </w:r>
          </w:p>
        </w:tc>
      </w:tr>
    </w:tbl>
    <w:p>
      <w:pPr>
        <w:spacing w:before="26"/>
        <w:ind w:left="333" w:right="565" w:firstLine="0"/>
        <w:jc w:val="left"/>
        <w:rPr>
          <w:rFonts w:ascii="宋体" w:hAnsi="宋体" w:cs="宋体" w:eastAsia="宋体" w:hint="default"/>
          <w:sz w:val="21"/>
          <w:szCs w:val="21"/>
        </w:rPr>
      </w:pPr>
      <w:r>
        <w:rPr>
          <w:rFonts w:ascii="宋体" w:hAnsi="宋体" w:cs="宋体" w:eastAsia="宋体" w:hint="default"/>
          <w:color w:val="212121"/>
          <w:sz w:val="21"/>
          <w:szCs w:val="21"/>
        </w:rPr>
        <w:t>用于质押的资产</w:t>
      </w:r>
      <w:r>
        <w:rPr>
          <w:rFonts w:ascii="宋体" w:hAnsi="宋体" w:cs="宋体" w:eastAsia="宋体" w:hint="default"/>
          <w:sz w:val="21"/>
          <w:szCs w:val="21"/>
        </w:rPr>
      </w:r>
    </w:p>
    <w:p>
      <w:pPr>
        <w:spacing w:line="240" w:lineRule="auto" w:before="12"/>
        <w:rPr>
          <w:rFonts w:ascii="宋体" w:hAnsi="宋体" w:cs="宋体" w:eastAsia="宋体" w:hint="default"/>
          <w:sz w:val="6"/>
          <w:szCs w:val="6"/>
        </w:rPr>
      </w:pPr>
    </w:p>
    <w:tbl>
      <w:tblPr>
        <w:tblW w:w="0" w:type="auto"/>
        <w:jc w:val="left"/>
        <w:tblInd w:w="210" w:type="dxa"/>
        <w:tblLayout w:type="fixed"/>
        <w:tblCellMar>
          <w:top w:w="0" w:type="dxa"/>
          <w:left w:w="0" w:type="dxa"/>
          <w:bottom w:w="0" w:type="dxa"/>
          <w:right w:w="0" w:type="dxa"/>
        </w:tblCellMar>
        <w:tblLook w:val="01E0"/>
      </w:tblPr>
      <w:tblGrid>
        <w:gridCol w:w="1610"/>
        <w:gridCol w:w="1613"/>
        <w:gridCol w:w="1418"/>
        <w:gridCol w:w="1426"/>
        <w:gridCol w:w="1484"/>
        <w:gridCol w:w="1481"/>
      </w:tblGrid>
      <w:tr>
        <w:trPr>
          <w:trHeight w:val="482"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Arial Narrow" w:hAnsi="Arial Narrow" w:cs="Arial Narrow" w:eastAsia="Arial Narrow" w:hint="default"/>
                <w:sz w:val="21"/>
                <w:szCs w:val="21"/>
              </w:rPr>
            </w:pPr>
            <w:r>
              <w:rPr>
                <w:rFonts w:ascii="Arial Narrow"/>
                <w:spacing w:val="-1"/>
                <w:sz w:val="21"/>
              </w:rPr>
              <w:t>5,956,259.15</w:t>
            </w:r>
            <w:r>
              <w:rPr>
                <w:rFonts w:ascii="Arial Narrow"/>
                <w:sz w:val="21"/>
              </w:rPr>
            </w:r>
          </w:p>
        </w:tc>
        <w:tc>
          <w:tcPr>
            <w:tcW w:w="141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Arial Narrow" w:hAnsi="Arial Narrow" w:cs="Arial Narrow" w:eastAsia="Arial Narrow" w:hint="default"/>
                <w:sz w:val="21"/>
                <w:szCs w:val="21"/>
              </w:rPr>
            </w:pPr>
            <w:r>
              <w:rPr>
                <w:rFonts w:ascii="Arial Narrow"/>
                <w:spacing w:val="-1"/>
                <w:sz w:val="21"/>
              </w:rPr>
              <w:t>5,956,259.15</w:t>
            </w:r>
            <w:r>
              <w:rPr>
                <w:rFonts w:ascii="Arial Narrow"/>
                <w:sz w:val="21"/>
              </w:rPr>
            </w:r>
          </w:p>
        </w:tc>
        <w:tc>
          <w:tcPr>
            <w:tcW w:w="1484"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质押的应收账款</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的回款</w:t>
            </w:r>
          </w:p>
        </w:tc>
      </w:tr>
      <w:tr>
        <w:trPr>
          <w:trHeight w:val="482"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Arial Narrow" w:hAnsi="Arial Narrow" w:cs="Arial Narrow" w:eastAsia="Arial Narrow" w:hint="default"/>
                <w:sz w:val="20"/>
                <w:szCs w:val="20"/>
              </w:rPr>
            </w:pPr>
            <w:r>
              <w:rPr>
                <w:rFonts w:ascii="Arial Narrow"/>
                <w:w w:val="95"/>
                <w:sz w:val="20"/>
              </w:rPr>
              <w:t>1,134,000.00</w:t>
            </w:r>
            <w:r>
              <w:rPr>
                <w:rFonts w:ascii="Arial Narrow"/>
                <w:sz w:val="20"/>
              </w:rPr>
            </w:r>
          </w:p>
        </w:tc>
        <w:tc>
          <w:tcPr>
            <w:tcW w:w="141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Arial Narrow" w:hAnsi="Arial Narrow" w:cs="Arial Narrow" w:eastAsia="Arial Narrow" w:hint="default"/>
                <w:sz w:val="20"/>
                <w:szCs w:val="20"/>
              </w:rPr>
            </w:pPr>
            <w:r>
              <w:rPr>
                <w:rFonts w:ascii="Arial Narrow"/>
                <w:w w:val="95"/>
                <w:sz w:val="20"/>
              </w:rPr>
              <w:t>1,134,000.00</w:t>
            </w:r>
            <w:r>
              <w:rPr>
                <w:rFonts w:ascii="Arial Narrow"/>
                <w:sz w:val="20"/>
              </w:rPr>
            </w:r>
          </w:p>
        </w:tc>
        <w:tc>
          <w:tcPr>
            <w:tcW w:w="1484"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用于开具银行承</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兑汇票</w:t>
            </w:r>
          </w:p>
        </w:tc>
      </w:tr>
      <w:tr>
        <w:trPr>
          <w:trHeight w:val="300" w:hRule="exact"/>
        </w:trPr>
        <w:tc>
          <w:tcPr>
            <w:tcW w:w="161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715,065.85</w:t>
            </w:r>
            <w:r>
              <w:rPr>
                <w:rFonts w:ascii="Arial Narrow"/>
                <w:sz w:val="20"/>
              </w:rPr>
            </w:r>
          </w:p>
        </w:tc>
        <w:tc>
          <w:tcPr>
            <w:tcW w:w="1418"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715,065.85</w:t>
            </w:r>
            <w:r>
              <w:rPr>
                <w:rFonts w:ascii="Arial Narrow"/>
                <w:sz w:val="20"/>
              </w:rPr>
            </w:r>
          </w:p>
        </w:tc>
        <w:tc>
          <w:tcPr>
            <w:tcW w:w="1484" w:type="dxa"/>
            <w:tcBorders>
              <w:top w:val="single" w:sz="6" w:space="0" w:color="000000"/>
              <w:left w:val="single" w:sz="6" w:space="0" w:color="000000"/>
              <w:bottom w:val="single" w:sz="6" w:space="0" w:color="000000"/>
              <w:right w:val="single" w:sz="6" w:space="0" w:color="000000"/>
            </w:tcBorders>
          </w:tcPr>
          <w:p>
            <w:pP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用于向银行融资</w:t>
            </w:r>
          </w:p>
        </w:tc>
      </w:tr>
      <w:tr>
        <w:trPr>
          <w:trHeight w:val="307" w:hRule="exact"/>
        </w:trPr>
        <w:tc>
          <w:tcPr>
            <w:tcW w:w="1610"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3"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7,805,325.00</w:t>
            </w:r>
            <w:r>
              <w:rPr>
                <w:rFonts w:ascii="Arial Narrow"/>
                <w:sz w:val="20"/>
              </w:rPr>
            </w:r>
          </w:p>
        </w:tc>
        <w:tc>
          <w:tcPr>
            <w:tcW w:w="1418"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7,805,325.00</w:t>
            </w:r>
            <w:r>
              <w:rPr>
                <w:rFonts w:ascii="Arial Narrow"/>
                <w:sz w:val="20"/>
              </w:rPr>
            </w:r>
          </w:p>
        </w:tc>
        <w:tc>
          <w:tcPr>
            <w:tcW w:w="1484" w:type="dxa"/>
            <w:tcBorders>
              <w:top w:val="single" w:sz="6" w:space="0" w:color="000000"/>
              <w:left w:val="single" w:sz="6" w:space="0" w:color="000000"/>
              <w:bottom w:val="single" w:sz="12" w:space="0" w:color="000000"/>
              <w:right w:val="single" w:sz="6" w:space="0" w:color="000000"/>
            </w:tcBorders>
          </w:tcPr>
          <w:p>
            <w:pPr/>
          </w:p>
        </w:tc>
        <w:tc>
          <w:tcPr>
            <w:tcW w:w="148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8"/>
          <w:szCs w:val="8"/>
        </w:rPr>
      </w:pPr>
    </w:p>
    <w:p>
      <w:pPr>
        <w:spacing w:before="36"/>
        <w:ind w:left="2258" w:right="5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13</w:t>
      </w:r>
      <w:r>
        <w:rPr>
          <w:rFonts w:ascii="宋体" w:hAnsi="宋体" w:cs="宋体" w:eastAsia="宋体" w:hint="default"/>
          <w:b/>
          <w:bCs/>
          <w:sz w:val="21"/>
          <w:szCs w:val="21"/>
        </w:rPr>
        <w:t>．短期借款</w:t>
      </w:r>
      <w:r>
        <w:rPr>
          <w:rFonts w:ascii="宋体" w:hAnsi="宋体" w:cs="宋体" w:eastAsia="宋体" w:hint="default"/>
          <w:sz w:val="21"/>
          <w:szCs w:val="21"/>
        </w:rPr>
      </w:r>
    </w:p>
    <w:p>
      <w:pPr>
        <w:spacing w:before="178"/>
        <w:ind w:left="998" w:right="5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）短期借款明细项目列示如下：</w:t>
      </w:r>
    </w:p>
    <w:p>
      <w:pPr>
        <w:spacing w:line="240" w:lineRule="auto" w:before="9"/>
        <w:rPr>
          <w:rFonts w:ascii="宋体" w:hAnsi="宋体" w:cs="宋体" w:eastAsia="宋体" w:hint="default"/>
          <w:sz w:val="11"/>
          <w:szCs w:val="11"/>
        </w:rPr>
      </w:pPr>
    </w:p>
    <w:tbl>
      <w:tblPr>
        <w:tblW w:w="0" w:type="auto"/>
        <w:jc w:val="left"/>
        <w:tblInd w:w="282" w:type="dxa"/>
        <w:tblLayout w:type="fixed"/>
        <w:tblCellMar>
          <w:top w:w="0" w:type="dxa"/>
          <w:left w:w="0" w:type="dxa"/>
          <w:bottom w:w="0" w:type="dxa"/>
          <w:right w:w="0" w:type="dxa"/>
        </w:tblCellMar>
        <w:tblLook w:val="01E0"/>
      </w:tblPr>
      <w:tblGrid>
        <w:gridCol w:w="2305"/>
        <w:gridCol w:w="2285"/>
        <w:gridCol w:w="2350"/>
        <w:gridCol w:w="1920"/>
      </w:tblGrid>
      <w:tr>
        <w:trPr>
          <w:trHeight w:val="307" w:hRule="exact"/>
        </w:trPr>
        <w:tc>
          <w:tcPr>
            <w:tcW w:w="2305"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5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53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8"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227"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170,000,000.00</w:t>
            </w:r>
            <w:r>
              <w:rPr>
                <w:rFonts w:ascii="Arial Narrow"/>
                <w:sz w:val="20"/>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32,700,000.00</w:t>
            </w:r>
            <w:r>
              <w:rPr>
                <w:rFonts w:ascii="Arial Narrow"/>
                <w:sz w:val="20"/>
              </w:rPr>
            </w: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227"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22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190,800,000.00</w:t>
            </w:r>
            <w:r>
              <w:rPr>
                <w:rFonts w:ascii="Arial Narrow"/>
                <w:sz w:val="20"/>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spacing w:val="-1"/>
                <w:w w:val="95"/>
                <w:sz w:val="20"/>
              </w:rPr>
              <w:t>110,100,000.00</w:t>
            </w:r>
            <w:r>
              <w:rPr>
                <w:rFonts w:ascii="Arial Narrow"/>
                <w:spacing w:val="-1"/>
                <w:sz w:val="20"/>
              </w:rPr>
            </w: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285" w:type="dxa"/>
            <w:tcBorders>
              <w:top w:val="single" w:sz="6" w:space="0" w:color="000000"/>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5,000,000.00</w:t>
            </w:r>
            <w:r>
              <w:rPr>
                <w:rFonts w:ascii="Arial Narrow"/>
                <w:sz w:val="20"/>
              </w:rPr>
            </w:r>
          </w:p>
        </w:tc>
        <w:tc>
          <w:tcPr>
            <w:tcW w:w="192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305"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360,800,000.00</w:t>
            </w:r>
            <w:r>
              <w:rPr>
                <w:rFonts w:ascii="Arial Narrow"/>
                <w:sz w:val="20"/>
              </w:rPr>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147,800,000.00</w:t>
            </w:r>
            <w:r>
              <w:rPr>
                <w:rFonts w:ascii="Arial Narrow"/>
                <w:sz w:val="20"/>
              </w:rPr>
            </w:r>
          </w:p>
        </w:tc>
        <w:tc>
          <w:tcPr>
            <w:tcW w:w="1920" w:type="dxa"/>
            <w:tcBorders>
              <w:top w:val="single" w:sz="6" w:space="0" w:color="000000"/>
              <w:left w:val="single" w:sz="6" w:space="0" w:color="000000"/>
              <w:bottom w:val="single" w:sz="12" w:space="0" w:color="000000"/>
              <w:right w:val="nil" w:sz="6" w:space="0" w:color="auto"/>
            </w:tcBorders>
          </w:tcPr>
          <w:p>
            <w:pPr/>
          </w:p>
        </w:tc>
      </w:tr>
    </w:tbl>
    <w:p>
      <w:pPr>
        <w:spacing w:line="255" w:lineRule="exact" w:before="0"/>
        <w:ind w:left="998" w:right="5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日止本公司无逾期未偿还的借款。</w:t>
      </w:r>
    </w:p>
    <w:p>
      <w:pPr>
        <w:spacing w:before="118"/>
        <w:ind w:left="998" w:right="56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3</w:t>
      </w:r>
      <w:r>
        <w:rPr>
          <w:rFonts w:ascii="宋体" w:hAnsi="宋体" w:cs="宋体" w:eastAsia="宋体" w:hint="default"/>
          <w:spacing w:val="-2"/>
          <w:sz w:val="21"/>
          <w:szCs w:val="21"/>
        </w:rPr>
        <w:t>）年末短期借款余额比年初增加</w:t>
      </w:r>
      <w:r>
        <w:rPr>
          <w:rFonts w:ascii="宋体" w:hAnsi="宋体" w:cs="宋体" w:eastAsia="宋体" w:hint="default"/>
          <w:spacing w:val="1"/>
          <w:sz w:val="21"/>
          <w:szCs w:val="21"/>
        </w:rPr>
        <w:t> </w:t>
      </w:r>
      <w:r>
        <w:rPr>
          <w:rFonts w:ascii="Arial Narrow" w:hAnsi="Arial Narrow" w:cs="Arial Narrow" w:eastAsia="Arial Narrow" w:hint="default"/>
          <w:spacing w:val="-2"/>
          <w:sz w:val="21"/>
          <w:szCs w:val="21"/>
        </w:rPr>
        <w:t>144.11%</w:t>
      </w:r>
      <w:r>
        <w:rPr>
          <w:rFonts w:ascii="宋体" w:hAnsi="宋体" w:cs="宋体" w:eastAsia="宋体" w:hint="default"/>
          <w:spacing w:val="-2"/>
          <w:sz w:val="21"/>
          <w:szCs w:val="21"/>
        </w:rPr>
        <w:t>，主要原因为本期加大融资所致。</w:t>
      </w:r>
    </w:p>
    <w:p>
      <w:pPr>
        <w:spacing w:after="0"/>
        <w:jc w:val="left"/>
        <w:rPr>
          <w:rFonts w:ascii="宋体" w:hAnsi="宋体" w:cs="宋体" w:eastAsia="宋体" w:hint="default"/>
          <w:sz w:val="21"/>
          <w:szCs w:val="21"/>
        </w:rPr>
        <w:sectPr>
          <w:pgSz w:w="11910" w:h="16840"/>
          <w:pgMar w:header="816" w:footer="858" w:top="1160" w:bottom="1040" w:left="1220" w:right="1220"/>
        </w:sectPr>
      </w:pPr>
    </w:p>
    <w:p>
      <w:pPr>
        <w:spacing w:line="240" w:lineRule="auto" w:before="4"/>
        <w:rPr>
          <w:rFonts w:ascii="宋体" w:hAnsi="宋体" w:cs="宋体" w:eastAsia="宋体" w:hint="default"/>
          <w:sz w:val="14"/>
          <w:szCs w:val="14"/>
        </w:rPr>
      </w:pPr>
    </w:p>
    <w:p>
      <w:pPr>
        <w:spacing w:before="36"/>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2225"/>
        <w:gridCol w:w="2216"/>
        <w:gridCol w:w="2211"/>
        <w:gridCol w:w="2208"/>
      </w:tblGrid>
      <w:tr>
        <w:trPr>
          <w:trHeight w:val="307" w:hRule="exact"/>
        </w:trPr>
        <w:tc>
          <w:tcPr>
            <w:tcW w:w="2225"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883"/>
              <w:jc w:val="right"/>
              <w:rPr>
                <w:rFonts w:ascii="宋体" w:hAnsi="宋体" w:cs="宋体" w:eastAsia="宋体" w:hint="default"/>
                <w:sz w:val="21"/>
                <w:szCs w:val="21"/>
              </w:rPr>
            </w:pPr>
            <w:r>
              <w:rPr>
                <w:rFonts w:ascii="宋体" w:hAnsi="宋体" w:cs="宋体" w:eastAsia="宋体" w:hint="default"/>
                <w:sz w:val="21"/>
                <w:szCs w:val="21"/>
              </w:rPr>
              <w:t>种类</w:t>
            </w:r>
          </w:p>
        </w:tc>
        <w:tc>
          <w:tcPr>
            <w:tcW w:w="2216"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46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11"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4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208"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8" w:hRule="exact"/>
        </w:trPr>
        <w:tc>
          <w:tcPr>
            <w:tcW w:w="2225"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right="83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75,910,000.00</w:t>
            </w:r>
            <w:r>
              <w:rPr>
                <w:rFonts w:ascii="Arial Narrow"/>
                <w:sz w:val="20"/>
              </w:rPr>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68,322,755.80</w:t>
            </w:r>
            <w:r>
              <w:rPr>
                <w:rFonts w:ascii="Arial Narrow"/>
                <w:sz w:val="20"/>
              </w:rPr>
            </w:r>
          </w:p>
        </w:tc>
        <w:tc>
          <w:tcPr>
            <w:tcW w:w="2208" w:type="dxa"/>
            <w:tcBorders>
              <w:top w:val="single" w:sz="6" w:space="0" w:color="000000"/>
              <w:left w:val="single" w:sz="6" w:space="0" w:color="000000"/>
              <w:bottom w:val="single" w:sz="6" w:space="0" w:color="000000"/>
              <w:right w:val="nil" w:sz="6" w:space="0" w:color="auto"/>
            </w:tcBorders>
          </w:tcPr>
          <w:p>
            <w:pPr/>
          </w:p>
        </w:tc>
      </w:tr>
      <w:tr>
        <w:trPr>
          <w:trHeight w:val="310" w:hRule="exact"/>
        </w:trPr>
        <w:tc>
          <w:tcPr>
            <w:tcW w:w="2225"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right="883"/>
              <w:jc w:val="right"/>
              <w:rPr>
                <w:rFonts w:ascii="宋体" w:hAnsi="宋体" w:cs="宋体" w:eastAsia="宋体" w:hint="default"/>
                <w:sz w:val="21"/>
                <w:szCs w:val="21"/>
              </w:rPr>
            </w:pPr>
            <w:r>
              <w:rPr>
                <w:rFonts w:ascii="宋体" w:hAnsi="宋体" w:cs="宋体" w:eastAsia="宋体" w:hint="default"/>
                <w:sz w:val="21"/>
                <w:szCs w:val="21"/>
              </w:rPr>
              <w:t>合计</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75,910,000.00</w:t>
            </w:r>
            <w:r>
              <w:rPr>
                <w:rFonts w:ascii="Arial Narrow"/>
                <w:sz w:val="20"/>
              </w:rPr>
            </w:r>
          </w:p>
        </w:tc>
        <w:tc>
          <w:tcPr>
            <w:tcW w:w="22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100"/>
              <w:jc w:val="right"/>
              <w:rPr>
                <w:rFonts w:ascii="Arial Narrow" w:hAnsi="Arial Narrow" w:cs="Arial Narrow" w:eastAsia="Arial Narrow" w:hint="default"/>
                <w:sz w:val="20"/>
                <w:szCs w:val="20"/>
              </w:rPr>
            </w:pPr>
            <w:r>
              <w:rPr>
                <w:rFonts w:ascii="Arial Narrow"/>
                <w:w w:val="95"/>
                <w:sz w:val="20"/>
              </w:rPr>
              <w:t>68,322,755.80</w:t>
            </w:r>
            <w:r>
              <w:rPr>
                <w:rFonts w:ascii="Arial Narrow"/>
                <w:sz w:val="20"/>
              </w:rPr>
            </w:r>
          </w:p>
        </w:tc>
        <w:tc>
          <w:tcPr>
            <w:tcW w:w="22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8"/>
          <w:szCs w:val="8"/>
        </w:rPr>
      </w:pPr>
    </w:p>
    <w:p>
      <w:pPr>
        <w:spacing w:before="36"/>
        <w:ind w:left="920" w:right="4603"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15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920" w:right="468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）应付账款按账龄分析列示如下：</w:t>
      </w:r>
    </w:p>
    <w:p>
      <w:pPr>
        <w:spacing w:line="240" w:lineRule="auto" w:before="11"/>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1769"/>
        <w:gridCol w:w="1772"/>
        <w:gridCol w:w="1774"/>
        <w:gridCol w:w="1771"/>
        <w:gridCol w:w="1774"/>
      </w:tblGrid>
      <w:tr>
        <w:trPr>
          <w:trHeight w:val="307"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122"/>
              <w:ind w:left="47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45"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8" w:hRule="exact"/>
        </w:trPr>
        <w:tc>
          <w:tcPr>
            <w:tcW w:w="1769" w:type="dxa"/>
            <w:vMerge/>
            <w:tcBorders>
              <w:left w:val="nil" w:sz="6" w:space="0" w:color="auto"/>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3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84,220,724.96</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94.31</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88,729,683.58</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6"/>
              <w:jc w:val="right"/>
              <w:rPr>
                <w:rFonts w:ascii="Arial Narrow" w:hAnsi="Arial Narrow" w:cs="Arial Narrow" w:eastAsia="Arial Narrow" w:hint="default"/>
                <w:sz w:val="20"/>
                <w:szCs w:val="20"/>
              </w:rPr>
            </w:pPr>
            <w:r>
              <w:rPr>
                <w:rFonts w:ascii="Arial Narrow"/>
                <w:w w:val="95"/>
                <w:sz w:val="20"/>
              </w:rPr>
              <w:t>92.31</w:t>
            </w:r>
            <w:r>
              <w:rPr>
                <w:rFonts w:ascii="Arial Narrow"/>
                <w:sz w:val="20"/>
              </w:rPr>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8"/>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 </w:t>
            </w:r>
            <w:r>
              <w:rPr>
                <w:rFonts w:ascii="宋体" w:hAnsi="宋体" w:cs="宋体" w:eastAsia="宋体" w:hint="default"/>
                <w:spacing w:val="-22"/>
                <w:sz w:val="21"/>
                <w:szCs w:val="21"/>
              </w:rPr>
              <w:t>年（含 </w:t>
            </w:r>
            <w:r>
              <w:rPr>
                <w:rFonts w:ascii="Arial Narrow" w:hAnsi="Arial Narrow" w:cs="Arial Narrow" w:eastAsia="Arial Narrow" w:hint="default"/>
                <w:sz w:val="21"/>
                <w:szCs w:val="21"/>
              </w:rPr>
              <w:t>2</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1,195,708.74</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1.34</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5,606,938.23</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5.83</w:t>
            </w:r>
            <w:r>
              <w:rPr>
                <w:rFonts w:ascii="Arial Narrow"/>
                <w:sz w:val="20"/>
              </w:rPr>
            </w:r>
          </w:p>
        </w:tc>
      </w:tr>
      <w:tr>
        <w:trPr>
          <w:trHeight w:val="298"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122" w:right="0"/>
              <w:jc w:val="left"/>
              <w:rPr>
                <w:rFonts w:ascii="宋体" w:hAnsi="宋体" w:cs="宋体" w:eastAsia="宋体" w:hint="default"/>
                <w:sz w:val="19"/>
                <w:szCs w:val="19"/>
              </w:rPr>
            </w:pPr>
            <w:r>
              <w:rPr>
                <w:rFonts w:ascii="Arial Narrow" w:hAnsi="Arial Narrow" w:cs="Arial Narrow" w:eastAsia="Arial Narrow" w:hint="default"/>
                <w:sz w:val="19"/>
                <w:szCs w:val="19"/>
              </w:rPr>
              <w:t>2</w:t>
            </w:r>
            <w:r>
              <w:rPr>
                <w:rFonts w:ascii="宋体" w:hAnsi="宋体" w:cs="宋体" w:eastAsia="宋体" w:hint="default"/>
                <w:sz w:val="19"/>
                <w:szCs w:val="19"/>
              </w:rPr>
              <w:t>－</w:t>
            </w:r>
            <w:r>
              <w:rPr>
                <w:rFonts w:ascii="Arial Narrow" w:hAnsi="Arial Narrow" w:cs="Arial Narrow" w:eastAsia="Arial Narrow" w:hint="default"/>
                <w:sz w:val="19"/>
                <w:szCs w:val="19"/>
              </w:rPr>
              <w:t>3</w:t>
            </w:r>
            <w:r>
              <w:rPr>
                <w:rFonts w:ascii="Arial Narrow" w:hAnsi="Arial Narrow" w:cs="Arial Narrow" w:eastAsia="Arial Narrow" w:hint="default"/>
                <w:spacing w:val="2"/>
                <w:sz w:val="19"/>
                <w:szCs w:val="19"/>
              </w:rPr>
              <w:t> </w:t>
            </w:r>
            <w:r>
              <w:rPr>
                <w:rFonts w:ascii="宋体" w:hAnsi="宋体" w:cs="宋体" w:eastAsia="宋体" w:hint="default"/>
                <w:sz w:val="19"/>
                <w:szCs w:val="19"/>
              </w:rPr>
              <w:t>年（含</w:t>
            </w:r>
            <w:r>
              <w:rPr>
                <w:rFonts w:ascii="宋体" w:hAnsi="宋体" w:cs="宋体" w:eastAsia="宋体" w:hint="default"/>
                <w:spacing w:val="-49"/>
                <w:sz w:val="19"/>
                <w:szCs w:val="19"/>
              </w:rPr>
              <w:t> </w:t>
            </w:r>
            <w:r>
              <w:rPr>
                <w:rFonts w:ascii="Arial Narrow" w:hAnsi="Arial Narrow" w:cs="Arial Narrow" w:eastAsia="Arial Narrow" w:hint="default"/>
                <w:sz w:val="19"/>
                <w:szCs w:val="19"/>
              </w:rPr>
              <w:t>3</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Narrow" w:hAnsi="Arial Narrow" w:cs="Arial Narrow" w:eastAsia="Arial Narrow" w:hint="default"/>
                <w:sz w:val="20"/>
                <w:szCs w:val="20"/>
              </w:rPr>
            </w:pPr>
            <w:r>
              <w:rPr>
                <w:rFonts w:ascii="Arial Narrow"/>
                <w:w w:val="95"/>
                <w:sz w:val="20"/>
              </w:rPr>
              <w:t>3,232,323.34</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Narrow" w:hAnsi="Arial Narrow" w:cs="Arial Narrow" w:eastAsia="Arial Narrow" w:hint="default"/>
                <w:sz w:val="20"/>
                <w:szCs w:val="20"/>
              </w:rPr>
            </w:pPr>
            <w:r>
              <w:rPr>
                <w:rFonts w:ascii="Arial Narrow"/>
                <w:w w:val="95"/>
                <w:sz w:val="20"/>
              </w:rPr>
              <w:t>3.62</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Arial Narrow" w:hAnsi="Arial Narrow" w:cs="Arial Narrow" w:eastAsia="Arial Narrow" w:hint="default"/>
                <w:sz w:val="20"/>
                <w:szCs w:val="20"/>
              </w:rPr>
            </w:pPr>
            <w:r>
              <w:rPr>
                <w:rFonts w:ascii="Arial Narrow"/>
                <w:w w:val="95"/>
                <w:sz w:val="20"/>
              </w:rPr>
              <w:t>1,636,754.91</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Arial Narrow" w:hAnsi="Arial Narrow" w:cs="Arial Narrow" w:eastAsia="Arial Narrow" w:hint="default"/>
                <w:sz w:val="20"/>
                <w:szCs w:val="20"/>
              </w:rPr>
            </w:pPr>
            <w:r>
              <w:rPr>
                <w:rFonts w:ascii="Arial Narrow"/>
                <w:w w:val="95"/>
                <w:sz w:val="20"/>
              </w:rPr>
              <w:t>1.70</w:t>
            </w:r>
            <w:r>
              <w:rPr>
                <w:rFonts w:ascii="Arial Narrow"/>
                <w:sz w:val="20"/>
              </w:rPr>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122" w:right="0"/>
              <w:jc w:val="left"/>
              <w:rPr>
                <w:rFonts w:ascii="宋体" w:hAnsi="宋体" w:cs="宋体" w:eastAsia="宋体" w:hint="default"/>
                <w:sz w:val="19"/>
                <w:szCs w:val="19"/>
              </w:rPr>
            </w:pPr>
            <w:r>
              <w:rPr>
                <w:rFonts w:ascii="Arial Narrow" w:hAnsi="Arial Narrow" w:cs="Arial Narrow" w:eastAsia="Arial Narrow" w:hint="default"/>
                <w:sz w:val="19"/>
                <w:szCs w:val="19"/>
              </w:rPr>
              <w:t>3</w:t>
            </w:r>
            <w:r>
              <w:rPr>
                <w:rFonts w:ascii="Arial Narrow" w:hAnsi="Arial Narrow" w:cs="Arial Narrow" w:eastAsia="Arial Narrow" w:hint="default"/>
                <w:spacing w:val="2"/>
                <w:sz w:val="19"/>
                <w:szCs w:val="19"/>
              </w:rPr>
              <w:t> </w:t>
            </w:r>
            <w:r>
              <w:rPr>
                <w:rFonts w:ascii="宋体" w:hAnsi="宋体" w:cs="宋体" w:eastAsia="宋体" w:hint="default"/>
                <w:sz w:val="19"/>
                <w:szCs w:val="19"/>
              </w:rPr>
              <w:t>年以上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653,277.82</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0.73</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144,477.85</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6"/>
              <w:jc w:val="right"/>
              <w:rPr>
                <w:rFonts w:ascii="Arial Narrow" w:hAnsi="Arial Narrow" w:cs="Arial Narrow" w:eastAsia="Arial Narrow" w:hint="default"/>
                <w:sz w:val="20"/>
                <w:szCs w:val="20"/>
              </w:rPr>
            </w:pPr>
            <w:r>
              <w:rPr>
                <w:rFonts w:ascii="Arial Narrow"/>
                <w:w w:val="95"/>
                <w:sz w:val="20"/>
              </w:rPr>
              <w:t>0.16</w:t>
            </w:r>
            <w:r>
              <w:rPr>
                <w:rFonts w:ascii="Arial Narrow"/>
                <w:sz w:val="20"/>
              </w:rPr>
            </w:r>
          </w:p>
        </w:tc>
      </w:tr>
      <w:tr>
        <w:trPr>
          <w:trHeight w:val="307"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998" w:val="left" w:leader="none"/>
              </w:tabs>
              <w:spacing w:line="246" w:lineRule="exact"/>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89,302,034.86</w:t>
            </w:r>
            <w:r>
              <w:rPr>
                <w:rFonts w:ascii="Arial Narrow"/>
                <w:sz w:val="20"/>
              </w:rPr>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spacing w:val="-1"/>
                <w:w w:val="95"/>
                <w:sz w:val="20"/>
              </w:rPr>
              <w:t>96,117,854.57</w:t>
            </w:r>
            <w:r>
              <w:rPr>
                <w:rFonts w:ascii="Arial Narrow"/>
                <w:spacing w:val="-1"/>
                <w:sz w:val="20"/>
              </w:rPr>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6"/>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spacing w:before="86"/>
        <w:ind w:left="818" w:right="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日止，公司无账龄超过一年的大额应付账款。</w:t>
      </w:r>
    </w:p>
    <w:p>
      <w:pPr>
        <w:spacing w:line="240" w:lineRule="auto" w:before="3"/>
        <w:rPr>
          <w:rFonts w:ascii="宋体" w:hAnsi="宋体" w:cs="宋体" w:eastAsia="宋体" w:hint="default"/>
          <w:sz w:val="18"/>
          <w:szCs w:val="18"/>
        </w:rPr>
      </w:pPr>
    </w:p>
    <w:p>
      <w:pPr>
        <w:spacing w:line="338" w:lineRule="auto" w:before="0"/>
        <w:ind w:left="578" w:right="283" w:firstLine="23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日止，应付账款余额中无应付持有本公司</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表决权股份的股东单位及关联方款项。</w:t>
      </w:r>
    </w:p>
    <w:p>
      <w:pPr>
        <w:spacing w:line="240" w:lineRule="auto" w:before="5"/>
        <w:rPr>
          <w:rFonts w:ascii="宋体" w:hAnsi="宋体" w:cs="宋体" w:eastAsia="宋体" w:hint="default"/>
          <w:sz w:val="17"/>
          <w:szCs w:val="17"/>
        </w:rPr>
      </w:pPr>
    </w:p>
    <w:p>
      <w:pPr>
        <w:spacing w:before="0"/>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16</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81"/>
        <w:ind w:left="818" w:right="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日止，账龄超过一年的大额预收款项的明细如下：</w:t>
      </w:r>
    </w:p>
    <w:p>
      <w:pPr>
        <w:spacing w:line="240" w:lineRule="auto" w:before="1"/>
        <w:rPr>
          <w:rFonts w:ascii="宋体" w:hAnsi="宋体" w:cs="宋体" w:eastAsia="宋体" w:hint="default"/>
          <w:sz w:val="11"/>
          <w:szCs w:val="11"/>
        </w:rPr>
      </w:pPr>
    </w:p>
    <w:tbl>
      <w:tblPr>
        <w:tblW w:w="0" w:type="auto"/>
        <w:jc w:val="left"/>
        <w:tblInd w:w="256" w:type="dxa"/>
        <w:tblLayout w:type="fixed"/>
        <w:tblCellMar>
          <w:top w:w="0" w:type="dxa"/>
          <w:left w:w="0" w:type="dxa"/>
          <w:bottom w:w="0" w:type="dxa"/>
          <w:right w:w="0" w:type="dxa"/>
        </w:tblCellMar>
        <w:tblLook w:val="01E0"/>
      </w:tblPr>
      <w:tblGrid>
        <w:gridCol w:w="3517"/>
        <w:gridCol w:w="1320"/>
        <w:gridCol w:w="1428"/>
        <w:gridCol w:w="2288"/>
      </w:tblGrid>
      <w:tr>
        <w:trPr>
          <w:trHeight w:val="363" w:hRule="exact"/>
        </w:trPr>
        <w:tc>
          <w:tcPr>
            <w:tcW w:w="3517"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3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288"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未结转的原因</w:t>
            </w:r>
          </w:p>
        </w:tc>
      </w:tr>
      <w:tr>
        <w:trPr>
          <w:trHeight w:val="355" w:hRule="exact"/>
        </w:trPr>
        <w:tc>
          <w:tcPr>
            <w:tcW w:w="35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上海电气临港重型机械装备有限公司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1" w:right="0"/>
              <w:jc w:val="center"/>
              <w:rPr>
                <w:rFonts w:ascii="Arial Narrow" w:hAnsi="Arial Narrow" w:cs="Arial Narrow" w:eastAsia="Arial Narrow" w:hint="default"/>
                <w:sz w:val="20"/>
                <w:szCs w:val="20"/>
              </w:rPr>
            </w:pPr>
            <w:r>
              <w:rPr>
                <w:rFonts w:ascii="Arial Narrow"/>
                <w:sz w:val="20"/>
              </w:rPr>
              <w:t>4,267,872.40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28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355" w:hRule="exact"/>
        </w:trPr>
        <w:tc>
          <w:tcPr>
            <w:tcW w:w="35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0"/>
                <w:szCs w:val="20"/>
              </w:rPr>
            </w:pPr>
            <w:r>
              <w:rPr>
                <w:rFonts w:ascii="宋体" w:hAnsi="宋体" w:cs="宋体" w:eastAsia="宋体" w:hint="default"/>
                <w:sz w:val="20"/>
                <w:szCs w:val="20"/>
              </w:rPr>
              <w:t>洪江市振远钒电有限责任公司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1" w:right="0"/>
              <w:jc w:val="center"/>
              <w:rPr>
                <w:rFonts w:ascii="Arial Narrow" w:hAnsi="Arial Narrow" w:cs="Arial Narrow" w:eastAsia="Arial Narrow" w:hint="default"/>
                <w:sz w:val="20"/>
                <w:szCs w:val="20"/>
              </w:rPr>
            </w:pPr>
            <w:r>
              <w:rPr>
                <w:rFonts w:ascii="Arial Narrow"/>
                <w:sz w:val="20"/>
              </w:rPr>
              <w:t>1,227,000.00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28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353" w:hRule="exact"/>
        </w:trPr>
        <w:tc>
          <w:tcPr>
            <w:tcW w:w="35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20"/>
                <w:szCs w:val="20"/>
              </w:rPr>
            </w:pPr>
            <w:r>
              <w:rPr>
                <w:rFonts w:ascii="宋体" w:hAnsi="宋体" w:cs="宋体" w:eastAsia="宋体" w:hint="default"/>
                <w:sz w:val="20"/>
                <w:szCs w:val="20"/>
              </w:rPr>
              <w:t>中国水利水电建设集团公司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1" w:right="0"/>
              <w:jc w:val="center"/>
              <w:rPr>
                <w:rFonts w:ascii="Arial Narrow" w:hAnsi="Arial Narrow" w:cs="Arial Narrow" w:eastAsia="Arial Narrow" w:hint="default"/>
                <w:sz w:val="20"/>
                <w:szCs w:val="20"/>
              </w:rPr>
            </w:pPr>
            <w:r>
              <w:rPr>
                <w:rFonts w:ascii="Arial Narrow"/>
                <w:sz w:val="20"/>
              </w:rPr>
              <w:t>1,804,725.91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28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355" w:hRule="exact"/>
        </w:trPr>
        <w:tc>
          <w:tcPr>
            <w:tcW w:w="35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20"/>
                <w:szCs w:val="20"/>
              </w:rPr>
            </w:pPr>
            <w:r>
              <w:rPr>
                <w:rFonts w:ascii="宋体" w:hAnsi="宋体" w:cs="宋体" w:eastAsia="宋体" w:hint="default"/>
                <w:sz w:val="20"/>
                <w:szCs w:val="20"/>
              </w:rPr>
              <w:t>马鞍山市大汗物资有限责任公司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1" w:right="0"/>
              <w:jc w:val="center"/>
              <w:rPr>
                <w:rFonts w:ascii="Arial Narrow" w:hAnsi="Arial Narrow" w:cs="Arial Narrow" w:eastAsia="Arial Narrow" w:hint="default"/>
                <w:sz w:val="20"/>
                <w:szCs w:val="20"/>
              </w:rPr>
            </w:pPr>
            <w:r>
              <w:rPr>
                <w:rFonts w:ascii="Arial Narrow"/>
                <w:sz w:val="20"/>
              </w:rPr>
              <w:t>1,120,000.00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535" w:hRule="exact"/>
        </w:trPr>
        <w:tc>
          <w:tcPr>
            <w:tcW w:w="3517"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20"/>
                <w:szCs w:val="20"/>
              </w:rPr>
            </w:pPr>
            <w:r>
              <w:rPr>
                <w:rFonts w:ascii="宋体" w:hAnsi="宋体" w:cs="宋体" w:eastAsia="宋体" w:hint="default"/>
                <w:sz w:val="20"/>
                <w:szCs w:val="20"/>
              </w:rPr>
              <w:t>中铁四局集团建筑装饰安装工程有限</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公司安装分公司</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1" w:right="0"/>
              <w:jc w:val="center"/>
              <w:rPr>
                <w:rFonts w:ascii="Arial Narrow" w:hAnsi="Arial Narrow" w:cs="Arial Narrow" w:eastAsia="Arial Narrow" w:hint="default"/>
                <w:sz w:val="20"/>
                <w:szCs w:val="20"/>
              </w:rPr>
            </w:pPr>
            <w:r>
              <w:rPr>
                <w:rFonts w:ascii="Arial Narrow"/>
                <w:sz w:val="20"/>
              </w:rPr>
              <w:t>1,001,602.55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2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3"/>
              <w:jc w:val="center"/>
              <w:rPr>
                <w:rFonts w:ascii="宋体" w:hAnsi="宋体" w:cs="宋体" w:eastAsia="宋体" w:hint="default"/>
                <w:sz w:val="21"/>
                <w:szCs w:val="21"/>
              </w:rPr>
            </w:pPr>
            <w:r>
              <w:rPr>
                <w:rFonts w:ascii="宋体" w:hAnsi="宋体" w:cs="宋体" w:eastAsia="宋体" w:hint="default"/>
                <w:sz w:val="21"/>
                <w:szCs w:val="21"/>
              </w:rPr>
              <w:t>未安装调试验收</w:t>
            </w:r>
          </w:p>
        </w:tc>
      </w:tr>
      <w:tr>
        <w:trPr>
          <w:trHeight w:val="362" w:hRule="exact"/>
        </w:trPr>
        <w:tc>
          <w:tcPr>
            <w:tcW w:w="351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41" w:right="0"/>
              <w:jc w:val="center"/>
              <w:rPr>
                <w:rFonts w:ascii="Arial Narrow" w:hAnsi="Arial Narrow" w:cs="Arial Narrow" w:eastAsia="Arial Narrow" w:hint="default"/>
                <w:sz w:val="20"/>
                <w:szCs w:val="20"/>
              </w:rPr>
            </w:pPr>
            <w:r>
              <w:rPr>
                <w:rFonts w:ascii="Arial Narrow"/>
                <w:sz w:val="20"/>
              </w:rPr>
              <w:t>9,421,200.86</w:t>
            </w:r>
          </w:p>
        </w:tc>
        <w:tc>
          <w:tcPr>
            <w:tcW w:w="1428" w:type="dxa"/>
            <w:tcBorders>
              <w:top w:val="single" w:sz="6" w:space="0" w:color="000000"/>
              <w:left w:val="single" w:sz="6" w:space="0" w:color="000000"/>
              <w:bottom w:val="single" w:sz="12" w:space="0" w:color="000000"/>
              <w:right w:val="single" w:sz="6" w:space="0" w:color="000000"/>
            </w:tcBorders>
          </w:tcPr>
          <w:p>
            <w:pPr/>
          </w:p>
        </w:tc>
        <w:tc>
          <w:tcPr>
            <w:tcW w:w="2288" w:type="dxa"/>
            <w:tcBorders>
              <w:top w:val="single" w:sz="6" w:space="0" w:color="000000"/>
              <w:left w:val="single" w:sz="6" w:space="0" w:color="000000"/>
              <w:bottom w:val="single" w:sz="12" w:space="0" w:color="000000"/>
              <w:right w:val="nil" w:sz="6" w:space="0" w:color="auto"/>
            </w:tcBorders>
          </w:tcPr>
          <w:p>
            <w:pPr/>
          </w:p>
        </w:tc>
      </w:tr>
    </w:tbl>
    <w:p>
      <w:pPr>
        <w:spacing w:line="338" w:lineRule="auto" w:before="86"/>
        <w:ind w:left="398" w:right="38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4"/>
          <w:sz w:val="21"/>
          <w:szCs w:val="21"/>
        </w:rPr>
        <w:t> </w:t>
      </w:r>
      <w:r>
        <w:rPr>
          <w:rFonts w:ascii="宋体" w:hAnsi="宋体" w:cs="宋体" w:eastAsia="宋体" w:hint="default"/>
          <w:sz w:val="21"/>
          <w:szCs w:val="21"/>
        </w:rPr>
        <w:t>日止，预收账款余额中无预收持有本公司</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表决权股份的股东单位及关联方款项。</w:t>
      </w:r>
    </w:p>
    <w:p>
      <w:pPr>
        <w:spacing w:line="240" w:lineRule="auto" w:before="2"/>
        <w:rPr>
          <w:rFonts w:ascii="宋体" w:hAnsi="宋体" w:cs="宋体" w:eastAsia="宋体" w:hint="default"/>
          <w:sz w:val="22"/>
          <w:szCs w:val="22"/>
        </w:rPr>
      </w:pPr>
    </w:p>
    <w:p>
      <w:pPr>
        <w:spacing w:before="0"/>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before="178"/>
        <w:ind w:left="818" w:right="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）应付职工薪酬明细如下：</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804"/>
        <w:gridCol w:w="1630"/>
        <w:gridCol w:w="1400"/>
        <w:gridCol w:w="1397"/>
        <w:gridCol w:w="1630"/>
      </w:tblGrid>
      <w:tr>
        <w:trPr>
          <w:trHeight w:val="362" w:hRule="exact"/>
        </w:trPr>
        <w:tc>
          <w:tcPr>
            <w:tcW w:w="280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7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6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63"/>
              <w:jc w:val="right"/>
              <w:rPr>
                <w:rFonts w:ascii="宋体" w:hAnsi="宋体" w:cs="宋体" w:eastAsia="宋体" w:hint="default"/>
                <w:sz w:val="21"/>
                <w:szCs w:val="21"/>
              </w:rPr>
            </w:pPr>
            <w:r>
              <w:rPr>
                <w:rFonts w:ascii="宋体" w:hAnsi="宋体" w:cs="宋体" w:eastAsia="宋体" w:hint="default"/>
                <w:spacing w:val="-1"/>
                <w:sz w:val="21"/>
                <w:szCs w:val="21"/>
              </w:rPr>
              <w:t>本年支付额</w:t>
            </w:r>
          </w:p>
        </w:tc>
        <w:tc>
          <w:tcPr>
            <w:tcW w:w="16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7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693" w:right="0"/>
              <w:jc w:val="left"/>
              <w:rPr>
                <w:rFonts w:ascii="Arial Narrow" w:hAnsi="Arial Narrow" w:cs="Arial Narrow" w:eastAsia="Arial Narrow" w:hint="default"/>
                <w:sz w:val="20"/>
                <w:szCs w:val="20"/>
              </w:rPr>
            </w:pPr>
            <w:r>
              <w:rPr>
                <w:rFonts w:ascii="Arial Narrow"/>
                <w:sz w:val="20"/>
              </w:rPr>
              <w:t>215,952.55</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35,809,377.00</w:t>
            </w:r>
            <w:r>
              <w:rPr>
                <w:rFonts w:ascii="Arial Narrow"/>
                <w:sz w:val="20"/>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34,592,506.72</w:t>
            </w:r>
            <w:r>
              <w:rPr>
                <w:rFonts w:ascii="Arial Narrow"/>
                <w:sz w:val="20"/>
              </w:rPr>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left="557" w:right="0"/>
              <w:jc w:val="left"/>
              <w:rPr>
                <w:rFonts w:ascii="Arial Narrow" w:hAnsi="Arial Narrow" w:cs="Arial Narrow" w:eastAsia="Arial Narrow" w:hint="default"/>
                <w:sz w:val="20"/>
                <w:szCs w:val="20"/>
              </w:rPr>
            </w:pPr>
            <w:r>
              <w:rPr>
                <w:rFonts w:ascii="Arial Narrow"/>
                <w:sz w:val="20"/>
              </w:rPr>
              <w:t>1,432,822.83</w:t>
            </w:r>
          </w:p>
        </w:tc>
      </w:tr>
      <w:tr>
        <w:trPr>
          <w:trHeight w:val="355" w:hRule="exact"/>
        </w:trPr>
        <w:tc>
          <w:tcPr>
            <w:tcW w:w="280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2,621,686.54</w:t>
            </w:r>
            <w:r>
              <w:rPr>
                <w:rFonts w:ascii="Arial Narrow"/>
                <w:sz w:val="20"/>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2,621,686.54</w:t>
            </w:r>
            <w:r>
              <w:rPr>
                <w:rFonts w:ascii="Arial Narrow"/>
                <w:sz w:val="20"/>
              </w:rPr>
            </w:r>
          </w:p>
        </w:tc>
        <w:tc>
          <w:tcPr>
            <w:tcW w:w="163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0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3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6,260,397.57</w:t>
            </w:r>
            <w:r>
              <w:rPr>
                <w:rFonts w:ascii="Arial Narrow"/>
                <w:sz w:val="20"/>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6,260,397.57</w:t>
            </w:r>
            <w:r>
              <w:rPr>
                <w:rFonts w:ascii="Arial Narrow"/>
                <w:sz w:val="20"/>
              </w:rPr>
            </w:r>
          </w:p>
        </w:tc>
        <w:tc>
          <w:tcPr>
            <w:tcW w:w="163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80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30" w:type="dxa"/>
            <w:tcBorders>
              <w:top w:val="single" w:sz="6" w:space="0" w:color="000000"/>
              <w:left w:val="single" w:sz="6" w:space="0" w:color="000000"/>
              <w:bottom w:val="single" w:sz="12" w:space="0" w:color="000000"/>
              <w:right w:val="single" w:sz="6" w:space="0" w:color="000000"/>
            </w:tcBorders>
          </w:tcPr>
          <w:p>
            <w:pP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13,680.00</w:t>
            </w:r>
            <w:r>
              <w:rPr>
                <w:rFonts w:ascii="Arial Narrow"/>
                <w:sz w:val="20"/>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13,680.00</w:t>
            </w:r>
            <w:r>
              <w:rPr>
                <w:rFonts w:ascii="Arial Narrow"/>
                <w:sz w:val="20"/>
              </w:rPr>
            </w:r>
          </w:p>
        </w:tc>
        <w:tc>
          <w:tcPr>
            <w:tcW w:w="163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16" w:footer="858" w:top="1160" w:bottom="1040" w:left="1400" w:right="1400"/>
        </w:sectPr>
      </w:pPr>
    </w:p>
    <w:p>
      <w:pPr>
        <w:spacing w:line="240" w:lineRule="auto" w:before="9"/>
        <w:rPr>
          <w:rFonts w:ascii="宋体" w:hAnsi="宋体" w:cs="宋体" w:eastAsia="宋体" w:hint="default"/>
          <w:sz w:val="19"/>
          <w:szCs w:val="19"/>
        </w:rPr>
      </w:pPr>
    </w:p>
    <w:tbl>
      <w:tblPr>
        <w:tblW w:w="0" w:type="auto"/>
        <w:jc w:val="left"/>
        <w:tblInd w:w="322" w:type="dxa"/>
        <w:tblLayout w:type="fixed"/>
        <w:tblCellMar>
          <w:top w:w="0" w:type="dxa"/>
          <w:left w:w="0" w:type="dxa"/>
          <w:bottom w:w="0" w:type="dxa"/>
          <w:right w:w="0" w:type="dxa"/>
        </w:tblCellMar>
        <w:tblLook w:val="01E0"/>
      </w:tblPr>
      <w:tblGrid>
        <w:gridCol w:w="2804"/>
        <w:gridCol w:w="1630"/>
        <w:gridCol w:w="1400"/>
        <w:gridCol w:w="1397"/>
        <w:gridCol w:w="1630"/>
      </w:tblGrid>
      <w:tr>
        <w:trPr>
          <w:trHeight w:val="363" w:hRule="exact"/>
        </w:trPr>
        <w:tc>
          <w:tcPr>
            <w:tcW w:w="2804"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3,408,979.40</w:t>
            </w:r>
            <w:r>
              <w:rPr>
                <w:rFonts w:ascii="Arial Narrow"/>
                <w:sz w:val="20"/>
              </w:rPr>
            </w:r>
          </w:p>
        </w:tc>
        <w:tc>
          <w:tcPr>
            <w:tcW w:w="14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spacing w:val="-2"/>
                <w:sz w:val="20"/>
              </w:rPr>
              <w:t>1,204,229.11</w:t>
            </w:r>
          </w:p>
        </w:tc>
        <w:tc>
          <w:tcPr>
            <w:tcW w:w="13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327,566.32</w:t>
            </w:r>
            <w:r>
              <w:rPr>
                <w:rFonts w:ascii="Arial Narrow"/>
                <w:sz w:val="20"/>
              </w:rPr>
            </w:r>
          </w:p>
        </w:tc>
        <w:tc>
          <w:tcPr>
            <w:tcW w:w="16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4,285,642.19</w:t>
            </w:r>
            <w:r>
              <w:rPr>
                <w:rFonts w:ascii="Arial Narrow"/>
                <w:sz w:val="20"/>
              </w:rPr>
            </w:r>
          </w:p>
        </w:tc>
      </w:tr>
      <w:tr>
        <w:trPr>
          <w:trHeight w:val="362" w:hRule="exact"/>
        </w:trPr>
        <w:tc>
          <w:tcPr>
            <w:tcW w:w="2804"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3,624,931.95</w:t>
            </w:r>
            <w:r>
              <w:rPr>
                <w:rFonts w:ascii="Arial Narrow"/>
                <w:sz w:val="20"/>
              </w:rPr>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45,909,370.22</w:t>
            </w:r>
            <w:r>
              <w:rPr>
                <w:rFonts w:ascii="Arial Narrow"/>
                <w:sz w:val="20"/>
              </w:rPr>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43,815,837.15</w:t>
            </w:r>
            <w:r>
              <w:rPr>
                <w:rFonts w:ascii="Arial Narrow"/>
                <w:sz w:val="20"/>
              </w:rPr>
            </w:r>
          </w:p>
        </w:tc>
        <w:tc>
          <w:tcPr>
            <w:tcW w:w="16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5,718,465.02</w:t>
            </w:r>
            <w:r>
              <w:rPr>
                <w:rFonts w:ascii="Arial Narrow"/>
                <w:sz w:val="20"/>
              </w:rPr>
            </w:r>
          </w:p>
        </w:tc>
      </w:tr>
    </w:tbl>
    <w:p>
      <w:pPr>
        <w:spacing w:before="86"/>
        <w:ind w:left="1038" w:right="605" w:firstLine="0"/>
        <w:jc w:val="left"/>
        <w:rPr>
          <w:rFonts w:ascii="宋体" w:hAnsi="宋体" w:cs="宋体" w:eastAsia="宋体" w:hint="default"/>
          <w:sz w:val="21"/>
          <w:szCs w:val="21"/>
        </w:rPr>
      </w:pPr>
      <w:r>
        <w:rPr>
          <w:rFonts w:ascii="宋体" w:hAnsi="宋体" w:cs="宋体" w:eastAsia="宋体" w:hint="default"/>
          <w:sz w:val="21"/>
          <w:szCs w:val="21"/>
        </w:rPr>
        <w:t>上述金额中无拖欠性质及工效挂钩的部分。</w:t>
      </w:r>
    </w:p>
    <w:p>
      <w:pPr>
        <w:spacing w:line="240" w:lineRule="auto" w:before="12"/>
        <w:rPr>
          <w:rFonts w:ascii="宋体" w:hAnsi="宋体" w:cs="宋体" w:eastAsia="宋体" w:hint="default"/>
          <w:sz w:val="14"/>
          <w:szCs w:val="14"/>
        </w:rPr>
      </w:pPr>
    </w:p>
    <w:p>
      <w:pPr>
        <w:spacing w:before="0"/>
        <w:ind w:left="1038" w:right="60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2</w:t>
      </w:r>
      <w:r>
        <w:rPr>
          <w:rFonts w:ascii="宋体" w:hAnsi="宋体" w:cs="宋体" w:eastAsia="宋体" w:hint="default"/>
          <w:spacing w:val="-2"/>
          <w:sz w:val="21"/>
          <w:szCs w:val="21"/>
        </w:rPr>
        <w:t>）年末应付职工薪酬余额比年初增加</w:t>
      </w:r>
      <w:r>
        <w:rPr>
          <w:rFonts w:ascii="宋体" w:hAnsi="宋体" w:cs="宋体" w:eastAsia="宋体" w:hint="default"/>
          <w:spacing w:val="17"/>
          <w:sz w:val="21"/>
          <w:szCs w:val="21"/>
        </w:rPr>
        <w:t> </w:t>
      </w:r>
      <w:r>
        <w:rPr>
          <w:rFonts w:ascii="Arial Narrow" w:hAnsi="Arial Narrow" w:cs="Arial Narrow" w:eastAsia="Arial Narrow" w:hint="default"/>
          <w:spacing w:val="-2"/>
          <w:sz w:val="21"/>
          <w:szCs w:val="21"/>
        </w:rPr>
        <w:t>57.75%</w:t>
      </w:r>
      <w:r>
        <w:rPr>
          <w:rFonts w:ascii="宋体" w:hAnsi="宋体" w:cs="宋体" w:eastAsia="宋体" w:hint="default"/>
          <w:spacing w:val="-2"/>
          <w:sz w:val="21"/>
          <w:szCs w:val="21"/>
        </w:rPr>
        <w:t>，主要原因为未付工资增加所致。</w:t>
      </w:r>
    </w:p>
    <w:p>
      <w:pPr>
        <w:spacing w:line="240" w:lineRule="auto" w:before="1"/>
        <w:rPr>
          <w:rFonts w:ascii="宋体" w:hAnsi="宋体" w:cs="宋体" w:eastAsia="宋体" w:hint="default"/>
          <w:sz w:val="22"/>
          <w:szCs w:val="22"/>
        </w:rPr>
      </w:pPr>
    </w:p>
    <w:p>
      <w:pPr>
        <w:spacing w:before="0"/>
        <w:ind w:left="2298" w:right="60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tbl>
      <w:tblPr>
        <w:tblW w:w="0" w:type="auto"/>
        <w:jc w:val="left"/>
        <w:tblInd w:w="114" w:type="dxa"/>
        <w:tblLayout w:type="fixed"/>
        <w:tblCellMar>
          <w:top w:w="0" w:type="dxa"/>
          <w:left w:w="0" w:type="dxa"/>
          <w:bottom w:w="0" w:type="dxa"/>
          <w:right w:w="0" w:type="dxa"/>
        </w:tblCellMar>
        <w:tblLook w:val="01E0"/>
      </w:tblPr>
      <w:tblGrid>
        <w:gridCol w:w="2722"/>
        <w:gridCol w:w="2285"/>
        <w:gridCol w:w="2352"/>
        <w:gridCol w:w="1918"/>
      </w:tblGrid>
      <w:tr>
        <w:trPr>
          <w:trHeight w:val="362" w:hRule="exact"/>
        </w:trPr>
        <w:tc>
          <w:tcPr>
            <w:tcW w:w="272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133"/>
              <w:jc w:val="right"/>
              <w:rPr>
                <w:rFonts w:ascii="宋体" w:hAnsi="宋体" w:cs="宋体" w:eastAsia="宋体" w:hint="default"/>
                <w:sz w:val="21"/>
                <w:szCs w:val="21"/>
              </w:rPr>
            </w:pPr>
            <w:r>
              <w:rPr>
                <w:rFonts w:ascii="宋体" w:hAnsi="宋体" w:cs="宋体" w:eastAsia="宋体" w:hint="default"/>
                <w:sz w:val="21"/>
                <w:szCs w:val="21"/>
              </w:rPr>
              <w:t>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5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3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1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3,901,721.67</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4,582,023.86</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1,242,222.63</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1,989,032.34</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276,456.38</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56,277.34</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55,847.67</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spacing w:val="-2"/>
                <w:sz w:val="20"/>
              </w:rPr>
              <w:t>21,298.11</w:t>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30,371.13</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20,475.36</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20"/>
                <w:szCs w:val="20"/>
              </w:rPr>
            </w:pPr>
            <w:r>
              <w:rPr>
                <w:rFonts w:ascii="Arial Narrow"/>
                <w:spacing w:val="-2"/>
                <w:sz w:val="20"/>
              </w:rPr>
              <w:t>119,107.76</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24,322.97</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36,068.14</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7,458.94</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53,774.48</w:t>
            </w:r>
            <w:r>
              <w:rPr>
                <w:rFonts w:ascii="Arial Narrow"/>
                <w:sz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37,270.71</w:t>
            </w:r>
            <w:r>
              <w:rPr>
                <w:rFonts w:ascii="Arial Narro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7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5"/>
              <w:ind w:right="1133"/>
              <w:jc w:val="right"/>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5,715,569.86</w:t>
            </w:r>
            <w:r>
              <w:rPr>
                <w:rFonts w:ascii="Arial Narrow"/>
                <w:sz w:val="20"/>
              </w:rPr>
            </w:r>
          </w:p>
        </w:tc>
        <w:tc>
          <w:tcPr>
            <w:tcW w:w="2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6,738,159.63</w:t>
            </w:r>
            <w:r>
              <w:rPr>
                <w:rFonts w:ascii="Arial Narrow"/>
                <w:sz w:val="20"/>
              </w:rPr>
            </w:r>
          </w:p>
        </w:tc>
        <w:tc>
          <w:tcPr>
            <w:tcW w:w="191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1140" w:right="4611"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19</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140" w:right="470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）其他应付款按账龄分析列示如下：</w:t>
      </w:r>
    </w:p>
    <w:p>
      <w:pPr>
        <w:spacing w:line="240" w:lineRule="auto" w:before="11"/>
        <w:rPr>
          <w:rFonts w:ascii="宋体" w:hAnsi="宋体" w:cs="宋体" w:eastAsia="宋体" w:hint="default"/>
          <w:sz w:val="20"/>
          <w:szCs w:val="20"/>
        </w:rPr>
      </w:pPr>
    </w:p>
    <w:tbl>
      <w:tblPr>
        <w:tblW w:w="0" w:type="auto"/>
        <w:jc w:val="left"/>
        <w:tblInd w:w="322" w:type="dxa"/>
        <w:tblLayout w:type="fixed"/>
        <w:tblCellMar>
          <w:top w:w="0" w:type="dxa"/>
          <w:left w:w="0" w:type="dxa"/>
          <w:bottom w:w="0" w:type="dxa"/>
          <w:right w:w="0" w:type="dxa"/>
        </w:tblCellMar>
        <w:tblLook w:val="01E0"/>
      </w:tblPr>
      <w:tblGrid>
        <w:gridCol w:w="1769"/>
        <w:gridCol w:w="1772"/>
        <w:gridCol w:w="1774"/>
        <w:gridCol w:w="1771"/>
        <w:gridCol w:w="1774"/>
      </w:tblGrid>
      <w:tr>
        <w:trPr>
          <w:trHeight w:val="308"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122"/>
              <w:ind w:left="47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45"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1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8" w:hRule="exact"/>
        </w:trPr>
        <w:tc>
          <w:tcPr>
            <w:tcW w:w="1769" w:type="dxa"/>
            <w:vMerge/>
            <w:tcBorders>
              <w:left w:val="nil" w:sz="6" w:space="0" w:color="auto"/>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35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3,598,300.73</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Arial Narrow" w:hAnsi="Arial Narrow" w:cs="Arial Narrow" w:eastAsia="Arial Narrow" w:hint="default"/>
                <w:sz w:val="21"/>
                <w:szCs w:val="21"/>
              </w:rPr>
            </w:pPr>
            <w:r>
              <w:rPr>
                <w:rFonts w:ascii="Arial Narrow"/>
                <w:spacing w:val="-1"/>
                <w:sz w:val="21"/>
              </w:rPr>
              <w:t>80.82</w:t>
            </w:r>
            <w:r>
              <w:rPr>
                <w:rFonts w:ascii="Arial Narrow"/>
                <w:sz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1,596,010.71</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1"/>
                <w:szCs w:val="21"/>
              </w:rPr>
            </w:pPr>
            <w:r>
              <w:rPr>
                <w:rFonts w:ascii="Arial Narrow"/>
                <w:spacing w:val="-1"/>
                <w:sz w:val="21"/>
              </w:rPr>
              <w:t>70.12</w:t>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8"/>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 </w:t>
            </w:r>
            <w:r>
              <w:rPr>
                <w:rFonts w:ascii="宋体" w:hAnsi="宋体" w:cs="宋体" w:eastAsia="宋体" w:hint="default"/>
                <w:spacing w:val="-22"/>
                <w:sz w:val="21"/>
                <w:szCs w:val="21"/>
              </w:rPr>
              <w:t>年（含 </w:t>
            </w:r>
            <w:r>
              <w:rPr>
                <w:rFonts w:ascii="Arial Narrow" w:hAnsi="Arial Narrow" w:cs="Arial Narrow" w:eastAsia="Arial Narrow" w:hint="default"/>
                <w:sz w:val="21"/>
                <w:szCs w:val="21"/>
              </w:rPr>
              <w:t>2</w:t>
            </w:r>
            <w:r>
              <w:rPr>
                <w:rFonts w:ascii="Arial Narrow" w:hAnsi="Arial Narrow" w:cs="Arial Narrow" w:eastAsia="Arial Narrow" w:hint="default"/>
                <w:spacing w:val="-17"/>
                <w:sz w:val="21"/>
                <w:szCs w:val="21"/>
              </w:rPr>
              <w:t> </w:t>
            </w:r>
            <w:r>
              <w:rPr>
                <w:rFonts w:ascii="宋体" w:hAnsi="宋体" w:cs="宋体" w:eastAsia="宋体" w:hint="default"/>
                <w:sz w:val="21"/>
                <w:szCs w:val="21"/>
              </w:rPr>
              <w:t>年）</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853,877.01</w:t>
            </w:r>
            <w:r>
              <w:rPr>
                <w:rFonts w:ascii="Arial Narrow"/>
                <w:sz w:val="20"/>
              </w:rPr>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19.18</w:t>
            </w:r>
            <w:r>
              <w:rPr>
                <w:rFonts w:ascii="Arial Narrow"/>
                <w:sz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680,231.03</w:t>
            </w:r>
            <w:r>
              <w:rPr>
                <w:rFonts w:ascii="Arial Narro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29.88</w:t>
            </w:r>
            <w:r>
              <w:rPr>
                <w:rFonts w:ascii="Arial Narrow"/>
                <w:sz w:val="20"/>
              </w:rPr>
            </w:r>
          </w:p>
        </w:tc>
      </w:tr>
      <w:tr>
        <w:trPr>
          <w:trHeight w:val="307"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998" w:val="left" w:leader="none"/>
              </w:tabs>
              <w:spacing w:line="246" w:lineRule="exact"/>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4,452,177.74</w:t>
            </w:r>
            <w:r>
              <w:rPr>
                <w:rFonts w:ascii="Arial Narrow"/>
                <w:sz w:val="20"/>
              </w:rPr>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2,276,241.74</w:t>
            </w:r>
            <w:r>
              <w:rPr>
                <w:rFonts w:ascii="Arial Narrow"/>
                <w:sz w:val="20"/>
              </w:rPr>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6"/>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bl>
    <w:p>
      <w:pPr>
        <w:spacing w:before="86"/>
        <w:ind w:left="1158" w:right="6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日止，公司无账龄超过一年的大额其他应付款项。</w:t>
      </w:r>
    </w:p>
    <w:p>
      <w:pPr>
        <w:spacing w:line="240" w:lineRule="auto" w:before="3"/>
        <w:rPr>
          <w:rFonts w:ascii="宋体" w:hAnsi="宋体" w:cs="宋体" w:eastAsia="宋体" w:hint="default"/>
          <w:sz w:val="18"/>
          <w:szCs w:val="18"/>
        </w:rPr>
      </w:pPr>
    </w:p>
    <w:p>
      <w:pPr>
        <w:spacing w:line="338" w:lineRule="auto" w:before="0"/>
        <w:ind w:left="618" w:right="605" w:firstLine="52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Arial Narrow" w:hAnsi="Arial Narrow" w:cs="Arial Narrow" w:eastAsia="Arial Narrow" w:hint="default"/>
          <w:spacing w:val="-6"/>
          <w:sz w:val="21"/>
          <w:szCs w:val="21"/>
        </w:rPr>
        <w:t>3</w:t>
      </w:r>
      <w:r>
        <w:rPr>
          <w:rFonts w:ascii="宋体" w:hAnsi="宋体" w:cs="宋体" w:eastAsia="宋体" w:hint="default"/>
          <w:spacing w:val="-6"/>
          <w:sz w:val="21"/>
          <w:szCs w:val="21"/>
        </w:rPr>
        <w:t>）截至</w:t>
      </w:r>
      <w:r>
        <w:rPr>
          <w:rFonts w:ascii="宋体" w:hAnsi="宋体" w:cs="宋体" w:eastAsia="宋体" w:hint="default"/>
          <w:spacing w:val="-4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pacing w:val="-3"/>
          <w:sz w:val="21"/>
          <w:szCs w:val="21"/>
        </w:rPr>
        <w:t>日止，其他应付款余额中无应付持有本公司</w:t>
      </w:r>
      <w:r>
        <w:rPr>
          <w:rFonts w:ascii="宋体" w:hAnsi="宋体" w:cs="宋体" w:eastAsia="宋体" w:hint="default"/>
          <w:spacing w:val="-47"/>
          <w:sz w:val="21"/>
          <w:szCs w:val="21"/>
        </w:rPr>
        <w:t> </w:t>
      </w:r>
      <w:r>
        <w:rPr>
          <w:rFonts w:ascii="Arial Narrow" w:hAnsi="Arial Narrow" w:cs="Arial Narrow" w:eastAsia="Arial Narrow" w:hint="default"/>
          <w:spacing w:val="-7"/>
          <w:sz w:val="21"/>
          <w:szCs w:val="21"/>
        </w:rPr>
        <w:t>5%</w:t>
      </w:r>
      <w:r>
        <w:rPr>
          <w:rFonts w:ascii="宋体" w:hAnsi="宋体" w:cs="宋体" w:eastAsia="宋体" w:hint="default"/>
          <w:spacing w:val="-7"/>
          <w:sz w:val="21"/>
          <w:szCs w:val="21"/>
        </w:rPr>
        <w:t>（含</w:t>
      </w:r>
      <w:r>
        <w:rPr>
          <w:rFonts w:ascii="宋体" w:hAnsi="宋体" w:cs="宋体" w:eastAsia="宋体" w:hint="default"/>
          <w:spacing w:val="-49"/>
          <w:sz w:val="21"/>
          <w:szCs w:val="21"/>
        </w:rPr>
        <w:t> </w:t>
      </w:r>
      <w:r>
        <w:rPr>
          <w:rFonts w:ascii="Arial Narrow" w:hAnsi="Arial Narrow" w:cs="Arial Narrow" w:eastAsia="Arial Narrow" w:hint="default"/>
          <w:spacing w:val="-12"/>
          <w:sz w:val="21"/>
          <w:szCs w:val="21"/>
        </w:rPr>
        <w:t>5%</w:t>
      </w:r>
      <w:r>
        <w:rPr>
          <w:rFonts w:ascii="宋体" w:hAnsi="宋体" w:cs="宋体" w:eastAsia="宋体" w:hint="default"/>
          <w:spacing w:val="-12"/>
          <w:sz w:val="21"/>
          <w:szCs w:val="21"/>
        </w:rPr>
        <w:t>）以</w:t>
      </w:r>
      <w:r>
        <w:rPr>
          <w:rFonts w:ascii="宋体" w:hAnsi="宋体" w:cs="宋体" w:eastAsia="宋体" w:hint="default"/>
          <w:spacing w:val="-24"/>
          <w:w w:val="100"/>
          <w:sz w:val="21"/>
          <w:szCs w:val="21"/>
        </w:rPr>
        <w:t> </w:t>
      </w:r>
      <w:r>
        <w:rPr>
          <w:rFonts w:ascii="宋体" w:hAnsi="宋体" w:cs="宋体" w:eastAsia="宋体" w:hint="default"/>
          <w:sz w:val="21"/>
          <w:szCs w:val="21"/>
        </w:rPr>
        <w:t>上表决权股份的股东单位及关联方款项。</w:t>
      </w:r>
    </w:p>
    <w:p>
      <w:pPr>
        <w:spacing w:before="167"/>
        <w:ind w:left="1143" w:right="605"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Arial Narrow" w:hAnsi="Arial Narrow" w:cs="Arial Narrow" w:eastAsia="Arial Narrow" w:hint="default"/>
          <w:spacing w:val="-2"/>
          <w:sz w:val="21"/>
          <w:szCs w:val="21"/>
        </w:rPr>
        <w:t>4</w:t>
      </w:r>
      <w:r>
        <w:rPr>
          <w:rFonts w:ascii="宋体" w:hAnsi="宋体" w:cs="宋体" w:eastAsia="宋体" w:hint="default"/>
          <w:spacing w:val="-2"/>
          <w:sz w:val="21"/>
          <w:szCs w:val="21"/>
        </w:rPr>
        <w:t>）年末其他应付款余额比年初增加</w:t>
      </w:r>
      <w:r>
        <w:rPr>
          <w:rFonts w:ascii="宋体" w:hAnsi="宋体" w:cs="宋体" w:eastAsia="宋体" w:hint="default"/>
          <w:spacing w:val="12"/>
          <w:sz w:val="21"/>
          <w:szCs w:val="21"/>
        </w:rPr>
        <w:t> </w:t>
      </w:r>
      <w:r>
        <w:rPr>
          <w:rFonts w:ascii="Arial Narrow" w:hAnsi="Arial Narrow" w:cs="Arial Narrow" w:eastAsia="Arial Narrow" w:hint="default"/>
          <w:spacing w:val="-2"/>
          <w:sz w:val="21"/>
          <w:szCs w:val="21"/>
        </w:rPr>
        <w:t>95.59%</w:t>
      </w:r>
      <w:r>
        <w:rPr>
          <w:rFonts w:ascii="宋体" w:hAnsi="宋体" w:cs="宋体" w:eastAsia="宋体" w:hint="default"/>
          <w:spacing w:val="-2"/>
          <w:sz w:val="21"/>
          <w:szCs w:val="21"/>
        </w:rPr>
        <w:t>，主要原因为往来款增加所致。</w:t>
      </w:r>
    </w:p>
    <w:p>
      <w:pPr>
        <w:spacing w:line="240" w:lineRule="auto" w:before="8"/>
        <w:rPr>
          <w:rFonts w:ascii="宋体" w:hAnsi="宋体" w:cs="宋体" w:eastAsia="宋体" w:hint="default"/>
          <w:sz w:val="27"/>
          <w:szCs w:val="27"/>
        </w:rPr>
      </w:pPr>
    </w:p>
    <w:p>
      <w:pPr>
        <w:spacing w:before="0"/>
        <w:ind w:left="2298" w:right="605" w:firstLine="0"/>
        <w:jc w:val="left"/>
        <w:rPr>
          <w:rFonts w:ascii="宋体" w:hAnsi="宋体" w:cs="宋体" w:eastAsia="宋体" w:hint="default"/>
          <w:sz w:val="21"/>
          <w:szCs w:val="21"/>
        </w:rPr>
      </w:pPr>
      <w:r>
        <w:rPr>
          <w:rFonts w:ascii="Arial Narrow" w:hAnsi="Arial Narrow" w:cs="Arial Narrow" w:eastAsia="Arial Narrow" w:hint="default"/>
          <w:b/>
          <w:bCs/>
          <w:spacing w:val="2"/>
          <w:sz w:val="21"/>
          <w:szCs w:val="21"/>
        </w:rPr>
        <w:t>20</w:t>
      </w:r>
      <w:r>
        <w:rPr>
          <w:rFonts w:ascii="宋体" w:hAnsi="宋体" w:cs="宋体" w:eastAsia="宋体" w:hint="default"/>
          <w:b/>
          <w:bCs/>
          <w:spacing w:val="2"/>
          <w:sz w:val="21"/>
          <w:szCs w:val="21"/>
        </w:rPr>
        <w:t>．股本</w:t>
      </w:r>
      <w:r>
        <w:rPr>
          <w:rFonts w:ascii="宋体" w:hAnsi="宋体" w:cs="宋体" w:eastAsia="宋体" w:hint="default"/>
          <w:spacing w:val="2"/>
          <w:sz w:val="21"/>
          <w:szCs w:val="21"/>
        </w:rPr>
      </w:r>
    </w:p>
    <w:p>
      <w:pPr>
        <w:spacing w:before="178"/>
        <w:ind w:left="1038" w:right="6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）本年内股本变动情况如下：</w:t>
      </w:r>
    </w:p>
    <w:p>
      <w:pPr>
        <w:spacing w:line="240" w:lineRule="auto" w:before="7"/>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1416"/>
        <w:gridCol w:w="1131"/>
        <w:gridCol w:w="679"/>
        <w:gridCol w:w="487"/>
        <w:gridCol w:w="283"/>
        <w:gridCol w:w="1052"/>
        <w:gridCol w:w="1176"/>
        <w:gridCol w:w="1013"/>
        <w:gridCol w:w="1208"/>
        <w:gridCol w:w="766"/>
      </w:tblGrid>
      <w:tr>
        <w:trPr>
          <w:trHeight w:val="415" w:hRule="exact"/>
        </w:trPr>
        <w:tc>
          <w:tcPr>
            <w:tcW w:w="1416"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181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4011"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1"/>
                <w:sz w:val="21"/>
                <w:szCs w:val="21"/>
              </w:rPr>
              <w:t> </w:t>
            </w:r>
            <w:r>
              <w:rPr>
                <w:rFonts w:ascii="宋体" w:hAnsi="宋体" w:cs="宋体" w:eastAsia="宋体" w:hint="default"/>
                <w:sz w:val="21"/>
                <w:szCs w:val="21"/>
              </w:rPr>
              <w:t>减</w:t>
            </w:r>
          </w:p>
        </w:tc>
        <w:tc>
          <w:tcPr>
            <w:tcW w:w="197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34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679" w:hRule="exact"/>
        </w:trPr>
        <w:tc>
          <w:tcPr>
            <w:tcW w:w="1416" w:type="dxa"/>
            <w:vMerge/>
            <w:tcBorders>
              <w:left w:val="nil" w:sz="6" w:space="0" w:color="auto"/>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45"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1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3" w:right="2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8" w:right="26"/>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10" w:right="96"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8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84"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10" w:hRule="exact"/>
        </w:trPr>
        <w:tc>
          <w:tcPr>
            <w:tcW w:w="14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43" w:right="2"/>
              <w:jc w:val="left"/>
              <w:rPr>
                <w:rFonts w:ascii="宋体" w:hAnsi="宋体" w:cs="宋体" w:eastAsia="宋体" w:hint="default"/>
                <w:sz w:val="18"/>
                <w:szCs w:val="18"/>
              </w:rPr>
            </w:pPr>
            <w:r>
              <w:rPr>
                <w:rFonts w:ascii="宋体" w:hAnsi="宋体" w:cs="宋体" w:eastAsia="宋体" w:hint="default"/>
                <w:spacing w:val="14"/>
                <w:sz w:val="18"/>
                <w:szCs w:val="18"/>
              </w:rPr>
              <w:t>一、有限售条件 </w:t>
            </w:r>
            <w:r>
              <w:rPr>
                <w:rFonts w:ascii="宋体" w:hAnsi="宋体" w:cs="宋体" w:eastAsia="宋体" w:hint="default"/>
                <w:sz w:val="18"/>
                <w:szCs w:val="18"/>
              </w:rPr>
              <w:t>股份</w:t>
            </w:r>
          </w:p>
        </w:tc>
        <w:tc>
          <w:tcPr>
            <w:tcW w:w="1131"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487"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052" w:type="dxa"/>
            <w:tcBorders>
              <w:top w:val="single" w:sz="6" w:space="0" w:color="000000"/>
              <w:left w:val="single" w:sz="6" w:space="0" w:color="000000"/>
              <w:bottom w:val="single" w:sz="12" w:space="0" w:color="000000"/>
              <w:right w:val="single" w:sz="6" w:space="0" w:color="000000"/>
            </w:tcBorders>
          </w:tcPr>
          <w:p>
            <w:pPr/>
          </w:p>
        </w:tc>
        <w:tc>
          <w:tcPr>
            <w:tcW w:w="1176" w:type="dxa"/>
            <w:tcBorders>
              <w:top w:val="single" w:sz="6" w:space="0" w:color="000000"/>
              <w:left w:val="single" w:sz="6" w:space="0" w:color="000000"/>
              <w:bottom w:val="single" w:sz="12" w:space="0" w:color="000000"/>
              <w:right w:val="single" w:sz="6" w:space="0" w:color="000000"/>
            </w:tcBorders>
          </w:tcPr>
          <w:p>
            <w:pPr/>
          </w:p>
        </w:tc>
        <w:tc>
          <w:tcPr>
            <w:tcW w:w="1013" w:type="dxa"/>
            <w:tcBorders>
              <w:top w:val="single" w:sz="6" w:space="0" w:color="000000"/>
              <w:left w:val="single" w:sz="6" w:space="0" w:color="000000"/>
              <w:bottom w:val="single" w:sz="12" w:space="0" w:color="000000"/>
              <w:right w:val="single" w:sz="6" w:space="0" w:color="000000"/>
            </w:tcBorders>
          </w:tcPr>
          <w:p>
            <w:pPr/>
          </w:p>
        </w:tc>
        <w:tc>
          <w:tcPr>
            <w:tcW w:w="1208" w:type="dxa"/>
            <w:tcBorders>
              <w:top w:val="single" w:sz="6" w:space="0" w:color="000000"/>
              <w:left w:val="single" w:sz="6" w:space="0" w:color="000000"/>
              <w:bottom w:val="single" w:sz="12" w:space="0" w:color="000000"/>
              <w:right w:val="single" w:sz="6" w:space="0" w:color="000000"/>
            </w:tcBorders>
          </w:tcPr>
          <w:p>
            <w:pPr/>
          </w:p>
        </w:tc>
        <w:tc>
          <w:tcPr>
            <w:tcW w:w="76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16" w:footer="858" w:top="1160" w:bottom="1040" w:left="1180" w:right="1180"/>
        </w:sectPr>
      </w:pPr>
    </w:p>
    <w:p>
      <w:pPr>
        <w:spacing w:line="240" w:lineRule="auto" w:before="9"/>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1416"/>
        <w:gridCol w:w="1131"/>
        <w:gridCol w:w="679"/>
        <w:gridCol w:w="487"/>
        <w:gridCol w:w="283"/>
        <w:gridCol w:w="1052"/>
        <w:gridCol w:w="1176"/>
        <w:gridCol w:w="1013"/>
        <w:gridCol w:w="1208"/>
        <w:gridCol w:w="766"/>
      </w:tblGrid>
      <w:tr>
        <w:trPr>
          <w:trHeight w:val="416" w:hRule="exact"/>
        </w:trPr>
        <w:tc>
          <w:tcPr>
            <w:tcW w:w="141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181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4011"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1"/>
                <w:sz w:val="21"/>
                <w:szCs w:val="21"/>
              </w:rPr>
              <w:t> </w:t>
            </w:r>
            <w:r>
              <w:rPr>
                <w:rFonts w:ascii="宋体" w:hAnsi="宋体" w:cs="宋体" w:eastAsia="宋体" w:hint="default"/>
                <w:sz w:val="21"/>
                <w:szCs w:val="21"/>
              </w:rPr>
              <w:t>减</w:t>
            </w:r>
          </w:p>
        </w:tc>
        <w:tc>
          <w:tcPr>
            <w:tcW w:w="197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34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679" w:hRule="exact"/>
        </w:trPr>
        <w:tc>
          <w:tcPr>
            <w:tcW w:w="1416" w:type="dxa"/>
            <w:vMerge/>
            <w:tcBorders>
              <w:left w:val="nil" w:sz="6" w:space="0" w:color="auto"/>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45"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1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3" w:right="2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8" w:right="26"/>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10" w:right="96"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6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8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84"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70"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5"/>
                <w:sz w:val="18"/>
                <w:szCs w:val="18"/>
              </w:rPr>
              <w:t> </w:t>
            </w:r>
            <w:r>
              <w:rPr>
                <w:rFonts w:ascii="宋体" w:hAnsi="宋体" w:cs="宋体" w:eastAsia="宋体" w:hint="default"/>
                <w:sz w:val="18"/>
                <w:szCs w:val="18"/>
              </w:rPr>
              <w:t>国家持股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Arial Narrow" w:hAnsi="Arial Narrow" w:cs="Arial Narrow" w:eastAsia="Arial Narrow" w:hint="default"/>
                <w:sz w:val="18"/>
                <w:szCs w:val="18"/>
              </w:rPr>
            </w:pPr>
            <w:r>
              <w:rPr>
                <w:rFonts w:ascii="Arial Narrow"/>
                <w:spacing w:val="-18"/>
                <w:sz w:val="18"/>
              </w:rPr>
              <w:t>2,800,000.00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Arial Narrow" w:hAnsi="Arial Narrow" w:cs="Arial Narrow" w:eastAsia="Arial Narrow" w:hint="default"/>
                <w:sz w:val="18"/>
                <w:szCs w:val="18"/>
              </w:rPr>
            </w:pPr>
            <w:r>
              <w:rPr>
                <w:rFonts w:ascii="Arial Narrow"/>
                <w:spacing w:val="-15"/>
                <w:sz w:val="18"/>
              </w:rPr>
              <w:t>2.55%</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5"/>
              <w:jc w:val="right"/>
              <w:rPr>
                <w:rFonts w:ascii="Arial Narrow" w:hAnsi="Arial Narrow" w:cs="Arial Narrow" w:eastAsia="Arial Narrow" w:hint="default"/>
                <w:sz w:val="18"/>
                <w:szCs w:val="18"/>
              </w:rPr>
            </w:pPr>
            <w:r>
              <w:rPr>
                <w:rFonts w:ascii="Arial Narrow"/>
                <w:spacing w:val="-18"/>
                <w:sz w:val="18"/>
              </w:rPr>
              <w:t>1,400,000.00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63" w:right="0"/>
              <w:jc w:val="left"/>
              <w:rPr>
                <w:rFonts w:ascii="Arial Narrow" w:hAnsi="Arial Narrow" w:cs="Arial Narrow" w:eastAsia="Arial Narrow" w:hint="default"/>
                <w:sz w:val="18"/>
                <w:szCs w:val="18"/>
              </w:rPr>
            </w:pPr>
            <w:r>
              <w:rPr>
                <w:rFonts w:ascii="Arial Narrow"/>
                <w:spacing w:val="-18"/>
                <w:sz w:val="18"/>
              </w:rPr>
              <w:t>-4,200,000.00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00" w:right="0"/>
              <w:jc w:val="left"/>
              <w:rPr>
                <w:rFonts w:ascii="Arial Narrow" w:hAnsi="Arial Narrow" w:cs="Arial Narrow" w:eastAsia="Arial Narrow" w:hint="default"/>
                <w:sz w:val="18"/>
                <w:szCs w:val="18"/>
              </w:rPr>
            </w:pPr>
            <w:r>
              <w:rPr>
                <w:rFonts w:ascii="Arial Narrow"/>
                <w:spacing w:val="-18"/>
                <w:sz w:val="18"/>
              </w:rPr>
              <w:t>-2,800,000.00</w:t>
            </w: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5"/>
                <w:sz w:val="18"/>
                <w:szCs w:val="18"/>
              </w:rPr>
              <w:t> </w:t>
            </w:r>
            <w:r>
              <w:rPr>
                <w:rFonts w:ascii="宋体" w:hAnsi="宋体" w:cs="宋体" w:eastAsia="宋体" w:hint="default"/>
                <w:sz w:val="18"/>
                <w:szCs w:val="18"/>
              </w:rPr>
              <w:t>国有法人持股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
              <w:jc w:val="right"/>
              <w:rPr>
                <w:rFonts w:ascii="Arial Narrow" w:hAnsi="Arial Narrow" w:cs="Arial Narrow" w:eastAsia="Arial Narrow" w:hint="default"/>
                <w:sz w:val="18"/>
                <w:szCs w:val="18"/>
              </w:rPr>
            </w:pPr>
            <w:r>
              <w:rPr>
                <w:rFonts w:ascii="Arial Narrow"/>
                <w:spacing w:val="-18"/>
                <w:sz w:val="18"/>
              </w:rPr>
              <w:t>15,274,703.00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3"/>
              <w:jc w:val="right"/>
              <w:rPr>
                <w:rFonts w:ascii="Arial Narrow" w:hAnsi="Arial Narrow" w:cs="Arial Narrow" w:eastAsia="Arial Narrow" w:hint="default"/>
                <w:sz w:val="18"/>
                <w:szCs w:val="18"/>
              </w:rPr>
            </w:pPr>
            <w:r>
              <w:rPr>
                <w:rFonts w:ascii="Arial Narrow"/>
                <w:spacing w:val="-16"/>
                <w:sz w:val="18"/>
              </w:rPr>
              <w:t>13.88%</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5"/>
              <w:jc w:val="right"/>
              <w:rPr>
                <w:rFonts w:ascii="Arial Narrow" w:hAnsi="Arial Narrow" w:cs="Arial Narrow" w:eastAsia="Arial Narrow" w:hint="default"/>
                <w:sz w:val="18"/>
                <w:szCs w:val="18"/>
              </w:rPr>
            </w:pPr>
            <w:r>
              <w:rPr>
                <w:rFonts w:ascii="Arial Narrow"/>
                <w:spacing w:val="-18"/>
                <w:sz w:val="18"/>
              </w:rPr>
              <w:t>7,637,351.00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00" w:right="0"/>
              <w:jc w:val="left"/>
              <w:rPr>
                <w:rFonts w:ascii="Arial Narrow" w:hAnsi="Arial Narrow" w:cs="Arial Narrow" w:eastAsia="Arial Narrow" w:hint="default"/>
                <w:sz w:val="18"/>
                <w:szCs w:val="18"/>
              </w:rPr>
            </w:pPr>
            <w:r>
              <w:rPr>
                <w:rFonts w:ascii="Arial Narrow"/>
                <w:spacing w:val="-18"/>
                <w:sz w:val="18"/>
              </w:rPr>
              <w:t>-22,912,054.00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35" w:right="0"/>
              <w:jc w:val="left"/>
              <w:rPr>
                <w:rFonts w:ascii="Arial Narrow" w:hAnsi="Arial Narrow" w:cs="Arial Narrow" w:eastAsia="Arial Narrow" w:hint="default"/>
                <w:sz w:val="18"/>
                <w:szCs w:val="18"/>
              </w:rPr>
            </w:pPr>
            <w:r>
              <w:rPr>
                <w:rFonts w:ascii="Arial Narrow"/>
                <w:spacing w:val="-18"/>
                <w:sz w:val="18"/>
              </w:rPr>
              <w:t>-15,274,703.00</w:t>
            </w: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370"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5"/>
                <w:sz w:val="18"/>
                <w:szCs w:val="18"/>
              </w:rPr>
              <w:t> </w:t>
            </w:r>
            <w:r>
              <w:rPr>
                <w:rFonts w:ascii="宋体" w:hAnsi="宋体" w:cs="宋体" w:eastAsia="宋体" w:hint="default"/>
                <w:sz w:val="18"/>
                <w:szCs w:val="18"/>
              </w:rPr>
              <w:t>其他内资持股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Arial Narrow" w:hAnsi="Arial Narrow" w:cs="Arial Narrow" w:eastAsia="Arial Narrow" w:hint="default"/>
                <w:sz w:val="18"/>
                <w:szCs w:val="18"/>
              </w:rPr>
            </w:pPr>
            <w:r>
              <w:rPr>
                <w:rFonts w:ascii="Arial Narrow"/>
                <w:spacing w:val="-18"/>
                <w:sz w:val="18"/>
              </w:rPr>
              <w:t>63,925,297.00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3"/>
              <w:jc w:val="right"/>
              <w:rPr>
                <w:rFonts w:ascii="Arial Narrow" w:hAnsi="Arial Narrow" w:cs="Arial Narrow" w:eastAsia="Arial Narrow" w:hint="default"/>
                <w:sz w:val="18"/>
                <w:szCs w:val="18"/>
              </w:rPr>
            </w:pPr>
            <w:r>
              <w:rPr>
                <w:rFonts w:ascii="Arial Narrow"/>
                <w:spacing w:val="-16"/>
                <w:sz w:val="18"/>
              </w:rPr>
              <w:t>58.12%</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5"/>
              <w:jc w:val="right"/>
              <w:rPr>
                <w:rFonts w:ascii="Arial Narrow" w:hAnsi="Arial Narrow" w:cs="Arial Narrow" w:eastAsia="Arial Narrow" w:hint="default"/>
                <w:sz w:val="18"/>
                <w:szCs w:val="18"/>
              </w:rPr>
            </w:pPr>
            <w:r>
              <w:rPr>
                <w:rFonts w:ascii="Arial Narrow"/>
                <w:spacing w:val="-18"/>
                <w:sz w:val="18"/>
              </w:rPr>
              <w:t>31,962,649.00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63" w:right="0"/>
              <w:jc w:val="left"/>
              <w:rPr>
                <w:rFonts w:ascii="Arial Narrow" w:hAnsi="Arial Narrow" w:cs="Arial Narrow" w:eastAsia="Arial Narrow" w:hint="default"/>
                <w:sz w:val="18"/>
                <w:szCs w:val="18"/>
              </w:rPr>
            </w:pPr>
            <w:r>
              <w:rPr>
                <w:rFonts w:ascii="Arial Narrow"/>
                <w:spacing w:val="-18"/>
                <w:sz w:val="18"/>
              </w:rPr>
              <w:t>-8,655,156.00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6" w:right="0"/>
              <w:jc w:val="left"/>
              <w:rPr>
                <w:rFonts w:ascii="Arial Narrow" w:hAnsi="Arial Narrow" w:cs="Arial Narrow" w:eastAsia="Arial Narrow" w:hint="default"/>
                <w:sz w:val="18"/>
                <w:szCs w:val="18"/>
              </w:rPr>
            </w:pPr>
            <w:r>
              <w:rPr>
                <w:rFonts w:ascii="Arial Narrow"/>
                <w:spacing w:val="-18"/>
                <w:sz w:val="18"/>
              </w:rPr>
              <w:t>23,307,493.00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Arial Narrow" w:hAnsi="Arial Narrow" w:cs="Arial Narrow" w:eastAsia="Arial Narrow" w:hint="default"/>
                <w:sz w:val="18"/>
                <w:szCs w:val="18"/>
              </w:rPr>
            </w:pPr>
            <w:r>
              <w:rPr>
                <w:rFonts w:ascii="Arial Narrow"/>
                <w:spacing w:val="-18"/>
                <w:sz w:val="18"/>
              </w:rPr>
              <w:t>87,232,790.00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
              <w:jc w:val="right"/>
              <w:rPr>
                <w:rFonts w:ascii="Arial Narrow" w:hAnsi="Arial Narrow" w:cs="Arial Narrow" w:eastAsia="Arial Narrow" w:hint="default"/>
                <w:sz w:val="18"/>
                <w:szCs w:val="18"/>
              </w:rPr>
            </w:pPr>
            <w:r>
              <w:rPr>
                <w:rFonts w:ascii="Arial Narrow"/>
                <w:spacing w:val="-16"/>
                <w:sz w:val="18"/>
              </w:rPr>
              <w:t>52.87%</w:t>
            </w:r>
          </w:p>
        </w:tc>
      </w:tr>
      <w:tr>
        <w:trPr>
          <w:trHeight w:val="600"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4"/>
              <w:ind w:left="43" w:right="2"/>
              <w:jc w:val="left"/>
              <w:rPr>
                <w:rFonts w:ascii="宋体" w:hAnsi="宋体" w:cs="宋体" w:eastAsia="宋体" w:hint="default"/>
                <w:sz w:val="18"/>
                <w:szCs w:val="18"/>
              </w:rPr>
            </w:pPr>
            <w:r>
              <w:rPr>
                <w:rFonts w:ascii="宋体" w:hAnsi="宋体" w:cs="宋体" w:eastAsia="宋体" w:hint="default"/>
                <w:spacing w:val="14"/>
                <w:sz w:val="18"/>
                <w:szCs w:val="18"/>
              </w:rPr>
              <w:t>其中：境内非国 </w:t>
            </w:r>
            <w:r>
              <w:rPr>
                <w:rFonts w:ascii="宋体" w:hAnsi="宋体" w:cs="宋体" w:eastAsia="宋体" w:hint="default"/>
                <w:sz w:val="18"/>
                <w:szCs w:val="18"/>
              </w:rPr>
              <w:t>有法人持股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8"/>
                <w:sz w:val="18"/>
              </w:rPr>
              <w:t>29,642,513.00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right"/>
              <w:rPr>
                <w:rFonts w:ascii="Arial Narrow" w:hAnsi="Arial Narrow" w:cs="Arial Narrow" w:eastAsia="Arial Narrow" w:hint="default"/>
                <w:sz w:val="18"/>
                <w:szCs w:val="18"/>
              </w:rPr>
            </w:pPr>
            <w:r>
              <w:rPr>
                <w:rFonts w:ascii="Arial Narrow"/>
                <w:spacing w:val="-16"/>
                <w:sz w:val="18"/>
              </w:rPr>
              <w:t>26.95%</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8"/>
                <w:sz w:val="18"/>
              </w:rPr>
              <w:t>14,821,257.00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3" w:right="0"/>
              <w:jc w:val="left"/>
              <w:rPr>
                <w:rFonts w:ascii="Arial Narrow" w:hAnsi="Arial Narrow" w:cs="Arial Narrow" w:eastAsia="Arial Narrow" w:hint="default"/>
                <w:sz w:val="18"/>
                <w:szCs w:val="18"/>
              </w:rPr>
            </w:pPr>
            <w:r>
              <w:rPr>
                <w:rFonts w:ascii="Arial Narrow"/>
                <w:spacing w:val="-18"/>
                <w:sz w:val="18"/>
              </w:rPr>
              <w:t>-7,394,198.00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1" w:right="0"/>
              <w:jc w:val="left"/>
              <w:rPr>
                <w:rFonts w:ascii="Arial Narrow" w:hAnsi="Arial Narrow" w:cs="Arial Narrow" w:eastAsia="Arial Narrow" w:hint="default"/>
                <w:sz w:val="18"/>
                <w:szCs w:val="18"/>
              </w:rPr>
            </w:pPr>
            <w:r>
              <w:rPr>
                <w:rFonts w:ascii="Arial Narrow"/>
                <w:spacing w:val="-18"/>
                <w:sz w:val="18"/>
              </w:rPr>
              <w:t>7,427,059.00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8"/>
                <w:sz w:val="18"/>
              </w:rPr>
              <w:t>37,069,572.00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
              <w:jc w:val="right"/>
              <w:rPr>
                <w:rFonts w:ascii="Arial Narrow" w:hAnsi="Arial Narrow" w:cs="Arial Narrow" w:eastAsia="Arial Narrow" w:hint="default"/>
                <w:sz w:val="18"/>
                <w:szCs w:val="18"/>
              </w:rPr>
            </w:pPr>
            <w:r>
              <w:rPr>
                <w:rFonts w:ascii="Arial Narrow"/>
                <w:spacing w:val="-16"/>
                <w:sz w:val="18"/>
              </w:rPr>
              <w:t>22.47%</w:t>
            </w: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7"/>
              <w:ind w:left="43" w:right="-10" w:firstLine="540"/>
              <w:jc w:val="left"/>
              <w:rPr>
                <w:rFonts w:ascii="宋体" w:hAnsi="宋体" w:cs="宋体" w:eastAsia="宋体" w:hint="default"/>
                <w:sz w:val="18"/>
                <w:szCs w:val="18"/>
              </w:rPr>
            </w:pPr>
            <w:r>
              <w:rPr>
                <w:rFonts w:ascii="宋体" w:hAnsi="宋体" w:cs="宋体" w:eastAsia="宋体" w:hint="default"/>
                <w:spacing w:val="21"/>
                <w:sz w:val="18"/>
                <w:szCs w:val="18"/>
              </w:rPr>
              <w:t>境内自然</w:t>
            </w:r>
            <w:r>
              <w:rPr>
                <w:rFonts w:ascii="宋体" w:hAnsi="宋体" w:cs="宋体" w:eastAsia="宋体" w:hint="default"/>
                <w:spacing w:val="-62"/>
                <w:sz w:val="18"/>
                <w:szCs w:val="18"/>
              </w:rPr>
              <w:t> </w:t>
            </w:r>
            <w:r>
              <w:rPr>
                <w:rFonts w:ascii="宋体" w:hAnsi="宋体" w:cs="宋体" w:eastAsia="宋体" w:hint="default"/>
                <w:sz w:val="18"/>
                <w:szCs w:val="18"/>
              </w:rPr>
              <w:t>人持股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8"/>
                <w:sz w:val="18"/>
              </w:rPr>
              <w:t>34,282,784.00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right"/>
              <w:rPr>
                <w:rFonts w:ascii="Arial Narrow" w:hAnsi="Arial Narrow" w:cs="Arial Narrow" w:eastAsia="Arial Narrow" w:hint="default"/>
                <w:sz w:val="18"/>
                <w:szCs w:val="18"/>
              </w:rPr>
            </w:pPr>
            <w:r>
              <w:rPr>
                <w:rFonts w:ascii="Arial Narrow"/>
                <w:spacing w:val="-16"/>
                <w:sz w:val="18"/>
              </w:rPr>
              <w:t>31.17%</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8"/>
                <w:sz w:val="18"/>
              </w:rPr>
              <w:t>17,141,392.00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3" w:right="0"/>
              <w:jc w:val="left"/>
              <w:rPr>
                <w:rFonts w:ascii="Arial Narrow" w:hAnsi="Arial Narrow" w:cs="Arial Narrow" w:eastAsia="Arial Narrow" w:hint="default"/>
                <w:sz w:val="18"/>
                <w:szCs w:val="18"/>
              </w:rPr>
            </w:pPr>
            <w:r>
              <w:rPr>
                <w:rFonts w:ascii="Arial Narrow"/>
                <w:spacing w:val="-18"/>
                <w:sz w:val="18"/>
              </w:rPr>
              <w:t>-1,260,958.00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6" w:right="0"/>
              <w:jc w:val="left"/>
              <w:rPr>
                <w:rFonts w:ascii="Arial Narrow" w:hAnsi="Arial Narrow" w:cs="Arial Narrow" w:eastAsia="Arial Narrow" w:hint="default"/>
                <w:sz w:val="18"/>
                <w:szCs w:val="18"/>
              </w:rPr>
            </w:pPr>
            <w:r>
              <w:rPr>
                <w:rFonts w:ascii="Arial Narrow"/>
                <w:spacing w:val="-18"/>
                <w:sz w:val="18"/>
              </w:rPr>
              <w:t>15,880,434.00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8"/>
                <w:sz w:val="18"/>
              </w:rPr>
              <w:t>50,163,218.00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Arial Narrow" w:hAnsi="Arial Narrow" w:cs="Arial Narrow" w:eastAsia="Arial Narrow" w:hint="default"/>
                <w:sz w:val="18"/>
                <w:szCs w:val="18"/>
              </w:rPr>
            </w:pPr>
            <w:r>
              <w:rPr>
                <w:rFonts w:ascii="Arial Narrow"/>
                <w:spacing w:val="-16"/>
                <w:sz w:val="18"/>
              </w:rPr>
              <w:t>30.40%</w:t>
            </w:r>
          </w:p>
        </w:tc>
      </w:tr>
      <w:tr>
        <w:trPr>
          <w:trHeight w:val="370"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601"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5"/>
              <w:ind w:left="43" w:right="2"/>
              <w:jc w:val="left"/>
              <w:rPr>
                <w:rFonts w:ascii="宋体" w:hAnsi="宋体" w:cs="宋体" w:eastAsia="宋体" w:hint="default"/>
                <w:sz w:val="18"/>
                <w:szCs w:val="18"/>
              </w:rPr>
            </w:pPr>
            <w:r>
              <w:rPr>
                <w:rFonts w:ascii="宋体" w:hAnsi="宋体" w:cs="宋体" w:eastAsia="宋体" w:hint="default"/>
                <w:spacing w:val="14"/>
                <w:sz w:val="18"/>
                <w:szCs w:val="18"/>
              </w:rPr>
              <w:t>其中：境外法人 </w:t>
            </w:r>
            <w:r>
              <w:rPr>
                <w:rFonts w:ascii="宋体" w:hAnsi="宋体" w:cs="宋体" w:eastAsia="宋体" w:hint="default"/>
                <w:sz w:val="18"/>
                <w:szCs w:val="18"/>
              </w:rPr>
              <w:t>持股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7"/>
              <w:ind w:left="43" w:right="-8" w:firstLine="537"/>
              <w:jc w:val="left"/>
              <w:rPr>
                <w:rFonts w:ascii="宋体" w:hAnsi="宋体" w:cs="宋体" w:eastAsia="宋体" w:hint="default"/>
                <w:sz w:val="18"/>
                <w:szCs w:val="18"/>
              </w:rPr>
            </w:pPr>
            <w:r>
              <w:rPr>
                <w:rFonts w:ascii="宋体" w:hAnsi="宋体" w:cs="宋体" w:eastAsia="宋体" w:hint="default"/>
                <w:spacing w:val="21"/>
                <w:sz w:val="18"/>
                <w:szCs w:val="18"/>
              </w:rPr>
              <w:t>境外自然</w:t>
            </w:r>
            <w:r>
              <w:rPr>
                <w:rFonts w:ascii="宋体" w:hAnsi="宋体" w:cs="宋体" w:eastAsia="宋体" w:hint="default"/>
                <w:spacing w:val="-62"/>
                <w:sz w:val="18"/>
                <w:szCs w:val="18"/>
              </w:rPr>
              <w:t> </w:t>
            </w:r>
            <w:r>
              <w:rPr>
                <w:rFonts w:ascii="宋体" w:hAnsi="宋体" w:cs="宋体" w:eastAsia="宋体" w:hint="default"/>
                <w:sz w:val="18"/>
                <w:szCs w:val="18"/>
              </w:rPr>
              <w:t>人持股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2" w:firstLine="180"/>
              <w:jc w:val="left"/>
              <w:rPr>
                <w:rFonts w:ascii="宋体" w:hAnsi="宋体" w:cs="宋体" w:eastAsia="宋体" w:hint="default"/>
                <w:sz w:val="18"/>
                <w:szCs w:val="18"/>
              </w:rPr>
            </w:pPr>
            <w:r>
              <w:rPr>
                <w:rFonts w:ascii="宋体" w:hAnsi="宋体" w:cs="宋体" w:eastAsia="宋体" w:hint="default"/>
                <w:spacing w:val="13"/>
                <w:sz w:val="18"/>
                <w:szCs w:val="18"/>
              </w:rPr>
              <w:t>有限售条件股</w:t>
            </w:r>
            <w:r>
              <w:rPr>
                <w:rFonts w:ascii="宋体" w:hAnsi="宋体" w:cs="宋体" w:eastAsia="宋体" w:hint="default"/>
                <w:spacing w:val="-74"/>
                <w:sz w:val="18"/>
                <w:szCs w:val="18"/>
              </w:rPr>
              <w:t> </w:t>
            </w:r>
            <w:r>
              <w:rPr>
                <w:rFonts w:ascii="宋体" w:hAnsi="宋体" w:cs="宋体" w:eastAsia="宋体" w:hint="default"/>
                <w:sz w:val="18"/>
                <w:szCs w:val="18"/>
              </w:rPr>
              <w:t>份合计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8"/>
                <w:sz w:val="18"/>
              </w:rPr>
              <w:t>82,000,000.00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right"/>
              <w:rPr>
                <w:rFonts w:ascii="Arial Narrow" w:hAnsi="Arial Narrow" w:cs="Arial Narrow" w:eastAsia="Arial Narrow" w:hint="default"/>
                <w:sz w:val="18"/>
                <w:szCs w:val="18"/>
              </w:rPr>
            </w:pPr>
            <w:r>
              <w:rPr>
                <w:rFonts w:ascii="Arial Narrow"/>
                <w:spacing w:val="-16"/>
                <w:sz w:val="18"/>
              </w:rPr>
              <w:t>74.55%</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8"/>
                <w:sz w:val="18"/>
              </w:rPr>
              <w:t>41,000,000.00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0" w:right="0"/>
              <w:jc w:val="left"/>
              <w:rPr>
                <w:rFonts w:ascii="Arial Narrow" w:hAnsi="Arial Narrow" w:cs="Arial Narrow" w:eastAsia="Arial Narrow" w:hint="default"/>
                <w:sz w:val="18"/>
                <w:szCs w:val="18"/>
              </w:rPr>
            </w:pPr>
            <w:r>
              <w:rPr>
                <w:rFonts w:ascii="Arial Narrow"/>
                <w:spacing w:val="-18"/>
                <w:sz w:val="18"/>
              </w:rPr>
              <w:t>-35,767,210.00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1" w:right="0"/>
              <w:jc w:val="left"/>
              <w:rPr>
                <w:rFonts w:ascii="Arial Narrow" w:hAnsi="Arial Narrow" w:cs="Arial Narrow" w:eastAsia="Arial Narrow" w:hint="default"/>
                <w:sz w:val="18"/>
                <w:szCs w:val="18"/>
              </w:rPr>
            </w:pPr>
            <w:r>
              <w:rPr>
                <w:rFonts w:ascii="Arial Narrow"/>
                <w:spacing w:val="-18"/>
                <w:sz w:val="18"/>
              </w:rPr>
              <w:t>5,232,790.00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8"/>
                <w:sz w:val="18"/>
              </w:rPr>
              <w:t>87,232,790.00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Arial Narrow" w:hAnsi="Arial Narrow" w:cs="Arial Narrow" w:eastAsia="Arial Narrow" w:hint="default"/>
                <w:sz w:val="18"/>
                <w:szCs w:val="18"/>
              </w:rPr>
            </w:pPr>
            <w:r>
              <w:rPr>
                <w:rFonts w:ascii="Arial Narrow"/>
                <w:spacing w:val="-16"/>
                <w:sz w:val="18"/>
              </w:rPr>
              <w:t>52.87%</w:t>
            </w: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4"/>
              <w:ind w:left="43" w:right="2"/>
              <w:jc w:val="left"/>
              <w:rPr>
                <w:rFonts w:ascii="宋体" w:hAnsi="宋体" w:cs="宋体" w:eastAsia="宋体" w:hint="default"/>
                <w:sz w:val="18"/>
                <w:szCs w:val="18"/>
              </w:rPr>
            </w:pPr>
            <w:r>
              <w:rPr>
                <w:rFonts w:ascii="宋体" w:hAnsi="宋体" w:cs="宋体" w:eastAsia="宋体" w:hint="default"/>
                <w:spacing w:val="14"/>
                <w:sz w:val="18"/>
                <w:szCs w:val="18"/>
              </w:rPr>
              <w:t>二、无限售条件 </w:t>
            </w:r>
            <w:r>
              <w:rPr>
                <w:rFonts w:ascii="宋体" w:hAnsi="宋体" w:cs="宋体" w:eastAsia="宋体" w:hint="default"/>
                <w:sz w:val="18"/>
                <w:szCs w:val="18"/>
              </w:rPr>
              <w:t>股份</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人民币普通股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Arial Narrow" w:hAnsi="Arial Narrow" w:cs="Arial Narrow" w:eastAsia="Arial Narrow" w:hint="default"/>
                <w:sz w:val="18"/>
                <w:szCs w:val="18"/>
              </w:rPr>
            </w:pPr>
            <w:r>
              <w:rPr>
                <w:rFonts w:ascii="Arial Narrow"/>
                <w:spacing w:val="-18"/>
                <w:sz w:val="18"/>
              </w:rPr>
              <w:t>28,000,000.00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3"/>
              <w:jc w:val="right"/>
              <w:rPr>
                <w:rFonts w:ascii="Arial Narrow" w:hAnsi="Arial Narrow" w:cs="Arial Narrow" w:eastAsia="Arial Narrow" w:hint="default"/>
                <w:sz w:val="18"/>
                <w:szCs w:val="18"/>
              </w:rPr>
            </w:pPr>
            <w:r>
              <w:rPr>
                <w:rFonts w:ascii="Arial Narrow"/>
                <w:spacing w:val="-16"/>
                <w:sz w:val="18"/>
              </w:rPr>
              <w:t>25.45%</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5"/>
              <w:jc w:val="right"/>
              <w:rPr>
                <w:rFonts w:ascii="Arial Narrow" w:hAnsi="Arial Narrow" w:cs="Arial Narrow" w:eastAsia="Arial Narrow" w:hint="default"/>
                <w:sz w:val="18"/>
                <w:szCs w:val="18"/>
              </w:rPr>
            </w:pPr>
            <w:r>
              <w:rPr>
                <w:rFonts w:ascii="Arial Narrow"/>
                <w:spacing w:val="-18"/>
                <w:sz w:val="18"/>
              </w:rPr>
              <w:t>14,000,000.00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432" w:right="0"/>
              <w:jc w:val="left"/>
              <w:rPr>
                <w:rFonts w:ascii="Arial Narrow" w:hAnsi="Arial Narrow" w:cs="Arial Narrow" w:eastAsia="Arial Narrow" w:hint="default"/>
                <w:sz w:val="18"/>
                <w:szCs w:val="18"/>
              </w:rPr>
            </w:pPr>
            <w:r>
              <w:rPr>
                <w:rFonts w:ascii="Arial Narrow"/>
                <w:spacing w:val="-18"/>
                <w:sz w:val="18"/>
              </w:rPr>
              <w:t>35,767,210.00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6" w:right="0"/>
              <w:jc w:val="left"/>
              <w:rPr>
                <w:rFonts w:ascii="Arial Narrow" w:hAnsi="Arial Narrow" w:cs="Arial Narrow" w:eastAsia="Arial Narrow" w:hint="default"/>
                <w:sz w:val="18"/>
                <w:szCs w:val="18"/>
              </w:rPr>
            </w:pPr>
            <w:r>
              <w:rPr>
                <w:rFonts w:ascii="Arial Narrow"/>
                <w:spacing w:val="-18"/>
                <w:sz w:val="18"/>
              </w:rPr>
              <w:t>49,767,210.00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Arial Narrow" w:hAnsi="Arial Narrow" w:cs="Arial Narrow" w:eastAsia="Arial Narrow" w:hint="default"/>
                <w:sz w:val="18"/>
                <w:szCs w:val="18"/>
              </w:rPr>
            </w:pPr>
            <w:r>
              <w:rPr>
                <w:rFonts w:ascii="Arial Narrow"/>
                <w:spacing w:val="-18"/>
                <w:sz w:val="18"/>
              </w:rPr>
              <w:t>77,767,210.00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
              <w:jc w:val="right"/>
              <w:rPr>
                <w:rFonts w:ascii="Arial Narrow" w:hAnsi="Arial Narrow" w:cs="Arial Narrow" w:eastAsia="Arial Narrow" w:hint="default"/>
                <w:sz w:val="18"/>
                <w:szCs w:val="18"/>
              </w:rPr>
            </w:pPr>
            <w:r>
              <w:rPr>
                <w:rFonts w:ascii="Arial Narrow"/>
                <w:spacing w:val="-16"/>
                <w:sz w:val="18"/>
              </w:rPr>
              <w:t>47.13%</w:t>
            </w: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6"/>
              <w:ind w:left="43" w:right="18"/>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15"/>
                <w:sz w:val="18"/>
                <w:szCs w:val="18"/>
              </w:rPr>
              <w:t> </w:t>
            </w:r>
            <w:r>
              <w:rPr>
                <w:rFonts w:ascii="宋体" w:hAnsi="宋体" w:cs="宋体" w:eastAsia="宋体" w:hint="default"/>
                <w:spacing w:val="7"/>
                <w:sz w:val="18"/>
                <w:szCs w:val="18"/>
              </w:rPr>
              <w:t>境内上市的外</w:t>
            </w:r>
            <w:r>
              <w:rPr>
                <w:rFonts w:ascii="宋体" w:hAnsi="宋体" w:cs="宋体" w:eastAsia="宋体" w:hint="default"/>
                <w:sz w:val="18"/>
                <w:szCs w:val="18"/>
              </w:rPr>
              <w:t> 资股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603"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6" w:lineRule="exact" w:before="51"/>
              <w:ind w:left="43" w:right="18"/>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15"/>
                <w:sz w:val="18"/>
                <w:szCs w:val="18"/>
              </w:rPr>
              <w:t> </w:t>
            </w:r>
            <w:r>
              <w:rPr>
                <w:rFonts w:ascii="宋体" w:hAnsi="宋体" w:cs="宋体" w:eastAsia="宋体" w:hint="default"/>
                <w:spacing w:val="7"/>
                <w:sz w:val="18"/>
                <w:szCs w:val="18"/>
              </w:rPr>
              <w:t>境外上市的外</w:t>
            </w:r>
            <w:r>
              <w:rPr>
                <w:rFonts w:ascii="宋体" w:hAnsi="宋体" w:cs="宋体" w:eastAsia="宋体" w:hint="default"/>
                <w:sz w:val="18"/>
                <w:szCs w:val="18"/>
              </w:rPr>
              <w:t> 资股</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w:t>
            </w:r>
          </w:p>
        </w:tc>
        <w:tc>
          <w:tcPr>
            <w:tcW w:w="113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nil" w:sz="6" w:space="0" w:color="auto"/>
            </w:tcBorders>
          </w:tcPr>
          <w:p>
            <w:pPr/>
          </w:p>
        </w:tc>
      </w:tr>
      <w:tr>
        <w:trPr>
          <w:trHeight w:val="602" w:hRule="exact"/>
        </w:trPr>
        <w:tc>
          <w:tcPr>
            <w:tcW w:w="1416"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57"/>
              <w:ind w:left="43" w:right="2" w:firstLine="180"/>
              <w:jc w:val="left"/>
              <w:rPr>
                <w:rFonts w:ascii="宋体" w:hAnsi="宋体" w:cs="宋体" w:eastAsia="宋体" w:hint="default"/>
                <w:sz w:val="18"/>
                <w:szCs w:val="18"/>
              </w:rPr>
            </w:pPr>
            <w:r>
              <w:rPr>
                <w:rFonts w:ascii="宋体" w:hAnsi="宋体" w:cs="宋体" w:eastAsia="宋体" w:hint="default"/>
                <w:spacing w:val="13"/>
                <w:sz w:val="18"/>
                <w:szCs w:val="18"/>
              </w:rPr>
              <w:t>无限售条件股</w:t>
            </w:r>
            <w:r>
              <w:rPr>
                <w:rFonts w:ascii="宋体" w:hAnsi="宋体" w:cs="宋体" w:eastAsia="宋体" w:hint="default"/>
                <w:spacing w:val="-74"/>
                <w:sz w:val="18"/>
                <w:szCs w:val="18"/>
              </w:rPr>
              <w:t> </w:t>
            </w:r>
            <w:r>
              <w:rPr>
                <w:rFonts w:ascii="宋体" w:hAnsi="宋体" w:cs="宋体" w:eastAsia="宋体" w:hint="default"/>
                <w:sz w:val="18"/>
                <w:szCs w:val="18"/>
              </w:rPr>
              <w:t>份合计</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8"/>
                <w:sz w:val="18"/>
              </w:rPr>
              <w:t>28,000,000.00</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right"/>
              <w:rPr>
                <w:rFonts w:ascii="Arial Narrow" w:hAnsi="Arial Narrow" w:cs="Arial Narrow" w:eastAsia="Arial Narrow" w:hint="default"/>
                <w:sz w:val="18"/>
                <w:szCs w:val="18"/>
              </w:rPr>
            </w:pPr>
            <w:r>
              <w:rPr>
                <w:rFonts w:ascii="Arial Narrow"/>
                <w:spacing w:val="-16"/>
                <w:sz w:val="18"/>
              </w:rPr>
              <w:t>25.45%</w:t>
            </w:r>
          </w:p>
        </w:tc>
        <w:tc>
          <w:tcPr>
            <w:tcW w:w="487"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right"/>
              <w:rPr>
                <w:rFonts w:ascii="Arial Narrow" w:hAnsi="Arial Narrow" w:cs="Arial Narrow" w:eastAsia="Arial Narrow" w:hint="default"/>
                <w:sz w:val="18"/>
                <w:szCs w:val="18"/>
              </w:rPr>
            </w:pPr>
            <w:r>
              <w:rPr>
                <w:rFonts w:ascii="Arial Narrow"/>
                <w:spacing w:val="-18"/>
                <w:sz w:val="18"/>
              </w:rPr>
              <w:t>14,000,000.00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2" w:right="0"/>
              <w:jc w:val="left"/>
              <w:rPr>
                <w:rFonts w:ascii="Arial Narrow" w:hAnsi="Arial Narrow" w:cs="Arial Narrow" w:eastAsia="Arial Narrow" w:hint="default"/>
                <w:sz w:val="18"/>
                <w:szCs w:val="18"/>
              </w:rPr>
            </w:pPr>
            <w:r>
              <w:rPr>
                <w:rFonts w:ascii="Arial Narrow"/>
                <w:spacing w:val="-18"/>
                <w:sz w:val="18"/>
              </w:rPr>
              <w:t>35,767,210.00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6" w:right="0"/>
              <w:jc w:val="left"/>
              <w:rPr>
                <w:rFonts w:ascii="Arial Narrow" w:hAnsi="Arial Narrow" w:cs="Arial Narrow" w:eastAsia="Arial Narrow" w:hint="default"/>
                <w:sz w:val="18"/>
                <w:szCs w:val="18"/>
              </w:rPr>
            </w:pPr>
            <w:r>
              <w:rPr>
                <w:rFonts w:ascii="Arial Narrow"/>
                <w:spacing w:val="-18"/>
                <w:sz w:val="18"/>
              </w:rPr>
              <w:t>49,767,210.00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Arial Narrow" w:hAnsi="Arial Narrow" w:cs="Arial Narrow" w:eastAsia="Arial Narrow" w:hint="default"/>
                <w:sz w:val="18"/>
                <w:szCs w:val="18"/>
              </w:rPr>
            </w:pPr>
            <w:r>
              <w:rPr>
                <w:rFonts w:ascii="Arial Narrow"/>
                <w:spacing w:val="-18"/>
                <w:sz w:val="18"/>
              </w:rPr>
              <w:t>77,767,210.00</w:t>
            </w:r>
          </w:p>
        </w:tc>
        <w:tc>
          <w:tcPr>
            <w:tcW w:w="7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Arial Narrow" w:hAnsi="Arial Narrow" w:cs="Arial Narrow" w:eastAsia="Arial Narrow" w:hint="default"/>
                <w:sz w:val="18"/>
                <w:szCs w:val="18"/>
              </w:rPr>
            </w:pPr>
            <w:r>
              <w:rPr>
                <w:rFonts w:ascii="Arial Narrow"/>
                <w:spacing w:val="-16"/>
                <w:sz w:val="18"/>
              </w:rPr>
              <w:t>47.13%</w:t>
            </w:r>
          </w:p>
        </w:tc>
      </w:tr>
      <w:tr>
        <w:trPr>
          <w:trHeight w:val="377" w:hRule="exact"/>
        </w:trPr>
        <w:tc>
          <w:tcPr>
            <w:tcW w:w="14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35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175" w:right="0"/>
              <w:jc w:val="left"/>
              <w:rPr>
                <w:rFonts w:ascii="Arial Narrow" w:hAnsi="Arial Narrow" w:cs="Arial Narrow" w:eastAsia="Arial Narrow" w:hint="default"/>
                <w:sz w:val="18"/>
                <w:szCs w:val="18"/>
              </w:rPr>
            </w:pPr>
            <w:r>
              <w:rPr>
                <w:rFonts w:ascii="Arial Narrow"/>
                <w:spacing w:val="-19"/>
                <w:sz w:val="18"/>
              </w:rPr>
              <w:t>110,000,000.00</w:t>
            </w:r>
          </w:p>
        </w:tc>
        <w:tc>
          <w:tcPr>
            <w:tcW w:w="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1"/>
              <w:jc w:val="right"/>
              <w:rPr>
                <w:rFonts w:ascii="Arial Narrow" w:hAnsi="Arial Narrow" w:cs="Arial Narrow" w:eastAsia="Arial Narrow" w:hint="default"/>
                <w:sz w:val="18"/>
                <w:szCs w:val="18"/>
              </w:rPr>
            </w:pPr>
            <w:r>
              <w:rPr>
                <w:rFonts w:ascii="Arial Narrow"/>
                <w:spacing w:val="-16"/>
                <w:sz w:val="18"/>
              </w:rPr>
              <w:t>100.00%</w:t>
            </w:r>
          </w:p>
        </w:tc>
        <w:tc>
          <w:tcPr>
            <w:tcW w:w="487" w:type="dxa"/>
            <w:tcBorders>
              <w:top w:val="single" w:sz="6" w:space="0" w:color="000000"/>
              <w:left w:val="single" w:sz="6" w:space="0" w:color="000000"/>
              <w:bottom w:val="single" w:sz="12" w:space="0" w:color="000000"/>
              <w:right w:val="single" w:sz="6" w:space="0" w:color="000000"/>
            </w:tcBorders>
          </w:tcPr>
          <w:p>
            <w:pPr/>
          </w:p>
        </w:tc>
        <w:tc>
          <w:tcPr>
            <w:tcW w:w="283" w:type="dxa"/>
            <w:tcBorders>
              <w:top w:val="single" w:sz="6" w:space="0" w:color="000000"/>
              <w:left w:val="single" w:sz="6" w:space="0" w:color="000000"/>
              <w:bottom w:val="single" w:sz="12" w:space="0" w:color="000000"/>
              <w:right w:val="single" w:sz="6" w:space="0" w:color="000000"/>
            </w:tcBorders>
          </w:tcPr>
          <w:p>
            <w:pPr/>
          </w:p>
        </w:tc>
        <w:tc>
          <w:tcPr>
            <w:tcW w:w="1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5"/>
              <w:jc w:val="right"/>
              <w:rPr>
                <w:rFonts w:ascii="Arial Narrow" w:hAnsi="Arial Narrow" w:cs="Arial Narrow" w:eastAsia="Arial Narrow" w:hint="default"/>
                <w:sz w:val="18"/>
                <w:szCs w:val="18"/>
              </w:rPr>
            </w:pPr>
            <w:r>
              <w:rPr>
                <w:rFonts w:ascii="Arial Narrow"/>
                <w:spacing w:val="-18"/>
                <w:sz w:val="18"/>
              </w:rPr>
              <w:t>55,000,000.00</w:t>
            </w:r>
          </w:p>
        </w:tc>
        <w:tc>
          <w:tcPr>
            <w:tcW w:w="1176" w:type="dxa"/>
            <w:tcBorders>
              <w:top w:val="single" w:sz="6" w:space="0" w:color="000000"/>
              <w:left w:val="single" w:sz="6" w:space="0" w:color="000000"/>
              <w:bottom w:val="single" w:sz="12" w:space="0" w:color="000000"/>
              <w:right w:val="single" w:sz="6" w:space="0" w:color="000000"/>
            </w:tcBorders>
          </w:tcPr>
          <w:p>
            <w:pPr/>
          </w:p>
        </w:tc>
        <w:tc>
          <w:tcPr>
            <w:tcW w:w="10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left="268" w:right="0"/>
              <w:jc w:val="left"/>
              <w:rPr>
                <w:rFonts w:ascii="Arial Narrow" w:hAnsi="Arial Narrow" w:cs="Arial Narrow" w:eastAsia="Arial Narrow" w:hint="default"/>
                <w:sz w:val="18"/>
                <w:szCs w:val="18"/>
              </w:rPr>
            </w:pPr>
            <w:r>
              <w:rPr>
                <w:rFonts w:ascii="Arial Narrow"/>
                <w:spacing w:val="-18"/>
                <w:sz w:val="18"/>
              </w:rPr>
              <w:t>55,000,000.00</w:t>
            </w:r>
          </w:p>
        </w:tc>
        <w:tc>
          <w:tcPr>
            <w:tcW w:w="1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1"/>
              <w:jc w:val="right"/>
              <w:rPr>
                <w:rFonts w:ascii="Arial Narrow" w:hAnsi="Arial Narrow" w:cs="Arial Narrow" w:eastAsia="Arial Narrow" w:hint="default"/>
                <w:sz w:val="18"/>
                <w:szCs w:val="18"/>
              </w:rPr>
            </w:pPr>
            <w:r>
              <w:rPr>
                <w:rFonts w:ascii="Arial Narrow"/>
                <w:spacing w:val="-18"/>
                <w:sz w:val="18"/>
              </w:rPr>
              <w:t>165,000,000.00</w:t>
            </w:r>
          </w:p>
        </w:tc>
        <w:tc>
          <w:tcPr>
            <w:tcW w:w="7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8"/>
              <w:jc w:val="right"/>
              <w:rPr>
                <w:rFonts w:ascii="Arial Narrow" w:hAnsi="Arial Narrow" w:cs="Arial Narrow" w:eastAsia="Arial Narrow" w:hint="default"/>
                <w:sz w:val="18"/>
                <w:szCs w:val="18"/>
              </w:rPr>
            </w:pPr>
            <w:r>
              <w:rPr>
                <w:rFonts w:ascii="Arial Narrow"/>
                <w:spacing w:val="-16"/>
                <w:sz w:val="18"/>
              </w:rPr>
              <w:t>100.00%</w:t>
            </w:r>
          </w:p>
        </w:tc>
      </w:tr>
    </w:tbl>
    <w:p>
      <w:pPr>
        <w:spacing w:before="86"/>
        <w:ind w:left="99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根据公司 </w:t>
      </w:r>
      <w:r>
        <w:rPr>
          <w:rFonts w:ascii="Arial Narrow" w:hAnsi="Arial Narrow" w:cs="Arial Narrow" w:eastAsia="Arial Narrow" w:hint="default"/>
          <w:sz w:val="21"/>
          <w:szCs w:val="21"/>
        </w:rPr>
        <w:t>2009   </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年第一次临时股东大会决议及中国证券监督管理委员会证监许可</w:t>
      </w:r>
      <w:r>
        <w:rPr>
          <w:rFonts w:ascii="Arial Narrow" w:hAnsi="Arial Narrow" w:cs="Arial Narrow" w:eastAsia="Arial Narrow" w:hint="default"/>
          <w:sz w:val="21"/>
          <w:szCs w:val="21"/>
        </w:rPr>
        <w:t>[2009]</w:t>
      </w:r>
    </w:p>
    <w:p>
      <w:pPr>
        <w:spacing w:line="338" w:lineRule="auto" w:before="118"/>
        <w:ind w:left="578" w:right="568" w:firstLine="0"/>
        <w:jc w:val="both"/>
        <w:rPr>
          <w:rFonts w:ascii="宋体" w:hAnsi="宋体" w:cs="宋体" w:eastAsia="宋体" w:hint="default"/>
          <w:sz w:val="21"/>
          <w:szCs w:val="21"/>
        </w:rPr>
      </w:pPr>
      <w:r>
        <w:rPr>
          <w:rFonts w:ascii="Arial Narrow" w:hAnsi="Arial Narrow" w:cs="Arial Narrow" w:eastAsia="Arial Narrow" w:hint="default"/>
          <w:spacing w:val="-1"/>
          <w:w w:val="100"/>
          <w:sz w:val="21"/>
          <w:szCs w:val="21"/>
        </w:rPr>
        <w:t>929</w:t>
      </w:r>
      <w:r>
        <w:rPr>
          <w:rFonts w:ascii="Arial Narrow" w:hAnsi="Arial Narrow" w:cs="Arial Narrow" w:eastAsia="Arial Narrow" w:hint="default"/>
          <w:spacing w:val="9"/>
          <w:w w:val="100"/>
          <w:sz w:val="21"/>
          <w:szCs w:val="21"/>
        </w:rPr>
        <w:t> </w:t>
      </w:r>
      <w:r>
        <w:rPr>
          <w:rFonts w:ascii="宋体" w:hAnsi="宋体" w:cs="宋体" w:eastAsia="宋体" w:hint="default"/>
          <w:spacing w:val="-8"/>
          <w:w w:val="100"/>
          <w:sz w:val="21"/>
          <w:szCs w:val="21"/>
        </w:rPr>
        <w:t>号文“关于核准安徽鑫龙电器股份有限公司首次公开发行股票的批复”，公司分别于</w:t>
      </w:r>
      <w:r>
        <w:rPr>
          <w:rFonts w:ascii="宋体" w:hAnsi="宋体" w:cs="宋体" w:eastAsia="宋体" w:hint="default"/>
          <w:spacing w:val="-47"/>
          <w:w w:val="100"/>
          <w:sz w:val="21"/>
          <w:szCs w:val="21"/>
        </w:rPr>
        <w:t> </w:t>
      </w:r>
      <w:r>
        <w:rPr>
          <w:rFonts w:ascii="Arial Narrow" w:hAnsi="Arial Narrow" w:cs="Arial Narrow" w:eastAsia="Arial Narrow" w:hint="default"/>
          <w:spacing w:val="-1"/>
          <w:w w:val="100"/>
          <w:sz w:val="21"/>
          <w:szCs w:val="21"/>
        </w:rPr>
        <w:t>2010</w:t>
      </w:r>
      <w:r>
        <w:rPr>
          <w:rFonts w:ascii="Arial Narrow" w:hAnsi="Arial Narrow" w:cs="Arial Narrow" w:eastAsia="Arial Narrow" w:hint="default"/>
          <w:spacing w:val="-46"/>
          <w:w w:val="100"/>
          <w:sz w:val="21"/>
          <w:szCs w:val="21"/>
        </w:rPr>
        <w:t> </w:t>
      </w:r>
      <w:r>
        <w:rPr>
          <w:rFonts w:ascii="Arial Narrow" w:hAnsi="Arial Narrow" w:cs="Arial Narrow" w:eastAsia="Arial Narrow" w:hint="default"/>
          <w:spacing w:val="-46"/>
          <w:w w:val="100"/>
          <w:sz w:val="21"/>
          <w:szCs w:val="21"/>
        </w:rPr>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Arial Narrow" w:hAnsi="Arial Narrow" w:cs="Arial Narrow" w:eastAsia="Arial Narrow" w:hint="default"/>
          <w:sz w:val="21"/>
          <w:szCs w:val="21"/>
        </w:rPr>
        <w:t>18</w:t>
      </w:r>
      <w:r>
        <w:rPr>
          <w:rFonts w:ascii="Arial Narrow" w:hAnsi="Arial Narrow" w:cs="Arial Narrow" w:eastAsia="Arial Narrow" w:hint="default"/>
          <w:spacing w:val="13"/>
          <w:sz w:val="21"/>
          <w:szCs w:val="21"/>
        </w:rPr>
        <w:t> </w:t>
      </w:r>
      <w:r>
        <w:rPr>
          <w:rFonts w:ascii="宋体" w:hAnsi="宋体" w:cs="宋体" w:eastAsia="宋体" w:hint="default"/>
          <w:spacing w:val="-3"/>
          <w:sz w:val="21"/>
          <w:szCs w:val="21"/>
        </w:rPr>
        <w:t>日采用网下配售方式向询价对象公开发行人民币普通股（</w:t>
      </w:r>
      <w:r>
        <w:rPr>
          <w:rFonts w:ascii="Arial Narrow" w:hAnsi="Arial Narrow" w:cs="Arial Narrow" w:eastAsia="Arial Narrow" w:hint="default"/>
          <w:spacing w:val="-3"/>
          <w:sz w:val="21"/>
          <w:szCs w:val="21"/>
        </w:rPr>
        <w:t>A</w:t>
      </w:r>
      <w:r>
        <w:rPr>
          <w:rFonts w:ascii="Arial Narrow" w:hAnsi="Arial Narrow" w:cs="Arial Narrow" w:eastAsia="Arial Narrow" w:hint="default"/>
          <w:spacing w:val="13"/>
          <w:sz w:val="21"/>
          <w:szCs w:val="21"/>
        </w:rPr>
        <w:t> </w:t>
      </w:r>
      <w:r>
        <w:rPr>
          <w:rFonts w:ascii="宋体" w:hAnsi="宋体" w:cs="宋体" w:eastAsia="宋体" w:hint="default"/>
          <w:spacing w:val="-5"/>
          <w:sz w:val="21"/>
          <w:szCs w:val="21"/>
        </w:rPr>
        <w:t>股）</w:t>
      </w:r>
      <w:r>
        <w:rPr>
          <w:rFonts w:ascii="Arial Narrow" w:hAnsi="Arial Narrow" w:cs="Arial Narrow" w:eastAsia="Arial Narrow" w:hint="default"/>
          <w:spacing w:val="-5"/>
          <w:sz w:val="21"/>
          <w:szCs w:val="21"/>
        </w:rPr>
        <w:t>560</w:t>
      </w:r>
      <w:r>
        <w:rPr>
          <w:rFonts w:ascii="Arial Narrow" w:hAnsi="Arial Narrow" w:cs="Arial Narrow" w:eastAsia="Arial Narrow" w:hint="default"/>
          <w:spacing w:val="11"/>
          <w:sz w:val="21"/>
          <w:szCs w:val="21"/>
        </w:rPr>
        <w:t> </w:t>
      </w:r>
      <w:r>
        <w:rPr>
          <w:rFonts w:ascii="宋体" w:hAnsi="宋体" w:cs="宋体" w:eastAsia="宋体" w:hint="default"/>
          <w:spacing w:val="-4"/>
          <w:sz w:val="21"/>
          <w:szCs w:val="21"/>
        </w:rPr>
        <w:t>万股，</w:t>
      </w:r>
      <w:r>
        <w:rPr>
          <w:rFonts w:ascii="Arial Narrow" w:hAnsi="Arial Narrow" w:cs="Arial Narrow" w:eastAsia="Arial Narrow" w:hint="default"/>
          <w:spacing w:val="-4"/>
          <w:sz w:val="21"/>
          <w:szCs w:val="21"/>
        </w:rPr>
        <w:t>2010</w:t>
      </w:r>
      <w:r>
        <w:rPr>
          <w:rFonts w:ascii="Arial Narrow" w:hAnsi="Arial Narrow" w:cs="Arial Narrow" w:eastAsia="Arial Narrow"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101"/>
          <w:sz w:val="21"/>
          <w:szCs w:val="21"/>
        </w:rPr>
        <w:t> </w:t>
      </w:r>
      <w:r>
        <w:rPr>
          <w:rFonts w:ascii="Arial Narrow" w:hAnsi="Arial Narrow" w:cs="Arial Narrow" w:eastAsia="Arial Narrow" w:hint="default"/>
          <w:sz w:val="21"/>
          <w:szCs w:val="21"/>
        </w:rPr>
        <w:t>9 </w:t>
      </w:r>
      <w:r>
        <w:rPr>
          <w:rFonts w:ascii="宋体" w:hAnsi="宋体" w:cs="宋体" w:eastAsia="宋体" w:hint="default"/>
          <w:sz w:val="21"/>
          <w:szCs w:val="21"/>
        </w:rPr>
        <w:t>月 </w:t>
      </w:r>
      <w:r>
        <w:rPr>
          <w:rFonts w:ascii="Arial Narrow" w:hAnsi="Arial Narrow" w:cs="Arial Narrow" w:eastAsia="Arial Narrow" w:hint="default"/>
          <w:sz w:val="21"/>
          <w:szCs w:val="21"/>
        </w:rPr>
        <w:t>18 </w:t>
      </w:r>
      <w:r>
        <w:rPr>
          <w:rFonts w:ascii="宋体" w:hAnsi="宋体" w:cs="宋体" w:eastAsia="宋体" w:hint="default"/>
          <w:spacing w:val="-3"/>
          <w:sz w:val="21"/>
          <w:szCs w:val="21"/>
        </w:rPr>
        <w:t>日采用网上定价方式公开发行人民币普通股（</w:t>
      </w:r>
      <w:r>
        <w:rPr>
          <w:rFonts w:ascii="Arial Narrow" w:hAnsi="Arial Narrow" w:cs="Arial Narrow" w:eastAsia="Arial Narrow" w:hint="default"/>
          <w:spacing w:val="-3"/>
          <w:sz w:val="21"/>
          <w:szCs w:val="21"/>
        </w:rPr>
        <w:t>A </w:t>
      </w:r>
      <w:r>
        <w:rPr>
          <w:rFonts w:ascii="宋体" w:hAnsi="宋体" w:cs="宋体" w:eastAsia="宋体" w:hint="default"/>
          <w:spacing w:val="-6"/>
          <w:sz w:val="21"/>
          <w:szCs w:val="21"/>
        </w:rPr>
        <w:t>股）</w:t>
      </w:r>
      <w:r>
        <w:rPr>
          <w:rFonts w:ascii="Arial Narrow" w:hAnsi="Arial Narrow" w:cs="Arial Narrow" w:eastAsia="Arial Narrow" w:hint="default"/>
          <w:spacing w:val="-6"/>
          <w:sz w:val="21"/>
          <w:szCs w:val="21"/>
        </w:rPr>
        <w:t>2240</w:t>
      </w:r>
      <w:r>
        <w:rPr>
          <w:rFonts w:ascii="Arial Narrow" w:hAnsi="Arial Narrow" w:cs="Arial Narrow" w:eastAsia="Arial Narrow" w:hint="default"/>
          <w:spacing w:val="19"/>
          <w:sz w:val="21"/>
          <w:szCs w:val="21"/>
        </w:rPr>
        <w:t> </w:t>
      </w:r>
      <w:r>
        <w:rPr>
          <w:rFonts w:ascii="宋体" w:hAnsi="宋体" w:cs="宋体" w:eastAsia="宋体" w:hint="default"/>
          <w:spacing w:val="-4"/>
          <w:sz w:val="21"/>
          <w:szCs w:val="21"/>
        </w:rPr>
        <w:t>万股，共计公开发行人民币</w:t>
      </w:r>
    </w:p>
    <w:p>
      <w:pPr>
        <w:spacing w:before="21"/>
        <w:ind w:left="578" w:right="0" w:firstLine="0"/>
        <w:jc w:val="both"/>
        <w:rPr>
          <w:rFonts w:ascii="宋体" w:hAnsi="宋体" w:cs="宋体" w:eastAsia="宋体" w:hint="default"/>
          <w:sz w:val="21"/>
          <w:szCs w:val="21"/>
        </w:rPr>
      </w:pPr>
      <w:r>
        <w:rPr>
          <w:rFonts w:ascii="宋体" w:hAnsi="宋体" w:cs="宋体" w:eastAsia="宋体" w:hint="default"/>
          <w:sz w:val="21"/>
          <w:szCs w:val="21"/>
        </w:rPr>
        <w:t>普通股（</w:t>
      </w:r>
      <w:r>
        <w:rPr>
          <w:rFonts w:ascii="Arial Narrow" w:hAnsi="Arial Narrow" w:cs="Arial Narrow" w:eastAsia="Arial Narrow" w:hint="default"/>
          <w:sz w:val="21"/>
          <w:szCs w:val="21"/>
        </w:rPr>
        <w:t>A</w:t>
      </w:r>
      <w:r>
        <w:rPr>
          <w:rFonts w:ascii="Arial Narrow" w:hAnsi="Arial Narrow" w:cs="Arial Narrow" w:eastAsia="Arial Narrow" w:hint="default"/>
          <w:spacing w:val="2"/>
          <w:sz w:val="21"/>
          <w:szCs w:val="21"/>
        </w:rPr>
        <w:t> </w:t>
      </w:r>
      <w:r>
        <w:rPr>
          <w:rFonts w:ascii="宋体" w:hAnsi="宋体" w:cs="宋体" w:eastAsia="宋体" w:hint="default"/>
          <w:sz w:val="21"/>
          <w:szCs w:val="21"/>
        </w:rPr>
        <w:t>股）</w:t>
      </w:r>
      <w:r>
        <w:rPr>
          <w:rFonts w:ascii="Arial Narrow" w:hAnsi="Arial Narrow" w:cs="Arial Narrow" w:eastAsia="Arial Narrow" w:hint="default"/>
          <w:sz w:val="21"/>
          <w:szCs w:val="21"/>
        </w:rPr>
        <w:t>2800 </w:t>
      </w:r>
      <w:r>
        <w:rPr>
          <w:rFonts w:ascii="宋体" w:hAnsi="宋体" w:cs="宋体" w:eastAsia="宋体" w:hint="default"/>
          <w:sz w:val="21"/>
          <w:szCs w:val="21"/>
        </w:rPr>
        <w:t>万股，每股发行价格为</w:t>
      </w:r>
      <w:r>
        <w:rPr>
          <w:rFonts w:ascii="宋体" w:hAnsi="宋体" w:cs="宋体" w:eastAsia="宋体" w:hint="default"/>
          <w:spacing w:val="-57"/>
          <w:sz w:val="21"/>
          <w:szCs w:val="21"/>
        </w:rPr>
        <w:t> </w:t>
      </w:r>
      <w:r>
        <w:rPr>
          <w:rFonts w:ascii="Arial Narrow" w:hAnsi="Arial Narrow" w:cs="Arial Narrow" w:eastAsia="Arial Narrow" w:hint="default"/>
          <w:sz w:val="21"/>
          <w:szCs w:val="21"/>
        </w:rPr>
        <w:t>9.50</w:t>
      </w:r>
      <w:r>
        <w:rPr>
          <w:rFonts w:ascii="Arial Narrow" w:hAnsi="Arial Narrow" w:cs="Arial Narrow" w:eastAsia="Arial Narrow" w:hint="default"/>
          <w:spacing w:val="2"/>
          <w:sz w:val="21"/>
          <w:szCs w:val="21"/>
        </w:rPr>
        <w:t> </w:t>
      </w:r>
      <w:r>
        <w:rPr>
          <w:rFonts w:ascii="宋体" w:hAnsi="宋体" w:cs="宋体" w:eastAsia="宋体" w:hint="default"/>
          <w:sz w:val="21"/>
          <w:szCs w:val="21"/>
        </w:rPr>
        <w:t>元。截至</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Narrow" w:hAnsi="Arial Narrow" w:cs="Arial Narrow" w:eastAsia="Arial Narrow" w:hint="default"/>
          <w:sz w:val="21"/>
          <w:szCs w:val="21"/>
        </w:rPr>
        <w:t>9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Narrow" w:hAnsi="Arial Narrow" w:cs="Arial Narrow" w:eastAsia="Arial Narrow" w:hint="default"/>
          <w:sz w:val="21"/>
          <w:szCs w:val="21"/>
        </w:rPr>
        <w:t>23 </w:t>
      </w:r>
      <w:r>
        <w:rPr>
          <w:rFonts w:ascii="宋体" w:hAnsi="宋体" w:cs="宋体" w:eastAsia="宋体" w:hint="default"/>
          <w:sz w:val="21"/>
          <w:szCs w:val="21"/>
        </w:rPr>
        <w:t>日止，公司已收到</w:t>
      </w:r>
    </w:p>
    <w:p>
      <w:pPr>
        <w:spacing w:before="118"/>
        <w:ind w:left="578" w:right="0" w:firstLine="0"/>
        <w:jc w:val="both"/>
        <w:rPr>
          <w:rFonts w:ascii="宋体" w:hAnsi="宋体" w:cs="宋体" w:eastAsia="宋体" w:hint="default"/>
          <w:sz w:val="21"/>
          <w:szCs w:val="21"/>
        </w:rPr>
      </w:pPr>
      <w:r>
        <w:rPr>
          <w:rFonts w:ascii="宋体" w:hAnsi="宋体" w:cs="宋体" w:eastAsia="宋体" w:hint="default"/>
          <w:spacing w:val="2"/>
          <w:sz w:val="21"/>
          <w:szCs w:val="21"/>
        </w:rPr>
        <w:t>社会公众股东缴入的出资款人民币 </w:t>
      </w:r>
      <w:r>
        <w:rPr>
          <w:rFonts w:ascii="Arial Narrow" w:hAnsi="Arial Narrow" w:cs="Arial Narrow" w:eastAsia="Arial Narrow" w:hint="default"/>
          <w:sz w:val="21"/>
          <w:szCs w:val="21"/>
        </w:rPr>
        <w:t>266,000,000.00   </w:t>
      </w:r>
      <w:r>
        <w:rPr>
          <w:rFonts w:ascii="Arial Narrow" w:hAnsi="Arial Narrow" w:cs="Arial Narrow" w:eastAsia="Arial Narrow" w:hint="default"/>
          <w:spacing w:val="5"/>
          <w:sz w:val="21"/>
          <w:szCs w:val="21"/>
        </w:rPr>
        <w:t> </w:t>
      </w:r>
      <w:r>
        <w:rPr>
          <w:rFonts w:ascii="宋体" w:hAnsi="宋体" w:cs="宋体" w:eastAsia="宋体" w:hint="default"/>
          <w:spacing w:val="2"/>
          <w:sz w:val="21"/>
          <w:szCs w:val="21"/>
        </w:rPr>
        <w:t>元，扣除发行费用后实际募集资金净额</w:t>
      </w:r>
      <w:r>
        <w:rPr>
          <w:rFonts w:ascii="宋体" w:hAnsi="宋体" w:cs="宋体" w:eastAsia="宋体" w:hint="default"/>
          <w:sz w:val="21"/>
          <w:szCs w:val="21"/>
        </w:rPr>
      </w:r>
    </w:p>
    <w:p>
      <w:pPr>
        <w:spacing w:line="340" w:lineRule="auto" w:before="118"/>
        <w:ind w:left="578" w:right="573" w:firstLine="0"/>
        <w:jc w:val="both"/>
        <w:rPr>
          <w:rFonts w:ascii="宋体" w:hAnsi="宋体" w:cs="宋体" w:eastAsia="宋体" w:hint="default"/>
          <w:sz w:val="21"/>
          <w:szCs w:val="21"/>
        </w:rPr>
      </w:pPr>
      <w:r>
        <w:rPr>
          <w:rFonts w:ascii="Arial Narrow" w:hAnsi="Arial Narrow" w:cs="Arial Narrow" w:eastAsia="Arial Narrow" w:hint="default"/>
          <w:sz w:val="21"/>
          <w:szCs w:val="21"/>
        </w:rPr>
        <w:t>240,139,715.94</w:t>
      </w:r>
      <w:r>
        <w:rPr>
          <w:rFonts w:ascii="Arial Narrow" w:hAnsi="Arial Narrow" w:cs="Arial Narrow" w:eastAsia="Arial Narrow" w:hint="default"/>
          <w:spacing w:val="6"/>
          <w:sz w:val="21"/>
          <w:szCs w:val="21"/>
        </w:rPr>
        <w:t> </w:t>
      </w:r>
      <w:r>
        <w:rPr>
          <w:rFonts w:ascii="宋体" w:hAnsi="宋体" w:cs="宋体" w:eastAsia="宋体" w:hint="default"/>
          <w:spacing w:val="-4"/>
          <w:sz w:val="21"/>
          <w:szCs w:val="21"/>
        </w:rPr>
        <w:t>元，其中新增注册资本人民币</w:t>
      </w:r>
      <w:r>
        <w:rPr>
          <w:rFonts w:ascii="宋体" w:hAnsi="宋体" w:cs="宋体" w:eastAsia="宋体" w:hint="default"/>
          <w:spacing w:val="-48"/>
          <w:sz w:val="21"/>
          <w:szCs w:val="21"/>
        </w:rPr>
        <w:t> </w:t>
      </w:r>
      <w:r>
        <w:rPr>
          <w:rFonts w:ascii="Arial Narrow" w:hAnsi="Arial Narrow" w:cs="Arial Narrow" w:eastAsia="Arial Narrow" w:hint="default"/>
          <w:sz w:val="21"/>
          <w:szCs w:val="21"/>
        </w:rPr>
        <w:t>28,000,000.00</w:t>
      </w:r>
      <w:r>
        <w:rPr>
          <w:rFonts w:ascii="Arial Narrow" w:hAnsi="Arial Narrow" w:cs="Arial Narrow" w:eastAsia="Arial Narrow" w:hint="default"/>
          <w:spacing w:val="8"/>
          <w:sz w:val="21"/>
          <w:szCs w:val="21"/>
        </w:rPr>
        <w:t> </w:t>
      </w:r>
      <w:r>
        <w:rPr>
          <w:rFonts w:ascii="宋体" w:hAnsi="宋体" w:cs="宋体" w:eastAsia="宋体" w:hint="default"/>
          <w:spacing w:val="-6"/>
          <w:sz w:val="21"/>
          <w:szCs w:val="21"/>
        </w:rPr>
        <w:t>元，余额计人民币</w:t>
      </w:r>
      <w:r>
        <w:rPr>
          <w:rFonts w:ascii="宋体" w:hAnsi="宋体" w:cs="宋体" w:eastAsia="宋体" w:hint="default"/>
          <w:spacing w:val="-49"/>
          <w:sz w:val="21"/>
          <w:szCs w:val="21"/>
        </w:rPr>
        <w:t> </w:t>
      </w:r>
      <w:r>
        <w:rPr>
          <w:rFonts w:ascii="Arial Narrow" w:hAnsi="Arial Narrow" w:cs="Arial Narrow" w:eastAsia="Arial Narrow" w:hint="default"/>
          <w:sz w:val="21"/>
          <w:szCs w:val="21"/>
        </w:rPr>
        <w:t>212,139,715.94</w:t>
      </w:r>
      <w:r>
        <w:rPr>
          <w:rFonts w:ascii="Arial Narrow" w:hAnsi="Arial Narrow" w:cs="Arial Narrow" w:eastAsia="Arial Narrow" w:hint="default"/>
          <w:spacing w:val="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转入资本公积。</w:t>
      </w:r>
    </w:p>
    <w:p>
      <w:pPr>
        <w:spacing w:before="45"/>
        <w:ind w:left="998"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1"/>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9</w:t>
      </w:r>
      <w:r>
        <w:rPr>
          <w:rFonts w:ascii="Arial Narrow" w:hAnsi="Arial Narrow" w:cs="Arial Narrow" w:eastAsia="Arial Narrow" w:hint="default"/>
          <w:sz w:val="21"/>
          <w:szCs w:val="21"/>
        </w:rPr>
        <w:t> </w:t>
      </w:r>
      <w:r>
        <w:rPr>
          <w:rFonts w:ascii="Arial Narrow" w:hAnsi="Arial Narrow" w:cs="Arial Narrow" w:eastAsia="Arial Narrow"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w:t>
      </w: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公司</w:t>
      </w:r>
      <w:r>
        <w:rPr>
          <w:rFonts w:ascii="宋体" w:hAnsi="宋体" w:cs="宋体" w:eastAsia="宋体" w:hint="default"/>
          <w:spacing w:val="-31"/>
          <w:sz w:val="21"/>
          <w:szCs w:val="21"/>
        </w:rPr>
        <w:t> </w:t>
      </w:r>
      <w:r>
        <w:rPr>
          <w:rFonts w:ascii="Arial Narrow" w:hAnsi="Arial Narrow" w:cs="Arial Narrow" w:eastAsia="Arial Narrow" w:hint="default"/>
          <w:spacing w:val="-1"/>
          <w:w w:val="100"/>
          <w:sz w:val="21"/>
          <w:szCs w:val="21"/>
        </w:rPr>
        <w:t>200</w:t>
      </w:r>
      <w:r>
        <w:rPr>
          <w:rFonts w:ascii="Arial Narrow" w:hAnsi="Arial Narrow" w:cs="Arial Narrow" w:eastAsia="Arial Narrow" w:hint="default"/>
          <w:w w:val="100"/>
          <w:sz w:val="21"/>
          <w:szCs w:val="21"/>
        </w:rPr>
        <w:t>9</w:t>
      </w:r>
      <w:r>
        <w:rPr>
          <w:rFonts w:ascii="Arial Narrow" w:hAnsi="Arial Narrow" w:cs="Arial Narrow" w:eastAsia="Arial Narrow" w:hint="default"/>
          <w:sz w:val="21"/>
          <w:szCs w:val="21"/>
        </w:rPr>
        <w:t> </w:t>
      </w:r>
      <w:r>
        <w:rPr>
          <w:rFonts w:ascii="Arial Narrow" w:hAnsi="Arial Narrow" w:cs="Arial Narrow" w:eastAsia="Arial Narrow" w:hint="default"/>
          <w:spacing w:val="-2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的</w:t>
      </w:r>
      <w:r>
        <w:rPr>
          <w:rFonts w:ascii="宋体" w:hAnsi="宋体" w:cs="宋体" w:eastAsia="宋体" w:hint="default"/>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8"/>
        <w:ind w:left="578" w:right="0" w:firstLine="0"/>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5"/>
          <w:sz w:val="21"/>
          <w:szCs w:val="21"/>
        </w:rPr>
        <w:t> </w:t>
      </w:r>
      <w:r>
        <w:rPr>
          <w:rFonts w:ascii="宋体" w:hAnsi="宋体" w:cs="宋体" w:eastAsia="宋体" w:hint="default"/>
          <w:sz w:val="21"/>
          <w:szCs w:val="21"/>
        </w:rPr>
        <w:t>年末</w:t>
      </w:r>
      <w:r>
        <w:rPr>
          <w:rFonts w:ascii="宋体" w:hAnsi="宋体" w:cs="宋体" w:eastAsia="宋体" w:hint="default"/>
          <w:spacing w:val="-52"/>
          <w:sz w:val="21"/>
          <w:szCs w:val="21"/>
        </w:rPr>
        <w:t> </w:t>
      </w:r>
      <w:r>
        <w:rPr>
          <w:rFonts w:ascii="Arial Narrow" w:hAnsi="Arial Narrow" w:cs="Arial Narrow" w:eastAsia="Arial Narrow" w:hint="default"/>
          <w:sz w:val="21"/>
          <w:szCs w:val="21"/>
        </w:rPr>
        <w:t>110,000,000.00</w:t>
      </w:r>
      <w:r>
        <w:rPr>
          <w:rFonts w:ascii="Arial Narrow" w:hAnsi="Arial Narrow" w:cs="Arial Narrow" w:eastAsia="Arial Narrow" w:hint="default"/>
          <w:spacing w:val="5"/>
          <w:sz w:val="21"/>
          <w:szCs w:val="21"/>
        </w:rPr>
        <w:t> </w:t>
      </w:r>
      <w:r>
        <w:rPr>
          <w:rFonts w:ascii="宋体" w:hAnsi="宋体" w:cs="宋体" w:eastAsia="宋体" w:hint="default"/>
          <w:spacing w:val="-5"/>
          <w:sz w:val="21"/>
          <w:szCs w:val="21"/>
        </w:rPr>
        <w:t>股本为基数，以资本公积向全体股东每</w:t>
      </w:r>
      <w:r>
        <w:rPr>
          <w:rFonts w:ascii="宋体" w:hAnsi="宋体" w:cs="宋体" w:eastAsia="宋体" w:hint="default"/>
          <w:spacing w:val="-5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50"/>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股的利润分配</w:t>
      </w:r>
    </w:p>
    <w:p>
      <w:pPr>
        <w:spacing w:before="118"/>
        <w:ind w:left="578" w:right="0" w:firstLine="0"/>
        <w:jc w:val="both"/>
        <w:rPr>
          <w:rFonts w:ascii="宋体" w:hAnsi="宋体" w:cs="宋体" w:eastAsia="宋体" w:hint="default"/>
          <w:sz w:val="21"/>
          <w:szCs w:val="21"/>
        </w:rPr>
      </w:pPr>
      <w:r>
        <w:rPr>
          <w:rFonts w:ascii="宋体" w:hAnsi="宋体" w:cs="宋体" w:eastAsia="宋体" w:hint="default"/>
          <w:sz w:val="21"/>
          <w:szCs w:val="21"/>
        </w:rPr>
        <w:t>方案，公司总股本由</w:t>
      </w:r>
      <w:r>
        <w:rPr>
          <w:rFonts w:ascii="宋体" w:hAnsi="宋体" w:cs="宋体" w:eastAsia="宋体" w:hint="default"/>
          <w:spacing w:val="-48"/>
          <w:sz w:val="21"/>
          <w:szCs w:val="21"/>
        </w:rPr>
        <w:t> </w:t>
      </w:r>
      <w:r>
        <w:rPr>
          <w:rFonts w:ascii="Arial Narrow" w:hAnsi="Arial Narrow" w:cs="Arial Narrow" w:eastAsia="Arial Narrow" w:hint="default"/>
          <w:spacing w:val="-4"/>
          <w:sz w:val="21"/>
          <w:szCs w:val="21"/>
        </w:rPr>
        <w:t>11000</w:t>
      </w:r>
      <w:r>
        <w:rPr>
          <w:rFonts w:ascii="Arial Narrow" w:hAnsi="Arial Narrow" w:cs="Arial Narrow" w:eastAsia="Arial Narrow" w:hint="default"/>
          <w:spacing w:val="10"/>
          <w:sz w:val="21"/>
          <w:szCs w:val="21"/>
        </w:rPr>
        <w:t> </w:t>
      </w:r>
      <w:r>
        <w:rPr>
          <w:rFonts w:ascii="宋体" w:hAnsi="宋体" w:cs="宋体" w:eastAsia="宋体" w:hint="default"/>
          <w:sz w:val="21"/>
          <w:szCs w:val="21"/>
        </w:rPr>
        <w:t>万股增加到</w:t>
      </w:r>
      <w:r>
        <w:rPr>
          <w:rFonts w:ascii="宋体" w:hAnsi="宋体" w:cs="宋体" w:eastAsia="宋体" w:hint="default"/>
          <w:spacing w:val="-48"/>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万股。本次资本公积转增资本后公司的注册资</w:t>
      </w:r>
    </w:p>
    <w:p>
      <w:pPr>
        <w:spacing w:after="0"/>
        <w:jc w:val="both"/>
        <w:rPr>
          <w:rFonts w:ascii="宋体" w:hAnsi="宋体" w:cs="宋体" w:eastAsia="宋体" w:hint="default"/>
          <w:sz w:val="21"/>
          <w:szCs w:val="21"/>
        </w:rPr>
        <w:sectPr>
          <w:pgSz w:w="11910" w:h="16840"/>
          <w:pgMar w:header="816" w:footer="858" w:top="1160" w:bottom="1040" w:left="1220" w:right="1220"/>
        </w:sectPr>
      </w:pPr>
    </w:p>
    <w:p>
      <w:pPr>
        <w:spacing w:line="240" w:lineRule="auto" w:before="4"/>
        <w:rPr>
          <w:rFonts w:ascii="宋体" w:hAnsi="宋体" w:cs="宋体" w:eastAsia="宋体" w:hint="default"/>
          <w:sz w:val="14"/>
          <w:szCs w:val="14"/>
        </w:rPr>
      </w:pPr>
    </w:p>
    <w:p>
      <w:pPr>
        <w:spacing w:before="36"/>
        <w:ind w:left="498" w:right="0" w:firstLine="0"/>
        <w:jc w:val="left"/>
        <w:rPr>
          <w:rFonts w:ascii="宋体" w:hAnsi="宋体" w:cs="宋体" w:eastAsia="宋体" w:hint="default"/>
          <w:sz w:val="21"/>
          <w:szCs w:val="21"/>
        </w:rPr>
      </w:pPr>
      <w:r>
        <w:rPr>
          <w:rFonts w:ascii="宋体" w:hAnsi="宋体" w:cs="宋体" w:eastAsia="宋体" w:hint="default"/>
          <w:sz w:val="21"/>
          <w:szCs w:val="21"/>
        </w:rPr>
        <w:t>本变更为 </w:t>
      </w:r>
      <w:r>
        <w:rPr>
          <w:rFonts w:ascii="Arial Narrow" w:hAnsi="Arial Narrow" w:cs="Arial Narrow" w:eastAsia="Arial Narrow" w:hint="default"/>
          <w:sz w:val="21"/>
          <w:szCs w:val="21"/>
        </w:rPr>
        <w:t>16500</w:t>
      </w:r>
      <w:r>
        <w:rPr>
          <w:rFonts w:ascii="Arial Narrow" w:hAnsi="Arial Narrow" w:cs="Arial Narrow" w:eastAsia="Arial Narrow" w:hint="default"/>
          <w:spacing w:val="11"/>
          <w:sz w:val="21"/>
          <w:szCs w:val="21"/>
        </w:rPr>
        <w:t> </w:t>
      </w:r>
      <w:r>
        <w:rPr>
          <w:rFonts w:ascii="宋体" w:hAnsi="宋体" w:cs="宋体" w:eastAsia="宋体" w:hint="default"/>
          <w:spacing w:val="-5"/>
          <w:sz w:val="21"/>
          <w:szCs w:val="21"/>
        </w:rPr>
        <w:t>万元，业经天健正信（北京）会计师事务所有限公司出具天健正信验（</w:t>
      </w:r>
      <w:r>
        <w:rPr>
          <w:rFonts w:ascii="Arial Narrow" w:hAnsi="Arial Narrow" w:cs="Arial Narrow" w:eastAsia="Arial Narrow" w:hint="default"/>
          <w:spacing w:val="-5"/>
          <w:sz w:val="21"/>
          <w:szCs w:val="21"/>
        </w:rPr>
        <w:t>2010</w:t>
      </w:r>
      <w:r>
        <w:rPr>
          <w:rFonts w:ascii="宋体" w:hAnsi="宋体" w:cs="宋体" w:eastAsia="宋体" w:hint="default"/>
          <w:spacing w:val="-5"/>
          <w:sz w:val="21"/>
          <w:szCs w:val="21"/>
        </w:rPr>
        <w:t>）</w:t>
      </w:r>
    </w:p>
    <w:p>
      <w:pPr>
        <w:spacing w:before="119"/>
        <w:ind w:left="498" w:right="5021" w:firstLine="0"/>
        <w:jc w:val="left"/>
        <w:rPr>
          <w:rFonts w:ascii="宋体" w:hAnsi="宋体" w:cs="宋体" w:eastAsia="宋体" w:hint="default"/>
          <w:sz w:val="21"/>
          <w:szCs w:val="21"/>
        </w:rPr>
      </w:pPr>
      <w:r>
        <w:rPr>
          <w:rFonts w:ascii="宋体" w:hAnsi="宋体" w:cs="宋体" w:eastAsia="宋体" w:hint="default"/>
          <w:sz w:val="21"/>
          <w:szCs w:val="21"/>
        </w:rPr>
        <w:t>综字第</w:t>
      </w:r>
      <w:r>
        <w:rPr>
          <w:rFonts w:ascii="宋体" w:hAnsi="宋体" w:cs="宋体" w:eastAsia="宋体" w:hint="default"/>
          <w:spacing w:val="-54"/>
          <w:sz w:val="21"/>
          <w:szCs w:val="21"/>
        </w:rPr>
        <w:t> </w:t>
      </w:r>
      <w:r>
        <w:rPr>
          <w:rFonts w:ascii="Arial Narrow" w:hAnsi="Arial Narrow" w:cs="Arial Narrow" w:eastAsia="Arial Narrow" w:hint="default"/>
          <w:sz w:val="21"/>
          <w:szCs w:val="21"/>
        </w:rPr>
        <w:t>100005</w:t>
      </w:r>
      <w:r>
        <w:rPr>
          <w:rFonts w:ascii="Arial Narrow" w:hAnsi="Arial Narrow" w:cs="Arial Narrow" w:eastAsia="Arial Narrow" w:hint="default"/>
          <w:spacing w:val="1"/>
          <w:sz w:val="21"/>
          <w:szCs w:val="21"/>
        </w:rPr>
        <w:t> </w:t>
      </w:r>
      <w:r>
        <w:rPr>
          <w:rFonts w:ascii="宋体" w:hAnsi="宋体" w:cs="宋体" w:eastAsia="宋体" w:hint="default"/>
          <w:sz w:val="21"/>
          <w:szCs w:val="21"/>
        </w:rPr>
        <w:t>号验资报告验资确认。</w:t>
      </w:r>
    </w:p>
    <w:p>
      <w:pPr>
        <w:spacing w:line="240" w:lineRule="auto" w:before="3"/>
        <w:rPr>
          <w:rFonts w:ascii="宋体" w:hAnsi="宋体" w:cs="宋体" w:eastAsia="宋体" w:hint="default"/>
          <w:sz w:val="18"/>
          <w:szCs w:val="18"/>
        </w:rPr>
      </w:pPr>
    </w:p>
    <w:p>
      <w:pPr>
        <w:spacing w:before="0"/>
        <w:ind w:left="918" w:right="0" w:firstLine="0"/>
        <w:jc w:val="left"/>
        <w:rPr>
          <w:rFonts w:ascii="Arial Narrow" w:hAnsi="Arial Narrow" w:cs="Arial Narrow" w:eastAsia="Arial Narrow" w:hint="default"/>
          <w:sz w:val="21"/>
          <w:szCs w:val="21"/>
        </w:rPr>
      </w:pPr>
      <w:r>
        <w:rPr>
          <w:rFonts w:ascii="Arial Narrow" w:hAnsi="Arial Narrow" w:cs="Arial Narrow" w:eastAsia="Arial Narrow" w:hint="default"/>
          <w:spacing w:val="-1"/>
          <w:w w:val="100"/>
          <w:sz w:val="21"/>
          <w:szCs w:val="21"/>
        </w:rPr>
        <w:t>201</w:t>
      </w:r>
      <w:r>
        <w:rPr>
          <w:rFonts w:ascii="Arial Narrow" w:hAnsi="Arial Narrow" w:cs="Arial Narrow" w:eastAsia="Arial Narrow" w:hint="default"/>
          <w:w w:val="100"/>
          <w:sz w:val="21"/>
          <w:szCs w:val="21"/>
        </w:rPr>
        <w:t>0</w:t>
      </w:r>
      <w:r>
        <w:rPr>
          <w:rFonts w:ascii="Arial Narrow" w:hAnsi="Arial Narrow" w:cs="Arial Narrow" w:eastAsia="Arial Narrow"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Arial Narrow" w:hAnsi="Arial Narrow" w:cs="Arial Narrow" w:eastAsia="Arial Narrow" w:hint="default"/>
          <w:w w:val="100"/>
          <w:sz w:val="21"/>
          <w:szCs w:val="21"/>
        </w:rPr>
        <w:t>9</w:t>
      </w:r>
      <w:r>
        <w:rPr>
          <w:rFonts w:ascii="Arial Narrow" w:hAnsi="Arial Narrow" w:cs="Arial Narrow" w:eastAsia="Arial Narrow"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62"/>
          <w:sz w:val="21"/>
          <w:szCs w:val="21"/>
        </w:rPr>
        <w:t> </w:t>
      </w:r>
      <w:r>
        <w:rPr>
          <w:rFonts w:ascii="Arial Narrow" w:hAnsi="Arial Narrow" w:cs="Arial Narrow" w:eastAsia="Arial Narrow" w:hint="default"/>
          <w:spacing w:val="-1"/>
          <w:w w:val="100"/>
          <w:sz w:val="21"/>
          <w:szCs w:val="21"/>
        </w:rPr>
        <w:t>2</w:t>
      </w:r>
      <w:r>
        <w:rPr>
          <w:rFonts w:ascii="Arial Narrow" w:hAnsi="Arial Narrow" w:cs="Arial Narrow" w:eastAsia="Arial Narrow" w:hint="default"/>
          <w:w w:val="100"/>
          <w:sz w:val="21"/>
          <w:szCs w:val="21"/>
        </w:rPr>
        <w:t>9</w:t>
      </w:r>
      <w:r>
        <w:rPr>
          <w:rFonts w:ascii="Arial Narrow" w:hAnsi="Arial Narrow" w:cs="Arial Narrow" w:eastAsia="Arial Narrow" w:hint="default"/>
          <w:spacing w:val="-5"/>
          <w:sz w:val="21"/>
          <w:szCs w:val="21"/>
        </w:rPr>
        <w:t> </w:t>
      </w:r>
      <w:r>
        <w:rPr>
          <w:rFonts w:ascii="宋体" w:hAnsi="宋体" w:cs="宋体" w:eastAsia="宋体" w:hint="default"/>
          <w:w w:val="100"/>
          <w:sz w:val="21"/>
          <w:szCs w:val="21"/>
        </w:rPr>
        <w:t>日解</w:t>
      </w:r>
      <w:r>
        <w:rPr>
          <w:rFonts w:ascii="宋体" w:hAnsi="宋体" w:cs="宋体" w:eastAsia="宋体" w:hint="default"/>
          <w:spacing w:val="-3"/>
          <w:w w:val="100"/>
          <w:sz w:val="21"/>
          <w:szCs w:val="21"/>
        </w:rPr>
        <w:t>除</w:t>
      </w:r>
      <w:r>
        <w:rPr>
          <w:rFonts w:ascii="宋体" w:hAnsi="宋体" w:cs="宋体" w:eastAsia="宋体" w:hint="default"/>
          <w:w w:val="100"/>
          <w:sz w:val="21"/>
          <w:szCs w:val="21"/>
        </w:rPr>
        <w:t>限</w:t>
      </w:r>
      <w:r>
        <w:rPr>
          <w:rFonts w:ascii="宋体" w:hAnsi="宋体" w:cs="宋体" w:eastAsia="宋体" w:hint="default"/>
          <w:spacing w:val="-3"/>
          <w:w w:val="100"/>
          <w:sz w:val="21"/>
          <w:szCs w:val="21"/>
        </w:rPr>
        <w:t>售</w:t>
      </w:r>
      <w:r>
        <w:rPr>
          <w:rFonts w:ascii="宋体" w:hAnsi="宋体" w:cs="宋体" w:eastAsia="宋体" w:hint="default"/>
          <w:w w:val="100"/>
          <w:sz w:val="21"/>
          <w:szCs w:val="21"/>
        </w:rPr>
        <w:t>股份</w:t>
      </w:r>
      <w:r>
        <w:rPr>
          <w:rFonts w:ascii="宋体" w:hAnsi="宋体" w:cs="宋体" w:eastAsia="宋体" w:hint="default"/>
          <w:spacing w:val="-3"/>
          <w:w w:val="100"/>
          <w:sz w:val="21"/>
          <w:szCs w:val="21"/>
        </w:rPr>
        <w:t>的</w:t>
      </w:r>
      <w:r>
        <w:rPr>
          <w:rFonts w:ascii="宋体" w:hAnsi="宋体" w:cs="宋体" w:eastAsia="宋体" w:hint="default"/>
          <w:w w:val="100"/>
          <w:sz w:val="21"/>
          <w:szCs w:val="21"/>
        </w:rPr>
        <w:t>数</w:t>
      </w:r>
      <w:r>
        <w:rPr>
          <w:rFonts w:ascii="宋体" w:hAnsi="宋体" w:cs="宋体" w:eastAsia="宋体" w:hint="default"/>
          <w:spacing w:val="-3"/>
          <w:w w:val="100"/>
          <w:sz w:val="21"/>
          <w:szCs w:val="21"/>
        </w:rPr>
        <w:t>量</w:t>
      </w:r>
      <w:r>
        <w:rPr>
          <w:rFonts w:ascii="宋体" w:hAnsi="宋体" w:cs="宋体" w:eastAsia="宋体" w:hint="default"/>
          <w:w w:val="100"/>
          <w:sz w:val="21"/>
          <w:szCs w:val="21"/>
        </w:rPr>
        <w:t>为</w:t>
      </w:r>
      <w:r>
        <w:rPr>
          <w:rFonts w:ascii="宋体" w:hAnsi="宋体" w:cs="宋体" w:eastAsia="宋体" w:hint="default"/>
          <w:spacing w:val="-62"/>
          <w:sz w:val="21"/>
          <w:szCs w:val="21"/>
        </w:rPr>
        <w:t> </w:t>
      </w:r>
      <w:r>
        <w:rPr>
          <w:rFonts w:ascii="Arial Narrow" w:hAnsi="Arial Narrow" w:cs="Arial Narrow" w:eastAsia="Arial Narrow" w:hint="default"/>
          <w:spacing w:val="-1"/>
          <w:w w:val="100"/>
          <w:sz w:val="21"/>
          <w:szCs w:val="21"/>
        </w:rPr>
        <w:t>37,196,75</w:t>
      </w:r>
      <w:r>
        <w:rPr>
          <w:rFonts w:ascii="Arial Narrow" w:hAnsi="Arial Narrow" w:cs="Arial Narrow" w:eastAsia="Arial Narrow" w:hint="default"/>
          <w:w w:val="100"/>
          <w:sz w:val="21"/>
          <w:szCs w:val="21"/>
        </w:rPr>
        <w:t>5</w:t>
      </w:r>
      <w:r>
        <w:rPr>
          <w:rFonts w:ascii="Arial Narrow" w:hAnsi="Arial Narrow" w:cs="Arial Narrow" w:eastAsia="Arial Narrow" w:hint="default"/>
          <w:spacing w:val="-7"/>
          <w:sz w:val="21"/>
          <w:szCs w:val="21"/>
        </w:rPr>
        <w:t> </w:t>
      </w:r>
      <w:r>
        <w:rPr>
          <w:rFonts w:ascii="宋体" w:hAnsi="宋体" w:cs="宋体" w:eastAsia="宋体" w:hint="default"/>
          <w:spacing w:val="-3"/>
          <w:w w:val="100"/>
          <w:sz w:val="21"/>
          <w:szCs w:val="21"/>
        </w:rPr>
        <w:t>股</w:t>
      </w:r>
      <w:r>
        <w:rPr>
          <w:rFonts w:ascii="宋体" w:hAnsi="宋体" w:cs="宋体" w:eastAsia="宋体" w:hint="default"/>
          <w:spacing w:val="-106"/>
          <w:w w:val="100"/>
          <w:sz w:val="21"/>
          <w:szCs w:val="21"/>
        </w:rPr>
        <w:t>，</w:t>
      </w:r>
      <w:r>
        <w:rPr>
          <w:rFonts w:ascii="宋体" w:hAnsi="宋体" w:cs="宋体" w:eastAsia="宋体" w:hint="default"/>
          <w:w w:val="100"/>
          <w:sz w:val="21"/>
          <w:szCs w:val="21"/>
        </w:rPr>
        <w:t>实</w:t>
      </w:r>
      <w:r>
        <w:rPr>
          <w:rFonts w:ascii="宋体" w:hAnsi="宋体" w:cs="宋体" w:eastAsia="宋体" w:hint="default"/>
          <w:spacing w:val="-3"/>
          <w:w w:val="100"/>
          <w:sz w:val="21"/>
          <w:szCs w:val="21"/>
        </w:rPr>
        <w:t>际</w:t>
      </w:r>
      <w:r>
        <w:rPr>
          <w:rFonts w:ascii="宋体" w:hAnsi="宋体" w:cs="宋体" w:eastAsia="宋体" w:hint="default"/>
          <w:w w:val="100"/>
          <w:sz w:val="21"/>
          <w:szCs w:val="21"/>
        </w:rPr>
        <w:t>可</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流</w:t>
      </w:r>
      <w:r>
        <w:rPr>
          <w:rFonts w:ascii="宋体" w:hAnsi="宋体" w:cs="宋体" w:eastAsia="宋体" w:hint="default"/>
          <w:w w:val="100"/>
          <w:sz w:val="21"/>
          <w:szCs w:val="21"/>
        </w:rPr>
        <w:t>通</w:t>
      </w:r>
      <w:r>
        <w:rPr>
          <w:rFonts w:ascii="宋体" w:hAnsi="宋体" w:cs="宋体" w:eastAsia="宋体" w:hint="default"/>
          <w:spacing w:val="-3"/>
          <w:w w:val="100"/>
          <w:sz w:val="21"/>
          <w:szCs w:val="21"/>
        </w:rPr>
        <w:t>数</w:t>
      </w:r>
      <w:r>
        <w:rPr>
          <w:rFonts w:ascii="宋体" w:hAnsi="宋体" w:cs="宋体" w:eastAsia="宋体" w:hint="default"/>
          <w:w w:val="100"/>
          <w:sz w:val="21"/>
          <w:szCs w:val="21"/>
        </w:rPr>
        <w:t>量为</w:t>
      </w:r>
      <w:r>
        <w:rPr>
          <w:rFonts w:ascii="宋体" w:hAnsi="宋体" w:cs="宋体" w:eastAsia="宋体" w:hint="default"/>
          <w:spacing w:val="-62"/>
          <w:sz w:val="21"/>
          <w:szCs w:val="21"/>
        </w:rPr>
        <w:t> </w:t>
      </w:r>
      <w:r>
        <w:rPr>
          <w:rFonts w:ascii="Arial Narrow" w:hAnsi="Arial Narrow" w:cs="Arial Narrow" w:eastAsia="Arial Narrow" w:hint="default"/>
          <w:w w:val="100"/>
          <w:sz w:val="21"/>
          <w:szCs w:val="21"/>
        </w:rPr>
        <w:t>3</w:t>
      </w:r>
      <w:r>
        <w:rPr>
          <w:rFonts w:ascii="Arial Narrow" w:hAnsi="Arial Narrow" w:cs="Arial Narrow" w:eastAsia="Arial Narrow" w:hint="default"/>
          <w:spacing w:val="-3"/>
          <w:w w:val="100"/>
          <w:sz w:val="21"/>
          <w:szCs w:val="21"/>
        </w:rPr>
        <w:t>5</w:t>
      </w:r>
      <w:r>
        <w:rPr>
          <w:rFonts w:ascii="Arial Narrow" w:hAnsi="Arial Narrow" w:cs="Arial Narrow" w:eastAsia="Arial Narrow" w:hint="default"/>
          <w:w w:val="100"/>
          <w:sz w:val="21"/>
          <w:szCs w:val="21"/>
        </w:rPr>
        <w:t>,7</w:t>
      </w:r>
      <w:r>
        <w:rPr>
          <w:rFonts w:ascii="Arial Narrow" w:hAnsi="Arial Narrow" w:cs="Arial Narrow" w:eastAsia="Arial Narrow" w:hint="default"/>
          <w:spacing w:val="-1"/>
          <w:w w:val="100"/>
          <w:sz w:val="21"/>
          <w:szCs w:val="21"/>
        </w:rPr>
        <w:t>6</w:t>
      </w:r>
      <w:r>
        <w:rPr>
          <w:rFonts w:ascii="Arial Narrow" w:hAnsi="Arial Narrow" w:cs="Arial Narrow" w:eastAsia="Arial Narrow" w:hint="default"/>
          <w:w w:val="100"/>
          <w:sz w:val="21"/>
          <w:szCs w:val="21"/>
        </w:rPr>
        <w:t>7,</w:t>
      </w:r>
      <w:r>
        <w:rPr>
          <w:rFonts w:ascii="Arial Narrow" w:hAnsi="Arial Narrow" w:cs="Arial Narrow" w:eastAsia="Arial Narrow" w:hint="default"/>
          <w:spacing w:val="-1"/>
          <w:w w:val="100"/>
          <w:sz w:val="21"/>
          <w:szCs w:val="21"/>
        </w:rPr>
        <w:t>2</w:t>
      </w:r>
      <w:r>
        <w:rPr>
          <w:rFonts w:ascii="Arial Narrow" w:hAnsi="Arial Narrow" w:cs="Arial Narrow" w:eastAsia="Arial Narrow" w:hint="default"/>
          <w:w w:val="100"/>
          <w:sz w:val="21"/>
          <w:szCs w:val="21"/>
        </w:rPr>
        <w:t>10</w:t>
      </w:r>
    </w:p>
    <w:p>
      <w:pPr>
        <w:spacing w:before="118"/>
        <w:ind w:left="498"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股，另有</w:t>
      </w:r>
      <w:r>
        <w:rPr>
          <w:rFonts w:ascii="宋体" w:hAnsi="宋体" w:cs="宋体" w:eastAsia="宋体" w:hint="default"/>
          <w:spacing w:val="-52"/>
          <w:sz w:val="21"/>
          <w:szCs w:val="21"/>
        </w:rPr>
        <w:t> </w:t>
      </w:r>
      <w:r>
        <w:rPr>
          <w:rFonts w:ascii="Arial Narrow" w:hAnsi="Arial Narrow" w:cs="Arial Narrow" w:eastAsia="Arial Narrow" w:hint="default"/>
          <w:sz w:val="21"/>
          <w:szCs w:val="21"/>
        </w:rPr>
        <w:t>1,429,545</w:t>
      </w:r>
      <w:r>
        <w:rPr>
          <w:rFonts w:ascii="Arial Narrow" w:hAnsi="Arial Narrow" w:cs="Arial Narrow" w:eastAsia="Arial Narrow" w:hint="default"/>
          <w:spacing w:val="3"/>
          <w:sz w:val="21"/>
          <w:szCs w:val="21"/>
        </w:rPr>
        <w:t> </w:t>
      </w:r>
      <w:r>
        <w:rPr>
          <w:rFonts w:ascii="宋体" w:hAnsi="宋体" w:cs="宋体" w:eastAsia="宋体" w:hint="default"/>
          <w:sz w:val="21"/>
          <w:szCs w:val="21"/>
        </w:rPr>
        <w:t>股为公司高管股份未上市流通。本次解除限售后社会公众股为</w:t>
      </w:r>
      <w:r>
        <w:rPr>
          <w:rFonts w:ascii="宋体" w:hAnsi="宋体" w:cs="宋体" w:eastAsia="宋体" w:hint="default"/>
          <w:spacing w:val="-51"/>
          <w:sz w:val="21"/>
          <w:szCs w:val="21"/>
        </w:rPr>
        <w:t> </w:t>
      </w:r>
      <w:r>
        <w:rPr>
          <w:rFonts w:ascii="Arial Narrow" w:hAnsi="Arial Narrow" w:cs="Arial Narrow" w:eastAsia="Arial Narrow" w:hint="default"/>
          <w:sz w:val="21"/>
          <w:szCs w:val="21"/>
        </w:rPr>
        <w:t>77,767,210</w:t>
      </w:r>
    </w:p>
    <w:p>
      <w:pPr>
        <w:spacing w:before="121"/>
        <w:ind w:left="498" w:right="5021" w:firstLine="0"/>
        <w:jc w:val="left"/>
        <w:rPr>
          <w:rFonts w:ascii="宋体" w:hAnsi="宋体" w:cs="宋体" w:eastAsia="宋体" w:hint="default"/>
          <w:sz w:val="21"/>
          <w:szCs w:val="21"/>
        </w:rPr>
      </w:pPr>
      <w:r>
        <w:rPr>
          <w:rFonts w:ascii="宋体" w:hAnsi="宋体" w:cs="宋体" w:eastAsia="宋体" w:hint="default"/>
          <w:sz w:val="21"/>
          <w:szCs w:val="21"/>
        </w:rPr>
        <w:t>股。</w:t>
      </w:r>
    </w:p>
    <w:p>
      <w:pPr>
        <w:spacing w:line="240" w:lineRule="auto" w:before="10"/>
        <w:rPr>
          <w:rFonts w:ascii="宋体" w:hAnsi="宋体" w:cs="宋体" w:eastAsia="宋体" w:hint="default"/>
          <w:sz w:val="14"/>
          <w:szCs w:val="14"/>
        </w:rPr>
      </w:pPr>
    </w:p>
    <w:p>
      <w:pPr>
        <w:spacing w:line="388" w:lineRule="auto" w:before="0"/>
        <w:ind w:left="918" w:right="5021" w:firstLine="1260"/>
        <w:jc w:val="left"/>
        <w:rPr>
          <w:rFonts w:ascii="宋体" w:hAnsi="宋体" w:cs="宋体" w:eastAsia="宋体" w:hint="default"/>
          <w:sz w:val="21"/>
          <w:szCs w:val="21"/>
        </w:rPr>
      </w:pPr>
      <w:r>
        <w:rPr>
          <w:rFonts w:ascii="Arial Narrow" w:hAnsi="Arial Narrow" w:cs="Arial Narrow" w:eastAsia="Arial Narrow" w:hint="default"/>
          <w:b/>
          <w:bCs/>
          <w:sz w:val="21"/>
          <w:szCs w:val="21"/>
        </w:rPr>
        <w:t>21</w:t>
      </w:r>
      <w:r>
        <w:rPr>
          <w:rFonts w:ascii="宋体" w:hAnsi="宋体" w:cs="宋体" w:eastAsia="宋体" w:hint="default"/>
          <w:b/>
          <w:bCs/>
          <w:sz w:val="21"/>
          <w:szCs w:val="21"/>
        </w:rPr>
        <w:t>．资本公积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本年资本公积变动情况如下：</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50"/>
        <w:gridCol w:w="1671"/>
        <w:gridCol w:w="1671"/>
        <w:gridCol w:w="1670"/>
        <w:gridCol w:w="1688"/>
      </w:tblGrid>
      <w:tr>
        <w:trPr>
          <w:trHeight w:val="336" w:hRule="exact"/>
        </w:trPr>
        <w:tc>
          <w:tcPr>
            <w:tcW w:w="2350"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7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8"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35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212,495,576.89</w:t>
            </w:r>
            <w:r>
              <w:rPr>
                <w:rFonts w:ascii="Arial Narrow"/>
                <w:sz w:val="20"/>
              </w:rPr>
            </w:r>
          </w:p>
        </w:tc>
        <w:tc>
          <w:tcPr>
            <w:tcW w:w="1671"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157,495,576.89</w:t>
            </w:r>
            <w:r>
              <w:rPr>
                <w:rFonts w:ascii="Arial Narrow"/>
                <w:sz w:val="20"/>
              </w:rPr>
            </w:r>
          </w:p>
        </w:tc>
      </w:tr>
      <w:tr>
        <w:trPr>
          <w:trHeight w:val="327" w:hRule="exact"/>
        </w:trPr>
        <w:tc>
          <w:tcPr>
            <w:tcW w:w="23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19"/>
                <w:szCs w:val="19"/>
              </w:rPr>
            </w:pPr>
            <w:r>
              <w:rPr>
                <w:rFonts w:ascii="宋体" w:hAnsi="宋体" w:cs="宋体" w:eastAsia="宋体" w:hint="default"/>
                <w:sz w:val="19"/>
                <w:szCs w:val="19"/>
              </w:rPr>
              <w:t>原制度资本公积转入</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14,000,993.21</w:t>
            </w:r>
            <w:r>
              <w:rPr>
                <w:rFonts w:ascii="Arial Narrow"/>
                <w:sz w:val="20"/>
              </w:rPr>
            </w:r>
          </w:p>
        </w:tc>
        <w:tc>
          <w:tcPr>
            <w:tcW w:w="1671"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14,000,993.21</w:t>
            </w:r>
            <w:r>
              <w:rPr>
                <w:rFonts w:ascii="Arial Narrow"/>
                <w:sz w:val="20"/>
              </w:rPr>
            </w:r>
          </w:p>
        </w:tc>
      </w:tr>
      <w:tr>
        <w:trPr>
          <w:trHeight w:val="329" w:hRule="exact"/>
        </w:trPr>
        <w:tc>
          <w:tcPr>
            <w:tcW w:w="235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spacing w:val="-2"/>
                <w:sz w:val="20"/>
              </w:rPr>
              <w:t>114,664.00</w:t>
            </w:r>
          </w:p>
        </w:tc>
        <w:tc>
          <w:tcPr>
            <w:tcW w:w="1671"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6"/>
              <w:jc w:val="right"/>
              <w:rPr>
                <w:rFonts w:ascii="Arial Narrow" w:hAnsi="Arial Narrow" w:cs="Arial Narrow" w:eastAsia="Arial Narrow" w:hint="default"/>
                <w:sz w:val="20"/>
                <w:szCs w:val="20"/>
              </w:rPr>
            </w:pPr>
            <w:r>
              <w:rPr>
                <w:rFonts w:ascii="Arial Narrow"/>
                <w:spacing w:val="-2"/>
                <w:sz w:val="20"/>
              </w:rPr>
              <w:t>114,664.00</w:t>
            </w:r>
          </w:p>
        </w:tc>
      </w:tr>
      <w:tr>
        <w:trPr>
          <w:trHeight w:val="334" w:hRule="exact"/>
        </w:trPr>
        <w:tc>
          <w:tcPr>
            <w:tcW w:w="235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Arial Narrow" w:hAnsi="Arial Narrow" w:cs="Arial Narrow" w:eastAsia="Arial Narrow" w:hint="default"/>
                <w:sz w:val="20"/>
                <w:szCs w:val="20"/>
              </w:rPr>
            </w:pPr>
            <w:r>
              <w:rPr>
                <w:rFonts w:ascii="Arial Narrow"/>
                <w:spacing w:val="-1"/>
                <w:w w:val="95"/>
                <w:sz w:val="20"/>
              </w:rPr>
              <w:t>226,611,234.10</w:t>
            </w:r>
            <w:r>
              <w:rPr>
                <w:rFonts w:ascii="Arial Narrow"/>
                <w:spacing w:val="-1"/>
                <w:sz w:val="20"/>
              </w:rPr>
            </w:r>
          </w:p>
        </w:tc>
        <w:tc>
          <w:tcPr>
            <w:tcW w:w="1671" w:type="dxa"/>
            <w:tcBorders>
              <w:top w:val="single" w:sz="6" w:space="0" w:color="000000"/>
              <w:left w:val="single" w:sz="6" w:space="0" w:color="000000"/>
              <w:bottom w:val="single" w:sz="12" w:space="0" w:color="000000"/>
              <w:right w:val="single" w:sz="6" w:space="0" w:color="000000"/>
            </w:tcBorders>
          </w:tcPr>
          <w:p>
            <w:pP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c>
          <w:tcPr>
            <w:tcW w:w="16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7"/>
              <w:jc w:val="right"/>
              <w:rPr>
                <w:rFonts w:ascii="Arial Narrow" w:hAnsi="Arial Narrow" w:cs="Arial Narrow" w:eastAsia="Arial Narrow" w:hint="default"/>
                <w:sz w:val="20"/>
                <w:szCs w:val="20"/>
              </w:rPr>
            </w:pPr>
            <w:r>
              <w:rPr>
                <w:rFonts w:ascii="Arial Narrow"/>
                <w:spacing w:val="-1"/>
                <w:w w:val="95"/>
                <w:sz w:val="20"/>
              </w:rPr>
              <w:t>171,611,234.10</w:t>
            </w:r>
            <w:r>
              <w:rPr>
                <w:rFonts w:ascii="Arial Narrow"/>
                <w:spacing w:val="-1"/>
                <w:sz w:val="20"/>
              </w:rPr>
            </w:r>
          </w:p>
        </w:tc>
      </w:tr>
    </w:tbl>
    <w:p>
      <w:pPr>
        <w:spacing w:before="86"/>
        <w:ind w:left="918" w:right="5021" w:firstLine="0"/>
        <w:jc w:val="left"/>
        <w:rPr>
          <w:rFonts w:ascii="宋体" w:hAnsi="宋体" w:cs="宋体" w:eastAsia="宋体" w:hint="default"/>
          <w:sz w:val="21"/>
          <w:szCs w:val="21"/>
        </w:rPr>
      </w:pPr>
      <w:r>
        <w:rPr>
          <w:rFonts w:ascii="宋体" w:hAnsi="宋体" w:cs="宋体" w:eastAsia="宋体" w:hint="default"/>
          <w:sz w:val="21"/>
          <w:szCs w:val="21"/>
        </w:rPr>
        <w:t>减少原因详见附注五、</w:t>
      </w:r>
      <w:r>
        <w:rPr>
          <w:rFonts w:ascii="Arial Narrow" w:hAnsi="Arial Narrow" w:cs="Arial Narrow" w:eastAsia="Arial Narrow" w:hint="default"/>
          <w:sz w:val="21"/>
          <w:szCs w:val="21"/>
        </w:rPr>
        <w:t>20</w:t>
      </w:r>
      <w:r>
        <w:rPr>
          <w:rFonts w:ascii="宋体" w:hAnsi="宋体" w:cs="宋体" w:eastAsia="宋体" w:hint="default"/>
          <w:sz w:val="21"/>
          <w:szCs w:val="21"/>
        </w:rPr>
        <w:t>。</w:t>
      </w:r>
    </w:p>
    <w:p>
      <w:pPr>
        <w:spacing w:line="388" w:lineRule="auto" w:before="181"/>
        <w:ind w:left="918" w:right="5021" w:firstLine="1260"/>
        <w:jc w:val="left"/>
        <w:rPr>
          <w:rFonts w:ascii="宋体" w:hAnsi="宋体" w:cs="宋体" w:eastAsia="宋体" w:hint="default"/>
          <w:sz w:val="21"/>
          <w:szCs w:val="21"/>
        </w:rPr>
      </w:pPr>
      <w:r>
        <w:rPr>
          <w:rFonts w:ascii="Arial Narrow" w:hAnsi="Arial Narrow" w:cs="Arial Narrow" w:eastAsia="Arial Narrow" w:hint="default"/>
          <w:b/>
          <w:bCs/>
          <w:sz w:val="21"/>
          <w:szCs w:val="21"/>
        </w:rPr>
        <w:t>22</w:t>
      </w:r>
      <w:r>
        <w:rPr>
          <w:rFonts w:ascii="宋体" w:hAnsi="宋体" w:cs="宋体" w:eastAsia="宋体" w:hint="default"/>
          <w:b/>
          <w:bCs/>
          <w:sz w:val="21"/>
          <w:szCs w:val="21"/>
        </w:rPr>
        <w:t>．盈余公积</w:t>
      </w:r>
      <w:r>
        <w:rPr>
          <w:rFonts w:ascii="宋体" w:hAnsi="宋体" w:cs="宋体" w:eastAsia="宋体" w:hint="default"/>
          <w:b/>
          <w:bCs/>
          <w:w w:val="100"/>
          <w:sz w:val="21"/>
          <w:szCs w:val="21"/>
        </w:rPr>
        <w:t> </w:t>
      </w:r>
      <w:r>
        <w:rPr>
          <w:rFonts w:ascii="宋体" w:hAnsi="宋体" w:cs="宋体" w:eastAsia="宋体" w:hint="default"/>
          <w:spacing w:val="-2"/>
          <w:sz w:val="21"/>
          <w:szCs w:val="21"/>
        </w:rPr>
        <w:t>本年盈余公积变动情况如下：</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04"/>
        <w:gridCol w:w="2144"/>
        <w:gridCol w:w="1474"/>
        <w:gridCol w:w="1447"/>
        <w:gridCol w:w="1688"/>
      </w:tblGrid>
      <w:tr>
        <w:trPr>
          <w:trHeight w:val="334"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right="924"/>
              <w:jc w:val="right"/>
              <w:rPr>
                <w:rFonts w:ascii="宋体" w:hAnsi="宋体" w:cs="宋体" w:eastAsia="宋体" w:hint="default"/>
                <w:sz w:val="21"/>
                <w:szCs w:val="21"/>
              </w:rPr>
            </w:pPr>
            <w:r>
              <w:rPr>
                <w:rFonts w:ascii="宋体" w:hAnsi="宋体" w:cs="宋体" w:eastAsia="宋体" w:hint="default"/>
                <w:sz w:val="21"/>
                <w:szCs w:val="21"/>
              </w:rPr>
              <w:t>项目</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7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4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8"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20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9"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right="909"/>
              <w:jc w:val="right"/>
              <w:rPr>
                <w:rFonts w:ascii="宋体" w:hAnsi="宋体" w:cs="宋体" w:eastAsia="宋体" w:hint="default"/>
                <w:sz w:val="21"/>
                <w:szCs w:val="21"/>
              </w:rPr>
            </w:pPr>
            <w:r>
              <w:rPr>
                <w:rFonts w:ascii="宋体" w:hAnsi="宋体" w:cs="宋体" w:eastAsia="宋体" w:hint="default"/>
                <w:spacing w:val="-1"/>
                <w:sz w:val="21"/>
                <w:szCs w:val="21"/>
              </w:rPr>
              <w:t>法定盈余公积</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18,201,742.57</w:t>
            </w:r>
            <w:r>
              <w:rPr>
                <w:rFonts w:ascii="Arial Narrow"/>
                <w:sz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3,246,856.40</w:t>
            </w:r>
            <w:r>
              <w:rPr>
                <w:rFonts w:ascii="Arial Narrow"/>
                <w:sz w:val="20"/>
              </w:rPr>
            </w:r>
          </w:p>
        </w:tc>
        <w:tc>
          <w:tcPr>
            <w:tcW w:w="144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8"/>
              <w:jc w:val="right"/>
              <w:rPr>
                <w:rFonts w:ascii="Arial Narrow" w:hAnsi="Arial Narrow" w:cs="Arial Narrow" w:eastAsia="Arial Narrow" w:hint="default"/>
                <w:sz w:val="20"/>
                <w:szCs w:val="20"/>
              </w:rPr>
            </w:pPr>
            <w:r>
              <w:rPr>
                <w:rFonts w:ascii="Arial Narrow"/>
                <w:w w:val="95"/>
                <w:sz w:val="20"/>
              </w:rPr>
              <w:t>21,448,598.97</w:t>
            </w:r>
            <w:r>
              <w:rPr>
                <w:rFonts w:ascii="Arial Narrow"/>
                <w:sz w:val="20"/>
              </w:rPr>
            </w:r>
          </w:p>
        </w:tc>
      </w:tr>
      <w:tr>
        <w:trPr>
          <w:trHeight w:val="334"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924"/>
              <w:jc w:val="right"/>
              <w:rPr>
                <w:rFonts w:ascii="宋体" w:hAnsi="宋体" w:cs="宋体" w:eastAsia="宋体" w:hint="default"/>
                <w:sz w:val="21"/>
                <w:szCs w:val="21"/>
              </w:rPr>
            </w:pPr>
            <w:r>
              <w:rPr>
                <w:rFonts w:ascii="宋体" w:hAnsi="宋体" w:cs="宋体" w:eastAsia="宋体" w:hint="default"/>
                <w:sz w:val="21"/>
                <w:szCs w:val="21"/>
              </w:rPr>
              <w:t>合计</w:t>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18,201,742.57</w:t>
            </w:r>
            <w:r>
              <w:rPr>
                <w:rFonts w:ascii="Arial Narrow"/>
                <w:sz w:val="20"/>
              </w:rPr>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3,246,856.40</w:t>
            </w:r>
            <w:r>
              <w:rPr>
                <w:rFonts w:ascii="Arial Narrow"/>
                <w:sz w:val="20"/>
              </w:rPr>
            </w:r>
          </w:p>
        </w:tc>
        <w:tc>
          <w:tcPr>
            <w:tcW w:w="1447" w:type="dxa"/>
            <w:tcBorders>
              <w:top w:val="single" w:sz="6" w:space="0" w:color="000000"/>
              <w:left w:val="single" w:sz="6" w:space="0" w:color="000000"/>
              <w:bottom w:val="single" w:sz="12" w:space="0" w:color="000000"/>
              <w:right w:val="single" w:sz="6" w:space="0" w:color="000000"/>
            </w:tcBorders>
          </w:tcPr>
          <w:p>
            <w:pPr/>
          </w:p>
        </w:tc>
        <w:tc>
          <w:tcPr>
            <w:tcW w:w="16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8"/>
              <w:jc w:val="right"/>
              <w:rPr>
                <w:rFonts w:ascii="Arial Narrow" w:hAnsi="Arial Narrow" w:cs="Arial Narrow" w:eastAsia="Arial Narrow" w:hint="default"/>
                <w:sz w:val="20"/>
                <w:szCs w:val="20"/>
              </w:rPr>
            </w:pPr>
            <w:r>
              <w:rPr>
                <w:rFonts w:ascii="Arial Narrow"/>
                <w:w w:val="95"/>
                <w:sz w:val="20"/>
              </w:rPr>
              <w:t>21,448,598.97</w:t>
            </w:r>
            <w:r>
              <w:rPr>
                <w:rFonts w:ascii="Arial Narrow"/>
                <w:sz w:val="20"/>
              </w:rPr>
            </w:r>
          </w:p>
        </w:tc>
      </w:tr>
    </w:tbl>
    <w:p>
      <w:pPr>
        <w:spacing w:line="391" w:lineRule="auto" w:before="26"/>
        <w:ind w:left="918" w:right="5021" w:firstLine="1260"/>
        <w:jc w:val="left"/>
        <w:rPr>
          <w:rFonts w:ascii="宋体" w:hAnsi="宋体" w:cs="宋体" w:eastAsia="宋体" w:hint="default"/>
          <w:sz w:val="21"/>
          <w:szCs w:val="21"/>
        </w:rPr>
      </w:pPr>
      <w:r>
        <w:rPr>
          <w:rFonts w:ascii="Arial Narrow" w:hAnsi="Arial Narrow" w:cs="Arial Narrow" w:eastAsia="Arial Narrow" w:hint="default"/>
          <w:b/>
          <w:bCs/>
          <w:sz w:val="21"/>
          <w:szCs w:val="21"/>
        </w:rPr>
        <w:t>23</w:t>
      </w:r>
      <w:r>
        <w:rPr>
          <w:rFonts w:ascii="宋体" w:hAnsi="宋体" w:cs="宋体" w:eastAsia="宋体" w:hint="default"/>
          <w:b/>
          <w:bCs/>
          <w:sz w:val="21"/>
          <w:szCs w:val="21"/>
        </w:rPr>
        <w:t>．未分配利润</w:t>
      </w:r>
      <w:r>
        <w:rPr>
          <w:rFonts w:ascii="宋体" w:hAnsi="宋体" w:cs="宋体" w:eastAsia="宋体" w:hint="default"/>
          <w:b/>
          <w:bCs/>
          <w:w w:val="100"/>
          <w:sz w:val="21"/>
          <w:szCs w:val="21"/>
        </w:rPr>
        <w:t> </w:t>
      </w:r>
      <w:r>
        <w:rPr>
          <w:rFonts w:ascii="宋体" w:hAnsi="宋体" w:cs="宋体" w:eastAsia="宋体" w:hint="default"/>
          <w:spacing w:val="-2"/>
          <w:sz w:val="21"/>
          <w:szCs w:val="21"/>
        </w:rPr>
        <w:t>未分配利润增减变动情况如下：</w:t>
      </w:r>
    </w:p>
    <w:p>
      <w:pPr>
        <w:spacing w:line="240" w:lineRule="auto" w:before="9"/>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4210"/>
        <w:gridCol w:w="2177"/>
        <w:gridCol w:w="2472"/>
      </w:tblGrid>
      <w:tr>
        <w:trPr>
          <w:trHeight w:val="334" w:hRule="exact"/>
        </w:trPr>
        <w:tc>
          <w:tcPr>
            <w:tcW w:w="4210"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2"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29"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Narrow" w:hAnsi="Arial Narrow" w:cs="Arial Narrow" w:eastAsia="Arial Narrow" w:hint="default"/>
                <w:sz w:val="20"/>
                <w:szCs w:val="20"/>
              </w:rPr>
            </w:pPr>
            <w:r>
              <w:rPr>
                <w:rFonts w:ascii="Arial Narrow"/>
                <w:w w:val="95"/>
                <w:sz w:val="20"/>
              </w:rPr>
              <w:t>97,735,849.73</w:t>
            </w:r>
            <w:r>
              <w:rPr>
                <w:rFonts w:ascii="Arial Narrow"/>
                <w:sz w:val="20"/>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62,500,053.71</w:t>
            </w:r>
            <w:r>
              <w:rPr>
                <w:rFonts w:ascii="Arial Narrow"/>
                <w:sz w:val="20"/>
              </w:rPr>
            </w:r>
          </w:p>
        </w:tc>
      </w:tr>
      <w:tr>
        <w:trPr>
          <w:trHeight w:val="326"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22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年</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调</w:t>
            </w:r>
            <w:r>
              <w:rPr>
                <w:rFonts w:ascii="宋体" w:hAnsi="宋体" w:cs="宋体" w:eastAsia="宋体" w:hint="default"/>
                <w:spacing w:val="-3"/>
                <w:w w:val="100"/>
                <w:sz w:val="21"/>
                <w:szCs w:val="21"/>
              </w:rPr>
              <w:t>整</w:t>
            </w:r>
            <w:r>
              <w:rPr>
                <w:rFonts w:ascii="宋体" w:hAnsi="宋体" w:cs="宋体" w:eastAsia="宋体" w:hint="default"/>
                <w:w w:val="100"/>
                <w:sz w:val="21"/>
                <w:szCs w:val="21"/>
              </w:rPr>
              <w:t>数（</w:t>
            </w:r>
            <w:r>
              <w:rPr>
                <w:rFonts w:ascii="宋体" w:hAnsi="宋体" w:cs="宋体" w:eastAsia="宋体" w:hint="default"/>
                <w:spacing w:val="-3"/>
                <w:w w:val="100"/>
                <w:sz w:val="21"/>
                <w:szCs w:val="21"/>
              </w:rPr>
              <w:t>调</w:t>
            </w:r>
            <w:r>
              <w:rPr>
                <w:rFonts w:ascii="宋体" w:hAnsi="宋体" w:cs="宋体" w:eastAsia="宋体" w:hint="default"/>
                <w:w w:val="100"/>
                <w:sz w:val="21"/>
                <w:szCs w:val="21"/>
              </w:rPr>
              <w:t>减</w:t>
            </w:r>
            <w:r>
              <w:rPr>
                <w:rFonts w:ascii="宋体" w:hAnsi="宋体" w:cs="宋体" w:eastAsia="宋体" w:hint="default"/>
                <w:spacing w:val="-3"/>
                <w:w w:val="100"/>
                <w:sz w:val="21"/>
                <w:szCs w:val="21"/>
              </w:rPr>
              <w:t>“</w:t>
            </w:r>
            <w:r>
              <w:rPr>
                <w:rFonts w:ascii="Arial Narrow" w:hAnsi="Arial Narrow" w:cs="Arial Narrow" w:eastAsia="Arial Narrow" w:hint="default"/>
                <w:spacing w:val="-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c>
          <w:tcPr>
            <w:tcW w:w="2177"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Arial Narrow" w:hAnsi="Arial Narrow" w:cs="Arial Narrow" w:eastAsia="Arial Narrow" w:hint="default"/>
                <w:sz w:val="20"/>
                <w:szCs w:val="20"/>
              </w:rPr>
            </w:pPr>
            <w:r>
              <w:rPr>
                <w:rFonts w:ascii="Arial Narrow"/>
                <w:w w:val="95"/>
                <w:sz w:val="20"/>
              </w:rPr>
              <w:t>97,735,849.73</w:t>
            </w:r>
            <w:r>
              <w:rPr>
                <w:rFonts w:ascii="Arial Narrow"/>
                <w:sz w:val="20"/>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62,500,053.71</w:t>
            </w:r>
            <w:r>
              <w:rPr>
                <w:rFonts w:ascii="Arial Narrow"/>
                <w:sz w:val="20"/>
              </w:rPr>
            </w:r>
          </w:p>
        </w:tc>
      </w:tr>
      <w:tr>
        <w:trPr>
          <w:trHeight w:val="326"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27"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1"/>
              <w:jc w:val="right"/>
              <w:rPr>
                <w:rFonts w:ascii="Arial Narrow" w:hAnsi="Arial Narrow" w:cs="Arial Narrow" w:eastAsia="Arial Narrow" w:hint="default"/>
                <w:sz w:val="20"/>
                <w:szCs w:val="20"/>
              </w:rPr>
            </w:pPr>
            <w:r>
              <w:rPr>
                <w:rFonts w:ascii="Arial Narrow"/>
                <w:w w:val="95"/>
                <w:sz w:val="20"/>
              </w:rPr>
              <w:t>42,735,587.61</w:t>
            </w:r>
            <w:r>
              <w:rPr>
                <w:rFonts w:ascii="Arial Narrow"/>
                <w:sz w:val="20"/>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37,986,548.08</w:t>
            </w:r>
            <w:r>
              <w:rPr>
                <w:rFonts w:ascii="Arial Narrow"/>
                <w:sz w:val="20"/>
              </w:rPr>
            </w:r>
          </w:p>
        </w:tc>
      </w:tr>
      <w:tr>
        <w:trPr>
          <w:trHeight w:val="329"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2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1"/>
              <w:jc w:val="right"/>
              <w:rPr>
                <w:rFonts w:ascii="Arial Narrow" w:hAnsi="Arial Narrow" w:cs="Arial Narrow" w:eastAsia="Arial Narrow" w:hint="default"/>
                <w:sz w:val="20"/>
                <w:szCs w:val="20"/>
              </w:rPr>
            </w:pPr>
            <w:r>
              <w:rPr>
                <w:rFonts w:ascii="Arial Narrow"/>
                <w:w w:val="95"/>
                <w:sz w:val="20"/>
              </w:rPr>
              <w:t>3,246,856.40</w:t>
            </w:r>
            <w:r>
              <w:rPr>
                <w:rFonts w:ascii="Arial Narrow"/>
                <w:sz w:val="20"/>
              </w:rPr>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2,750,752.06</w:t>
            </w:r>
            <w:r>
              <w:rPr>
                <w:rFonts w:ascii="Arial Narrow"/>
                <w:sz w:val="20"/>
              </w:rPr>
            </w:r>
          </w:p>
        </w:tc>
      </w:tr>
      <w:tr>
        <w:trPr>
          <w:trHeight w:val="326"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64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00"/>
              <w:jc w:val="right"/>
              <w:rPr>
                <w:rFonts w:ascii="Arial Narrow" w:hAnsi="Arial Narrow" w:cs="Arial Narrow" w:eastAsia="Arial Narrow" w:hint="default"/>
                <w:sz w:val="20"/>
                <w:szCs w:val="20"/>
              </w:rPr>
            </w:pPr>
            <w:r>
              <w:rPr>
                <w:rFonts w:ascii="Arial Narrow"/>
                <w:w w:val="95"/>
                <w:sz w:val="20"/>
              </w:rPr>
              <w:t>6,600,000.00</w:t>
            </w:r>
            <w:r>
              <w:rPr>
                <w:rFonts w:ascii="Arial Narrow"/>
                <w:sz w:val="20"/>
              </w:rPr>
            </w: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421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64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2"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21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130,624,580.94</w:t>
            </w:r>
            <w:r>
              <w:rPr>
                <w:rFonts w:ascii="Arial Narrow"/>
                <w:sz w:val="20"/>
              </w:rPr>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2"/>
              <w:jc w:val="right"/>
              <w:rPr>
                <w:rFonts w:ascii="Arial Narrow" w:hAnsi="Arial Narrow" w:cs="Arial Narrow" w:eastAsia="Arial Narrow" w:hint="default"/>
                <w:sz w:val="20"/>
                <w:szCs w:val="20"/>
              </w:rPr>
            </w:pPr>
            <w:r>
              <w:rPr>
                <w:rFonts w:ascii="Arial Narrow"/>
                <w:w w:val="95"/>
                <w:sz w:val="20"/>
              </w:rPr>
              <w:t>97,735,849.73</w:t>
            </w:r>
            <w:r>
              <w:rPr>
                <w:rFonts w:ascii="Arial Narrow"/>
                <w:sz w:val="20"/>
              </w:rPr>
            </w:r>
          </w:p>
        </w:tc>
      </w:tr>
    </w:tbl>
    <w:p>
      <w:pPr>
        <w:spacing w:before="26"/>
        <w:ind w:left="217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81"/>
        <w:ind w:left="9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202" w:type="dxa"/>
        <w:tblLayout w:type="fixed"/>
        <w:tblCellMar>
          <w:top w:w="0" w:type="dxa"/>
          <w:left w:w="0" w:type="dxa"/>
          <w:bottom w:w="0" w:type="dxa"/>
          <w:right w:w="0" w:type="dxa"/>
        </w:tblCellMar>
        <w:tblLook w:val="01E0"/>
      </w:tblPr>
      <w:tblGrid>
        <w:gridCol w:w="4121"/>
        <w:gridCol w:w="2369"/>
        <w:gridCol w:w="2369"/>
      </w:tblGrid>
      <w:tr>
        <w:trPr>
          <w:trHeight w:val="307"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6" w:val="left" w:leader="none"/>
              </w:tabs>
              <w:spacing w:line="248"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65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609,526,619.84</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512,854,330.10</w:t>
            </w:r>
            <w:r>
              <w:rPr>
                <w:rFonts w:ascii="Arial Narrow"/>
                <w:sz w:val="20"/>
              </w:rPr>
            </w:r>
          </w:p>
        </w:tc>
      </w:tr>
      <w:tr>
        <w:trPr>
          <w:trHeight w:val="30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599,140,795.24</w:t>
            </w:r>
            <w:r>
              <w:rPr>
                <w:rFonts w:ascii="Arial Narrow"/>
                <w:sz w:val="20"/>
              </w:rPr>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500,701,694.73</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300" w:right="1300"/>
        </w:sectPr>
      </w:pPr>
    </w:p>
    <w:p>
      <w:pPr>
        <w:spacing w:line="240" w:lineRule="auto" w:before="9"/>
        <w:rPr>
          <w:rFonts w:ascii="宋体" w:hAnsi="宋体" w:cs="宋体" w:eastAsia="宋体" w:hint="default"/>
          <w:sz w:val="19"/>
          <w:szCs w:val="19"/>
        </w:rPr>
      </w:pPr>
    </w:p>
    <w:tbl>
      <w:tblPr>
        <w:tblW w:w="0" w:type="auto"/>
        <w:jc w:val="left"/>
        <w:tblInd w:w="162" w:type="dxa"/>
        <w:tblLayout w:type="fixed"/>
        <w:tblCellMar>
          <w:top w:w="0" w:type="dxa"/>
          <w:left w:w="0" w:type="dxa"/>
          <w:bottom w:w="0" w:type="dxa"/>
          <w:right w:w="0" w:type="dxa"/>
        </w:tblCellMar>
        <w:tblLook w:val="01E0"/>
      </w:tblPr>
      <w:tblGrid>
        <w:gridCol w:w="4121"/>
        <w:gridCol w:w="2369"/>
        <w:gridCol w:w="2369"/>
      </w:tblGrid>
      <w:tr>
        <w:trPr>
          <w:trHeight w:val="307"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10,385,824.60</w:t>
            </w:r>
            <w:r>
              <w:rPr>
                <w:rFonts w:ascii="Arial Narrow"/>
                <w:sz w:val="20"/>
              </w:rPr>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12,152,635.37</w:t>
            </w:r>
            <w:r>
              <w:rPr>
                <w:rFonts w:ascii="Arial Narrow"/>
                <w:sz w:val="20"/>
              </w:rPr>
            </w:r>
          </w:p>
        </w:tc>
      </w:tr>
      <w:tr>
        <w:trPr>
          <w:trHeight w:val="298"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405,229,569.10</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342,652,217.05</w:t>
            </w:r>
            <w:r>
              <w:rPr>
                <w:rFonts w:ascii="Arial Narrow"/>
                <w:sz w:val="20"/>
              </w:rPr>
            </w:r>
          </w:p>
        </w:tc>
      </w:tr>
      <w:tr>
        <w:trPr>
          <w:trHeight w:val="300"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right="1884"/>
              <w:jc w:val="right"/>
              <w:rPr>
                <w:rFonts w:ascii="宋体" w:hAnsi="宋体" w:cs="宋体" w:eastAsia="宋体" w:hint="default"/>
                <w:sz w:val="21"/>
                <w:szCs w:val="21"/>
              </w:rPr>
            </w:pPr>
            <w:r>
              <w:rPr>
                <w:rFonts w:ascii="宋体" w:hAnsi="宋体" w:cs="宋体" w:eastAsia="宋体" w:hint="default"/>
                <w:spacing w:val="-1"/>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403,026,698.32</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335,323,459.14</w:t>
            </w:r>
            <w:r>
              <w:rPr>
                <w:rFonts w:ascii="Arial Narrow"/>
                <w:sz w:val="20"/>
              </w:rPr>
            </w:r>
          </w:p>
        </w:tc>
      </w:tr>
      <w:tr>
        <w:trPr>
          <w:trHeight w:val="30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right="1887"/>
              <w:jc w:val="right"/>
              <w:rPr>
                <w:rFonts w:ascii="宋体" w:hAnsi="宋体" w:cs="宋体" w:eastAsia="宋体" w:hint="default"/>
                <w:sz w:val="21"/>
                <w:szCs w:val="21"/>
              </w:rPr>
            </w:pPr>
            <w:r>
              <w:rPr>
                <w:rFonts w:ascii="宋体" w:hAnsi="宋体" w:cs="宋体" w:eastAsia="宋体" w:hint="default"/>
                <w:spacing w:val="-1"/>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2,202,870.78</w:t>
            </w:r>
            <w:r>
              <w:rPr>
                <w:rFonts w:ascii="Arial Narrow"/>
                <w:sz w:val="20"/>
              </w:rPr>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7,328,757.91</w:t>
            </w:r>
            <w:r>
              <w:rPr>
                <w:rFonts w:ascii="Arial Narrow"/>
                <w:sz w:val="20"/>
              </w:rPr>
            </w:r>
          </w:p>
        </w:tc>
      </w:tr>
    </w:tbl>
    <w:p>
      <w:pPr>
        <w:spacing w:before="86"/>
        <w:ind w:left="8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）按产品类别分项列示如下：</w:t>
      </w:r>
    </w:p>
    <w:p>
      <w:pPr>
        <w:spacing w:line="240" w:lineRule="auto" w:before="9"/>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278"/>
        <w:gridCol w:w="1673"/>
        <w:gridCol w:w="1673"/>
        <w:gridCol w:w="1673"/>
        <w:gridCol w:w="1673"/>
      </w:tblGrid>
      <w:tr>
        <w:trPr>
          <w:trHeight w:val="307" w:hRule="exact"/>
        </w:trPr>
        <w:tc>
          <w:tcPr>
            <w:tcW w:w="2278" w:type="dxa"/>
            <w:vMerge w:val="restart"/>
            <w:tcBorders>
              <w:top w:val="single" w:sz="12" w:space="0" w:color="000000"/>
              <w:left w:val="nil" w:sz="6" w:space="0" w:color="auto"/>
              <w:right w:val="single" w:sz="6" w:space="0" w:color="000000"/>
            </w:tcBorders>
          </w:tcPr>
          <w:p>
            <w:pPr>
              <w:pStyle w:val="TableParagraph"/>
              <w:spacing w:line="240" w:lineRule="auto" w:before="122"/>
              <w:ind w:left="724" w:right="0"/>
              <w:jc w:val="left"/>
              <w:rPr>
                <w:rFonts w:ascii="宋体" w:hAnsi="宋体" w:cs="宋体" w:eastAsia="宋体" w:hint="default"/>
                <w:sz w:val="21"/>
                <w:szCs w:val="21"/>
              </w:rPr>
            </w:pPr>
            <w:r>
              <w:rPr>
                <w:rFonts w:ascii="宋体" w:hAnsi="宋体" w:cs="宋体" w:eastAsia="宋体" w:hint="default"/>
                <w:sz w:val="21"/>
                <w:szCs w:val="21"/>
              </w:rPr>
              <w:t>产品类别</w:t>
            </w:r>
          </w:p>
        </w:tc>
        <w:tc>
          <w:tcPr>
            <w:tcW w:w="334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56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46"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25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278" w:type="dxa"/>
            <w:vMerge/>
            <w:tcBorders>
              <w:left w:val="nil" w:sz="6" w:space="0" w:color="auto"/>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8" w:lineRule="exact"/>
              <w:ind w:left="40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98"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高、低压成套开关设备</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494,035,441.65</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344,562,737.43</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421,542,994.05</w:t>
            </w:r>
            <w:r>
              <w:rPr>
                <w:rFonts w:ascii="Arial Narrow"/>
                <w:sz w:val="20"/>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288,352,745.43</w:t>
            </w:r>
            <w:r>
              <w:rPr>
                <w:rFonts w:ascii="Arial Narrow"/>
                <w:sz w:val="20"/>
              </w:rPr>
            </w:r>
          </w:p>
        </w:tc>
      </w:tr>
      <w:tr>
        <w:trPr>
          <w:trHeight w:val="300"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元器件</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81,093,997.80</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42,613,065.38</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56,417,070.78</w:t>
            </w:r>
            <w:r>
              <w:rPr>
                <w:rFonts w:ascii="Arial Narrow"/>
                <w:sz w:val="20"/>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w w:val="95"/>
                <w:sz w:val="20"/>
              </w:rPr>
              <w:t>32,294,144.11</w:t>
            </w:r>
            <w:r>
              <w:rPr>
                <w:rFonts w:ascii="Arial Narrow"/>
                <w:spacing w:val="-1"/>
                <w:sz w:val="20"/>
              </w:rPr>
            </w:r>
          </w:p>
        </w:tc>
      </w:tr>
      <w:tr>
        <w:trPr>
          <w:trHeight w:val="298"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自动化产品</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23,387,825.79</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15,374,793.69</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22,741,629.90</w:t>
            </w:r>
            <w:r>
              <w:rPr>
                <w:rFonts w:ascii="Arial Narrow"/>
                <w:sz w:val="20"/>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2"/>
              <w:jc w:val="right"/>
              <w:rPr>
                <w:rFonts w:ascii="Arial Narrow" w:hAnsi="Arial Narrow" w:cs="Arial Narrow" w:eastAsia="Arial Narrow" w:hint="default"/>
                <w:sz w:val="20"/>
                <w:szCs w:val="20"/>
              </w:rPr>
            </w:pPr>
            <w:r>
              <w:rPr>
                <w:rFonts w:ascii="Arial Narrow"/>
                <w:w w:val="95"/>
                <w:sz w:val="20"/>
              </w:rPr>
              <w:t>14,676,569.60</w:t>
            </w:r>
            <w:r>
              <w:rPr>
                <w:rFonts w:ascii="Arial Narrow"/>
                <w:sz w:val="20"/>
              </w:rPr>
            </w:r>
          </w:p>
        </w:tc>
      </w:tr>
      <w:tr>
        <w:trPr>
          <w:trHeight w:val="300"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623,530.00</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476,101.82</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10,385,824.60</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2,202,870.78</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12,152,635.37</w:t>
            </w:r>
            <w:r>
              <w:rPr>
                <w:rFonts w:ascii="Arial Narrow"/>
                <w:sz w:val="20"/>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7,328,757.91</w:t>
            </w:r>
            <w:r>
              <w:rPr>
                <w:rFonts w:ascii="Arial Narrow"/>
                <w:sz w:val="20"/>
              </w:rPr>
            </w:r>
          </w:p>
        </w:tc>
      </w:tr>
      <w:tr>
        <w:trPr>
          <w:trHeight w:val="310" w:hRule="exact"/>
        </w:trPr>
        <w:tc>
          <w:tcPr>
            <w:tcW w:w="2278" w:type="dxa"/>
            <w:tcBorders>
              <w:top w:val="single" w:sz="6" w:space="0" w:color="000000"/>
              <w:left w:val="nil" w:sz="6" w:space="0" w:color="auto"/>
              <w:bottom w:val="single" w:sz="12" w:space="0" w:color="000000"/>
              <w:right w:val="single" w:sz="6" w:space="0" w:color="000000"/>
            </w:tcBorders>
          </w:tcPr>
          <w:p>
            <w:pPr>
              <w:pStyle w:val="TableParagraph"/>
              <w:tabs>
                <w:tab w:pos="1408" w:val="left" w:leader="none"/>
              </w:tabs>
              <w:spacing w:line="249" w:lineRule="exact"/>
              <w:ind w:left="67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609,526,619.84</w:t>
            </w:r>
            <w:r>
              <w:rPr>
                <w:rFonts w:ascii="Arial Narrow"/>
                <w:sz w:val="20"/>
              </w:rPr>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405,229,569.10</w:t>
            </w:r>
            <w:r>
              <w:rPr>
                <w:rFonts w:ascii="Arial Narrow"/>
                <w:sz w:val="20"/>
              </w:rPr>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99"/>
              <w:jc w:val="right"/>
              <w:rPr>
                <w:rFonts w:ascii="Arial Narrow" w:hAnsi="Arial Narrow" w:cs="Arial Narrow" w:eastAsia="Arial Narrow" w:hint="default"/>
                <w:sz w:val="20"/>
                <w:szCs w:val="20"/>
              </w:rPr>
            </w:pPr>
            <w:r>
              <w:rPr>
                <w:rFonts w:ascii="Arial Narrow"/>
                <w:spacing w:val="-1"/>
                <w:sz w:val="20"/>
              </w:rPr>
              <w:t>512,854,330.10</w:t>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4"/>
              <w:ind w:right="105"/>
              <w:jc w:val="right"/>
              <w:rPr>
                <w:rFonts w:ascii="Arial Narrow" w:hAnsi="Arial Narrow" w:cs="Arial Narrow" w:eastAsia="Arial Narrow" w:hint="default"/>
                <w:sz w:val="20"/>
                <w:szCs w:val="20"/>
              </w:rPr>
            </w:pPr>
            <w:r>
              <w:rPr>
                <w:rFonts w:ascii="Arial Narrow"/>
                <w:w w:val="95"/>
                <w:sz w:val="20"/>
              </w:rPr>
              <w:t>342,652,217.05</w:t>
            </w:r>
            <w:r>
              <w:rPr>
                <w:rFonts w:ascii="Arial Narrow"/>
                <w:sz w:val="20"/>
              </w:rPr>
            </w:r>
          </w:p>
        </w:tc>
      </w:tr>
    </w:tbl>
    <w:p>
      <w:pPr>
        <w:spacing w:before="86"/>
        <w:ind w:left="8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）前五名客户收入总额及占全部营业收入的比例：</w:t>
      </w:r>
    </w:p>
    <w:p>
      <w:pPr>
        <w:spacing w:line="240" w:lineRule="auto" w:before="9"/>
        <w:rPr>
          <w:rFonts w:ascii="宋体" w:hAnsi="宋体" w:cs="宋体" w:eastAsia="宋体" w:hint="default"/>
          <w:sz w:val="11"/>
          <w:szCs w:val="11"/>
        </w:rPr>
      </w:pPr>
    </w:p>
    <w:tbl>
      <w:tblPr>
        <w:tblW w:w="0" w:type="auto"/>
        <w:jc w:val="left"/>
        <w:tblInd w:w="162" w:type="dxa"/>
        <w:tblLayout w:type="fixed"/>
        <w:tblCellMar>
          <w:top w:w="0" w:type="dxa"/>
          <w:left w:w="0" w:type="dxa"/>
          <w:bottom w:w="0" w:type="dxa"/>
          <w:right w:w="0" w:type="dxa"/>
        </w:tblCellMar>
        <w:tblLook w:val="01E0"/>
      </w:tblPr>
      <w:tblGrid>
        <w:gridCol w:w="2969"/>
        <w:gridCol w:w="2945"/>
        <w:gridCol w:w="2945"/>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3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38,856,446.24</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sz w:val="20"/>
              </w:rPr>
              <w:t>6.37%</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31,132,405.98</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spacing w:val="-3"/>
                <w:sz w:val="20"/>
              </w:rPr>
              <w:t>5.11%</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22,380,924.15</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sz w:val="20"/>
              </w:rPr>
              <w:t>3.67%</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17,697,179.49</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sz w:val="20"/>
              </w:rPr>
              <w:t>2.90%</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14,210,138.46</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sz w:val="20"/>
              </w:rPr>
              <w:t>2.33%</w:t>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124,277,094.32</w:t>
            </w:r>
            <w:r>
              <w:rPr>
                <w:rFonts w:ascii="Arial Narrow"/>
                <w:sz w:val="20"/>
              </w:rPr>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w w:val="95"/>
                <w:sz w:val="20"/>
              </w:rPr>
              <w:t>20.38%</w:t>
            </w:r>
            <w:r>
              <w:rPr>
                <w:rFonts w:ascii="Arial Narrow"/>
                <w:sz w:val="20"/>
              </w:rPr>
            </w:r>
          </w:p>
        </w:tc>
      </w:tr>
    </w:tbl>
    <w:p>
      <w:pPr>
        <w:spacing w:line="240" w:lineRule="auto" w:before="13"/>
        <w:rPr>
          <w:rFonts w:ascii="宋体" w:hAnsi="宋体" w:cs="宋体" w:eastAsia="宋体" w:hint="default"/>
          <w:sz w:val="12"/>
          <w:szCs w:val="12"/>
        </w:rPr>
      </w:pPr>
    </w:p>
    <w:p>
      <w:pPr>
        <w:spacing w:before="36"/>
        <w:ind w:left="213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25</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62" w:type="dxa"/>
        <w:tblLayout w:type="fixed"/>
        <w:tblCellMar>
          <w:top w:w="0" w:type="dxa"/>
          <w:left w:w="0" w:type="dxa"/>
          <w:bottom w:w="0" w:type="dxa"/>
          <w:right w:w="0" w:type="dxa"/>
        </w:tblCellMar>
        <w:tblLook w:val="01E0"/>
      </w:tblPr>
      <w:tblGrid>
        <w:gridCol w:w="2806"/>
        <w:gridCol w:w="3027"/>
        <w:gridCol w:w="3027"/>
      </w:tblGrid>
      <w:tr>
        <w:trPr>
          <w:trHeight w:val="362" w:hRule="exact"/>
        </w:trPr>
        <w:tc>
          <w:tcPr>
            <w:tcW w:w="28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124"/>
              <w:jc w:val="righ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2"/>
                <w:sz w:val="21"/>
                <w:szCs w:val="21"/>
              </w:rPr>
              <w:t> </w:t>
            </w:r>
            <w:r>
              <w:rPr>
                <w:rFonts w:ascii="宋体" w:hAnsi="宋体" w:cs="宋体" w:eastAsia="宋体" w:hint="default"/>
                <w:sz w:val="21"/>
                <w:szCs w:val="21"/>
              </w:rPr>
              <w:t>种</w:t>
            </w:r>
          </w:p>
        </w:tc>
        <w:tc>
          <w:tcPr>
            <w:tcW w:w="3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19,355.90</w:t>
            </w:r>
            <w:r>
              <w:rPr>
                <w:rFonts w:ascii="Arial Narrow"/>
                <w:sz w:val="20"/>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2,572.00</w:t>
            </w:r>
            <w:r>
              <w:rPr>
                <w:rFonts w:ascii="Arial Narrow"/>
                <w:sz w:val="20"/>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1,279,039.99</w:t>
            </w:r>
            <w:r>
              <w:rPr>
                <w:rFonts w:ascii="Arial Narrow"/>
                <w:sz w:val="20"/>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1,655,954.63</w:t>
            </w:r>
            <w:r>
              <w:rPr>
                <w:rFonts w:ascii="Arial Narrow"/>
                <w:sz w:val="20"/>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548,161.27</w:t>
            </w:r>
            <w:r>
              <w:rPr>
                <w:rFonts w:ascii="Arial Narrow"/>
                <w:sz w:val="20"/>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709,694.87</w:t>
            </w:r>
            <w:r>
              <w:rPr>
                <w:rFonts w:ascii="Arial Narrow"/>
                <w:sz w:val="20"/>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z w:val="20"/>
                <w:szCs w:val="20"/>
              </w:rPr>
              <w:t>地方教育附加</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175,648.28</w:t>
            </w:r>
            <w:r>
              <w:rPr>
                <w:rFonts w:ascii="Arial Narrow"/>
                <w:sz w:val="20"/>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231,396.34</w:t>
            </w:r>
            <w:r>
              <w:rPr>
                <w:rFonts w:ascii="Arial Narrow"/>
                <w:sz w:val="20"/>
              </w:rPr>
            </w:r>
          </w:p>
        </w:tc>
      </w:tr>
      <w:tr>
        <w:trPr>
          <w:trHeight w:val="415"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right="1178"/>
              <w:jc w:val="right"/>
              <w:rPr>
                <w:rFonts w:ascii="宋体" w:hAnsi="宋体" w:cs="宋体" w:eastAsia="宋体" w:hint="default"/>
                <w:sz w:val="21"/>
                <w:szCs w:val="21"/>
              </w:rPr>
            </w:pPr>
            <w:r>
              <w:rPr>
                <w:rFonts w:ascii="宋体" w:hAnsi="宋体" w:cs="宋体" w:eastAsia="宋体" w:hint="default"/>
                <w:color w:val="212121"/>
                <w:sz w:val="21"/>
                <w:szCs w:val="21"/>
              </w:rPr>
              <w:t>合计</w:t>
            </w:r>
            <w:r>
              <w:rPr>
                <w:rFonts w:ascii="宋体" w:hAnsi="宋体" w:cs="宋体" w:eastAsia="宋体" w:hint="default"/>
                <w:sz w:val="21"/>
                <w:szCs w:val="21"/>
              </w:rPr>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w w:val="95"/>
                <w:sz w:val="20"/>
              </w:rPr>
              <w:t>2,022,205.44</w:t>
            </w:r>
            <w:r>
              <w:rPr>
                <w:rFonts w:ascii="Arial Narrow"/>
                <w:sz w:val="20"/>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5"/>
              <w:jc w:val="right"/>
              <w:rPr>
                <w:rFonts w:ascii="Arial Narrow" w:hAnsi="Arial Narrow" w:cs="Arial Narrow" w:eastAsia="Arial Narrow" w:hint="default"/>
                <w:sz w:val="20"/>
                <w:szCs w:val="20"/>
              </w:rPr>
            </w:pPr>
            <w:r>
              <w:rPr>
                <w:rFonts w:ascii="Arial Narrow"/>
                <w:w w:val="95"/>
                <w:sz w:val="20"/>
              </w:rPr>
              <w:t>2,599,617.84</w:t>
            </w:r>
            <w:r>
              <w:rPr>
                <w:rFonts w:ascii="Arial Narrow"/>
                <w:sz w:val="20"/>
              </w:rPr>
            </w:r>
          </w:p>
        </w:tc>
      </w:tr>
    </w:tbl>
    <w:p>
      <w:pPr>
        <w:spacing w:line="240" w:lineRule="auto" w:before="13"/>
        <w:rPr>
          <w:rFonts w:ascii="宋体" w:hAnsi="宋体" w:cs="宋体" w:eastAsia="宋体" w:hint="default"/>
          <w:b/>
          <w:bCs/>
          <w:sz w:val="12"/>
          <w:szCs w:val="12"/>
        </w:rPr>
      </w:pPr>
    </w:p>
    <w:p>
      <w:pPr>
        <w:spacing w:before="36"/>
        <w:ind w:left="2138"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26</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62" w:type="dxa"/>
        <w:tblLayout w:type="fixed"/>
        <w:tblCellMar>
          <w:top w:w="0" w:type="dxa"/>
          <w:left w:w="0" w:type="dxa"/>
          <w:bottom w:w="0" w:type="dxa"/>
          <w:right w:w="0" w:type="dxa"/>
        </w:tblCellMar>
        <w:tblLook w:val="01E0"/>
      </w:tblPr>
      <w:tblGrid>
        <w:gridCol w:w="2806"/>
        <w:gridCol w:w="3027"/>
        <w:gridCol w:w="3027"/>
      </w:tblGrid>
      <w:tr>
        <w:trPr>
          <w:trHeight w:val="365" w:hRule="exact"/>
        </w:trPr>
        <w:tc>
          <w:tcPr>
            <w:tcW w:w="28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Narrow" w:hAnsi="Arial Narrow" w:cs="Arial Narrow" w:eastAsia="Arial Narrow" w:hint="default"/>
                <w:sz w:val="21"/>
                <w:szCs w:val="21"/>
              </w:rPr>
            </w:pPr>
            <w:r>
              <w:rPr>
                <w:rFonts w:ascii="Arial Narrow"/>
                <w:spacing w:val="-1"/>
                <w:sz w:val="21"/>
              </w:rPr>
              <w:t>9,953,193.40</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pacing w:val="-1"/>
                <w:sz w:val="21"/>
              </w:rPr>
              <w:t>3,925,561.69</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2,720,293.03</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1,866,195.64</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5,099,259.53</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3,038,699.16</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15,293,566.27</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17,230,719.52</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24,028,979.32</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20,058,246.61</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招标服务费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9,342,345.77</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6,883,344.62</w:t>
            </w:r>
            <w:r>
              <w:rPr>
                <w:rFonts w:ascii="Arial Narrow"/>
                <w:sz w:val="21"/>
              </w:rPr>
            </w:r>
          </w:p>
        </w:tc>
      </w:tr>
      <w:tr>
        <w:trPr>
          <w:trHeight w:val="362"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3,051,987.72</w:t>
            </w:r>
            <w:r>
              <w:rPr>
                <w:rFonts w:ascii="Arial Narrow"/>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2,523,210.82</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16" w:footer="858" w:top="1160" w:bottom="1040" w:left="1340" w:right="1340"/>
        </w:sectPr>
      </w:pPr>
    </w:p>
    <w:p>
      <w:pPr>
        <w:spacing w:line="240" w:lineRule="auto" w:before="9"/>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2806"/>
        <w:gridCol w:w="3027"/>
        <w:gridCol w:w="3027"/>
      </w:tblGrid>
      <w:tr>
        <w:trPr>
          <w:trHeight w:val="363" w:hRule="exact"/>
        </w:trPr>
        <w:tc>
          <w:tcPr>
            <w:tcW w:w="280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3,759,017.32</w:t>
            </w:r>
            <w:r>
              <w:rPr>
                <w:rFonts w:ascii="Arial Narrow"/>
                <w:sz w:val="21"/>
              </w:rPr>
            </w:r>
          </w:p>
        </w:tc>
        <w:tc>
          <w:tcPr>
            <w:tcW w:w="30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4,824,905.89</w:t>
            </w:r>
            <w:r>
              <w:rPr>
                <w:rFonts w:ascii="Arial Narrow"/>
                <w:sz w:val="21"/>
              </w:rPr>
            </w:r>
          </w:p>
        </w:tc>
      </w:tr>
      <w:tr>
        <w:trPr>
          <w:trHeight w:val="362"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73,248,642.36</w:t>
            </w:r>
            <w:r>
              <w:rPr>
                <w:rFonts w:ascii="Arial Narrow"/>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60,350,883.95</w:t>
            </w:r>
            <w:r>
              <w:rPr>
                <w:rFonts w:ascii="Arial Narrow"/>
                <w:sz w:val="21"/>
              </w:rPr>
            </w:r>
          </w:p>
        </w:tc>
      </w:tr>
    </w:tbl>
    <w:p>
      <w:pPr>
        <w:spacing w:line="240" w:lineRule="auto" w:before="13"/>
        <w:rPr>
          <w:rFonts w:ascii="宋体" w:hAnsi="宋体" w:cs="宋体" w:eastAsia="宋体" w:hint="default"/>
          <w:b/>
          <w:bCs/>
          <w:sz w:val="12"/>
          <w:szCs w:val="12"/>
        </w:rPr>
      </w:pPr>
    </w:p>
    <w:p>
      <w:pPr>
        <w:spacing w:before="36"/>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27</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2806"/>
        <w:gridCol w:w="3027"/>
        <w:gridCol w:w="3027"/>
      </w:tblGrid>
      <w:tr>
        <w:trPr>
          <w:trHeight w:val="362" w:hRule="exact"/>
        </w:trPr>
        <w:tc>
          <w:tcPr>
            <w:tcW w:w="280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2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7,742,267.28</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4,918,302.12</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34,199,037.30</w:t>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22,408,283.91</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办公、汽车费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3,273,418.97</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2,865,634.22</w:t>
            </w:r>
            <w:r>
              <w:rPr>
                <w:rFonts w:ascii="Arial Narrow"/>
                <w:sz w:val="21"/>
              </w:rPr>
            </w:r>
          </w:p>
        </w:tc>
      </w:tr>
      <w:tr>
        <w:trPr>
          <w:trHeight w:val="353"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Arial Narrow" w:hAnsi="Arial Narrow" w:cs="Arial Narrow" w:eastAsia="Arial Narrow" w:hint="default"/>
                <w:sz w:val="21"/>
                <w:szCs w:val="21"/>
              </w:rPr>
            </w:pPr>
            <w:r>
              <w:rPr>
                <w:rFonts w:ascii="Arial Narrow"/>
                <w:spacing w:val="-1"/>
                <w:sz w:val="21"/>
              </w:rPr>
              <w:t>6,371,132.91</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Narrow" w:hAnsi="Arial Narrow" w:cs="Arial Narrow" w:eastAsia="Arial Narrow" w:hint="default"/>
                <w:sz w:val="21"/>
                <w:szCs w:val="21"/>
              </w:rPr>
            </w:pPr>
            <w:r>
              <w:rPr>
                <w:rFonts w:ascii="Arial Narrow"/>
                <w:spacing w:val="-1"/>
                <w:sz w:val="21"/>
              </w:rPr>
              <w:t>3,836,282.14</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25" w:right="0"/>
              <w:jc w:val="left"/>
              <w:rPr>
                <w:rFonts w:ascii="宋体" w:hAnsi="宋体" w:cs="宋体" w:eastAsia="宋体" w:hint="default"/>
                <w:sz w:val="21"/>
                <w:szCs w:val="21"/>
              </w:rPr>
            </w:pPr>
            <w:r>
              <w:rPr>
                <w:rFonts w:ascii="宋体" w:hAnsi="宋体" w:cs="宋体" w:eastAsia="宋体" w:hint="default"/>
                <w:sz w:val="21"/>
                <w:szCs w:val="21"/>
              </w:rPr>
              <w:t>折旧费、无形资产摊销</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3,196,644.86</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2,463,596.00</w:t>
            </w:r>
            <w:r>
              <w:rPr>
                <w:rFonts w:ascii="Arial Narrow"/>
                <w:sz w:val="21"/>
              </w:rPr>
            </w:r>
          </w:p>
        </w:tc>
      </w:tr>
      <w:tr>
        <w:trPr>
          <w:trHeight w:val="356"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25"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3,314,675.78</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1,972,071.18</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8,931,460.93</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10,438,050.30</w:t>
            </w:r>
          </w:p>
        </w:tc>
      </w:tr>
      <w:tr>
        <w:trPr>
          <w:trHeight w:val="365"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67,028,638.03</w:t>
            </w:r>
            <w:r>
              <w:rPr>
                <w:rFonts w:ascii="Arial Narrow"/>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48,902,219.87</w:t>
            </w:r>
            <w:r>
              <w:rPr>
                <w:rFonts w:ascii="Arial Narrow"/>
                <w:sz w:val="21"/>
              </w:rPr>
            </w:r>
          </w:p>
        </w:tc>
      </w:tr>
    </w:tbl>
    <w:p>
      <w:pPr>
        <w:spacing w:line="240" w:lineRule="auto" w:before="13"/>
        <w:rPr>
          <w:rFonts w:ascii="宋体" w:hAnsi="宋体" w:cs="宋体" w:eastAsia="宋体" w:hint="default"/>
          <w:b/>
          <w:bCs/>
          <w:sz w:val="12"/>
          <w:szCs w:val="12"/>
        </w:rPr>
      </w:pPr>
    </w:p>
    <w:p>
      <w:pPr>
        <w:spacing w:before="36"/>
        <w:ind w:left="1449" w:right="283" w:firstLine="0"/>
        <w:jc w:val="left"/>
        <w:rPr>
          <w:rFonts w:ascii="宋体" w:hAnsi="宋体" w:cs="宋体" w:eastAsia="宋体" w:hint="default"/>
          <w:sz w:val="21"/>
          <w:szCs w:val="21"/>
        </w:rPr>
      </w:pPr>
      <w:r>
        <w:rPr>
          <w:rFonts w:ascii="宋体" w:hAnsi="宋体" w:cs="宋体" w:eastAsia="宋体" w:hint="default"/>
          <w:spacing w:val="-2"/>
          <w:sz w:val="21"/>
          <w:szCs w:val="21"/>
        </w:rPr>
        <w:t>本期管理费用比上年增加</w:t>
      </w:r>
      <w:r>
        <w:rPr>
          <w:rFonts w:ascii="宋体" w:hAnsi="宋体" w:cs="宋体" w:eastAsia="宋体" w:hint="default"/>
          <w:spacing w:val="12"/>
          <w:sz w:val="21"/>
          <w:szCs w:val="21"/>
        </w:rPr>
        <w:t> </w:t>
      </w:r>
      <w:r>
        <w:rPr>
          <w:rFonts w:ascii="Arial Narrow" w:hAnsi="Arial Narrow" w:cs="Arial Narrow" w:eastAsia="Arial Narrow" w:hint="default"/>
          <w:spacing w:val="-2"/>
          <w:sz w:val="21"/>
          <w:szCs w:val="21"/>
        </w:rPr>
        <w:t>37.07%</w:t>
      </w:r>
      <w:r>
        <w:rPr>
          <w:rFonts w:ascii="宋体" w:hAnsi="宋体" w:cs="宋体" w:eastAsia="宋体" w:hint="default"/>
          <w:spacing w:val="-2"/>
          <w:sz w:val="21"/>
          <w:szCs w:val="21"/>
        </w:rPr>
        <w:t>，主要是因为技术研发投入费用增加所致。</w:t>
      </w:r>
    </w:p>
    <w:p>
      <w:pPr>
        <w:spacing w:line="240" w:lineRule="auto" w:before="5"/>
        <w:rPr>
          <w:rFonts w:ascii="宋体" w:hAnsi="宋体" w:cs="宋体" w:eastAsia="宋体" w:hint="default"/>
          <w:sz w:val="27"/>
          <w:szCs w:val="27"/>
        </w:rPr>
      </w:pPr>
    </w:p>
    <w:p>
      <w:pPr>
        <w:spacing w:before="0"/>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28</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2806"/>
        <w:gridCol w:w="3027"/>
        <w:gridCol w:w="3027"/>
      </w:tblGrid>
      <w:tr>
        <w:trPr>
          <w:trHeight w:val="362" w:hRule="exact"/>
        </w:trPr>
        <w:tc>
          <w:tcPr>
            <w:tcW w:w="28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17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7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12,861,694.16</w:t>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2"/>
                <w:sz w:val="21"/>
              </w:rPr>
              <w:t>15,156,993.78</w:t>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1,214,264.83</w:t>
            </w:r>
            <w:r>
              <w:rPr>
                <w:rFonts w:ascii="Arial Narrow"/>
                <w:sz w:val="21"/>
              </w:rPr>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7"/>
              <w:jc w:val="right"/>
              <w:rPr>
                <w:rFonts w:ascii="Arial Narrow" w:hAnsi="Arial Narrow" w:cs="Arial Narrow" w:eastAsia="Arial Narrow" w:hint="default"/>
                <w:sz w:val="21"/>
                <w:szCs w:val="21"/>
              </w:rPr>
            </w:pPr>
            <w:r>
              <w:rPr>
                <w:rFonts w:ascii="Arial Narrow"/>
                <w:spacing w:val="-2"/>
                <w:sz w:val="21"/>
              </w:rPr>
              <w:t>1,270,401.66</w:t>
            </w:r>
            <w:r>
              <w:rPr>
                <w:rFonts w:ascii="Arial Narrow"/>
                <w:sz w:val="21"/>
              </w:rPr>
            </w:r>
          </w:p>
        </w:tc>
      </w:tr>
      <w:tr>
        <w:trPr>
          <w:trHeight w:val="356"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加：汇兑损益</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12,339.10</w:t>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Narrow" w:hAnsi="Arial Narrow" w:cs="Arial Narrow" w:eastAsia="Arial Narrow" w:hint="default"/>
                <w:sz w:val="21"/>
                <w:szCs w:val="21"/>
              </w:rPr>
            </w:pPr>
            <w:r>
              <w:rPr>
                <w:rFonts w:ascii="Arial Narrow"/>
                <w:spacing w:val="-1"/>
                <w:sz w:val="21"/>
              </w:rPr>
              <w:t>1,429.55</w:t>
            </w:r>
            <w:r>
              <w:rPr>
                <w:rFonts w:ascii="Arial Narrow"/>
                <w:sz w:val="21"/>
              </w:rPr>
            </w:r>
          </w:p>
        </w:tc>
      </w:tr>
      <w:tr>
        <w:trPr>
          <w:trHeight w:val="355"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871,508.16</w:t>
            </w:r>
          </w:p>
        </w:tc>
        <w:tc>
          <w:tcPr>
            <w:tcW w:w="3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964,977.75</w:t>
            </w:r>
            <w:r>
              <w:rPr>
                <w:rFonts w:ascii="Arial Narrow"/>
                <w:sz w:val="21"/>
              </w:rPr>
            </w:r>
          </w:p>
        </w:tc>
      </w:tr>
      <w:tr>
        <w:trPr>
          <w:trHeight w:val="415"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right="1178"/>
              <w:jc w:val="right"/>
              <w:rPr>
                <w:rFonts w:ascii="宋体" w:hAnsi="宋体" w:cs="宋体" w:eastAsia="宋体" w:hint="default"/>
                <w:sz w:val="21"/>
                <w:szCs w:val="21"/>
              </w:rPr>
            </w:pPr>
            <w:r>
              <w:rPr>
                <w:rFonts w:ascii="宋体" w:hAnsi="宋体" w:cs="宋体" w:eastAsia="宋体" w:hint="default"/>
                <w:color w:val="212121"/>
                <w:sz w:val="21"/>
                <w:szCs w:val="21"/>
              </w:rPr>
              <w:t>合计</w:t>
            </w:r>
            <w:r>
              <w:rPr>
                <w:rFonts w:ascii="宋体" w:hAnsi="宋体" w:cs="宋体" w:eastAsia="宋体" w:hint="default"/>
                <w:sz w:val="21"/>
                <w:szCs w:val="21"/>
              </w:rPr>
            </w:r>
          </w:p>
        </w:tc>
        <w:tc>
          <w:tcPr>
            <w:tcW w:w="30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12,531,276.59</w:t>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spacing w:val="-2"/>
                <w:sz w:val="21"/>
              </w:rPr>
              <w:t>14,852,999.42</w:t>
            </w:r>
          </w:p>
        </w:tc>
      </w:tr>
    </w:tbl>
    <w:p>
      <w:pPr>
        <w:spacing w:line="240" w:lineRule="auto" w:before="13"/>
        <w:rPr>
          <w:rFonts w:ascii="宋体" w:hAnsi="宋体" w:cs="宋体" w:eastAsia="宋体" w:hint="default"/>
          <w:b/>
          <w:bCs/>
          <w:sz w:val="12"/>
          <w:szCs w:val="12"/>
        </w:rPr>
      </w:pPr>
    </w:p>
    <w:p>
      <w:pPr>
        <w:spacing w:before="36"/>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29</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4433"/>
        <w:gridCol w:w="2067"/>
        <w:gridCol w:w="2360"/>
      </w:tblGrid>
      <w:tr>
        <w:trPr>
          <w:trHeight w:val="365"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0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64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0"/>
                <w:szCs w:val="20"/>
              </w:rPr>
            </w:pPr>
            <w:r>
              <w:rPr>
                <w:rFonts w:ascii="Arial Narrow"/>
                <w:w w:val="95"/>
                <w:sz w:val="20"/>
              </w:rPr>
              <w:t>4,072,826.68</w:t>
            </w:r>
            <w:r>
              <w:rPr>
                <w:rFonts w:ascii="Arial Narrow"/>
                <w:sz w:val="20"/>
              </w:rPr>
            </w:r>
          </w:p>
        </w:tc>
        <w:tc>
          <w:tcPr>
            <w:tcW w:w="23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2"/>
              <w:jc w:val="right"/>
              <w:rPr>
                <w:rFonts w:ascii="Arial Narrow" w:hAnsi="Arial Narrow" w:cs="Arial Narrow" w:eastAsia="Arial Narrow" w:hint="default"/>
                <w:sz w:val="20"/>
                <w:szCs w:val="20"/>
              </w:rPr>
            </w:pPr>
            <w:r>
              <w:rPr>
                <w:rFonts w:ascii="Arial Narrow"/>
                <w:w w:val="95"/>
                <w:sz w:val="20"/>
              </w:rPr>
              <w:t>1,530,173.78</w:t>
            </w:r>
            <w:r>
              <w:rPr>
                <w:rFonts w:ascii="Arial Narrow"/>
                <w:sz w:val="20"/>
              </w:rPr>
            </w:r>
          </w:p>
        </w:tc>
      </w:tr>
      <w:tr>
        <w:trPr>
          <w:trHeight w:val="365"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4,072,826.68</w:t>
            </w:r>
            <w:r>
              <w:rPr>
                <w:rFonts w:ascii="Arial Narrow"/>
                <w:sz w:val="20"/>
              </w:rPr>
            </w:r>
          </w:p>
        </w:tc>
        <w:tc>
          <w:tcPr>
            <w:tcW w:w="23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1,530,173.78</w:t>
            </w:r>
            <w:r>
              <w:rPr>
                <w:rFonts w:ascii="Arial Narrow"/>
                <w:sz w:val="20"/>
              </w:rPr>
            </w:r>
          </w:p>
        </w:tc>
      </w:tr>
    </w:tbl>
    <w:p>
      <w:pPr>
        <w:spacing w:before="86"/>
        <w:ind w:left="1132" w:right="283" w:firstLine="0"/>
        <w:jc w:val="left"/>
        <w:rPr>
          <w:rFonts w:ascii="宋体" w:hAnsi="宋体" w:cs="宋体" w:eastAsia="宋体" w:hint="default"/>
          <w:sz w:val="21"/>
          <w:szCs w:val="21"/>
        </w:rPr>
      </w:pPr>
      <w:r>
        <w:rPr>
          <w:rFonts w:ascii="宋体" w:hAnsi="宋体" w:cs="宋体" w:eastAsia="宋体" w:hint="default"/>
          <w:w w:val="100"/>
          <w:sz w:val="21"/>
          <w:szCs w:val="21"/>
        </w:rPr>
        <w:t>本年</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额</w:t>
      </w:r>
      <w:r>
        <w:rPr>
          <w:rFonts w:ascii="宋体" w:hAnsi="宋体" w:cs="宋体" w:eastAsia="宋体" w:hint="default"/>
          <w:w w:val="100"/>
          <w:sz w:val="21"/>
          <w:szCs w:val="21"/>
        </w:rPr>
        <w:t>较</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度增</w:t>
      </w:r>
      <w:r>
        <w:rPr>
          <w:rFonts w:ascii="宋体" w:hAnsi="宋体" w:cs="宋体" w:eastAsia="宋体" w:hint="default"/>
          <w:w w:val="100"/>
          <w:sz w:val="21"/>
          <w:szCs w:val="21"/>
        </w:rPr>
        <w:t>加</w:t>
      </w:r>
      <w:r>
        <w:rPr>
          <w:rFonts w:ascii="宋体" w:hAnsi="宋体" w:cs="宋体" w:eastAsia="宋体" w:hint="default"/>
          <w:spacing w:val="-55"/>
          <w:sz w:val="21"/>
          <w:szCs w:val="21"/>
        </w:rPr>
        <w:t> </w:t>
      </w:r>
      <w:r>
        <w:rPr>
          <w:rFonts w:ascii="Arial Narrow" w:hAnsi="Arial Narrow" w:cs="Arial Narrow" w:eastAsia="Arial Narrow" w:hint="default"/>
          <w:spacing w:val="-1"/>
          <w:w w:val="100"/>
          <w:sz w:val="21"/>
          <w:szCs w:val="21"/>
        </w:rPr>
        <w:t>166.1</w:t>
      </w:r>
      <w:r>
        <w:rPr>
          <w:rFonts w:ascii="Arial Narrow" w:hAnsi="Arial Narrow" w:cs="Arial Narrow" w:eastAsia="Arial Narrow" w:hint="default"/>
          <w:spacing w:val="-3"/>
          <w:w w:val="100"/>
          <w:sz w:val="21"/>
          <w:szCs w:val="21"/>
        </w:rPr>
        <w:t>7</w:t>
      </w:r>
      <w:r>
        <w:rPr>
          <w:rFonts w:ascii="Arial Narrow" w:hAnsi="Arial Narrow" w:cs="Arial Narrow" w:eastAsia="Arial Narrow" w:hint="default"/>
          <w:spacing w:val="2"/>
          <w:w w:val="100"/>
          <w:sz w:val="21"/>
          <w:szCs w:val="21"/>
        </w:rPr>
        <w:t>%</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主</w:t>
      </w:r>
      <w:r>
        <w:rPr>
          <w:rFonts w:ascii="宋体" w:hAnsi="宋体" w:cs="宋体" w:eastAsia="宋体" w:hint="default"/>
          <w:w w:val="100"/>
          <w:sz w:val="21"/>
          <w:szCs w:val="21"/>
        </w:rPr>
        <w:t>要</w:t>
      </w:r>
      <w:r>
        <w:rPr>
          <w:rFonts w:ascii="宋体" w:hAnsi="宋体" w:cs="宋体" w:eastAsia="宋体" w:hint="default"/>
          <w:spacing w:val="-3"/>
          <w:w w:val="100"/>
          <w:sz w:val="21"/>
          <w:szCs w:val="21"/>
        </w:rPr>
        <w:t>原</w:t>
      </w:r>
      <w:r>
        <w:rPr>
          <w:rFonts w:ascii="宋体" w:hAnsi="宋体" w:cs="宋体" w:eastAsia="宋体" w:hint="default"/>
          <w:w w:val="100"/>
          <w:sz w:val="21"/>
          <w:szCs w:val="21"/>
        </w:rPr>
        <w:t>因</w:t>
      </w:r>
      <w:r>
        <w:rPr>
          <w:rFonts w:ascii="宋体" w:hAnsi="宋体" w:cs="宋体" w:eastAsia="宋体" w:hint="default"/>
          <w:spacing w:val="-3"/>
          <w:w w:val="100"/>
          <w:sz w:val="21"/>
          <w:szCs w:val="21"/>
        </w:rPr>
        <w:t>为</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款项</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导</w:t>
      </w:r>
      <w:r>
        <w:rPr>
          <w:rFonts w:ascii="宋体" w:hAnsi="宋体" w:cs="宋体" w:eastAsia="宋体" w:hint="default"/>
          <w:w w:val="100"/>
          <w:sz w:val="21"/>
          <w:szCs w:val="21"/>
        </w:rPr>
        <w:t>致</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的</w:t>
      </w:r>
      <w:r>
        <w:rPr>
          <w:rFonts w:ascii="宋体" w:hAnsi="宋体" w:cs="宋体" w:eastAsia="宋体" w:hint="default"/>
          <w:w w:val="100"/>
          <w:sz w:val="21"/>
          <w:szCs w:val="21"/>
        </w:rPr>
        <w:t>坏</w:t>
      </w:r>
      <w:r>
        <w:rPr>
          <w:rFonts w:ascii="宋体" w:hAnsi="宋体" w:cs="宋体" w:eastAsia="宋体" w:hint="default"/>
          <w:spacing w:val="-3"/>
          <w:w w:val="100"/>
          <w:sz w:val="21"/>
          <w:szCs w:val="21"/>
        </w:rPr>
        <w:t>账</w:t>
      </w:r>
      <w:r>
        <w:rPr>
          <w:rFonts w:ascii="宋体" w:hAnsi="宋体" w:cs="宋体" w:eastAsia="宋体" w:hint="default"/>
          <w:w w:val="100"/>
          <w:sz w:val="21"/>
          <w:szCs w:val="21"/>
        </w:rPr>
        <w:t>准备亦</w:t>
      </w:r>
    </w:p>
    <w:p>
      <w:pPr>
        <w:spacing w:before="118"/>
        <w:ind w:left="398" w:right="283" w:firstLine="0"/>
        <w:jc w:val="left"/>
        <w:rPr>
          <w:rFonts w:ascii="宋体" w:hAnsi="宋体" w:cs="宋体" w:eastAsia="宋体" w:hint="default"/>
          <w:sz w:val="21"/>
          <w:szCs w:val="21"/>
        </w:rPr>
      </w:pPr>
      <w:r>
        <w:rPr>
          <w:rFonts w:ascii="宋体" w:hAnsi="宋体" w:cs="宋体" w:eastAsia="宋体" w:hint="default"/>
          <w:sz w:val="21"/>
          <w:szCs w:val="21"/>
        </w:rPr>
        <w:t>增加。</w:t>
      </w:r>
    </w:p>
    <w:p>
      <w:pPr>
        <w:spacing w:line="240" w:lineRule="auto" w:before="10"/>
        <w:rPr>
          <w:rFonts w:ascii="宋体" w:hAnsi="宋体" w:cs="宋体" w:eastAsia="宋体" w:hint="default"/>
          <w:sz w:val="25"/>
          <w:szCs w:val="25"/>
        </w:rPr>
      </w:pPr>
    </w:p>
    <w:p>
      <w:pPr>
        <w:spacing w:before="36"/>
        <w:ind w:left="2078" w:right="28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30</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3879"/>
        <w:gridCol w:w="2362"/>
        <w:gridCol w:w="2619"/>
      </w:tblGrid>
      <w:tr>
        <w:trPr>
          <w:trHeight w:val="365" w:hRule="exact"/>
        </w:trPr>
        <w:tc>
          <w:tcPr>
            <w:tcW w:w="38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7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87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40"/>
              <w:jc w:val="right"/>
              <w:rPr>
                <w:rFonts w:ascii="Arial Narrow" w:hAnsi="Arial Narrow" w:cs="Arial Narrow" w:eastAsia="Arial Narrow" w:hint="default"/>
                <w:sz w:val="20"/>
                <w:szCs w:val="20"/>
              </w:rPr>
            </w:pPr>
            <w:r>
              <w:rPr>
                <w:rFonts w:ascii="Arial Narrow"/>
                <w:w w:val="95"/>
                <w:sz w:val="20"/>
              </w:rPr>
              <w:t>88,496.09</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47"/>
              <w:jc w:val="right"/>
              <w:rPr>
                <w:rFonts w:ascii="Arial Narrow" w:hAnsi="Arial Narrow" w:cs="Arial Narrow" w:eastAsia="Arial Narrow" w:hint="default"/>
                <w:sz w:val="20"/>
                <w:szCs w:val="20"/>
              </w:rPr>
            </w:pPr>
            <w:r>
              <w:rPr>
                <w:rFonts w:ascii="Arial Narrow"/>
                <w:w w:val="95"/>
                <w:sz w:val="20"/>
              </w:rPr>
              <w:t>68,510.00</w:t>
            </w:r>
            <w:r>
              <w:rPr>
                <w:rFonts w:ascii="Arial Narrow"/>
                <w:sz w:val="20"/>
              </w:rPr>
            </w:r>
          </w:p>
        </w:tc>
      </w:tr>
      <w:tr>
        <w:trPr>
          <w:trHeight w:val="353" w:hRule="exact"/>
        </w:trPr>
        <w:tc>
          <w:tcPr>
            <w:tcW w:w="387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40"/>
              <w:jc w:val="right"/>
              <w:rPr>
                <w:rFonts w:ascii="Arial Narrow" w:hAnsi="Arial Narrow" w:cs="Arial Narrow" w:eastAsia="Arial Narrow" w:hint="default"/>
                <w:sz w:val="20"/>
                <w:szCs w:val="20"/>
              </w:rPr>
            </w:pPr>
            <w:r>
              <w:rPr>
                <w:rFonts w:ascii="Arial Narrow"/>
                <w:w w:val="95"/>
                <w:sz w:val="20"/>
              </w:rPr>
              <w:t>88,496.09</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47"/>
              <w:jc w:val="right"/>
              <w:rPr>
                <w:rFonts w:ascii="Arial Narrow" w:hAnsi="Arial Narrow" w:cs="Arial Narrow" w:eastAsia="Arial Narrow" w:hint="default"/>
                <w:sz w:val="20"/>
                <w:szCs w:val="20"/>
              </w:rPr>
            </w:pPr>
            <w:r>
              <w:rPr>
                <w:rFonts w:ascii="Arial Narrow"/>
                <w:w w:val="95"/>
                <w:sz w:val="20"/>
              </w:rPr>
              <w:t>68,510.00</w:t>
            </w:r>
            <w:r>
              <w:rPr>
                <w:rFonts w:ascii="Arial Narrow"/>
                <w:sz w:val="20"/>
              </w:rPr>
            </w:r>
          </w:p>
        </w:tc>
      </w:tr>
      <w:tr>
        <w:trPr>
          <w:trHeight w:val="355" w:hRule="exact"/>
        </w:trPr>
        <w:tc>
          <w:tcPr>
            <w:tcW w:w="38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政府补助利得（注）</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9"/>
              <w:jc w:val="right"/>
              <w:rPr>
                <w:rFonts w:ascii="Arial Narrow" w:hAnsi="Arial Narrow" w:cs="Arial Narrow" w:eastAsia="Arial Narrow" w:hint="default"/>
                <w:sz w:val="20"/>
                <w:szCs w:val="20"/>
              </w:rPr>
            </w:pPr>
            <w:r>
              <w:rPr>
                <w:rFonts w:ascii="Arial Narrow"/>
                <w:w w:val="95"/>
                <w:sz w:val="20"/>
              </w:rPr>
              <w:t>4,758,000.00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46"/>
              <w:jc w:val="right"/>
              <w:rPr>
                <w:rFonts w:ascii="Arial Narrow" w:hAnsi="Arial Narrow" w:cs="Arial Narrow" w:eastAsia="Arial Narrow" w:hint="default"/>
                <w:sz w:val="20"/>
                <w:szCs w:val="20"/>
              </w:rPr>
            </w:pPr>
            <w:r>
              <w:rPr>
                <w:rFonts w:ascii="Arial Narrow"/>
                <w:w w:val="95"/>
                <w:sz w:val="20"/>
              </w:rPr>
              <w:t>1,993,500.00</w:t>
            </w:r>
            <w:r>
              <w:rPr>
                <w:rFonts w:ascii="Arial Narrow"/>
                <w:sz w:val="20"/>
              </w:rPr>
            </w:r>
          </w:p>
        </w:tc>
      </w:tr>
      <w:tr>
        <w:trPr>
          <w:trHeight w:val="355" w:hRule="exact"/>
        </w:trPr>
        <w:tc>
          <w:tcPr>
            <w:tcW w:w="38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40"/>
              <w:jc w:val="right"/>
              <w:rPr>
                <w:rFonts w:ascii="Arial Narrow" w:hAnsi="Arial Narrow" w:cs="Arial Narrow" w:eastAsia="Arial Narrow" w:hint="default"/>
                <w:sz w:val="20"/>
                <w:szCs w:val="20"/>
              </w:rPr>
            </w:pPr>
            <w:r>
              <w:rPr>
                <w:rFonts w:ascii="Arial Narrow"/>
                <w:w w:val="95"/>
                <w:sz w:val="20"/>
              </w:rPr>
              <w:t>55,184.00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247"/>
              <w:jc w:val="right"/>
              <w:rPr>
                <w:rFonts w:ascii="Arial Narrow" w:hAnsi="Arial Narrow" w:cs="Arial Narrow" w:eastAsia="Arial Narrow" w:hint="default"/>
                <w:sz w:val="20"/>
                <w:szCs w:val="20"/>
              </w:rPr>
            </w:pPr>
            <w:r>
              <w:rPr>
                <w:rFonts w:ascii="Arial Narrow"/>
                <w:w w:val="95"/>
                <w:sz w:val="20"/>
              </w:rPr>
              <w:t>31,702.00</w:t>
            </w:r>
            <w:r>
              <w:rPr>
                <w:rFonts w:ascii="Arial Narrow"/>
                <w:sz w:val="20"/>
              </w:rPr>
            </w:r>
          </w:p>
        </w:tc>
      </w:tr>
      <w:tr>
        <w:trPr>
          <w:trHeight w:val="365" w:hRule="exact"/>
        </w:trPr>
        <w:tc>
          <w:tcPr>
            <w:tcW w:w="387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39"/>
              <w:jc w:val="right"/>
              <w:rPr>
                <w:rFonts w:ascii="Arial Narrow" w:hAnsi="Arial Narrow" w:cs="Arial Narrow" w:eastAsia="Arial Narrow" w:hint="default"/>
                <w:sz w:val="20"/>
                <w:szCs w:val="20"/>
              </w:rPr>
            </w:pPr>
            <w:r>
              <w:rPr>
                <w:rFonts w:ascii="Arial Narrow"/>
                <w:w w:val="95"/>
                <w:sz w:val="20"/>
              </w:rPr>
              <w:t>4,901,680.09</w:t>
            </w:r>
            <w:r>
              <w:rPr>
                <w:rFonts w:ascii="Arial Narrow"/>
                <w:sz w:val="20"/>
              </w:rPr>
            </w:r>
          </w:p>
        </w:tc>
        <w:tc>
          <w:tcPr>
            <w:tcW w:w="2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246"/>
              <w:jc w:val="right"/>
              <w:rPr>
                <w:rFonts w:ascii="Arial Narrow" w:hAnsi="Arial Narrow" w:cs="Arial Narrow" w:eastAsia="Arial Narrow" w:hint="default"/>
                <w:sz w:val="20"/>
                <w:szCs w:val="20"/>
              </w:rPr>
            </w:pPr>
            <w:r>
              <w:rPr>
                <w:rFonts w:ascii="Arial Narrow"/>
                <w:w w:val="95"/>
                <w:sz w:val="20"/>
              </w:rPr>
              <w:t>2,093,712.00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400" w:right="1400"/>
        </w:sectPr>
      </w:pPr>
    </w:p>
    <w:p>
      <w:pPr>
        <w:spacing w:line="240" w:lineRule="auto" w:before="4"/>
        <w:rPr>
          <w:rFonts w:ascii="宋体" w:hAnsi="宋体" w:cs="宋体" w:eastAsia="宋体" w:hint="default"/>
          <w:b/>
          <w:bCs/>
          <w:sz w:val="14"/>
          <w:szCs w:val="14"/>
        </w:rPr>
      </w:pPr>
    </w:p>
    <w:p>
      <w:pPr>
        <w:spacing w:before="36"/>
        <w:ind w:left="1198" w:right="768" w:firstLine="0"/>
        <w:jc w:val="left"/>
        <w:rPr>
          <w:rFonts w:ascii="宋体" w:hAnsi="宋体" w:cs="宋体" w:eastAsia="宋体" w:hint="default"/>
          <w:sz w:val="21"/>
          <w:szCs w:val="21"/>
        </w:rPr>
      </w:pPr>
      <w:r>
        <w:rPr>
          <w:rFonts w:ascii="宋体" w:hAnsi="宋体" w:cs="宋体" w:eastAsia="宋体" w:hint="default"/>
          <w:sz w:val="21"/>
          <w:szCs w:val="21"/>
        </w:rPr>
        <w:t>注：本年政府补助利得明细如下：</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116"/>
        <w:gridCol w:w="1351"/>
        <w:gridCol w:w="2470"/>
        <w:gridCol w:w="2657"/>
      </w:tblGrid>
      <w:tr>
        <w:trPr>
          <w:trHeight w:val="362" w:hRule="exact"/>
        </w:trPr>
        <w:tc>
          <w:tcPr>
            <w:tcW w:w="3116" w:type="dxa"/>
            <w:tcBorders>
              <w:top w:val="single" w:sz="12" w:space="0" w:color="000000"/>
              <w:left w:val="nil" w:sz="6" w:space="0" w:color="auto"/>
              <w:bottom w:val="single" w:sz="6" w:space="0" w:color="000000"/>
              <w:right w:val="single" w:sz="6" w:space="0" w:color="000000"/>
            </w:tcBorders>
          </w:tcPr>
          <w:p>
            <w:pPr>
              <w:pStyle w:val="TableParagraph"/>
              <w:tabs>
                <w:tab w:pos="443" w:val="left" w:leader="none"/>
              </w:tabs>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97" w:right="0"/>
              <w:jc w:val="left"/>
              <w:rPr>
                <w:rFonts w:ascii="宋体" w:hAnsi="宋体" w:cs="宋体" w:eastAsia="宋体" w:hint="default"/>
                <w:sz w:val="21"/>
                <w:szCs w:val="21"/>
              </w:rPr>
            </w:pPr>
            <w:r>
              <w:rPr>
                <w:rFonts w:ascii="宋体" w:hAnsi="宋体" w:cs="宋体" w:eastAsia="宋体" w:hint="default"/>
                <w:sz w:val="21"/>
                <w:szCs w:val="21"/>
              </w:rPr>
              <w:t>相关批准文件</w:t>
            </w:r>
          </w:p>
        </w:tc>
        <w:tc>
          <w:tcPr>
            <w:tcW w:w="26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批准机关</w:t>
            </w:r>
          </w:p>
        </w:tc>
      </w:tr>
      <w:tr>
        <w:trPr>
          <w:trHeight w:val="535"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发明专利补助</w:t>
            </w:r>
            <w:r>
              <w:rPr>
                <w:rFonts w:ascii="Times New Roman" w:hAnsi="Times New Roman" w:cs="Times New Roman" w:eastAsia="Times New Roman" w:hint="default"/>
                <w:sz w:val="20"/>
                <w:szCs w:val="20"/>
              </w:rPr>
              <w:t>(</w:t>
            </w:r>
            <w:r>
              <w:rPr>
                <w:rFonts w:ascii="宋体" w:hAnsi="宋体" w:cs="宋体" w:eastAsia="宋体" w:hint="default"/>
                <w:sz w:val="20"/>
                <w:szCs w:val="20"/>
              </w:rPr>
              <w:t>芜湖市知识产权</w:t>
            </w:r>
          </w:p>
          <w:p>
            <w:pPr>
              <w:pStyle w:val="TableParagraph"/>
              <w:spacing w:line="269" w:lineRule="exact"/>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局</w:t>
            </w:r>
            <w:r>
              <w:rPr>
                <w:rFonts w:ascii="Times New Roman" w:hAnsi="Times New Roman" w:cs="Times New Roman" w:eastAsia="Times New Roman" w:hint="default"/>
                <w:sz w:val="20"/>
                <w:szCs w:val="20"/>
              </w:rPr>
              <w:t>)</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3,000.00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关于印发安徽省专利申请</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费用资助办法的通知</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left="100" w:right="0"/>
              <w:jc w:val="left"/>
              <w:rPr>
                <w:rFonts w:ascii="宋体" w:hAnsi="宋体" w:cs="宋体" w:eastAsia="宋体" w:hint="default"/>
                <w:sz w:val="20"/>
                <w:szCs w:val="20"/>
              </w:rPr>
            </w:pPr>
            <w:r>
              <w:rPr>
                <w:rFonts w:ascii="宋体" w:hAnsi="宋体" w:cs="宋体" w:eastAsia="宋体" w:hint="default"/>
                <w:sz w:val="20"/>
                <w:szCs w:val="20"/>
              </w:rPr>
              <w:t>省政府法制办、省科技厅</w:t>
            </w:r>
          </w:p>
        </w:tc>
      </w:tr>
      <w:tr>
        <w:trPr>
          <w:trHeight w:val="355"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科技进步奖</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60,000.00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芜政（</w:t>
            </w:r>
            <w:r>
              <w:rPr>
                <w:rFonts w:ascii="Times New Roman" w:hAnsi="Times New Roman" w:cs="Times New Roman" w:eastAsia="Times New Roman" w:hint="default"/>
                <w:sz w:val="20"/>
                <w:szCs w:val="20"/>
              </w:rPr>
              <w:t>2010</w:t>
            </w:r>
            <w:r>
              <w:rPr>
                <w:rFonts w:ascii="宋体" w:hAnsi="宋体" w:cs="宋体" w:eastAsia="宋体" w:hint="default"/>
                <w:sz w:val="20"/>
                <w:szCs w:val="20"/>
              </w:rPr>
              <w:t>）</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芜湖市人民政府</w:t>
            </w:r>
          </w:p>
        </w:tc>
      </w:tr>
      <w:tr>
        <w:trPr>
          <w:trHeight w:val="533"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企业补助</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890,000.00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芜湖市人力资源和社会保</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障局文件</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市政府、市人社局、市财政</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局、市地税局</w:t>
            </w:r>
          </w:p>
        </w:tc>
      </w:tr>
      <w:tr>
        <w:trPr>
          <w:trHeight w:val="533"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z w:val="20"/>
                <w:szCs w:val="20"/>
              </w:rPr>
              <w:t>科技人员服务企业项目《铁路电</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力远动箱变及产业化》</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160,000.00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Times New Roman" w:hAnsi="Times New Roman" w:cs="Times New Roman" w:eastAsia="Times New Roman" w:hint="default"/>
                <w:sz w:val="20"/>
                <w:szCs w:val="20"/>
              </w:rPr>
            </w:pPr>
            <w:r>
              <w:rPr>
                <w:rFonts w:ascii="宋体" w:hAnsi="宋体" w:cs="宋体" w:eastAsia="宋体" w:hint="default"/>
                <w:spacing w:val="-3"/>
                <w:sz w:val="20"/>
                <w:szCs w:val="20"/>
              </w:rPr>
              <w:t>省财政厅财权（</w:t>
            </w:r>
            <w:r>
              <w:rPr>
                <w:rFonts w:ascii="Times New Roman" w:hAnsi="Times New Roman" w:cs="Times New Roman" w:eastAsia="Times New Roman" w:hint="default"/>
                <w:spacing w:val="-3"/>
                <w:sz w:val="20"/>
                <w:szCs w:val="20"/>
              </w:rPr>
              <w:t>2010</w:t>
            </w: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341</w:t>
            </w:r>
            <w:r>
              <w:rPr>
                <w:rFonts w:ascii="Times New Roman" w:hAnsi="Times New Roman" w:cs="Times New Roman" w:eastAsia="Times New Roman" w:hint="default"/>
                <w:sz w:val="20"/>
                <w:szCs w:val="20"/>
              </w:rPr>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号通知</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省财政厅</w:t>
            </w:r>
          </w:p>
        </w:tc>
      </w:tr>
      <w:tr>
        <w:trPr>
          <w:trHeight w:val="355"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博士后科研资助</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50,000.00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芜人社秘（</w:t>
            </w:r>
            <w:r>
              <w:rPr>
                <w:rFonts w:ascii="Times New Roman" w:hAnsi="Times New Roman" w:cs="Times New Roman" w:eastAsia="Times New Roman" w:hint="default"/>
                <w:sz w:val="20"/>
                <w:szCs w:val="20"/>
              </w:rPr>
              <w:t>2010</w:t>
            </w:r>
            <w:r>
              <w:rPr>
                <w:rFonts w:ascii="宋体" w:hAnsi="宋体" w:cs="宋体" w:eastAsia="宋体" w:hint="default"/>
                <w:sz w:val="20"/>
                <w:szCs w:val="20"/>
              </w:rPr>
              <w:t>）</w:t>
            </w:r>
            <w:r>
              <w:rPr>
                <w:rFonts w:ascii="Times New Roman" w:hAnsi="Times New Roman" w:cs="Times New Roman" w:eastAsia="Times New Roman" w:hint="default"/>
                <w:sz w:val="20"/>
                <w:szCs w:val="20"/>
              </w:rPr>
              <w:t>424 </w:t>
            </w:r>
            <w:r>
              <w:rPr>
                <w:rFonts w:ascii="宋体" w:hAnsi="宋体" w:cs="宋体" w:eastAsia="宋体" w:hint="default"/>
                <w:sz w:val="20"/>
                <w:szCs w:val="20"/>
              </w:rPr>
              <w:t>号</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省人力资源和社会保障厅</w:t>
            </w:r>
          </w:p>
        </w:tc>
      </w:tr>
      <w:tr>
        <w:trPr>
          <w:trHeight w:val="355"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年度融资费用</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2,129,000.00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皖政（</w:t>
            </w: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59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安徽省人民政府</w:t>
            </w:r>
          </w:p>
        </w:tc>
      </w:tr>
      <w:tr>
        <w:trPr>
          <w:trHeight w:val="536"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2" w:right="0"/>
              <w:jc w:val="left"/>
              <w:rPr>
                <w:rFonts w:ascii="宋体" w:hAnsi="宋体" w:cs="宋体" w:eastAsia="宋体" w:hint="default"/>
                <w:sz w:val="20"/>
                <w:szCs w:val="20"/>
              </w:rPr>
            </w:pPr>
            <w:r>
              <w:rPr>
                <w:rFonts w:ascii="宋体" w:hAnsi="宋体" w:cs="宋体" w:eastAsia="宋体" w:hint="default"/>
                <w:sz w:val="20"/>
                <w:szCs w:val="20"/>
              </w:rPr>
              <w:t>国家科技人员服务企业行动项目</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160,000.00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Times New Roman" w:hAnsi="Times New Roman" w:cs="Times New Roman" w:eastAsia="Times New Roman" w:hint="default"/>
                <w:sz w:val="20"/>
                <w:szCs w:val="20"/>
              </w:rPr>
            </w:pPr>
            <w:r>
              <w:rPr>
                <w:rFonts w:ascii="宋体" w:hAnsi="宋体" w:cs="宋体" w:eastAsia="宋体" w:hint="default"/>
                <w:spacing w:val="-3"/>
                <w:sz w:val="20"/>
                <w:szCs w:val="20"/>
              </w:rPr>
              <w:t>省财政厅财权（</w:t>
            </w:r>
            <w:r>
              <w:rPr>
                <w:rFonts w:ascii="Times New Roman" w:hAnsi="Times New Roman" w:cs="Times New Roman" w:eastAsia="Times New Roman" w:hint="default"/>
                <w:spacing w:val="-3"/>
                <w:sz w:val="20"/>
                <w:szCs w:val="20"/>
              </w:rPr>
              <w:t>2010</w:t>
            </w: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341</w:t>
            </w:r>
            <w:r>
              <w:rPr>
                <w:rFonts w:ascii="Times New Roman" w:hAnsi="Times New Roman" w:cs="Times New Roman" w:eastAsia="Times New Roman" w:hint="default"/>
                <w:sz w:val="20"/>
                <w:szCs w:val="20"/>
              </w:rPr>
            </w:r>
          </w:p>
          <w:p>
            <w:pPr>
              <w:pStyle w:val="TableParagraph"/>
              <w:spacing w:line="253" w:lineRule="exact"/>
              <w:ind w:left="100" w:right="0"/>
              <w:jc w:val="left"/>
              <w:rPr>
                <w:rFonts w:ascii="宋体" w:hAnsi="宋体" w:cs="宋体" w:eastAsia="宋体" w:hint="default"/>
                <w:sz w:val="20"/>
                <w:szCs w:val="20"/>
              </w:rPr>
            </w:pPr>
            <w:r>
              <w:rPr>
                <w:rFonts w:ascii="宋体" w:hAnsi="宋体" w:cs="宋体" w:eastAsia="宋体" w:hint="default"/>
                <w:sz w:val="20"/>
                <w:szCs w:val="20"/>
              </w:rPr>
              <w:t>号通知</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z w:val="20"/>
                <w:szCs w:val="20"/>
              </w:rPr>
              <w:t>省财政厅</w:t>
            </w:r>
          </w:p>
        </w:tc>
      </w:tr>
      <w:tr>
        <w:trPr>
          <w:trHeight w:val="353"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研发扶持金</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452,000.00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财教（</w:t>
            </w:r>
            <w:r>
              <w:rPr>
                <w:rFonts w:ascii="Times New Roman" w:hAnsi="Times New Roman" w:cs="Times New Roman" w:eastAsia="Times New Roman" w:hint="default"/>
                <w:sz w:val="20"/>
                <w:szCs w:val="20"/>
              </w:rPr>
              <w:t>2010</w:t>
            </w:r>
            <w:r>
              <w:rPr>
                <w:rFonts w:ascii="宋体" w:hAnsi="宋体" w:cs="宋体" w:eastAsia="宋体" w:hint="default"/>
                <w:sz w:val="20"/>
                <w:szCs w:val="20"/>
              </w:rPr>
              <w:t>）</w:t>
            </w:r>
            <w:r>
              <w:rPr>
                <w:rFonts w:ascii="Times New Roman" w:hAnsi="Times New Roman" w:cs="Times New Roman" w:eastAsia="Times New Roman" w:hint="default"/>
                <w:sz w:val="20"/>
                <w:szCs w:val="20"/>
              </w:rPr>
              <w:t>125 </w:t>
            </w:r>
            <w:r>
              <w:rPr>
                <w:rFonts w:ascii="宋体" w:hAnsi="宋体" w:cs="宋体" w:eastAsia="宋体" w:hint="default"/>
                <w:sz w:val="20"/>
                <w:szCs w:val="20"/>
              </w:rPr>
              <w:t>号</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left="100" w:right="0"/>
              <w:jc w:val="left"/>
              <w:rPr>
                <w:rFonts w:ascii="宋体" w:hAnsi="宋体" w:cs="宋体" w:eastAsia="宋体" w:hint="default"/>
                <w:sz w:val="20"/>
                <w:szCs w:val="20"/>
              </w:rPr>
            </w:pPr>
            <w:r>
              <w:rPr>
                <w:rFonts w:ascii="宋体" w:hAnsi="宋体" w:cs="宋体" w:eastAsia="宋体" w:hint="default"/>
                <w:sz w:val="20"/>
                <w:szCs w:val="20"/>
              </w:rPr>
              <w:t>芜湖市财政局</w:t>
            </w:r>
          </w:p>
        </w:tc>
      </w:tr>
      <w:tr>
        <w:trPr>
          <w:trHeight w:val="794" w:hRule="exact"/>
        </w:trPr>
        <w:tc>
          <w:tcPr>
            <w:tcW w:w="31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土地使用税奖励</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854,000.00</w:t>
            </w:r>
            <w:r>
              <w:rPr>
                <w:rFonts w:ascii="Arial Narrow"/>
                <w:sz w:val="20"/>
              </w:rPr>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财预（</w:t>
            </w:r>
            <w:r>
              <w:rPr>
                <w:rFonts w:ascii="Times New Roman" w:hAnsi="Times New Roman" w:cs="Times New Roman" w:eastAsia="Times New Roman" w:hint="default"/>
                <w:sz w:val="20"/>
                <w:szCs w:val="20"/>
              </w:rPr>
              <w:t>2008</w:t>
            </w:r>
            <w:r>
              <w:rPr>
                <w:rFonts w:ascii="宋体" w:hAnsi="宋体" w:cs="宋体" w:eastAsia="宋体" w:hint="default"/>
                <w:sz w:val="20"/>
                <w:szCs w:val="20"/>
              </w:rPr>
              <w:t>）</w:t>
            </w:r>
            <w:r>
              <w:rPr>
                <w:rFonts w:ascii="Times New Roman" w:hAnsi="Times New Roman" w:cs="Times New Roman" w:eastAsia="Times New Roman" w:hint="default"/>
                <w:sz w:val="20"/>
                <w:szCs w:val="20"/>
              </w:rPr>
              <w:t>455 </w:t>
            </w:r>
            <w:r>
              <w:rPr>
                <w:rFonts w:ascii="宋体" w:hAnsi="宋体" w:cs="宋体" w:eastAsia="宋体" w:hint="default"/>
                <w:sz w:val="20"/>
                <w:szCs w:val="20"/>
              </w:rPr>
              <w:t>号</w:t>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市财政局、市地税局、市国</w:t>
            </w:r>
          </w:p>
          <w:p>
            <w:pPr>
              <w:pStyle w:val="TableParagraph"/>
              <w:spacing w:line="260" w:lineRule="exact" w:before="24"/>
              <w:ind w:left="100" w:right="150"/>
              <w:jc w:val="left"/>
              <w:rPr>
                <w:rFonts w:ascii="宋体" w:hAnsi="宋体" w:cs="宋体" w:eastAsia="宋体" w:hint="default"/>
                <w:sz w:val="20"/>
                <w:szCs w:val="20"/>
              </w:rPr>
            </w:pPr>
            <w:r>
              <w:rPr>
                <w:rFonts w:ascii="宋体" w:hAnsi="宋体" w:cs="宋体" w:eastAsia="宋体" w:hint="default"/>
                <w:sz w:val="20"/>
                <w:szCs w:val="20"/>
              </w:rPr>
              <w:t>税局、市经济委员会、市环</w:t>
            </w:r>
            <w:r>
              <w:rPr>
                <w:rFonts w:ascii="宋体" w:hAnsi="宋体" w:cs="宋体" w:eastAsia="宋体" w:hint="default"/>
                <w:w w:val="99"/>
                <w:sz w:val="20"/>
                <w:szCs w:val="20"/>
              </w:rPr>
              <w:t> </w:t>
            </w:r>
            <w:r>
              <w:rPr>
                <w:rFonts w:ascii="宋体" w:hAnsi="宋体" w:cs="宋体" w:eastAsia="宋体" w:hint="default"/>
                <w:sz w:val="20"/>
                <w:szCs w:val="20"/>
              </w:rPr>
              <w:t>保局、市国土资源局</w:t>
            </w:r>
          </w:p>
        </w:tc>
      </w:tr>
      <w:tr>
        <w:trPr>
          <w:trHeight w:val="384" w:hRule="exact"/>
        </w:trPr>
        <w:tc>
          <w:tcPr>
            <w:tcW w:w="31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4,758,000.00</w:t>
            </w:r>
            <w:r>
              <w:rPr>
                <w:rFonts w:ascii="Arial Narrow"/>
                <w:sz w:val="20"/>
              </w:rPr>
            </w:r>
          </w:p>
        </w:tc>
        <w:tc>
          <w:tcPr>
            <w:tcW w:w="2470" w:type="dxa"/>
            <w:tcBorders>
              <w:top w:val="single" w:sz="6" w:space="0" w:color="000000"/>
              <w:left w:val="single" w:sz="6" w:space="0" w:color="000000"/>
              <w:bottom w:val="single" w:sz="12" w:space="0" w:color="000000"/>
              <w:right w:val="single" w:sz="6" w:space="0" w:color="000000"/>
            </w:tcBorders>
          </w:tcPr>
          <w:p>
            <w:pPr/>
          </w:p>
        </w:tc>
        <w:tc>
          <w:tcPr>
            <w:tcW w:w="2657" w:type="dxa"/>
            <w:tcBorders>
              <w:top w:val="single" w:sz="6" w:space="0" w:color="000000"/>
              <w:left w:val="single" w:sz="6" w:space="0" w:color="000000"/>
              <w:bottom w:val="single" w:sz="12" w:space="0" w:color="000000"/>
              <w:right w:val="nil" w:sz="6" w:space="0" w:color="auto"/>
            </w:tcBorders>
          </w:tcPr>
          <w:p>
            <w:pPr/>
          </w:p>
        </w:tc>
      </w:tr>
    </w:tbl>
    <w:p>
      <w:pPr>
        <w:spacing w:before="86"/>
        <w:ind w:left="1512" w:right="768" w:firstLine="0"/>
        <w:jc w:val="left"/>
        <w:rPr>
          <w:rFonts w:ascii="宋体" w:hAnsi="宋体" w:cs="宋体" w:eastAsia="宋体" w:hint="default"/>
          <w:sz w:val="21"/>
          <w:szCs w:val="21"/>
        </w:rPr>
      </w:pPr>
      <w:r>
        <w:rPr>
          <w:rFonts w:ascii="宋体" w:hAnsi="宋体" w:cs="宋体" w:eastAsia="宋体" w:hint="default"/>
          <w:spacing w:val="-2"/>
          <w:sz w:val="21"/>
          <w:szCs w:val="21"/>
        </w:rPr>
        <w:t>本年发生额较上年增加</w:t>
      </w:r>
      <w:r>
        <w:rPr>
          <w:rFonts w:ascii="宋体" w:hAnsi="宋体" w:cs="宋体" w:eastAsia="宋体" w:hint="default"/>
          <w:spacing w:val="-6"/>
          <w:sz w:val="21"/>
          <w:szCs w:val="21"/>
        </w:rPr>
        <w:t> </w:t>
      </w:r>
      <w:r>
        <w:rPr>
          <w:rFonts w:ascii="Arial Narrow" w:hAnsi="Arial Narrow" w:cs="Arial Narrow" w:eastAsia="Arial Narrow" w:hint="default"/>
          <w:spacing w:val="-2"/>
          <w:sz w:val="21"/>
          <w:szCs w:val="21"/>
        </w:rPr>
        <w:t>134.11%</w:t>
      </w:r>
      <w:r>
        <w:rPr>
          <w:rFonts w:ascii="宋体" w:hAnsi="宋体" w:cs="宋体" w:eastAsia="宋体" w:hint="default"/>
          <w:spacing w:val="-2"/>
          <w:sz w:val="21"/>
          <w:szCs w:val="21"/>
        </w:rPr>
        <w:t>，主要原因为政府补助增加所致。</w:t>
      </w:r>
    </w:p>
    <w:p>
      <w:pPr>
        <w:spacing w:line="240" w:lineRule="auto" w:before="5"/>
        <w:rPr>
          <w:rFonts w:ascii="宋体" w:hAnsi="宋体" w:cs="宋体" w:eastAsia="宋体" w:hint="default"/>
          <w:sz w:val="27"/>
          <w:szCs w:val="27"/>
        </w:rPr>
      </w:pPr>
    </w:p>
    <w:p>
      <w:pPr>
        <w:spacing w:before="0"/>
        <w:ind w:left="2458" w:right="76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31</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tbl>
      <w:tblPr>
        <w:tblW w:w="0" w:type="auto"/>
        <w:jc w:val="left"/>
        <w:tblInd w:w="482" w:type="dxa"/>
        <w:tblLayout w:type="fixed"/>
        <w:tblCellMar>
          <w:top w:w="0" w:type="dxa"/>
          <w:left w:w="0" w:type="dxa"/>
          <w:bottom w:w="0" w:type="dxa"/>
          <w:right w:w="0" w:type="dxa"/>
        </w:tblCellMar>
        <w:tblLook w:val="01E0"/>
      </w:tblPr>
      <w:tblGrid>
        <w:gridCol w:w="3944"/>
        <w:gridCol w:w="2297"/>
        <w:gridCol w:w="2619"/>
      </w:tblGrid>
      <w:tr>
        <w:trPr>
          <w:trHeight w:val="305"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61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19"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77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10,931.58</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Arial Narrow" w:hAnsi="Arial Narrow" w:cs="Arial Narrow" w:eastAsia="Arial Narrow" w:hint="default"/>
                <w:sz w:val="20"/>
                <w:szCs w:val="20"/>
              </w:rPr>
            </w:pPr>
            <w:r>
              <w:rPr>
                <w:rFonts w:ascii="Arial Narrow"/>
                <w:w w:val="95"/>
                <w:sz w:val="20"/>
              </w:rPr>
              <w:t>10,931.58</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300,000.00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r>
      <w:tr>
        <w:trPr>
          <w:trHeight w:val="300"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10,000.00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77.28</w:t>
            </w:r>
            <w:r>
              <w:rPr>
                <w:rFonts w:ascii="Arial Narrow"/>
                <w:sz w:val="20"/>
              </w:rPr>
            </w:r>
          </w:p>
        </w:tc>
      </w:tr>
      <w:tr>
        <w:trPr>
          <w:trHeight w:val="307"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6"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320,931.58</w:t>
            </w:r>
            <w:r>
              <w:rPr>
                <w:rFonts w:ascii="Arial Narrow"/>
                <w:sz w:val="20"/>
              </w:rPr>
            </w:r>
          </w:p>
        </w:tc>
        <w:tc>
          <w:tcPr>
            <w:tcW w:w="2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100,077.28</w:t>
            </w:r>
            <w:r>
              <w:rPr>
                <w:rFonts w:ascii="Arial Narrow"/>
                <w:sz w:val="20"/>
              </w:rPr>
            </w:r>
          </w:p>
        </w:tc>
      </w:tr>
    </w:tbl>
    <w:p>
      <w:pPr>
        <w:spacing w:before="86"/>
        <w:ind w:left="1198" w:right="768" w:firstLine="0"/>
        <w:jc w:val="left"/>
        <w:rPr>
          <w:rFonts w:ascii="宋体" w:hAnsi="宋体" w:cs="宋体" w:eastAsia="宋体" w:hint="default"/>
          <w:sz w:val="21"/>
          <w:szCs w:val="21"/>
        </w:rPr>
      </w:pPr>
      <w:r>
        <w:rPr>
          <w:rFonts w:ascii="宋体" w:hAnsi="宋体" w:cs="宋体" w:eastAsia="宋体" w:hint="default"/>
          <w:spacing w:val="-2"/>
          <w:sz w:val="21"/>
          <w:szCs w:val="21"/>
        </w:rPr>
        <w:t>本年发生额较上年增加</w:t>
      </w:r>
      <w:r>
        <w:rPr>
          <w:rFonts w:ascii="宋体" w:hAnsi="宋体" w:cs="宋体" w:eastAsia="宋体" w:hint="default"/>
          <w:spacing w:val="6"/>
          <w:sz w:val="21"/>
          <w:szCs w:val="21"/>
        </w:rPr>
        <w:t> </w:t>
      </w:r>
      <w:r>
        <w:rPr>
          <w:rFonts w:ascii="Arial Narrow" w:hAnsi="Arial Narrow" w:cs="Arial Narrow" w:eastAsia="Arial Narrow" w:hint="default"/>
          <w:spacing w:val="-2"/>
          <w:sz w:val="21"/>
          <w:szCs w:val="21"/>
        </w:rPr>
        <w:t>220.68%</w:t>
      </w:r>
      <w:r>
        <w:rPr>
          <w:rFonts w:ascii="宋体" w:hAnsi="宋体" w:cs="宋体" w:eastAsia="宋体" w:hint="default"/>
          <w:spacing w:val="-2"/>
          <w:sz w:val="21"/>
          <w:szCs w:val="21"/>
        </w:rPr>
        <w:t>，主要原因为捐赠支出增加所致。</w:t>
      </w:r>
    </w:p>
    <w:p>
      <w:pPr>
        <w:spacing w:line="240" w:lineRule="auto" w:before="5"/>
        <w:rPr>
          <w:rFonts w:ascii="宋体" w:hAnsi="宋体" w:cs="宋体" w:eastAsia="宋体" w:hint="default"/>
          <w:sz w:val="27"/>
          <w:szCs w:val="27"/>
        </w:rPr>
      </w:pPr>
    </w:p>
    <w:p>
      <w:pPr>
        <w:spacing w:before="0"/>
        <w:ind w:left="2458" w:right="768"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32</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before="178"/>
        <w:ind w:left="1198" w:right="7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）所得税费用（收益）的组成</w:t>
      </w:r>
    </w:p>
    <w:p>
      <w:pPr>
        <w:spacing w:line="240" w:lineRule="auto" w:before="9"/>
        <w:rPr>
          <w:rFonts w:ascii="宋体" w:hAnsi="宋体" w:cs="宋体" w:eastAsia="宋体" w:hint="default"/>
          <w:sz w:val="11"/>
          <w:szCs w:val="11"/>
        </w:rPr>
      </w:pPr>
    </w:p>
    <w:tbl>
      <w:tblPr>
        <w:tblW w:w="0" w:type="auto"/>
        <w:jc w:val="left"/>
        <w:tblInd w:w="482" w:type="dxa"/>
        <w:tblLayout w:type="fixed"/>
        <w:tblCellMar>
          <w:top w:w="0" w:type="dxa"/>
          <w:left w:w="0" w:type="dxa"/>
          <w:bottom w:w="0" w:type="dxa"/>
          <w:right w:w="0" w:type="dxa"/>
        </w:tblCellMar>
        <w:tblLook w:val="01E0"/>
      </w:tblPr>
      <w:tblGrid>
        <w:gridCol w:w="3944"/>
        <w:gridCol w:w="2458"/>
        <w:gridCol w:w="2458"/>
      </w:tblGrid>
      <w:tr>
        <w:trPr>
          <w:trHeight w:val="365"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743"/>
              <w:jc w:val="right"/>
              <w:rPr>
                <w:rFonts w:ascii="宋体" w:hAnsi="宋体" w:cs="宋体" w:eastAsia="宋体" w:hint="default"/>
                <w:sz w:val="21"/>
                <w:szCs w:val="21"/>
              </w:rPr>
            </w:pPr>
            <w:r>
              <w:rPr>
                <w:rFonts w:ascii="宋体" w:hAnsi="宋体" w:cs="宋体" w:eastAsia="宋体" w:hint="default"/>
                <w:sz w:val="21"/>
                <w:szCs w:val="21"/>
              </w:rPr>
              <w:t>项目</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696"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Arial Narrow" w:hAnsi="Arial Narrow" w:cs="Arial Narrow" w:eastAsia="Arial Narrow" w:hint="default"/>
                <w:sz w:val="20"/>
                <w:szCs w:val="20"/>
              </w:rPr>
            </w:pPr>
            <w:r>
              <w:rPr>
                <w:rFonts w:ascii="Arial Narrow"/>
                <w:w w:val="95"/>
                <w:sz w:val="20"/>
              </w:rPr>
              <w:t>7,641,908.06</w:t>
            </w:r>
            <w:r>
              <w:rPr>
                <w:rFonts w:ascii="Arial Narrow"/>
                <w:sz w:val="20"/>
              </w:rPr>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5,517,334.36</w:t>
            </w:r>
            <w:r>
              <w:rPr>
                <w:rFonts w:ascii="Arial Narrow"/>
                <w:sz w:val="20"/>
              </w:rPr>
            </w:r>
          </w:p>
        </w:tc>
      </w:tr>
      <w:tr>
        <w:trPr>
          <w:trHeight w:val="35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7"/>
              <w:jc w:val="right"/>
              <w:rPr>
                <w:rFonts w:ascii="Arial Narrow" w:hAnsi="Arial Narrow" w:cs="Arial Narrow" w:eastAsia="Arial Narrow" w:hint="default"/>
                <w:sz w:val="20"/>
                <w:szCs w:val="20"/>
              </w:rPr>
            </w:pPr>
            <w:r>
              <w:rPr>
                <w:rFonts w:ascii="Arial Narrow"/>
                <w:spacing w:val="-2"/>
                <w:sz w:val="20"/>
              </w:rPr>
              <w:t>-611,396.96</w:t>
            </w:r>
          </w:p>
        </w:tc>
        <w:tc>
          <w:tcPr>
            <w:tcW w:w="2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0"/>
                <w:szCs w:val="20"/>
              </w:rPr>
            </w:pPr>
            <w:r>
              <w:rPr>
                <w:rFonts w:ascii="Arial Narrow"/>
                <w:w w:val="95"/>
                <w:sz w:val="20"/>
              </w:rPr>
              <w:t>-138,973.68</w:t>
            </w:r>
            <w:r>
              <w:rPr>
                <w:rFonts w:ascii="Arial Narrow"/>
                <w:sz w:val="20"/>
              </w:rPr>
            </w:r>
          </w:p>
        </w:tc>
      </w:tr>
      <w:tr>
        <w:trPr>
          <w:trHeight w:val="365"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right="1743"/>
              <w:jc w:val="right"/>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6"/>
              <w:jc w:val="right"/>
              <w:rPr>
                <w:rFonts w:ascii="Arial Narrow" w:hAnsi="Arial Narrow" w:cs="Arial Narrow" w:eastAsia="Arial Narrow" w:hint="default"/>
                <w:sz w:val="20"/>
                <w:szCs w:val="20"/>
              </w:rPr>
            </w:pPr>
            <w:r>
              <w:rPr>
                <w:rFonts w:ascii="Arial Narrow"/>
                <w:spacing w:val="-1"/>
                <w:w w:val="95"/>
                <w:sz w:val="20"/>
              </w:rPr>
              <w:t>7,030,511.10</w:t>
            </w:r>
            <w:r>
              <w:rPr>
                <w:rFonts w:ascii="Arial Narrow"/>
                <w:spacing w:val="-1"/>
                <w:sz w:val="20"/>
              </w:rPr>
            </w:r>
          </w:p>
        </w:tc>
        <w:tc>
          <w:tcPr>
            <w:tcW w:w="24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5,378,360.68</w:t>
            </w:r>
            <w:r>
              <w:rPr>
                <w:rFonts w:ascii="Arial Narrow"/>
                <w:sz w:val="20"/>
              </w:rPr>
            </w:r>
          </w:p>
        </w:tc>
      </w:tr>
    </w:tbl>
    <w:p>
      <w:pPr>
        <w:spacing w:before="86"/>
        <w:ind w:left="1198" w:right="768"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）所得税费用（收益）与会计利润的关系</w:t>
      </w:r>
    </w:p>
    <w:p>
      <w:pPr>
        <w:spacing w:line="240" w:lineRule="auto" w:before="3"/>
        <w:rPr>
          <w:rFonts w:ascii="宋体" w:hAnsi="宋体" w:cs="宋体" w:eastAsia="宋体" w:hint="default"/>
          <w:sz w:val="16"/>
          <w:szCs w:val="16"/>
        </w:rPr>
      </w:pPr>
    </w:p>
    <w:tbl>
      <w:tblPr>
        <w:tblW w:w="0" w:type="auto"/>
        <w:jc w:val="left"/>
        <w:tblInd w:w="749" w:type="dxa"/>
        <w:tblLayout w:type="fixed"/>
        <w:tblCellMar>
          <w:top w:w="0" w:type="dxa"/>
          <w:left w:w="0" w:type="dxa"/>
          <w:bottom w:w="0" w:type="dxa"/>
          <w:right w:w="0" w:type="dxa"/>
        </w:tblCellMar>
        <w:tblLook w:val="01E0"/>
      </w:tblPr>
      <w:tblGrid>
        <w:gridCol w:w="3745"/>
        <w:gridCol w:w="2288"/>
        <w:gridCol w:w="2288"/>
      </w:tblGrid>
      <w:tr>
        <w:trPr>
          <w:trHeight w:val="329"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60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88"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left="60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8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会计利润总额</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20"/>
                <w:szCs w:val="20"/>
              </w:rPr>
            </w:pPr>
            <w:r>
              <w:rPr>
                <w:rFonts w:ascii="Arial Narrow"/>
                <w:w w:val="95"/>
                <w:sz w:val="20"/>
              </w:rPr>
              <w:t>50,104,486.15</w:t>
            </w:r>
            <w:r>
              <w:rPr>
                <w:rFonts w:ascii="Arial Narrow"/>
                <w:sz w:val="20"/>
              </w:rPr>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20"/>
                <w:szCs w:val="20"/>
              </w:rPr>
            </w:pPr>
            <w:r>
              <w:rPr>
                <w:rFonts w:ascii="Arial Narrow"/>
                <w:w w:val="95"/>
                <w:sz w:val="20"/>
              </w:rPr>
              <w:t>44,059,852.91</w:t>
            </w:r>
            <w:r>
              <w:rPr>
                <w:rFonts w:ascii="Arial Narrow"/>
                <w:sz w:val="20"/>
              </w:rPr>
            </w:r>
          </w:p>
        </w:tc>
      </w:tr>
      <w:tr>
        <w:trPr>
          <w:trHeight w:val="386"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加：纳税所得调增额</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3"/>
              <w:jc w:val="right"/>
              <w:rPr>
                <w:rFonts w:ascii="Arial Narrow" w:hAnsi="Arial Narrow" w:cs="Arial Narrow" w:eastAsia="Arial Narrow" w:hint="default"/>
                <w:sz w:val="20"/>
                <w:szCs w:val="20"/>
              </w:rPr>
            </w:pPr>
            <w:r>
              <w:rPr>
                <w:rFonts w:ascii="Arial Narrow"/>
                <w:w w:val="95"/>
                <w:sz w:val="20"/>
              </w:rPr>
              <w:t>7,755,949.69</w:t>
            </w:r>
            <w:r>
              <w:rPr>
                <w:rFonts w:ascii="Arial Narrow"/>
                <w:sz w:val="20"/>
              </w:rPr>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Narrow" w:hAnsi="Arial Narrow" w:cs="Arial Narrow" w:eastAsia="Arial Narrow" w:hint="default"/>
                <w:sz w:val="20"/>
                <w:szCs w:val="20"/>
              </w:rPr>
            </w:pPr>
            <w:r>
              <w:rPr>
                <w:rFonts w:ascii="Arial Narrow"/>
                <w:w w:val="95"/>
                <w:sz w:val="20"/>
              </w:rPr>
              <w:t>5,320,514.61</w:t>
            </w:r>
            <w:r>
              <w:rPr>
                <w:rFonts w:ascii="Arial Narrow"/>
                <w:sz w:val="20"/>
              </w:rPr>
            </w:r>
          </w:p>
        </w:tc>
      </w:tr>
      <w:tr>
        <w:trPr>
          <w:trHeight w:val="396"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减：纳税所得调减额</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20"/>
                <w:szCs w:val="20"/>
              </w:rPr>
            </w:pPr>
            <w:r>
              <w:rPr>
                <w:rFonts w:ascii="Arial Narrow"/>
                <w:w w:val="95"/>
                <w:sz w:val="20"/>
              </w:rPr>
              <w:t>12,750,380.94</w:t>
            </w:r>
            <w:r>
              <w:rPr>
                <w:rFonts w:ascii="Arial Narrow"/>
                <w:sz w:val="20"/>
              </w:rPr>
            </w:r>
          </w:p>
        </w:tc>
        <w:tc>
          <w:tcPr>
            <w:tcW w:w="22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8"/>
              <w:jc w:val="right"/>
              <w:rPr>
                <w:rFonts w:ascii="Arial Narrow" w:hAnsi="Arial Narrow" w:cs="Arial Narrow" w:eastAsia="Arial Narrow" w:hint="default"/>
                <w:sz w:val="20"/>
                <w:szCs w:val="20"/>
              </w:rPr>
            </w:pPr>
            <w:r>
              <w:rPr>
                <w:rFonts w:ascii="Arial Narrow"/>
                <w:spacing w:val="-1"/>
                <w:w w:val="95"/>
                <w:sz w:val="20"/>
              </w:rPr>
              <w:t>11,420,976.67</w:t>
            </w:r>
            <w:r>
              <w:rPr>
                <w:rFonts w:ascii="Arial Narrow"/>
                <w:spacing w:val="-1"/>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020" w:right="1020"/>
        </w:sectPr>
      </w:pPr>
    </w:p>
    <w:p>
      <w:pPr>
        <w:spacing w:line="240" w:lineRule="auto" w:before="9"/>
        <w:rPr>
          <w:rFonts w:ascii="宋体" w:hAnsi="宋体" w:cs="宋体" w:eastAsia="宋体" w:hint="default"/>
          <w:sz w:val="19"/>
          <w:szCs w:val="19"/>
        </w:rPr>
      </w:pPr>
    </w:p>
    <w:tbl>
      <w:tblPr>
        <w:tblW w:w="0" w:type="auto"/>
        <w:jc w:val="left"/>
        <w:tblInd w:w="1049" w:type="dxa"/>
        <w:tblLayout w:type="fixed"/>
        <w:tblCellMar>
          <w:top w:w="0" w:type="dxa"/>
          <w:left w:w="0" w:type="dxa"/>
          <w:bottom w:w="0" w:type="dxa"/>
          <w:right w:w="0" w:type="dxa"/>
        </w:tblCellMar>
        <w:tblLook w:val="01E0"/>
      </w:tblPr>
      <w:tblGrid>
        <w:gridCol w:w="3745"/>
        <w:gridCol w:w="2288"/>
        <w:gridCol w:w="2288"/>
      </w:tblGrid>
      <w:tr>
        <w:trPr>
          <w:trHeight w:val="396"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Arial Narrow" w:hAnsi="Arial Narrow" w:cs="Arial Narrow" w:eastAsia="Arial Narrow" w:hint="default"/>
                <w:sz w:val="20"/>
                <w:szCs w:val="20"/>
              </w:rPr>
            </w:pPr>
            <w:r>
              <w:rPr>
                <w:rFonts w:ascii="Arial Narrow"/>
                <w:spacing w:val="-1"/>
                <w:w w:val="95"/>
                <w:sz w:val="20"/>
              </w:rPr>
              <w:t>45,110,054.90</w:t>
            </w:r>
            <w:r>
              <w:rPr>
                <w:rFonts w:ascii="Arial Narrow"/>
                <w:spacing w:val="-1"/>
                <w:sz w:val="20"/>
              </w:rPr>
            </w:r>
          </w:p>
        </w:tc>
        <w:tc>
          <w:tcPr>
            <w:tcW w:w="22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Narrow" w:hAnsi="Arial Narrow" w:cs="Arial Narrow" w:eastAsia="Arial Narrow" w:hint="default"/>
                <w:sz w:val="20"/>
                <w:szCs w:val="20"/>
              </w:rPr>
            </w:pPr>
            <w:r>
              <w:rPr>
                <w:rFonts w:ascii="Arial Narrow"/>
                <w:w w:val="95"/>
                <w:sz w:val="20"/>
              </w:rPr>
              <w:t>37,959,390.85</w:t>
            </w:r>
            <w:r>
              <w:rPr>
                <w:rFonts w:ascii="Arial Narrow"/>
                <w:sz w:val="20"/>
              </w:rPr>
            </w:r>
          </w:p>
        </w:tc>
      </w:tr>
      <w:tr>
        <w:trPr>
          <w:trHeight w:val="38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本期应交所得税</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20"/>
                <w:szCs w:val="20"/>
              </w:rPr>
            </w:pPr>
            <w:r>
              <w:rPr>
                <w:rFonts w:ascii="Arial Narrow"/>
                <w:w w:val="95"/>
                <w:sz w:val="20"/>
              </w:rPr>
              <w:t>7,641,908.06</w:t>
            </w:r>
            <w:r>
              <w:rPr>
                <w:rFonts w:ascii="Arial Narrow"/>
                <w:sz w:val="20"/>
              </w:rPr>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20"/>
                <w:szCs w:val="20"/>
              </w:rPr>
            </w:pPr>
            <w:r>
              <w:rPr>
                <w:rFonts w:ascii="Arial Narrow"/>
                <w:w w:val="95"/>
                <w:sz w:val="20"/>
              </w:rPr>
              <w:t>5,517,334.36</w:t>
            </w:r>
            <w:r>
              <w:rPr>
                <w:rFonts w:ascii="Arial Narrow"/>
                <w:sz w:val="20"/>
              </w:rPr>
            </w:r>
          </w:p>
        </w:tc>
      </w:tr>
      <w:tr>
        <w:trPr>
          <w:trHeight w:val="384"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加：递延所得税负债增加额</w:t>
            </w:r>
          </w:p>
        </w:tc>
        <w:tc>
          <w:tcPr>
            <w:tcW w:w="2288"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sz w:val="21"/>
                <w:szCs w:val="21"/>
              </w:rPr>
              <w:t>减：递延所得税资产增加额</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Arial Narrow" w:hAnsi="Arial Narrow" w:cs="Arial Narrow" w:eastAsia="Arial Narrow" w:hint="default"/>
                <w:sz w:val="20"/>
                <w:szCs w:val="20"/>
              </w:rPr>
            </w:pPr>
            <w:r>
              <w:rPr>
                <w:rFonts w:ascii="Arial Narrow"/>
                <w:spacing w:val="-2"/>
                <w:sz w:val="20"/>
              </w:rPr>
              <w:t>611,396.96</w:t>
            </w:r>
          </w:p>
        </w:tc>
        <w:tc>
          <w:tcPr>
            <w:tcW w:w="2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7"/>
              <w:jc w:val="right"/>
              <w:rPr>
                <w:rFonts w:ascii="Arial Narrow" w:hAnsi="Arial Narrow" w:cs="Arial Narrow" w:eastAsia="Arial Narrow" w:hint="default"/>
                <w:sz w:val="20"/>
                <w:szCs w:val="20"/>
              </w:rPr>
            </w:pPr>
            <w:r>
              <w:rPr>
                <w:rFonts w:ascii="Arial Narrow"/>
                <w:w w:val="95"/>
                <w:sz w:val="20"/>
              </w:rPr>
              <w:t>138,973.68</w:t>
            </w:r>
            <w:r>
              <w:rPr>
                <w:rFonts w:ascii="Arial Narrow"/>
                <w:sz w:val="20"/>
              </w:rPr>
            </w:r>
          </w:p>
        </w:tc>
      </w:tr>
      <w:tr>
        <w:trPr>
          <w:trHeight w:val="396"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6"/>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03"/>
              <w:jc w:val="right"/>
              <w:rPr>
                <w:rFonts w:ascii="Arial Narrow" w:hAnsi="Arial Narrow" w:cs="Arial Narrow" w:eastAsia="Arial Narrow" w:hint="default"/>
                <w:sz w:val="20"/>
                <w:szCs w:val="20"/>
              </w:rPr>
            </w:pPr>
            <w:r>
              <w:rPr>
                <w:rFonts w:ascii="Arial Narrow"/>
                <w:spacing w:val="-1"/>
                <w:w w:val="95"/>
                <w:sz w:val="20"/>
              </w:rPr>
              <w:t>7,030,511.10</w:t>
            </w:r>
            <w:r>
              <w:rPr>
                <w:rFonts w:ascii="Arial Narrow"/>
                <w:spacing w:val="-1"/>
                <w:sz w:val="20"/>
              </w:rPr>
            </w:r>
          </w:p>
        </w:tc>
        <w:tc>
          <w:tcPr>
            <w:tcW w:w="22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7"/>
              <w:ind w:right="107"/>
              <w:jc w:val="right"/>
              <w:rPr>
                <w:rFonts w:ascii="Arial Narrow" w:hAnsi="Arial Narrow" w:cs="Arial Narrow" w:eastAsia="Arial Narrow" w:hint="default"/>
                <w:sz w:val="20"/>
                <w:szCs w:val="20"/>
              </w:rPr>
            </w:pPr>
            <w:r>
              <w:rPr>
                <w:rFonts w:ascii="Arial Narrow"/>
                <w:w w:val="95"/>
                <w:sz w:val="20"/>
              </w:rPr>
              <w:t>5,378,360.68</w:t>
            </w:r>
            <w:r>
              <w:rPr>
                <w:rFonts w:ascii="Arial Narrow"/>
                <w:sz w:val="20"/>
              </w:rPr>
            </w:r>
          </w:p>
        </w:tc>
      </w:tr>
    </w:tbl>
    <w:p>
      <w:pPr>
        <w:tabs>
          <w:tab w:pos="3057" w:val="left" w:leader="none"/>
        </w:tabs>
        <w:spacing w:before="86"/>
        <w:ind w:left="1438" w:right="569"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33</w:t>
      </w:r>
      <w:r>
        <w:rPr>
          <w:rFonts w:ascii="宋体" w:hAnsi="宋体" w:cs="宋体" w:eastAsia="宋体" w:hint="default"/>
          <w:b/>
          <w:bCs/>
          <w:spacing w:val="-1"/>
          <w:sz w:val="21"/>
          <w:szCs w:val="21"/>
        </w:rPr>
        <w:t>．</w:t>
        <w:tab/>
        <w:t>基本每股收益和稀释每股收益的计算过程</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18"/>
          <w:szCs w:val="18"/>
        </w:rPr>
      </w:pPr>
    </w:p>
    <w:p>
      <w:pPr>
        <w:spacing w:line="338" w:lineRule="auto" w:before="0"/>
        <w:ind w:left="1078" w:right="1068" w:firstLine="419"/>
        <w:jc w:val="both"/>
        <w:rPr>
          <w:rFonts w:ascii="宋体" w:hAnsi="宋体" w:cs="宋体" w:eastAsia="宋体" w:hint="default"/>
          <w:sz w:val="21"/>
          <w:szCs w:val="21"/>
        </w:rPr>
      </w:pPr>
      <w:r>
        <w:rPr>
          <w:rFonts w:ascii="宋体" w:hAnsi="宋体" w:cs="宋体" w:eastAsia="宋体" w:hint="default"/>
          <w:spacing w:val="-5"/>
          <w:sz w:val="21"/>
          <w:szCs w:val="21"/>
        </w:rPr>
        <w:t>本公司按照中国证监会《公开发行证券的公司信息披露编报规则第 </w:t>
      </w:r>
      <w:r>
        <w:rPr>
          <w:rFonts w:ascii="Arial Narrow" w:hAnsi="Arial Narrow" w:cs="Arial Narrow" w:eastAsia="Arial Narrow" w:hint="default"/>
          <w:sz w:val="21"/>
          <w:szCs w:val="21"/>
        </w:rPr>
        <w:t>9</w:t>
      </w:r>
      <w:r>
        <w:rPr>
          <w:rFonts w:ascii="Arial Narrow" w:hAnsi="Arial Narrow" w:cs="Arial Narrow" w:eastAsia="Arial Narrow" w:hint="default"/>
          <w:spacing w:val="5"/>
          <w:sz w:val="21"/>
          <w:szCs w:val="21"/>
        </w:rPr>
        <w:t> </w:t>
      </w:r>
      <w:r>
        <w:rPr>
          <w:rFonts w:ascii="宋体" w:hAnsi="宋体" w:cs="宋体" w:eastAsia="宋体" w:hint="default"/>
          <w:sz w:val="21"/>
          <w:szCs w:val="21"/>
        </w:rPr>
        <w:t>号——净资产收益</w:t>
      </w:r>
      <w:r>
        <w:rPr>
          <w:rFonts w:ascii="宋体" w:hAnsi="宋体" w:cs="宋体" w:eastAsia="宋体" w:hint="default"/>
          <w:w w:val="100"/>
          <w:sz w:val="21"/>
          <w:szCs w:val="21"/>
        </w:rPr>
        <w:t> </w:t>
      </w:r>
      <w:r>
        <w:rPr>
          <w:rFonts w:ascii="宋体" w:hAnsi="宋体" w:cs="宋体" w:eastAsia="宋体" w:hint="default"/>
          <w:spacing w:val="-6"/>
          <w:w w:val="100"/>
          <w:sz w:val="21"/>
          <w:szCs w:val="21"/>
        </w:rPr>
        <w:t>率和每股收益的计算及披露（</w:t>
      </w:r>
      <w:r>
        <w:rPr>
          <w:rFonts w:ascii="Arial Narrow" w:hAnsi="Arial Narrow" w:cs="Arial Narrow" w:eastAsia="Arial Narrow" w:hint="default"/>
          <w:spacing w:val="-6"/>
          <w:w w:val="100"/>
          <w:sz w:val="21"/>
          <w:szCs w:val="21"/>
        </w:rPr>
        <w:t>2010</w:t>
      </w:r>
      <w:r>
        <w:rPr>
          <w:rFonts w:ascii="Arial Narrow" w:hAnsi="Arial Narrow" w:cs="Arial Narrow" w:eastAsia="Arial Narrow" w:hint="default"/>
          <w:spacing w:val="13"/>
          <w:w w:val="100"/>
          <w:sz w:val="21"/>
          <w:szCs w:val="21"/>
        </w:rPr>
        <w:t> </w:t>
      </w:r>
      <w:r>
        <w:rPr>
          <w:rFonts w:ascii="宋体" w:hAnsi="宋体" w:cs="宋体" w:eastAsia="宋体" w:hint="default"/>
          <w:spacing w:val="-16"/>
          <w:w w:val="100"/>
          <w:sz w:val="21"/>
          <w:szCs w:val="21"/>
        </w:rPr>
        <w:t>年修订）》（“中国证券监督管理委员会公告</w:t>
      </w:r>
      <w:r>
        <w:rPr>
          <w:rFonts w:ascii="Arial Narrow" w:hAnsi="Arial Narrow" w:cs="Arial Narrow" w:eastAsia="Arial Narrow" w:hint="default"/>
          <w:spacing w:val="-16"/>
          <w:w w:val="100"/>
          <w:sz w:val="21"/>
          <w:szCs w:val="21"/>
        </w:rPr>
        <w:t>[2010]2</w:t>
      </w:r>
      <w:r>
        <w:rPr>
          <w:rFonts w:ascii="Arial Narrow" w:hAnsi="Arial Narrow" w:cs="Arial Narrow" w:eastAsia="Arial Narrow" w:hint="default"/>
          <w:spacing w:val="15"/>
          <w:w w:val="100"/>
          <w:sz w:val="21"/>
          <w:szCs w:val="21"/>
        </w:rPr>
        <w:t> </w:t>
      </w:r>
      <w:r>
        <w:rPr>
          <w:rFonts w:ascii="宋体" w:hAnsi="宋体" w:cs="宋体" w:eastAsia="宋体" w:hint="default"/>
          <w:spacing w:val="-57"/>
          <w:w w:val="100"/>
          <w:sz w:val="21"/>
          <w:szCs w:val="21"/>
        </w:rPr>
        <w:t>号）、《公</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w w:val="100"/>
          <w:sz w:val="21"/>
          <w:szCs w:val="21"/>
        </w:rPr>
        <w:t>开发行证券的公司信息披露解释性公告第</w:t>
      </w:r>
      <w:r>
        <w:rPr>
          <w:rFonts w:ascii="宋体" w:hAnsi="宋体" w:cs="宋体" w:eastAsia="宋体" w:hint="default"/>
          <w:spacing w:val="-9"/>
          <w:w w:val="100"/>
          <w:sz w:val="21"/>
          <w:szCs w:val="21"/>
        </w:rPr>
        <w:t> </w:t>
      </w:r>
      <w:r>
        <w:rPr>
          <w:rFonts w:ascii="Arial Narrow" w:hAnsi="Arial Narrow" w:cs="Arial Narrow" w:eastAsia="Arial Narrow" w:hint="default"/>
          <w:w w:val="100"/>
          <w:sz w:val="21"/>
          <w:szCs w:val="21"/>
        </w:rPr>
        <w:t>1</w:t>
      </w:r>
      <w:r>
        <w:rPr>
          <w:rFonts w:ascii="Arial Narrow" w:hAnsi="Arial Narrow" w:cs="Arial Narrow" w:eastAsia="Arial Narrow" w:hint="default"/>
          <w:spacing w:val="44"/>
          <w:w w:val="100"/>
          <w:sz w:val="21"/>
          <w:szCs w:val="21"/>
        </w:rPr>
        <w:t> </w:t>
      </w:r>
      <w:r>
        <w:rPr>
          <w:rFonts w:ascii="宋体" w:hAnsi="宋体" w:cs="宋体" w:eastAsia="宋体" w:hint="default"/>
          <w:spacing w:val="-15"/>
          <w:w w:val="100"/>
          <w:sz w:val="21"/>
          <w:szCs w:val="21"/>
        </w:rPr>
        <w:t>号——非经常性损益（</w:t>
      </w:r>
      <w:r>
        <w:rPr>
          <w:rFonts w:ascii="Arial Narrow" w:hAnsi="Arial Narrow" w:cs="Arial Narrow" w:eastAsia="Arial Narrow" w:hint="default"/>
          <w:spacing w:val="-15"/>
          <w:w w:val="100"/>
          <w:sz w:val="21"/>
          <w:szCs w:val="21"/>
        </w:rPr>
        <w:t>2008</w:t>
      </w:r>
      <w:r>
        <w:rPr>
          <w:rFonts w:ascii="宋体" w:hAnsi="宋体" w:cs="宋体" w:eastAsia="宋体" w:hint="default"/>
          <w:spacing w:val="-15"/>
          <w:w w:val="100"/>
          <w:sz w:val="21"/>
          <w:szCs w:val="21"/>
        </w:rPr>
        <w:t>）》（“中国证券监督</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
          <w:w w:val="100"/>
          <w:sz w:val="21"/>
          <w:szCs w:val="21"/>
        </w:rPr>
        <w:t>管理委员会公告</w:t>
      </w:r>
      <w:r>
        <w:rPr>
          <w:rFonts w:ascii="Arial Narrow" w:hAnsi="Arial Narrow" w:cs="Arial Narrow" w:eastAsia="Arial Narrow" w:hint="default"/>
          <w:spacing w:val="-1"/>
          <w:w w:val="100"/>
          <w:sz w:val="21"/>
          <w:szCs w:val="21"/>
        </w:rPr>
        <w:t>[2008]43</w:t>
      </w:r>
      <w:r>
        <w:rPr>
          <w:rFonts w:ascii="Arial Narrow" w:hAnsi="Arial Narrow" w:cs="Arial Narrow" w:eastAsia="Arial Narrow" w:hint="default"/>
          <w:spacing w:val="13"/>
          <w:w w:val="100"/>
          <w:sz w:val="21"/>
          <w:szCs w:val="21"/>
        </w:rPr>
        <w:t> </w:t>
      </w:r>
      <w:r>
        <w:rPr>
          <w:rFonts w:ascii="宋体" w:hAnsi="宋体" w:cs="宋体" w:eastAsia="宋体" w:hint="default"/>
          <w:spacing w:val="-9"/>
          <w:w w:val="100"/>
          <w:sz w:val="21"/>
          <w:szCs w:val="21"/>
        </w:rPr>
        <w:t>号”）要求计算的每股收益如下：</w:t>
      </w:r>
    </w:p>
    <w:p>
      <w:pPr>
        <w:spacing w:before="81"/>
        <w:ind w:left="1387" w:right="56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842" w:type="dxa"/>
        <w:tblLayout w:type="fixed"/>
        <w:tblCellMar>
          <w:top w:w="0" w:type="dxa"/>
          <w:left w:w="0" w:type="dxa"/>
          <w:bottom w:w="0" w:type="dxa"/>
          <w:right w:w="0" w:type="dxa"/>
        </w:tblCellMar>
        <w:tblLook w:val="01E0"/>
      </w:tblPr>
      <w:tblGrid>
        <w:gridCol w:w="3884"/>
        <w:gridCol w:w="1258"/>
        <w:gridCol w:w="1123"/>
        <w:gridCol w:w="1215"/>
        <w:gridCol w:w="1260"/>
      </w:tblGrid>
      <w:tr>
        <w:trPr>
          <w:trHeight w:val="362" w:hRule="exact"/>
        </w:trPr>
        <w:tc>
          <w:tcPr>
            <w:tcW w:w="3884"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8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c>
          <w:tcPr>
            <w:tcW w:w="247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8"/>
              <w:jc w:val="center"/>
              <w:rPr>
                <w:rFonts w:ascii="宋体" w:hAnsi="宋体" w:cs="宋体" w:eastAsia="宋体" w:hint="default"/>
                <w:sz w:val="21"/>
                <w:szCs w:val="21"/>
              </w:rPr>
            </w:pP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559" w:hRule="exact"/>
        </w:trPr>
        <w:tc>
          <w:tcPr>
            <w:tcW w:w="3884" w:type="dxa"/>
            <w:vMerge/>
            <w:tcBorders>
              <w:left w:val="nil" w:sz="6" w:space="0" w:color="auto"/>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收益</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260"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355" w:hRule="exact"/>
        </w:trPr>
        <w:tc>
          <w:tcPr>
            <w:tcW w:w="38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0.2590</w:t>
            </w:r>
            <w:r>
              <w:rPr>
                <w:rFonts w:ascii="Arial Narrow"/>
                <w:sz w:val="20"/>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0.2590</w:t>
            </w:r>
            <w:r>
              <w:rPr>
                <w:rFonts w:ascii="Arial Narrow"/>
                <w:sz w:val="20"/>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20"/>
                <w:szCs w:val="20"/>
              </w:rPr>
            </w:pPr>
            <w:r>
              <w:rPr>
                <w:rFonts w:ascii="Arial Narrow"/>
                <w:w w:val="95"/>
                <w:sz w:val="20"/>
              </w:rPr>
              <w:t>0.2845</w:t>
            </w:r>
            <w:r>
              <w:rPr>
                <w:rFonts w:ascii="Arial Narrow"/>
                <w:sz w:val="20"/>
              </w:rPr>
            </w:r>
          </w:p>
        </w:tc>
        <w:tc>
          <w:tcPr>
            <w:tcW w:w="1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0"/>
                <w:szCs w:val="20"/>
              </w:rPr>
            </w:pPr>
            <w:r>
              <w:rPr>
                <w:rFonts w:ascii="Arial Narrow"/>
                <w:w w:val="95"/>
                <w:sz w:val="20"/>
              </w:rPr>
              <w:t>0.2845</w:t>
            </w:r>
            <w:r>
              <w:rPr>
                <w:rFonts w:ascii="Arial Narrow"/>
                <w:sz w:val="20"/>
              </w:rPr>
            </w:r>
          </w:p>
        </w:tc>
      </w:tr>
      <w:tr>
        <w:trPr>
          <w:trHeight w:val="569" w:hRule="exact"/>
        </w:trPr>
        <w:tc>
          <w:tcPr>
            <w:tcW w:w="3884"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股东的净利润（Ⅱ）</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0.2354</w:t>
            </w:r>
            <w:r>
              <w:rPr>
                <w:rFonts w:ascii="Arial Narrow"/>
                <w:sz w:val="20"/>
              </w:rPr>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0.2354</w:t>
            </w:r>
            <w:r>
              <w:rPr>
                <w:rFonts w:ascii="Arial Narrow"/>
                <w:sz w:val="20"/>
              </w:rPr>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0.2718</w:t>
            </w:r>
            <w:r>
              <w:rPr>
                <w:rFonts w:ascii="Arial Narrow"/>
                <w:sz w:val="20"/>
              </w:rPr>
            </w:r>
          </w:p>
        </w:tc>
        <w:tc>
          <w:tcPr>
            <w:tcW w:w="12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3"/>
              <w:ind w:right="106"/>
              <w:jc w:val="right"/>
              <w:rPr>
                <w:rFonts w:ascii="Arial Narrow" w:hAnsi="Arial Narrow" w:cs="Arial Narrow" w:eastAsia="Arial Narrow" w:hint="default"/>
                <w:sz w:val="20"/>
                <w:szCs w:val="20"/>
              </w:rPr>
            </w:pPr>
            <w:r>
              <w:rPr>
                <w:rFonts w:ascii="Arial Narrow"/>
                <w:w w:val="95"/>
                <w:sz w:val="20"/>
              </w:rPr>
              <w:t>0.2718</w:t>
            </w:r>
            <w:r>
              <w:rPr>
                <w:rFonts w:ascii="Arial Narrow"/>
                <w:sz w:val="20"/>
              </w:rPr>
            </w:r>
          </w:p>
        </w:tc>
      </w:tr>
    </w:tbl>
    <w:p>
      <w:pPr>
        <w:spacing w:line="240" w:lineRule="auto" w:before="13"/>
        <w:rPr>
          <w:rFonts w:ascii="宋体" w:hAnsi="宋体" w:cs="宋体" w:eastAsia="宋体" w:hint="default"/>
          <w:b/>
          <w:bCs/>
          <w:sz w:val="12"/>
          <w:szCs w:val="12"/>
        </w:rPr>
      </w:pPr>
    </w:p>
    <w:p>
      <w:pPr>
        <w:tabs>
          <w:tab w:pos="2217" w:val="left" w:leader="none"/>
        </w:tabs>
        <w:spacing w:before="36"/>
        <w:ind w:left="1438" w:right="56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Arial Narrow" w:hAnsi="Arial Narrow" w:cs="Arial Narrow" w:eastAsia="Arial Narrow" w:hint="default"/>
          <w:b/>
          <w:bCs/>
          <w:spacing w:val="-1"/>
          <w:sz w:val="21"/>
          <w:szCs w:val="21"/>
        </w:rPr>
        <w:t>2</w:t>
      </w:r>
      <w:r>
        <w:rPr>
          <w:rFonts w:ascii="宋体" w:hAnsi="宋体" w:cs="宋体" w:eastAsia="宋体" w:hint="default"/>
          <w:b/>
          <w:bCs/>
          <w:spacing w:val="-1"/>
          <w:sz w:val="21"/>
          <w:szCs w:val="21"/>
        </w:rPr>
        <w:t>）</w:t>
        <w:tab/>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2" w:type="dxa"/>
        <w:tblLayout w:type="fixed"/>
        <w:tblCellMar>
          <w:top w:w="0" w:type="dxa"/>
          <w:left w:w="0" w:type="dxa"/>
          <w:bottom w:w="0" w:type="dxa"/>
          <w:right w:w="0" w:type="dxa"/>
        </w:tblCellMar>
        <w:tblLook w:val="01E0"/>
      </w:tblPr>
      <w:tblGrid>
        <w:gridCol w:w="5613"/>
        <w:gridCol w:w="1512"/>
        <w:gridCol w:w="1419"/>
        <w:gridCol w:w="1656"/>
      </w:tblGrid>
      <w:tr>
        <w:trPr>
          <w:trHeight w:val="363" w:hRule="exact"/>
        </w:trPr>
        <w:tc>
          <w:tcPr>
            <w:tcW w:w="56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29"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49"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42,735,587.61</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37,986,548.08</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扣除所得税影响后归属于母公司普通股股东净利润的非经常性损益</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3,893,636.23</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1,694,589.51</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扣除非经常性损益后的归属于本公司普通股股东的净利润</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3=1-2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38,841,951.38</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36,291,958.57</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3"/>
              <w:jc w:val="right"/>
              <w:rPr>
                <w:rFonts w:ascii="Arial Narrow" w:hAnsi="Arial Narrow" w:cs="Arial Narrow" w:eastAsia="Arial Narrow" w:hint="default"/>
                <w:sz w:val="20"/>
                <w:szCs w:val="20"/>
              </w:rPr>
            </w:pPr>
            <w:r>
              <w:rPr>
                <w:rFonts w:ascii="Arial Narrow"/>
                <w:spacing w:val="-1"/>
                <w:w w:val="95"/>
                <w:sz w:val="20"/>
              </w:rPr>
              <w:t>110,000,000.00</w:t>
            </w:r>
            <w:r>
              <w:rPr>
                <w:rFonts w:ascii="Arial Narrow"/>
                <w:spacing w:val="-1"/>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82,000,000.00</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报告期因公积金转增股本或股票股利分配等增加的股份数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92"/>
              <w:jc w:val="right"/>
              <w:rPr>
                <w:rFonts w:ascii="Arial Narrow" w:hAnsi="Arial Narrow" w:cs="Arial Narrow" w:eastAsia="Arial Narrow" w:hint="default"/>
                <w:sz w:val="20"/>
                <w:szCs w:val="20"/>
              </w:rPr>
            </w:pPr>
            <w:r>
              <w:rPr>
                <w:rFonts w:ascii="Arial Narrow" w:hAnsi="Arial Narrow" w:cs="Arial Narrow" w:eastAsia="Arial Narrow" w:hint="default"/>
                <w:spacing w:val="-4"/>
                <w:sz w:val="20"/>
                <w:szCs w:val="20"/>
              </w:rPr>
              <w:t>44,500,000.00(</w:t>
            </w:r>
            <w:r>
              <w:rPr>
                <w:rFonts w:ascii="宋体" w:hAnsi="宋体" w:cs="宋体" w:eastAsia="宋体" w:hint="default"/>
                <w:spacing w:val="-4"/>
                <w:sz w:val="20"/>
                <w:szCs w:val="20"/>
              </w:rPr>
              <w:t>注</w:t>
            </w:r>
            <w:r>
              <w:rPr>
                <w:rFonts w:ascii="Arial Narrow" w:hAnsi="Arial Narrow" w:cs="Arial Narrow" w:eastAsia="Arial Narrow" w:hint="default"/>
                <w:spacing w:val="-4"/>
                <w:sz w:val="20"/>
                <w:szCs w:val="20"/>
              </w:rPr>
              <w:t>)</w:t>
            </w:r>
          </w:p>
        </w:tc>
      </w:tr>
      <w:tr>
        <w:trPr>
          <w:trHeight w:val="355" w:hRule="exact"/>
        </w:trPr>
        <w:tc>
          <w:tcPr>
            <w:tcW w:w="56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6</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28,000,000.00</w:t>
            </w:r>
            <w:r>
              <w:rPr>
                <w:rFonts w:ascii="Arial Narrow"/>
                <w:sz w:val="20"/>
              </w:rPr>
            </w:r>
          </w:p>
        </w:tc>
      </w:tr>
      <w:tr>
        <w:trPr>
          <w:trHeight w:val="355" w:hRule="exact"/>
        </w:trPr>
        <w:tc>
          <w:tcPr>
            <w:tcW w:w="5613" w:type="dxa"/>
            <w:vMerge/>
            <w:tcBorders>
              <w:left w:val="nil" w:sz="6" w:space="0" w:color="auto"/>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6</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vMerge/>
            <w:tcBorders>
              <w:left w:val="nil" w:sz="6" w:space="0" w:color="auto"/>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6</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发行新股或债转股等增加股份下一月份起至报告期年末的月份数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0"/>
                <w:szCs w:val="20"/>
              </w:rPr>
            </w:pPr>
            <w:r>
              <w:rPr>
                <w:rFonts w:ascii="Arial Narrow"/>
                <w:w w:val="99"/>
                <w:sz w:val="20"/>
              </w:rPr>
              <w:t>3</w:t>
            </w:r>
            <w:r>
              <w:rPr>
                <w:rFonts w:ascii="Arial Narrow"/>
                <w:sz w:val="20"/>
              </w:rPr>
            </w:r>
          </w:p>
        </w:tc>
      </w:tr>
      <w:tr>
        <w:trPr>
          <w:trHeight w:val="356" w:hRule="exact"/>
        </w:trPr>
        <w:tc>
          <w:tcPr>
            <w:tcW w:w="5613" w:type="dxa"/>
            <w:vMerge/>
            <w:tcBorders>
              <w:left w:val="nil" w:sz="6" w:space="0" w:color="auto"/>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Arial Narrow" w:hAnsi="Arial Narrow" w:cs="Arial Narrow" w:eastAsia="Arial Narrow" w:hint="default"/>
                <w:sz w:val="18"/>
                <w:szCs w:val="18"/>
              </w:rPr>
            </w:pPr>
            <w:r>
              <w:rPr>
                <w:rFonts w:ascii="Arial Narrow"/>
                <w:sz w:val="18"/>
              </w:rPr>
              <w:t>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5613" w:type="dxa"/>
            <w:vMerge/>
            <w:tcBorders>
              <w:left w:val="nil" w:sz="6" w:space="0" w:color="auto"/>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00" w:right="0"/>
              <w:jc w:val="left"/>
              <w:rPr>
                <w:rFonts w:ascii="Arial Narrow" w:hAnsi="Arial Narrow" w:cs="Arial Narrow" w:eastAsia="Arial Narrow" w:hint="default"/>
                <w:sz w:val="18"/>
                <w:szCs w:val="18"/>
              </w:rPr>
            </w:pPr>
            <w:r>
              <w:rPr>
                <w:rFonts w:ascii="Arial Narrow"/>
                <w:sz w:val="18"/>
              </w:rPr>
              <w:t>8</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9</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pacing w:val="-7"/>
                <w:sz w:val="18"/>
              </w:rPr>
              <w:t>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Narrow" w:hAnsi="Arial Narrow" w:cs="Arial Narrow" w:eastAsia="Arial Narrow" w:hint="default"/>
                <w:sz w:val="20"/>
                <w:szCs w:val="20"/>
              </w:rPr>
            </w:pPr>
            <w:r>
              <w:rPr>
                <w:rFonts w:ascii="Arial Narrow"/>
                <w:w w:val="95"/>
                <w:sz w:val="20"/>
              </w:rPr>
              <w:t>12</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4"/>
              <w:jc w:val="right"/>
              <w:rPr>
                <w:rFonts w:ascii="Arial Narrow" w:hAnsi="Arial Narrow" w:cs="Arial Narrow" w:eastAsia="Arial Narrow" w:hint="default"/>
                <w:sz w:val="20"/>
                <w:szCs w:val="20"/>
              </w:rPr>
            </w:pPr>
            <w:r>
              <w:rPr>
                <w:rFonts w:ascii="Arial Narrow"/>
                <w:w w:val="95"/>
                <w:sz w:val="20"/>
              </w:rPr>
              <w:t>12</w:t>
            </w:r>
            <w:r>
              <w:rPr>
                <w:rFonts w:ascii="Arial Narrow"/>
                <w:sz w:val="20"/>
              </w:rPr>
            </w:r>
          </w:p>
        </w:tc>
      </w:tr>
      <w:tr>
        <w:trPr>
          <w:trHeight w:val="430"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12=4+5+6×7</w:t>
            </w:r>
          </w:p>
          <w:p>
            <w:pPr>
              <w:pStyle w:val="TableParagraph"/>
              <w:spacing w:line="240" w:lineRule="auto"/>
              <w:ind w:left="100"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÷11-8×9÷11-10</w:t>
            </w:r>
            <w:r>
              <w:rPr>
                <w:rFonts w:ascii="Arial Narrow" w:hAnsi="Arial Narrow" w:cs="Arial Narrow" w:eastAsia="Arial Narrow"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165,000,000.00</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5"/>
              <w:jc w:val="right"/>
              <w:rPr>
                <w:rFonts w:ascii="Arial Narrow" w:hAnsi="Arial Narrow" w:cs="Arial Narrow" w:eastAsia="Arial Narrow" w:hint="default"/>
                <w:sz w:val="20"/>
                <w:szCs w:val="20"/>
              </w:rPr>
            </w:pPr>
            <w:r>
              <w:rPr>
                <w:rFonts w:ascii="Arial Narrow"/>
                <w:w w:val="95"/>
                <w:sz w:val="20"/>
              </w:rPr>
              <w:t>133,500,000.00</w:t>
            </w:r>
            <w:r>
              <w:rPr>
                <w:rFonts w:ascii="Arial Narrow"/>
                <w:sz w:val="20"/>
              </w:rPr>
            </w:r>
          </w:p>
        </w:tc>
      </w:tr>
      <w:tr>
        <w:trPr>
          <w:trHeight w:val="362" w:hRule="exact"/>
        </w:trPr>
        <w:tc>
          <w:tcPr>
            <w:tcW w:w="56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因同一控制下企业合并而调整的发行在外的普通股加权平均数（Ⅱ）</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13</w:t>
            </w:r>
          </w:p>
        </w:tc>
        <w:tc>
          <w:tcPr>
            <w:tcW w:w="1419"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16" w:footer="858" w:top="1160" w:bottom="1040" w:left="720" w:right="720"/>
        </w:sectPr>
      </w:pPr>
    </w:p>
    <w:p>
      <w:pPr>
        <w:spacing w:line="240" w:lineRule="auto" w:before="9"/>
        <w:rPr>
          <w:rFonts w:ascii="宋体" w:hAnsi="宋体" w:cs="宋体" w:eastAsia="宋体" w:hint="default"/>
          <w:b/>
          <w:bCs/>
          <w:sz w:val="19"/>
          <w:szCs w:val="19"/>
        </w:rPr>
      </w:pPr>
    </w:p>
    <w:tbl>
      <w:tblPr>
        <w:tblW w:w="0" w:type="auto"/>
        <w:jc w:val="left"/>
        <w:tblInd w:w="112" w:type="dxa"/>
        <w:tblLayout w:type="fixed"/>
        <w:tblCellMar>
          <w:top w:w="0" w:type="dxa"/>
          <w:left w:w="0" w:type="dxa"/>
          <w:bottom w:w="0" w:type="dxa"/>
          <w:right w:w="0" w:type="dxa"/>
        </w:tblCellMar>
        <w:tblLook w:val="01E0"/>
      </w:tblPr>
      <w:tblGrid>
        <w:gridCol w:w="5613"/>
        <w:gridCol w:w="1512"/>
        <w:gridCol w:w="1419"/>
        <w:gridCol w:w="1656"/>
      </w:tblGrid>
      <w:tr>
        <w:trPr>
          <w:trHeight w:val="363" w:hRule="exact"/>
        </w:trPr>
        <w:tc>
          <w:tcPr>
            <w:tcW w:w="56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29"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6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49"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14=1÷12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0.2590</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0"/>
                <w:szCs w:val="20"/>
              </w:rPr>
            </w:pPr>
            <w:r>
              <w:rPr>
                <w:rFonts w:ascii="Arial Narrow"/>
                <w:w w:val="95"/>
                <w:sz w:val="20"/>
              </w:rPr>
              <w:t>0.2845</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15=3÷13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0.2354</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0"/>
                <w:szCs w:val="20"/>
              </w:rPr>
            </w:pPr>
            <w:r>
              <w:rPr>
                <w:rFonts w:ascii="Arial Narrow"/>
                <w:w w:val="95"/>
                <w:sz w:val="20"/>
              </w:rPr>
              <w:t>0.2718</w:t>
            </w:r>
            <w:r>
              <w:rPr>
                <w:rFonts w:ascii="Arial Narrow"/>
                <w:sz w:val="20"/>
              </w:rPr>
            </w: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16</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18</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可转换公司债券、认股权证、股份期权等转换或行权而增加的股份数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Arial Narrow" w:hAnsi="Arial Narrow" w:cs="Arial Narrow" w:eastAsia="Arial Narrow" w:hint="default"/>
                <w:sz w:val="18"/>
                <w:szCs w:val="18"/>
              </w:rPr>
            </w:pPr>
            <w:r>
              <w:rPr>
                <w:rFonts w:ascii="Arial Narrow"/>
                <w:sz w:val="18"/>
              </w:rPr>
              <w:t>19</w:t>
            </w:r>
          </w:p>
        </w:tc>
        <w:tc>
          <w:tcPr>
            <w:tcW w:w="141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nil" w:sz="6" w:space="0" w:color="auto"/>
            </w:tcBorders>
          </w:tcPr>
          <w:p>
            <w:pPr/>
          </w:p>
        </w:tc>
      </w:tr>
      <w:tr>
        <w:trPr>
          <w:trHeight w:val="430" w:hRule="exact"/>
        </w:trPr>
        <w:tc>
          <w:tcPr>
            <w:tcW w:w="56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20=[1+(16-18)×</w:t>
            </w:r>
          </w:p>
          <w:p>
            <w:pPr>
              <w:pStyle w:val="TableParagraph"/>
              <w:spacing w:line="240" w:lineRule="auto"/>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(1-17)]÷(12+19)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0.2590</w:t>
            </w:r>
            <w:r>
              <w:rPr>
                <w:rFonts w:ascii="Arial Narrow"/>
                <w:sz w:val="20"/>
              </w:rPr>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106"/>
              <w:jc w:val="right"/>
              <w:rPr>
                <w:rFonts w:ascii="Arial Narrow" w:hAnsi="Arial Narrow" w:cs="Arial Narrow" w:eastAsia="Arial Narrow" w:hint="default"/>
                <w:sz w:val="20"/>
                <w:szCs w:val="20"/>
              </w:rPr>
            </w:pPr>
            <w:r>
              <w:rPr>
                <w:rFonts w:ascii="Arial Narrow"/>
                <w:w w:val="95"/>
                <w:sz w:val="20"/>
              </w:rPr>
              <w:t>0.2845</w:t>
            </w:r>
            <w:r>
              <w:rPr>
                <w:rFonts w:ascii="Arial Narrow"/>
                <w:sz w:val="20"/>
              </w:rPr>
            </w:r>
          </w:p>
        </w:tc>
      </w:tr>
      <w:tr>
        <w:trPr>
          <w:trHeight w:val="463" w:hRule="exact"/>
        </w:trPr>
        <w:tc>
          <w:tcPr>
            <w:tcW w:w="561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18" w:lineRule="exact"/>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21=[3+(16</w:t>
            </w:r>
            <w:r>
              <w:rPr>
                <w:rFonts w:ascii="宋体" w:hAnsi="宋体" w:cs="宋体" w:eastAsia="宋体" w:hint="default"/>
                <w:sz w:val="18"/>
                <w:szCs w:val="18"/>
              </w:rPr>
              <w:t>－</w:t>
            </w:r>
            <w:r>
              <w:rPr>
                <w:rFonts w:ascii="Arial Narrow" w:hAnsi="Arial Narrow" w:cs="Arial Narrow" w:eastAsia="Arial Narrow" w:hint="default"/>
                <w:sz w:val="18"/>
                <w:szCs w:val="18"/>
              </w:rPr>
              <w:t>18)</w:t>
            </w:r>
          </w:p>
          <w:p>
            <w:pPr>
              <w:pStyle w:val="TableParagraph"/>
              <w:spacing w:line="240" w:lineRule="auto" w:before="14"/>
              <w:ind w:left="100"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×(1-17)]÷(13+19)</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w w:val="95"/>
                <w:sz w:val="20"/>
              </w:rPr>
              <w:t>0.2354</w:t>
            </w:r>
            <w:r>
              <w:rPr>
                <w:rFonts w:ascii="Arial Narrow"/>
                <w:sz w:val="20"/>
              </w:rPr>
            </w: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w w:val="95"/>
                <w:sz w:val="20"/>
              </w:rPr>
              <w:t>0.2718</w:t>
            </w:r>
            <w:r>
              <w:rPr>
                <w:rFonts w:ascii="Arial Narrow"/>
                <w:sz w:val="20"/>
              </w:rPr>
            </w:r>
          </w:p>
        </w:tc>
      </w:tr>
    </w:tbl>
    <w:p>
      <w:pPr>
        <w:spacing w:before="26"/>
        <w:ind w:left="1078" w:right="569" w:firstLine="0"/>
        <w:jc w:val="left"/>
        <w:rPr>
          <w:rFonts w:ascii="宋体" w:hAnsi="宋体" w:cs="宋体" w:eastAsia="宋体" w:hint="default"/>
          <w:sz w:val="21"/>
          <w:szCs w:val="21"/>
        </w:rPr>
      </w:pPr>
      <w:r>
        <w:rPr>
          <w:rFonts w:ascii="宋体" w:hAnsi="宋体" w:cs="宋体" w:eastAsia="宋体" w:hint="default"/>
          <w:spacing w:val="-5"/>
          <w:sz w:val="21"/>
          <w:szCs w:val="21"/>
        </w:rPr>
        <w:t>注：本年公司以</w:t>
      </w:r>
      <w:r>
        <w:rPr>
          <w:rFonts w:ascii="宋体" w:hAnsi="宋体" w:cs="宋体" w:eastAsia="宋体" w:hint="default"/>
          <w:spacing w:val="-47"/>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年末股本</w:t>
      </w:r>
      <w:r>
        <w:rPr>
          <w:rFonts w:ascii="宋体" w:hAnsi="宋体" w:cs="宋体" w:eastAsia="宋体" w:hint="default"/>
          <w:spacing w:val="-46"/>
          <w:sz w:val="21"/>
          <w:szCs w:val="21"/>
        </w:rPr>
        <w:t> </w:t>
      </w:r>
      <w:r>
        <w:rPr>
          <w:rFonts w:ascii="Arial Narrow" w:hAnsi="Arial Narrow" w:cs="Arial Narrow" w:eastAsia="Arial Narrow" w:hint="default"/>
          <w:spacing w:val="-4"/>
          <w:sz w:val="21"/>
          <w:szCs w:val="21"/>
        </w:rPr>
        <w:t>11000</w:t>
      </w:r>
      <w:r>
        <w:rPr>
          <w:rFonts w:ascii="Arial Narrow" w:hAnsi="Arial Narrow" w:cs="Arial Narrow" w:eastAsia="Arial Narrow" w:hint="default"/>
          <w:spacing w:val="10"/>
          <w:sz w:val="21"/>
          <w:szCs w:val="21"/>
        </w:rPr>
        <w:t> </w:t>
      </w:r>
      <w:r>
        <w:rPr>
          <w:rFonts w:ascii="宋体" w:hAnsi="宋体" w:cs="宋体" w:eastAsia="宋体" w:hint="default"/>
          <w:spacing w:val="-5"/>
          <w:sz w:val="21"/>
          <w:szCs w:val="21"/>
        </w:rPr>
        <w:t>万股为基数，以资本公积转增股本，每</w:t>
      </w:r>
      <w:r>
        <w:rPr>
          <w:rFonts w:ascii="宋体" w:hAnsi="宋体" w:cs="宋体" w:eastAsia="宋体" w:hint="default"/>
          <w:spacing w:val="-47"/>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8"/>
          <w:sz w:val="21"/>
          <w:szCs w:val="21"/>
        </w:rPr>
        <w:t> </w:t>
      </w:r>
      <w:r>
        <w:rPr>
          <w:rFonts w:ascii="宋体" w:hAnsi="宋体" w:cs="宋体" w:eastAsia="宋体" w:hint="default"/>
          <w:sz w:val="21"/>
          <w:szCs w:val="21"/>
        </w:rPr>
        <w:t>股转增</w:t>
      </w:r>
      <w:r>
        <w:rPr>
          <w:rFonts w:ascii="宋体" w:hAnsi="宋体" w:cs="宋体" w:eastAsia="宋体" w:hint="default"/>
          <w:spacing w:val="-47"/>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before="119"/>
        <w:ind w:left="1078" w:right="569" w:firstLine="0"/>
        <w:jc w:val="left"/>
        <w:rPr>
          <w:rFonts w:ascii="宋体" w:hAnsi="宋体" w:cs="宋体" w:eastAsia="宋体" w:hint="default"/>
          <w:sz w:val="21"/>
          <w:szCs w:val="21"/>
        </w:rPr>
      </w:pPr>
      <w:r>
        <w:rPr>
          <w:rFonts w:ascii="宋体" w:hAnsi="宋体" w:cs="宋体" w:eastAsia="宋体" w:hint="default"/>
          <w:sz w:val="21"/>
          <w:szCs w:val="21"/>
        </w:rPr>
        <w:t>按《企业会计准则第</w:t>
      </w:r>
      <w:r>
        <w:rPr>
          <w:rFonts w:ascii="宋体" w:hAnsi="宋体" w:cs="宋体" w:eastAsia="宋体" w:hint="default"/>
          <w:spacing w:val="-58"/>
          <w:sz w:val="21"/>
          <w:szCs w:val="21"/>
        </w:rPr>
        <w:t> </w:t>
      </w:r>
      <w:r>
        <w:rPr>
          <w:rFonts w:ascii="Arial Narrow" w:hAnsi="Arial Narrow" w:cs="Arial Narrow" w:eastAsia="Arial Narrow" w:hint="default"/>
          <w:sz w:val="21"/>
          <w:szCs w:val="21"/>
        </w:rPr>
        <w:t>34 </w:t>
      </w:r>
      <w:r>
        <w:rPr>
          <w:rFonts w:ascii="宋体" w:hAnsi="宋体" w:cs="宋体" w:eastAsia="宋体" w:hint="default"/>
          <w:sz w:val="21"/>
          <w:szCs w:val="21"/>
        </w:rPr>
        <w:t>号</w:t>
      </w:r>
      <w:r>
        <w:rPr>
          <w:rFonts w:ascii="Arial Narrow" w:hAnsi="Arial Narrow" w:cs="Arial Narrow" w:eastAsia="Arial Narrow" w:hint="default"/>
          <w:sz w:val="21"/>
          <w:szCs w:val="21"/>
        </w:rPr>
        <w:t>-</w:t>
      </w:r>
      <w:r>
        <w:rPr>
          <w:rFonts w:ascii="宋体" w:hAnsi="宋体" w:cs="宋体" w:eastAsia="宋体" w:hint="default"/>
          <w:sz w:val="21"/>
          <w:szCs w:val="21"/>
        </w:rPr>
        <w:t>每股收益》和《公开发行证券的公司信息披露编报规则第</w:t>
      </w:r>
      <w:r>
        <w:rPr>
          <w:rFonts w:ascii="宋体" w:hAnsi="宋体" w:cs="宋体" w:eastAsia="宋体" w:hint="default"/>
          <w:spacing w:val="-57"/>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
          <w:sz w:val="21"/>
          <w:szCs w:val="21"/>
        </w:rPr>
        <w:t> </w:t>
      </w:r>
      <w:r>
        <w:rPr>
          <w:rFonts w:ascii="宋体" w:hAnsi="宋体" w:cs="宋体" w:eastAsia="宋体" w:hint="default"/>
          <w:sz w:val="21"/>
          <w:szCs w:val="21"/>
        </w:rPr>
        <w:t>号—</w:t>
      </w:r>
    </w:p>
    <w:p>
      <w:pPr>
        <w:spacing w:line="338" w:lineRule="auto" w:before="118"/>
        <w:ind w:left="1078" w:right="569" w:firstLine="0"/>
        <w:jc w:val="left"/>
        <w:rPr>
          <w:rFonts w:ascii="宋体" w:hAnsi="宋体" w:cs="宋体" w:eastAsia="宋体" w:hint="default"/>
          <w:sz w:val="21"/>
          <w:szCs w:val="21"/>
        </w:rPr>
      </w:pPr>
      <w:r>
        <w:rPr>
          <w:rFonts w:ascii="宋体" w:hAnsi="宋体" w:cs="宋体" w:eastAsia="宋体" w:hint="default"/>
          <w:spacing w:val="-2"/>
          <w:w w:val="100"/>
          <w:sz w:val="21"/>
          <w:szCs w:val="21"/>
        </w:rPr>
        <w:t>—净资产收益率和每股收益的计算及披露（</w:t>
      </w:r>
      <w:r>
        <w:rPr>
          <w:rFonts w:ascii="Arial Narrow" w:hAnsi="Arial Narrow" w:cs="Arial Narrow" w:eastAsia="Arial Narrow" w:hint="default"/>
          <w:spacing w:val="-2"/>
          <w:w w:val="100"/>
          <w:sz w:val="21"/>
          <w:szCs w:val="21"/>
        </w:rPr>
        <w:t>2010</w:t>
      </w:r>
      <w:r>
        <w:rPr>
          <w:rFonts w:ascii="Arial Narrow" w:hAnsi="Arial Narrow" w:cs="Arial Narrow" w:eastAsia="Arial Narrow" w:hint="default"/>
          <w:w w:val="100"/>
          <w:sz w:val="21"/>
          <w:szCs w:val="21"/>
        </w:rPr>
        <w:t> </w:t>
      </w:r>
      <w:r>
        <w:rPr>
          <w:rFonts w:ascii="宋体" w:hAnsi="宋体" w:cs="宋体" w:eastAsia="宋体" w:hint="default"/>
          <w:spacing w:val="-18"/>
          <w:w w:val="100"/>
          <w:sz w:val="21"/>
          <w:szCs w:val="21"/>
        </w:rPr>
        <w:t>年修订）》（“中国证券监督管理委员会公告</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Arial Narrow" w:hAnsi="Arial Narrow" w:cs="Arial Narrow" w:eastAsia="Arial Narrow" w:hint="default"/>
          <w:sz w:val="21"/>
          <w:szCs w:val="21"/>
        </w:rPr>
        <w:t>[2010]2</w:t>
      </w:r>
      <w:r>
        <w:rPr>
          <w:rFonts w:ascii="Arial Narrow" w:hAnsi="Arial Narrow" w:cs="Arial Narrow" w:eastAsia="Arial Narrow" w:hint="default"/>
          <w:spacing w:val="13"/>
          <w:sz w:val="21"/>
          <w:szCs w:val="21"/>
        </w:rPr>
        <w:t> </w:t>
      </w:r>
      <w:r>
        <w:rPr>
          <w:rFonts w:ascii="宋体" w:hAnsi="宋体" w:cs="宋体" w:eastAsia="宋体" w:hint="default"/>
          <w:spacing w:val="-4"/>
          <w:sz w:val="21"/>
          <w:szCs w:val="21"/>
        </w:rPr>
        <w:t>号）的要求对比较期加权平均股本进行重新计算，相应</w:t>
      </w:r>
      <w:r>
        <w:rPr>
          <w:rFonts w:ascii="宋体" w:hAnsi="宋体" w:cs="宋体" w:eastAsia="宋体" w:hint="default"/>
          <w:spacing w:val="-41"/>
          <w:sz w:val="21"/>
          <w:szCs w:val="21"/>
        </w:rPr>
        <w:t> </w:t>
      </w:r>
      <w:r>
        <w:rPr>
          <w:rFonts w:ascii="Arial Narrow" w:hAnsi="Arial Narrow" w:cs="Arial Narrow" w:eastAsia="Arial Narrow" w:hint="default"/>
          <w:sz w:val="21"/>
          <w:szCs w:val="21"/>
        </w:rPr>
        <w:t>2009</w:t>
      </w:r>
      <w:r>
        <w:rPr>
          <w:rFonts w:ascii="Arial Narrow" w:hAnsi="Arial Narrow" w:cs="Arial Narrow" w:eastAsia="Arial Narrow" w:hint="default"/>
          <w:spacing w:val="12"/>
          <w:sz w:val="21"/>
          <w:szCs w:val="21"/>
        </w:rPr>
        <w:t> </w:t>
      </w:r>
      <w:r>
        <w:rPr>
          <w:rFonts w:ascii="宋体" w:hAnsi="宋体" w:cs="宋体" w:eastAsia="宋体" w:hint="default"/>
          <w:sz w:val="21"/>
          <w:szCs w:val="21"/>
        </w:rPr>
        <w:t>年的加权平均股本数为：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Arial Narrow" w:hAnsi="Arial Narrow" w:cs="Arial Narrow" w:eastAsia="Arial Narrow" w:hint="default"/>
          <w:spacing w:val="-1"/>
          <w:sz w:val="21"/>
          <w:szCs w:val="21"/>
        </w:rPr>
        <w:t>82,000,000.00*1.5+28,000,000.00*1.5*3/12=133,500,000.00</w:t>
      </w:r>
      <w:r>
        <w:rPr>
          <w:rFonts w:ascii="Arial Narrow" w:hAnsi="Arial Narrow" w:cs="Arial Narrow" w:eastAsia="Arial Narrow" w:hint="default"/>
          <w:spacing w:val="30"/>
          <w:sz w:val="21"/>
          <w:szCs w:val="21"/>
        </w:rPr>
        <w:t> </w:t>
      </w:r>
      <w:r>
        <w:rPr>
          <w:rFonts w:ascii="宋体" w:hAnsi="宋体" w:cs="宋体" w:eastAsia="宋体" w:hint="default"/>
          <w:sz w:val="21"/>
          <w:szCs w:val="21"/>
        </w:rPr>
        <w:t>股。</w:t>
      </w:r>
    </w:p>
    <w:p>
      <w:pPr>
        <w:spacing w:line="388" w:lineRule="auto" w:before="81"/>
        <w:ind w:left="1498" w:right="2278" w:firstLine="1260"/>
        <w:jc w:val="left"/>
        <w:rPr>
          <w:rFonts w:ascii="宋体" w:hAnsi="宋体" w:cs="宋体" w:eastAsia="宋体" w:hint="default"/>
          <w:sz w:val="21"/>
          <w:szCs w:val="21"/>
        </w:rPr>
      </w:pPr>
      <w:r>
        <w:rPr>
          <w:rFonts w:ascii="Arial Narrow" w:hAnsi="Arial Narrow" w:cs="Arial Narrow" w:eastAsia="Arial Narrow" w:hint="default"/>
          <w:b/>
          <w:bCs/>
          <w:sz w:val="21"/>
          <w:szCs w:val="21"/>
        </w:rPr>
        <w:t>34</w:t>
      </w:r>
      <w:r>
        <w:rPr>
          <w:rFonts w:ascii="宋体" w:hAnsi="宋体" w:cs="宋体" w:eastAsia="宋体" w:hint="default"/>
          <w:b/>
          <w:bCs/>
          <w:sz w:val="21"/>
          <w:szCs w:val="21"/>
        </w:rPr>
        <w:t>．现金流量表项目注释</w:t>
      </w:r>
      <w:r>
        <w:rPr>
          <w:rFonts w:ascii="宋体" w:hAnsi="宋体" w:cs="宋体" w:eastAsia="宋体" w:hint="default"/>
          <w:b/>
          <w:bCs/>
          <w:w w:val="100"/>
          <w:sz w:val="21"/>
          <w:szCs w:val="21"/>
        </w:rPr>
        <w:t> </w:t>
      </w:r>
      <w:r>
        <w:rPr>
          <w:rFonts w:ascii="宋体" w:hAnsi="宋体" w:cs="宋体" w:eastAsia="宋体" w:hint="default"/>
          <w:sz w:val="21"/>
          <w:szCs w:val="21"/>
        </w:rPr>
        <w:t>收到的其他与经营活动有关的现金</w:t>
      </w:r>
    </w:p>
    <w:p>
      <w:pPr>
        <w:spacing w:line="240" w:lineRule="auto" w:before="11"/>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3944"/>
        <w:gridCol w:w="2297"/>
        <w:gridCol w:w="2619"/>
      </w:tblGrid>
      <w:tr>
        <w:trPr>
          <w:trHeight w:val="336"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right="1743"/>
              <w:jc w:val="right"/>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19"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color w:val="212121"/>
                <w:sz w:val="21"/>
                <w:szCs w:val="21"/>
              </w:rPr>
              <w:t>政府补助</w:t>
            </w:r>
            <w:r>
              <w:rPr>
                <w:rFonts w:ascii="宋体" w:hAnsi="宋体" w:cs="宋体" w:eastAsia="宋体" w:hint="default"/>
                <w:sz w:val="21"/>
                <w:szCs w:val="21"/>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4,758,000.00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2"/>
              <w:jc w:val="right"/>
              <w:rPr>
                <w:rFonts w:ascii="Arial Narrow" w:hAnsi="Arial Narrow" w:cs="Arial Narrow" w:eastAsia="Arial Narrow" w:hint="default"/>
                <w:sz w:val="20"/>
                <w:szCs w:val="20"/>
              </w:rPr>
            </w:pPr>
            <w:r>
              <w:rPr>
                <w:rFonts w:ascii="Arial Narrow"/>
                <w:w w:val="95"/>
                <w:sz w:val="20"/>
              </w:rPr>
              <w:t>1,993,500.00</w:t>
            </w:r>
            <w:r>
              <w:rPr>
                <w:rFonts w:ascii="Arial Narrow"/>
                <w:sz w:val="20"/>
              </w:rPr>
            </w:r>
          </w:p>
        </w:tc>
      </w:tr>
      <w:tr>
        <w:trPr>
          <w:trHeight w:val="326"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color w:val="212121"/>
                <w:sz w:val="21"/>
                <w:szCs w:val="21"/>
              </w:rPr>
              <w:t>罚款、赞助等</w:t>
            </w:r>
            <w:r>
              <w:rPr>
                <w:rFonts w:ascii="宋体" w:hAnsi="宋体" w:cs="宋体" w:eastAsia="宋体" w:hint="default"/>
                <w:sz w:val="21"/>
                <w:szCs w:val="21"/>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55,184.00</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3"/>
              <w:jc w:val="right"/>
              <w:rPr>
                <w:rFonts w:ascii="Arial Narrow" w:hAnsi="Arial Narrow" w:cs="Arial Narrow" w:eastAsia="Arial Narrow" w:hint="default"/>
                <w:sz w:val="20"/>
                <w:szCs w:val="20"/>
              </w:rPr>
            </w:pPr>
            <w:r>
              <w:rPr>
                <w:rFonts w:ascii="Arial Narrow"/>
                <w:w w:val="95"/>
                <w:sz w:val="20"/>
              </w:rPr>
              <w:t>31,702.00</w:t>
            </w:r>
            <w:r>
              <w:rPr>
                <w:rFonts w:ascii="Arial Narrow"/>
                <w:sz w:val="20"/>
              </w:rPr>
            </w:r>
          </w:p>
        </w:tc>
      </w:tr>
      <w:tr>
        <w:trPr>
          <w:trHeight w:val="336"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63" w:lineRule="exact"/>
              <w:ind w:right="1743"/>
              <w:jc w:val="right"/>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w w:val="95"/>
                <w:sz w:val="20"/>
              </w:rPr>
              <w:t>4,813,184.00</w:t>
            </w:r>
            <w:r>
              <w:rPr>
                <w:rFonts w:ascii="Arial Narrow"/>
                <w:sz w:val="20"/>
              </w:rPr>
            </w:r>
          </w:p>
        </w:tc>
        <w:tc>
          <w:tcPr>
            <w:tcW w:w="2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8"/>
              <w:ind w:right="103"/>
              <w:jc w:val="right"/>
              <w:rPr>
                <w:rFonts w:ascii="Arial Narrow" w:hAnsi="Arial Narrow" w:cs="Arial Narrow" w:eastAsia="Arial Narrow" w:hint="default"/>
                <w:sz w:val="20"/>
                <w:szCs w:val="20"/>
              </w:rPr>
            </w:pPr>
            <w:r>
              <w:rPr>
                <w:rFonts w:ascii="Arial Narrow"/>
                <w:w w:val="95"/>
                <w:sz w:val="20"/>
              </w:rPr>
              <w:t>2,025,202.00</w:t>
            </w:r>
            <w:r>
              <w:rPr>
                <w:rFonts w:ascii="Arial Narrow"/>
                <w:sz w:val="20"/>
              </w:rPr>
            </w:r>
          </w:p>
        </w:tc>
      </w:tr>
    </w:tbl>
    <w:p>
      <w:pPr>
        <w:spacing w:before="26"/>
        <w:ind w:left="1498" w:right="569"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p>
      <w:pPr>
        <w:spacing w:line="240" w:lineRule="auto" w:before="10"/>
        <w:rPr>
          <w:rFonts w:ascii="宋体" w:hAnsi="宋体" w:cs="宋体" w:eastAsia="宋体" w:hint="default"/>
          <w:sz w:val="12"/>
          <w:szCs w:val="12"/>
        </w:rPr>
      </w:pPr>
    </w:p>
    <w:tbl>
      <w:tblPr>
        <w:tblW w:w="0" w:type="auto"/>
        <w:jc w:val="left"/>
        <w:tblInd w:w="782" w:type="dxa"/>
        <w:tblLayout w:type="fixed"/>
        <w:tblCellMar>
          <w:top w:w="0" w:type="dxa"/>
          <w:left w:w="0" w:type="dxa"/>
          <w:bottom w:w="0" w:type="dxa"/>
          <w:right w:w="0" w:type="dxa"/>
        </w:tblCellMar>
        <w:tblLook w:val="01E0"/>
      </w:tblPr>
      <w:tblGrid>
        <w:gridCol w:w="3944"/>
        <w:gridCol w:w="2297"/>
        <w:gridCol w:w="2619"/>
      </w:tblGrid>
      <w:tr>
        <w:trPr>
          <w:trHeight w:val="307" w:hRule="exact"/>
        </w:trPr>
        <w:tc>
          <w:tcPr>
            <w:tcW w:w="3944"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right="1743"/>
              <w:jc w:val="right"/>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72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19"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00"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color w:val="212121"/>
                <w:sz w:val="21"/>
                <w:szCs w:val="21"/>
              </w:rPr>
              <w:t>管理费用中支付现金</w:t>
            </w:r>
            <w:r>
              <w:rPr>
                <w:rFonts w:ascii="宋体" w:hAnsi="宋体" w:cs="宋体" w:eastAsia="宋体" w:hint="default"/>
                <w:sz w:val="21"/>
                <w:szCs w:val="21"/>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spacing w:val="-1"/>
                <w:w w:val="95"/>
                <w:sz w:val="20"/>
              </w:rPr>
              <w:t>11,085,886.95</w:t>
            </w:r>
            <w:r>
              <w:rPr>
                <w:rFonts w:ascii="Arial Narrow"/>
                <w:spacing w:val="-1"/>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5"/>
                <w:sz w:val="20"/>
              </w:rPr>
              <w:t>26,882,068.04</w:t>
            </w:r>
            <w:r>
              <w:rPr>
                <w:rFonts w:ascii="Arial Narrow"/>
                <w:sz w:val="20"/>
              </w:rPr>
            </w:r>
          </w:p>
        </w:tc>
      </w:tr>
      <w:tr>
        <w:trPr>
          <w:trHeight w:val="298"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color w:val="212121"/>
                <w:sz w:val="21"/>
                <w:szCs w:val="21"/>
              </w:rPr>
              <w:t>销售费用中支付现金</w:t>
            </w:r>
            <w:r>
              <w:rPr>
                <w:rFonts w:ascii="宋体" w:hAnsi="宋体" w:cs="宋体" w:eastAsia="宋体" w:hint="default"/>
                <w:sz w:val="21"/>
                <w:szCs w:val="21"/>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59,742,147.39</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2"/>
              <w:jc w:val="right"/>
              <w:rPr>
                <w:rFonts w:ascii="Arial Narrow" w:hAnsi="Arial Narrow" w:cs="Arial Narrow" w:eastAsia="Arial Narrow" w:hint="default"/>
                <w:sz w:val="20"/>
                <w:szCs w:val="20"/>
              </w:rPr>
            </w:pPr>
            <w:r>
              <w:rPr>
                <w:rFonts w:ascii="Arial Narrow"/>
                <w:w w:val="95"/>
                <w:sz w:val="20"/>
              </w:rPr>
              <w:t>50,898,478.20</w:t>
            </w:r>
            <w:r>
              <w:rPr>
                <w:rFonts w:ascii="Arial Narrow"/>
                <w:sz w:val="20"/>
              </w:rPr>
            </w:r>
          </w:p>
        </w:tc>
      </w:tr>
      <w:tr>
        <w:trPr>
          <w:trHeight w:val="300" w:hRule="exact"/>
        </w:trPr>
        <w:tc>
          <w:tcPr>
            <w:tcW w:w="3944"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color w:val="212121"/>
                <w:sz w:val="21"/>
                <w:szCs w:val="21"/>
              </w:rPr>
              <w:t>支付其他往来款项</w:t>
            </w:r>
            <w:r>
              <w:rPr>
                <w:rFonts w:ascii="宋体" w:hAnsi="宋体" w:cs="宋体" w:eastAsia="宋体" w:hint="default"/>
                <w:sz w:val="21"/>
                <w:szCs w:val="21"/>
              </w:rPr>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3,961,973.13</w:t>
            </w:r>
            <w:r>
              <w:rPr>
                <w:rFonts w:ascii="Arial Narrow"/>
                <w:sz w:val="20"/>
              </w:rPr>
            </w:r>
          </w:p>
        </w:tc>
        <w:tc>
          <w:tcPr>
            <w:tcW w:w="26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7,951,757.60</w:t>
            </w:r>
            <w:r>
              <w:rPr>
                <w:rFonts w:ascii="Arial Narrow"/>
                <w:sz w:val="20"/>
              </w:rPr>
            </w:r>
          </w:p>
        </w:tc>
      </w:tr>
      <w:tr>
        <w:trPr>
          <w:trHeight w:val="307" w:hRule="exact"/>
        </w:trPr>
        <w:tc>
          <w:tcPr>
            <w:tcW w:w="3944"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right="1743"/>
              <w:jc w:val="right"/>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74,790,007.47</w:t>
            </w:r>
            <w:r>
              <w:rPr>
                <w:rFonts w:ascii="Arial Narrow"/>
                <w:sz w:val="20"/>
              </w:rPr>
            </w:r>
          </w:p>
        </w:tc>
        <w:tc>
          <w:tcPr>
            <w:tcW w:w="26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5"/>
                <w:sz w:val="20"/>
              </w:rPr>
              <w:t>85,732,303.84</w:t>
            </w:r>
            <w:r>
              <w:rPr>
                <w:rFonts w:ascii="Arial Narrow"/>
                <w:sz w:val="20"/>
              </w:rPr>
            </w:r>
          </w:p>
        </w:tc>
      </w:tr>
    </w:tbl>
    <w:p>
      <w:pPr>
        <w:spacing w:before="26"/>
        <w:ind w:left="1480" w:right="4107"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35</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78"/>
        <w:ind w:left="1480" w:right="4229"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11"/>
        <w:rPr>
          <w:rFonts w:ascii="宋体" w:hAnsi="宋体" w:cs="宋体" w:eastAsia="宋体" w:hint="default"/>
          <w:sz w:val="11"/>
          <w:szCs w:val="11"/>
        </w:rPr>
      </w:pPr>
    </w:p>
    <w:tbl>
      <w:tblPr>
        <w:tblW w:w="0" w:type="auto"/>
        <w:jc w:val="left"/>
        <w:tblInd w:w="806" w:type="dxa"/>
        <w:tblLayout w:type="fixed"/>
        <w:tblCellMar>
          <w:top w:w="0" w:type="dxa"/>
          <w:left w:w="0" w:type="dxa"/>
          <w:bottom w:w="0" w:type="dxa"/>
          <w:right w:w="0" w:type="dxa"/>
        </w:tblCellMar>
        <w:tblLook w:val="01E0"/>
      </w:tblPr>
      <w:tblGrid>
        <w:gridCol w:w="5091"/>
        <w:gridCol w:w="1860"/>
        <w:gridCol w:w="1860"/>
      </w:tblGrid>
      <w:tr>
        <w:trPr>
          <w:trHeight w:val="392" w:hRule="exact"/>
        </w:trPr>
        <w:tc>
          <w:tcPr>
            <w:tcW w:w="50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50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50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43,073,975.05</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38,681,492.23</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4,072,826.68</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1,530,173.78</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7,579,753.71</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6,668,192.66</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922,466.64</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915,655.16</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509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-77,564.51</w:t>
            </w:r>
            <w:r>
              <w:rPr>
                <w:rFonts w:ascii="Arial Narrow"/>
                <w:sz w:val="20"/>
              </w:rPr>
            </w:r>
          </w:p>
        </w:tc>
        <w:tc>
          <w:tcPr>
            <w:tcW w:w="18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-68,510.00</w:t>
            </w:r>
            <w:r>
              <w:rPr>
                <w:rFonts w:ascii="Arial Narrow"/>
                <w:sz w:val="20"/>
              </w:rPr>
            </w:r>
          </w:p>
        </w:tc>
      </w:tr>
    </w:tbl>
    <w:p>
      <w:pPr>
        <w:spacing w:after="0" w:line="240" w:lineRule="auto"/>
        <w:jc w:val="right"/>
        <w:rPr>
          <w:rFonts w:ascii="Arial Narrow" w:hAnsi="Arial Narrow" w:cs="Arial Narrow" w:eastAsia="Arial Narrow" w:hint="default"/>
          <w:sz w:val="20"/>
          <w:szCs w:val="20"/>
        </w:rPr>
        <w:sectPr>
          <w:footerReference w:type="default" r:id="rId22"/>
          <w:pgSz w:w="11910" w:h="16840"/>
          <w:pgMar w:footer="858" w:header="816" w:top="1160" w:bottom="1040" w:left="720" w:right="720"/>
          <w:pgNumType w:start="110"/>
        </w:sectPr>
      </w:pPr>
    </w:p>
    <w:p>
      <w:pPr>
        <w:spacing w:line="240" w:lineRule="auto" w:before="9"/>
        <w:rPr>
          <w:rFonts w:ascii="宋体" w:hAnsi="宋体" w:cs="宋体" w:eastAsia="宋体"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5091"/>
        <w:gridCol w:w="1860"/>
        <w:gridCol w:w="1860"/>
      </w:tblGrid>
      <w:tr>
        <w:trPr>
          <w:trHeight w:val="392" w:hRule="exact"/>
        </w:trPr>
        <w:tc>
          <w:tcPr>
            <w:tcW w:w="509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501"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50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12,531,276.59</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spacing w:val="-1"/>
                <w:sz w:val="20"/>
              </w:rPr>
              <w:t>14,852,999.42</w:t>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-130,276.00</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spacing w:val="-2"/>
                <w:sz w:val="20"/>
              </w:rPr>
              <w:t>-611,396.96</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-138,973.68</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-144,679,054.47</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-49,729,458.94</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-167,228,404.74</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-28,267,653.73</w:t>
            </w:r>
            <w:r>
              <w:rPr>
                <w:rFonts w:ascii="Arial Narrow"/>
                <w:sz w:val="20"/>
              </w:rPr>
            </w:r>
          </w:p>
        </w:tc>
      </w:tr>
      <w:tr>
        <w:trPr>
          <w:trHeight w:val="385"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Arial Narrow" w:hAnsi="Arial Narrow" w:cs="Arial Narrow" w:eastAsia="Arial Narrow" w:hint="default"/>
                <w:sz w:val="20"/>
                <w:szCs w:val="20"/>
              </w:rPr>
            </w:pPr>
            <w:r>
              <w:rPr>
                <w:rFonts w:ascii="Arial Narrow"/>
                <w:w w:val="95"/>
                <w:sz w:val="20"/>
              </w:rPr>
              <w:t>91,907,794.08</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20"/>
                <w:szCs w:val="20"/>
              </w:rPr>
            </w:pPr>
            <w:r>
              <w:rPr>
                <w:rFonts w:ascii="Arial Narrow"/>
                <w:w w:val="95"/>
                <w:sz w:val="20"/>
              </w:rPr>
              <w:t>31,386,723.16</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9"/>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Arial Narrow" w:hAnsi="Arial Narrow" w:cs="Arial Narrow" w:eastAsia="Arial Narrow" w:hint="default"/>
                <w:sz w:val="20"/>
                <w:szCs w:val="20"/>
              </w:rPr>
            </w:pPr>
            <w:r>
              <w:rPr>
                <w:rFonts w:ascii="Arial Narrow"/>
                <w:w w:val="95"/>
                <w:sz w:val="20"/>
              </w:rPr>
              <w:t>-152,638,603.93</w:t>
            </w:r>
            <w:r>
              <w:rPr>
                <w:rFonts w:ascii="Arial Narrow"/>
                <w:sz w:val="20"/>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5"/>
              <w:jc w:val="right"/>
              <w:rPr>
                <w:rFonts w:ascii="Arial Narrow" w:hAnsi="Arial Narrow" w:cs="Arial Narrow" w:eastAsia="Arial Narrow" w:hint="default"/>
                <w:sz w:val="20"/>
                <w:szCs w:val="20"/>
              </w:rPr>
            </w:pPr>
            <w:r>
              <w:rPr>
                <w:rFonts w:ascii="Arial Narrow"/>
                <w:w w:val="95"/>
                <w:sz w:val="20"/>
              </w:rPr>
              <w:t>15,730,640.06</w:t>
            </w:r>
            <w:r>
              <w:rPr>
                <w:rFonts w:ascii="Arial Narrow"/>
                <w:sz w:val="20"/>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Arial Narrow" w:hAnsi="Arial Narrow" w:cs="Arial Narrow" w:eastAsia="Arial Narrow" w:hint="default"/>
                <w:sz w:val="21"/>
                <w:szCs w:val="21"/>
              </w:rPr>
            </w:pPr>
            <w:r>
              <w:rPr>
                <w:rFonts w:ascii="Arial Narrow"/>
                <w:spacing w:val="-1"/>
                <w:sz w:val="21"/>
              </w:rPr>
              <w:t>173,749,503.86</w:t>
            </w:r>
            <w:r>
              <w:rPr>
                <w:rFonts w:ascii="Arial Narrow"/>
                <w:sz w:val="21"/>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194,271,521.37</w:t>
            </w:r>
            <w:r>
              <w:rPr>
                <w:rFonts w:ascii="Arial Narrow"/>
                <w:sz w:val="21"/>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Arial Narrow" w:hAnsi="Arial Narrow" w:cs="Arial Narrow" w:eastAsia="Arial Narrow" w:hint="default"/>
                <w:sz w:val="21"/>
                <w:szCs w:val="21"/>
              </w:rPr>
            </w:pPr>
            <w:r>
              <w:rPr>
                <w:rFonts w:ascii="Arial Narrow"/>
                <w:spacing w:val="-1"/>
                <w:sz w:val="21"/>
              </w:rPr>
              <w:t>194,271,521.37</w:t>
            </w:r>
            <w:r>
              <w:rPr>
                <w:rFonts w:ascii="Arial Narrow"/>
                <w:sz w:val="21"/>
              </w:rPr>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28,348,377.46</w:t>
            </w:r>
            <w:r>
              <w:rPr>
                <w:rFonts w:ascii="Arial Narrow"/>
                <w:sz w:val="21"/>
              </w:rPr>
            </w: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0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509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9"/>
              <w:jc w:val="right"/>
              <w:rPr>
                <w:rFonts w:ascii="Arial Narrow" w:hAnsi="Arial Narrow" w:cs="Arial Narrow" w:eastAsia="Arial Narrow" w:hint="default"/>
                <w:sz w:val="21"/>
                <w:szCs w:val="21"/>
              </w:rPr>
            </w:pPr>
            <w:r>
              <w:rPr>
                <w:rFonts w:ascii="Arial Narrow"/>
                <w:spacing w:val="-1"/>
                <w:sz w:val="21"/>
              </w:rPr>
              <w:t>-20,522,017.51</w:t>
            </w:r>
            <w:r>
              <w:rPr>
                <w:rFonts w:ascii="Arial Narrow"/>
                <w:sz w:val="21"/>
              </w:rPr>
            </w:r>
          </w:p>
        </w:tc>
        <w:tc>
          <w:tcPr>
            <w:tcW w:w="18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Arial Narrow" w:hAnsi="Arial Narrow" w:cs="Arial Narrow" w:eastAsia="Arial Narrow" w:hint="default"/>
                <w:sz w:val="21"/>
                <w:szCs w:val="21"/>
              </w:rPr>
            </w:pPr>
            <w:r>
              <w:rPr>
                <w:rFonts w:ascii="Arial Narrow"/>
                <w:spacing w:val="-1"/>
                <w:sz w:val="21"/>
              </w:rPr>
              <w:t>165,923,143.91</w:t>
            </w:r>
            <w:r>
              <w:rPr>
                <w:rFonts w:ascii="Arial Narrow"/>
                <w:sz w:val="21"/>
              </w:rPr>
            </w:r>
          </w:p>
        </w:tc>
      </w:tr>
    </w:tbl>
    <w:p>
      <w:pPr>
        <w:spacing w:before="86"/>
        <w:ind w:left="818" w:right="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）现金和现金等价物</w:t>
      </w: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238"/>
        <w:gridCol w:w="1812"/>
        <w:gridCol w:w="1810"/>
      </w:tblGrid>
      <w:tr>
        <w:trPr>
          <w:trHeight w:val="307" w:hRule="exact"/>
        </w:trPr>
        <w:tc>
          <w:tcPr>
            <w:tcW w:w="5238"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2"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47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10"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475"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8"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173,749,503.86</w:t>
            </w:r>
            <w:r>
              <w:rPr>
                <w:rFonts w:ascii="Arial Narrow"/>
                <w:sz w:val="21"/>
              </w:rPr>
            </w:r>
          </w:p>
        </w:tc>
        <w:tc>
          <w:tcPr>
            <w:tcW w:w="1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194,271,521.37</w:t>
            </w:r>
            <w:r>
              <w:rPr>
                <w:rFonts w:ascii="Arial Narrow"/>
                <w:sz w:val="21"/>
              </w:rPr>
            </w:r>
          </w:p>
        </w:tc>
      </w:tr>
      <w:tr>
        <w:trPr>
          <w:trHeight w:val="300"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638,803.77</w:t>
            </w:r>
            <w:r>
              <w:rPr>
                <w:rFonts w:ascii="Arial Narrow"/>
                <w:sz w:val="21"/>
              </w:rPr>
            </w:r>
          </w:p>
        </w:tc>
        <w:tc>
          <w:tcPr>
            <w:tcW w:w="1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660,163.29</w:t>
            </w:r>
            <w:r>
              <w:rPr>
                <w:rFonts w:ascii="Arial Narrow"/>
                <w:sz w:val="21"/>
              </w:rPr>
            </w:r>
          </w:p>
        </w:tc>
      </w:tr>
      <w:tr>
        <w:trPr>
          <w:trHeight w:val="298"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75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Arial Narrow" w:hAnsi="Arial Narrow" w:cs="Arial Narrow" w:eastAsia="Arial Narrow" w:hint="default"/>
                <w:sz w:val="21"/>
                <w:szCs w:val="21"/>
              </w:rPr>
            </w:pPr>
            <w:r>
              <w:rPr>
                <w:rFonts w:ascii="Arial Narrow"/>
                <w:spacing w:val="-2"/>
                <w:sz w:val="21"/>
              </w:rPr>
              <w:t>173,110,700.09</w:t>
            </w:r>
          </w:p>
        </w:tc>
        <w:tc>
          <w:tcPr>
            <w:tcW w:w="18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2"/>
              <w:jc w:val="right"/>
              <w:rPr>
                <w:rFonts w:ascii="Arial Narrow" w:hAnsi="Arial Narrow" w:cs="Arial Narrow" w:eastAsia="Arial Narrow" w:hint="default"/>
                <w:sz w:val="21"/>
                <w:szCs w:val="21"/>
              </w:rPr>
            </w:pPr>
            <w:r>
              <w:rPr>
                <w:rFonts w:ascii="Arial Narrow"/>
                <w:spacing w:val="-2"/>
                <w:sz w:val="21"/>
              </w:rPr>
              <w:t>193,611,358.08</w:t>
            </w:r>
          </w:p>
        </w:tc>
      </w:tr>
      <w:tr>
        <w:trPr>
          <w:trHeight w:val="300"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75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1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nil" w:sz="6" w:space="0" w:color="auto"/>
            </w:tcBorders>
          </w:tcPr>
          <w:p>
            <w:pPr/>
          </w:p>
        </w:tc>
      </w:tr>
      <w:tr>
        <w:trPr>
          <w:trHeight w:val="301"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1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5238"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12"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5238"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8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6"/>
              <w:jc w:val="right"/>
              <w:rPr>
                <w:rFonts w:ascii="Arial Narrow" w:hAnsi="Arial Narrow" w:cs="Arial Narrow" w:eastAsia="Arial Narrow" w:hint="default"/>
                <w:sz w:val="21"/>
                <w:szCs w:val="21"/>
              </w:rPr>
            </w:pPr>
            <w:r>
              <w:rPr>
                <w:rFonts w:ascii="Arial Narrow"/>
                <w:spacing w:val="-1"/>
                <w:sz w:val="21"/>
              </w:rPr>
              <w:t>173,749,503.86</w:t>
            </w:r>
            <w:r>
              <w:rPr>
                <w:rFonts w:ascii="Arial Narrow"/>
                <w:sz w:val="21"/>
              </w:rPr>
            </w:r>
          </w:p>
        </w:tc>
        <w:tc>
          <w:tcPr>
            <w:tcW w:w="18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3"/>
              <w:jc w:val="right"/>
              <w:rPr>
                <w:rFonts w:ascii="Arial Narrow" w:hAnsi="Arial Narrow" w:cs="Arial Narrow" w:eastAsia="Arial Narrow" w:hint="default"/>
                <w:sz w:val="21"/>
                <w:szCs w:val="21"/>
              </w:rPr>
            </w:pPr>
            <w:r>
              <w:rPr>
                <w:rFonts w:ascii="Arial Narrow"/>
                <w:spacing w:val="-1"/>
                <w:sz w:val="21"/>
              </w:rPr>
              <w:t>194,271,521.37</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961" w:right="283" w:firstLine="0"/>
        <w:jc w:val="left"/>
        <w:rPr>
          <w:rFonts w:ascii="宋体" w:hAnsi="宋体" w:cs="宋体" w:eastAsia="宋体" w:hint="default"/>
          <w:sz w:val="21"/>
          <w:szCs w:val="21"/>
        </w:rPr>
      </w:pPr>
      <w:r>
        <w:rPr>
          <w:rFonts w:ascii="宋体" w:hAnsi="宋体" w:cs="宋体" w:eastAsia="宋体" w:hint="default"/>
          <w:b/>
          <w:bCs/>
          <w:sz w:val="21"/>
          <w:szCs w:val="21"/>
        </w:rPr>
        <w:t>（二）母公司财务报表主要项目注释</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920" w:right="4603" w:firstLine="0"/>
        <w:jc w:val="center"/>
        <w:rPr>
          <w:rFonts w:ascii="宋体" w:hAnsi="宋体" w:cs="宋体" w:eastAsia="宋体" w:hint="default"/>
          <w:sz w:val="21"/>
          <w:szCs w:val="21"/>
        </w:rPr>
      </w:pPr>
      <w:r>
        <w:rPr>
          <w:rFonts w:ascii="Arial Narrow" w:hAnsi="Arial Narrow" w:cs="Arial Narrow" w:eastAsia="Arial Narrow" w:hint="default"/>
          <w:b/>
          <w:bCs/>
          <w:sz w:val="21"/>
          <w:szCs w:val="21"/>
        </w:rPr>
        <w:t>36</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78"/>
        <w:ind w:left="921" w:right="2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）应收账款按类别列示如下：</w:t>
      </w:r>
    </w:p>
    <w:p>
      <w:pPr>
        <w:spacing w:after="0"/>
        <w:jc w:val="left"/>
        <w:rPr>
          <w:rFonts w:ascii="宋体" w:hAnsi="宋体" w:cs="宋体" w:eastAsia="宋体" w:hint="default"/>
          <w:sz w:val="21"/>
          <w:szCs w:val="21"/>
        </w:rPr>
        <w:sectPr>
          <w:pgSz w:w="11910" w:h="16840"/>
          <w:pgMar w:header="816" w:footer="858" w:top="1160" w:bottom="1040" w:left="1400" w:right="1400"/>
        </w:sectPr>
      </w:pPr>
    </w:p>
    <w:p>
      <w:pPr>
        <w:spacing w:line="240" w:lineRule="auto" w:before="9"/>
        <w:rPr>
          <w:rFonts w:ascii="宋体" w:hAnsi="宋体" w:cs="宋体" w:eastAsia="宋体" w:hint="default"/>
          <w:sz w:val="19"/>
          <w:szCs w:val="19"/>
        </w:rPr>
      </w:pPr>
    </w:p>
    <w:tbl>
      <w:tblPr>
        <w:tblW w:w="0" w:type="auto"/>
        <w:jc w:val="left"/>
        <w:tblInd w:w="588" w:type="dxa"/>
        <w:tblLayout w:type="fixed"/>
        <w:tblCellMar>
          <w:top w:w="0" w:type="dxa"/>
          <w:left w:w="0" w:type="dxa"/>
          <w:bottom w:w="0" w:type="dxa"/>
          <w:right w:w="0" w:type="dxa"/>
        </w:tblCellMar>
        <w:tblLook w:val="01E0"/>
      </w:tblPr>
      <w:tblGrid>
        <w:gridCol w:w="2926"/>
        <w:gridCol w:w="1579"/>
        <w:gridCol w:w="843"/>
        <w:gridCol w:w="1250"/>
        <w:gridCol w:w="796"/>
        <w:gridCol w:w="1376"/>
      </w:tblGrid>
      <w:tr>
        <w:trPr>
          <w:trHeight w:val="363" w:hRule="exact"/>
        </w:trPr>
        <w:tc>
          <w:tcPr>
            <w:tcW w:w="292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45"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926" w:type="dxa"/>
            <w:vMerge/>
            <w:tcBorders>
              <w:left w:val="nil" w:sz="6" w:space="0" w:color="auto"/>
              <w:right w:val="single" w:sz="6" w:space="0" w:color="000000"/>
            </w:tcBorders>
          </w:tcPr>
          <w:p>
            <w:pPr/>
          </w:p>
        </w:tc>
        <w:tc>
          <w:tcPr>
            <w:tcW w:w="24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0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833" w:hRule="exact"/>
        </w:trPr>
        <w:tc>
          <w:tcPr>
            <w:tcW w:w="2926" w:type="dxa"/>
            <w:vMerge/>
            <w:tcBorders>
              <w:left w:val="nil" w:sz="6" w:space="0" w:color="auto"/>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20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2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76" w:type="dxa"/>
            <w:vMerge/>
            <w:tcBorders>
              <w:left w:val="single" w:sz="6" w:space="0" w:color="000000"/>
              <w:bottom w:val="single" w:sz="6" w:space="0" w:color="000000"/>
              <w:right w:val="nil" w:sz="6" w:space="0" w:color="auto"/>
            </w:tcBorders>
          </w:tcPr>
          <w:p>
            <w:pP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4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按帐龄组合计提坏账准备的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287,981,089.40</w:t>
            </w:r>
            <w:r>
              <w:rPr>
                <w:rFonts w:ascii="Arial Narrow"/>
                <w:sz w:val="20"/>
              </w:rPr>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100</w:t>
            </w:r>
            <w:r>
              <w:rPr>
                <w:rFonts w:ascii="Arial Narrow"/>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72" w:right="0"/>
              <w:jc w:val="center"/>
              <w:rPr>
                <w:rFonts w:ascii="Arial Narrow" w:hAnsi="Arial Narrow" w:cs="Arial Narrow" w:eastAsia="Arial Narrow" w:hint="default"/>
                <w:sz w:val="20"/>
                <w:szCs w:val="20"/>
              </w:rPr>
            </w:pPr>
            <w:r>
              <w:rPr>
                <w:rFonts w:ascii="Arial Narrow"/>
                <w:sz w:val="20"/>
              </w:rPr>
              <w:t>9,390,426.54</w:t>
            </w: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3"/>
              <w:jc w:val="center"/>
              <w:rPr>
                <w:rFonts w:ascii="Arial Narrow" w:hAnsi="Arial Narrow" w:cs="Arial Narrow" w:eastAsia="Arial Narrow" w:hint="default"/>
                <w:sz w:val="20"/>
                <w:szCs w:val="20"/>
              </w:rPr>
            </w:pPr>
            <w:r>
              <w:rPr>
                <w:rFonts w:ascii="Arial Narrow"/>
                <w:sz w:val="20"/>
              </w:rPr>
              <w:t>278,590,662.86</w:t>
            </w: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4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tabs>
                <w:tab w:pos="445" w:val="left" w:leader="none"/>
              </w:tabs>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287,981,089.40</w:t>
            </w:r>
            <w:r>
              <w:rPr>
                <w:rFonts w:ascii="Arial Narrow"/>
                <w:sz w:val="20"/>
              </w:rPr>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100</w:t>
            </w:r>
            <w:r>
              <w:rPr>
                <w:rFonts w:ascii="Arial Narrow"/>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72" w:right="0"/>
              <w:jc w:val="center"/>
              <w:rPr>
                <w:rFonts w:ascii="Arial Narrow" w:hAnsi="Arial Narrow" w:cs="Arial Narrow" w:eastAsia="Arial Narrow" w:hint="default"/>
                <w:sz w:val="20"/>
                <w:szCs w:val="20"/>
              </w:rPr>
            </w:pPr>
            <w:r>
              <w:rPr>
                <w:rFonts w:ascii="Arial Narrow"/>
                <w:sz w:val="20"/>
              </w:rPr>
              <w:t>9,390,426.54</w:t>
            </w: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3"/>
              <w:jc w:val="center"/>
              <w:rPr>
                <w:rFonts w:ascii="Arial Narrow" w:hAnsi="Arial Narrow" w:cs="Arial Narrow" w:eastAsia="Arial Narrow" w:hint="default"/>
                <w:sz w:val="20"/>
                <w:szCs w:val="20"/>
              </w:rPr>
            </w:pPr>
            <w:r>
              <w:rPr>
                <w:rFonts w:ascii="Arial Narrow"/>
                <w:sz w:val="20"/>
              </w:rPr>
              <w:t>278,590,662.86</w:t>
            </w:r>
          </w:p>
        </w:tc>
      </w:tr>
      <w:tr>
        <w:trPr>
          <w:trHeight w:val="356" w:hRule="exact"/>
        </w:trPr>
        <w:tc>
          <w:tcPr>
            <w:tcW w:w="292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45"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26" w:type="dxa"/>
            <w:vMerge/>
            <w:tcBorders>
              <w:left w:val="nil" w:sz="6" w:space="0" w:color="auto"/>
              <w:right w:val="single" w:sz="6" w:space="0" w:color="000000"/>
            </w:tcBorders>
          </w:tcPr>
          <w:p>
            <w:pPr/>
          </w:p>
        </w:tc>
        <w:tc>
          <w:tcPr>
            <w:tcW w:w="24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047" w:type="dxa"/>
            <w:gridSpan w:val="2"/>
            <w:tcBorders>
              <w:top w:val="single" w:sz="6" w:space="0" w:color="000000"/>
              <w:left w:val="single" w:sz="6" w:space="0" w:color="000000"/>
              <w:bottom w:val="single" w:sz="6" w:space="0" w:color="000000"/>
              <w:right w:val="single" w:sz="7" w:space="0" w:color="000000"/>
            </w:tcBorders>
          </w:tcPr>
          <w:p>
            <w:pPr>
              <w:pStyle w:val="TableParagraph"/>
              <w:spacing w:line="274" w:lineRule="exact"/>
              <w:ind w:left="5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76" w:type="dxa"/>
            <w:tcBorders>
              <w:top w:val="single" w:sz="6" w:space="0" w:color="000000"/>
              <w:left w:val="single" w:sz="7"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833" w:hRule="exact"/>
        </w:trPr>
        <w:tc>
          <w:tcPr>
            <w:tcW w:w="2926" w:type="dxa"/>
            <w:vMerge/>
            <w:tcBorders>
              <w:left w:val="nil" w:sz="6" w:space="0" w:color="auto"/>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20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2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4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按帐龄组合计提坏账准备的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spacing w:val="-1"/>
                <w:w w:val="95"/>
                <w:sz w:val="20"/>
              </w:rPr>
              <w:t>128,113,888.10</w:t>
            </w:r>
            <w:r>
              <w:rPr>
                <w:rFonts w:ascii="Arial Narrow"/>
                <w:spacing w:val="-1"/>
                <w:sz w:val="20"/>
              </w:rPr>
            </w:r>
          </w:p>
        </w:tc>
        <w:tc>
          <w:tcPr>
            <w:tcW w:w="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72" w:right="0"/>
              <w:jc w:val="center"/>
              <w:rPr>
                <w:rFonts w:ascii="Arial Narrow" w:hAnsi="Arial Narrow" w:cs="Arial Narrow" w:eastAsia="Arial Narrow" w:hint="default"/>
                <w:sz w:val="20"/>
                <w:szCs w:val="20"/>
              </w:rPr>
            </w:pPr>
            <w:r>
              <w:rPr>
                <w:rFonts w:ascii="Arial Narrow"/>
                <w:sz w:val="20"/>
              </w:rPr>
              <w:t>5,424,428.46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4.23</w:t>
            </w:r>
            <w:r>
              <w:rPr>
                <w:rFonts w:ascii="Arial Narrow"/>
                <w:sz w:val="21"/>
              </w:rPr>
            </w: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3"/>
              <w:jc w:val="center"/>
              <w:rPr>
                <w:rFonts w:ascii="Arial Narrow" w:hAnsi="Arial Narrow" w:cs="Arial Narrow" w:eastAsia="Arial Narrow" w:hint="default"/>
                <w:sz w:val="20"/>
                <w:szCs w:val="20"/>
              </w:rPr>
            </w:pPr>
            <w:r>
              <w:rPr>
                <w:rFonts w:ascii="Arial Narrow"/>
                <w:sz w:val="20"/>
              </w:rPr>
              <w:t>122,689,459.64</w:t>
            </w:r>
          </w:p>
        </w:tc>
      </w:tr>
      <w:tr>
        <w:trPr>
          <w:trHeight w:val="559" w:hRule="exact"/>
        </w:trPr>
        <w:tc>
          <w:tcPr>
            <w:tcW w:w="2926"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79" w:type="dxa"/>
            <w:tcBorders>
              <w:top w:val="single" w:sz="6" w:space="0" w:color="000000"/>
              <w:left w:val="single" w:sz="6" w:space="0" w:color="000000"/>
              <w:bottom w:val="single" w:sz="6" w:space="0" w:color="000000"/>
              <w:right w:val="single" w:sz="6" w:space="0" w:color="000000"/>
            </w:tcBorders>
          </w:tcPr>
          <w:p>
            <w:pPr/>
          </w:p>
        </w:tc>
        <w:tc>
          <w:tcPr>
            <w:tcW w:w="843"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926"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spacing w:val="-1"/>
                <w:w w:val="95"/>
                <w:sz w:val="20"/>
              </w:rPr>
              <w:t>128,113,888.10</w:t>
            </w:r>
            <w:r>
              <w:rPr>
                <w:rFonts w:ascii="Arial Narrow"/>
                <w:spacing w:val="-1"/>
                <w:sz w:val="20"/>
              </w:rPr>
            </w:r>
          </w:p>
        </w:tc>
        <w:tc>
          <w:tcPr>
            <w:tcW w:w="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72" w:right="0"/>
              <w:jc w:val="center"/>
              <w:rPr>
                <w:rFonts w:ascii="Arial Narrow" w:hAnsi="Arial Narrow" w:cs="Arial Narrow" w:eastAsia="Arial Narrow" w:hint="default"/>
                <w:sz w:val="20"/>
                <w:szCs w:val="20"/>
              </w:rPr>
            </w:pPr>
            <w:r>
              <w:rPr>
                <w:rFonts w:ascii="Arial Narrow"/>
                <w:sz w:val="20"/>
              </w:rPr>
              <w:t>5,424,428.46</w:t>
            </w:r>
          </w:p>
        </w:tc>
        <w:tc>
          <w:tcPr>
            <w:tcW w:w="7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5"/>
              <w:jc w:val="right"/>
              <w:rPr>
                <w:rFonts w:ascii="Arial Narrow" w:hAnsi="Arial Narrow" w:cs="Arial Narrow" w:eastAsia="Arial Narrow" w:hint="default"/>
                <w:sz w:val="21"/>
                <w:szCs w:val="21"/>
              </w:rPr>
            </w:pPr>
            <w:r>
              <w:rPr>
                <w:rFonts w:ascii="Arial Narrow"/>
                <w:spacing w:val="-1"/>
                <w:sz w:val="21"/>
              </w:rPr>
              <w:t>4.23</w:t>
            </w:r>
            <w:r>
              <w:rPr>
                <w:rFonts w:ascii="Arial Narrow"/>
                <w:sz w:val="21"/>
              </w:rPr>
            </w:r>
          </w:p>
        </w:tc>
        <w:tc>
          <w:tcPr>
            <w:tcW w:w="13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3"/>
              <w:jc w:val="center"/>
              <w:rPr>
                <w:rFonts w:ascii="Arial Narrow" w:hAnsi="Arial Narrow" w:cs="Arial Narrow" w:eastAsia="Arial Narrow" w:hint="default"/>
                <w:sz w:val="20"/>
                <w:szCs w:val="20"/>
              </w:rPr>
            </w:pPr>
            <w:r>
              <w:rPr>
                <w:rFonts w:ascii="Arial Narrow"/>
                <w:sz w:val="20"/>
              </w:rPr>
              <w:t>122,689,459.64</w:t>
            </w:r>
          </w:p>
        </w:tc>
      </w:tr>
    </w:tbl>
    <w:p>
      <w:pPr>
        <w:spacing w:before="86"/>
        <w:ind w:left="12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）应收账款按账龄分析列示如下：</w:t>
      </w:r>
    </w:p>
    <w:p>
      <w:pPr>
        <w:spacing w:line="240" w:lineRule="auto" w:before="9"/>
        <w:rPr>
          <w:rFonts w:ascii="宋体" w:hAnsi="宋体" w:cs="宋体" w:eastAsia="宋体" w:hint="default"/>
          <w:sz w:val="11"/>
          <w:szCs w:val="11"/>
        </w:rPr>
      </w:pPr>
    </w:p>
    <w:tbl>
      <w:tblPr>
        <w:tblW w:w="0" w:type="auto"/>
        <w:jc w:val="left"/>
        <w:tblInd w:w="701" w:type="dxa"/>
        <w:tblLayout w:type="fixed"/>
        <w:tblCellMar>
          <w:top w:w="0" w:type="dxa"/>
          <w:left w:w="0" w:type="dxa"/>
          <w:bottom w:w="0" w:type="dxa"/>
          <w:right w:w="0" w:type="dxa"/>
        </w:tblCellMar>
        <w:tblLook w:val="01E0"/>
      </w:tblPr>
      <w:tblGrid>
        <w:gridCol w:w="2103"/>
        <w:gridCol w:w="1980"/>
        <w:gridCol w:w="1080"/>
        <w:gridCol w:w="1800"/>
        <w:gridCol w:w="1981"/>
      </w:tblGrid>
      <w:tr>
        <w:trPr>
          <w:trHeight w:val="362" w:hRule="exact"/>
        </w:trPr>
        <w:tc>
          <w:tcPr>
            <w:tcW w:w="2103" w:type="dxa"/>
            <w:vMerge w:val="restart"/>
            <w:tcBorders>
              <w:top w:val="single" w:sz="12" w:space="0" w:color="000000"/>
              <w:left w:val="nil" w:sz="6" w:space="0" w:color="auto"/>
              <w:right w:val="single" w:sz="6" w:space="0" w:color="000000"/>
            </w:tcBorders>
          </w:tcPr>
          <w:p>
            <w:pPr>
              <w:pStyle w:val="TableParagraph"/>
              <w:spacing w:line="240" w:lineRule="auto" w:before="177"/>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1"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left="775"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279,321,190.30</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96.99</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8,379,635.71</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270,941,554.59</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7,774,645.93</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2.70</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777,464.59</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6,997,181.34</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697,667.84</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0.24</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139,533.57</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558,134.27</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187,585.33</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0.07</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93,792.67</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93,792.66</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287,981,089.40</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9,390,426.54</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278,590,662.86</w:t>
            </w:r>
            <w:r>
              <w:rPr>
                <w:rFonts w:ascii="Arial Narrow"/>
                <w:sz w:val="20"/>
              </w:rPr>
            </w:r>
          </w:p>
        </w:tc>
      </w:tr>
      <w:tr>
        <w:trPr>
          <w:trHeight w:val="353" w:hRule="exact"/>
        </w:trPr>
        <w:tc>
          <w:tcPr>
            <w:tcW w:w="2103" w:type="dxa"/>
            <w:vMerge w:val="restart"/>
            <w:tcBorders>
              <w:top w:val="single" w:sz="6" w:space="0" w:color="000000"/>
              <w:left w:val="nil" w:sz="6" w:space="0" w:color="auto"/>
              <w:right w:val="single" w:sz="6" w:space="0" w:color="000000"/>
            </w:tcBorders>
          </w:tcPr>
          <w:p>
            <w:pPr>
              <w:pStyle w:val="TableParagraph"/>
              <w:spacing w:line="240" w:lineRule="auto" w:before="177"/>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1"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
              <w:ind w:left="775" w:right="0"/>
              <w:jc w:val="left"/>
              <w:rPr>
                <w:rFonts w:ascii="宋体" w:hAnsi="宋体" w:cs="宋体" w:eastAsia="宋体" w:hint="default"/>
                <w:sz w:val="21"/>
                <w:szCs w:val="21"/>
              </w:rPr>
            </w:pPr>
            <w:r>
              <w:rPr>
                <w:rFonts w:ascii="宋体" w:hAnsi="宋体" w:cs="宋体" w:eastAsia="宋体" w:hint="default"/>
                <w:sz w:val="21"/>
                <w:szCs w:val="21"/>
              </w:rPr>
              <w:t>净额</w:t>
            </w:r>
          </w:p>
        </w:tc>
      </w:tr>
      <w:tr>
        <w:trPr>
          <w:trHeight w:val="356"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Narrow" w:hAnsi="Arial Narrow" w:cs="Arial Narrow" w:eastAsia="Arial Narrow" w:hint="default"/>
                <w:sz w:val="20"/>
                <w:szCs w:val="20"/>
              </w:rPr>
            </w:pPr>
            <w:r>
              <w:rPr>
                <w:rFonts w:ascii="Arial Narrow"/>
                <w:w w:val="95"/>
                <w:sz w:val="20"/>
              </w:rPr>
              <w:t>109,666,142.56</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Narrow" w:hAnsi="Arial Narrow" w:cs="Arial Narrow" w:eastAsia="Arial Narrow" w:hint="default"/>
                <w:sz w:val="20"/>
                <w:szCs w:val="20"/>
              </w:rPr>
            </w:pPr>
            <w:r>
              <w:rPr>
                <w:rFonts w:ascii="Arial Narrow"/>
                <w:w w:val="95"/>
                <w:sz w:val="20"/>
              </w:rPr>
              <w:t>85.60</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0"/>
              <w:jc w:val="right"/>
              <w:rPr>
                <w:rFonts w:ascii="Arial Narrow" w:hAnsi="Arial Narrow" w:cs="Arial Narrow" w:eastAsia="Arial Narrow" w:hint="default"/>
                <w:sz w:val="20"/>
                <w:szCs w:val="20"/>
              </w:rPr>
            </w:pPr>
            <w:r>
              <w:rPr>
                <w:rFonts w:ascii="Arial Narrow"/>
                <w:w w:val="95"/>
                <w:sz w:val="20"/>
              </w:rPr>
              <w:t>3,234,364.28</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0"/>
                <w:szCs w:val="20"/>
              </w:rPr>
            </w:pPr>
            <w:r>
              <w:rPr>
                <w:rFonts w:ascii="Arial Narrow"/>
                <w:w w:val="95"/>
                <w:sz w:val="20"/>
              </w:rPr>
              <w:t>106,431,778.28</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17,132,854.92</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13.37</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1,713,285.49</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15,419,569.43</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602,222.09</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0.47</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120,444.42</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481,777.67</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712,668.53</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0.56</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356,334.27</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356,334.26</w:t>
            </w:r>
            <w:r>
              <w:rPr>
                <w:rFonts w:ascii="Arial Narrow"/>
                <w:sz w:val="20"/>
              </w:rPr>
            </w:r>
          </w:p>
        </w:tc>
      </w:tr>
      <w:tr>
        <w:trPr>
          <w:trHeight w:val="362" w:hRule="exact"/>
        </w:trPr>
        <w:tc>
          <w:tcPr>
            <w:tcW w:w="2103"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spacing w:val="-1"/>
                <w:w w:val="95"/>
                <w:sz w:val="20"/>
              </w:rPr>
              <w:t>128,113,888.10</w:t>
            </w:r>
            <w:r>
              <w:rPr>
                <w:rFonts w:ascii="Arial Narrow"/>
                <w:spacing w:val="-1"/>
                <w:sz w:val="20"/>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5,424,428.46</w:t>
            </w:r>
            <w:r>
              <w:rPr>
                <w:rFonts w:ascii="Arial Narrow"/>
                <w:sz w:val="20"/>
              </w:rPr>
            </w:r>
          </w:p>
        </w:tc>
        <w:tc>
          <w:tcPr>
            <w:tcW w:w="198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122,689,459.64</w:t>
            </w:r>
            <w:r>
              <w:rPr>
                <w:rFonts w:ascii="Arial Narrow"/>
                <w:sz w:val="20"/>
              </w:rPr>
            </w:r>
          </w:p>
        </w:tc>
      </w:tr>
    </w:tbl>
    <w:p>
      <w:pPr>
        <w:spacing w:before="86"/>
        <w:ind w:left="12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）年末应收账款前五名单位列示如下：</w:t>
      </w:r>
    </w:p>
    <w:p>
      <w:pPr>
        <w:spacing w:line="240" w:lineRule="auto" w:before="11"/>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4251"/>
        <w:gridCol w:w="1203"/>
        <w:gridCol w:w="1500"/>
        <w:gridCol w:w="1237"/>
        <w:gridCol w:w="1531"/>
      </w:tblGrid>
      <w:tr>
        <w:trPr>
          <w:trHeight w:val="576" w:hRule="exact"/>
        </w:trPr>
        <w:tc>
          <w:tcPr>
            <w:tcW w:w="425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03"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31"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100" w:right="0" w:firstLine="26"/>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bl>
    <w:p>
      <w:pPr>
        <w:spacing w:after="0" w:line="289" w:lineRule="exact"/>
        <w:jc w:val="left"/>
        <w:rPr>
          <w:rFonts w:ascii="宋体" w:hAnsi="宋体" w:cs="宋体" w:eastAsia="宋体" w:hint="default"/>
          <w:sz w:val="21"/>
          <w:szCs w:val="21"/>
        </w:rPr>
        <w:sectPr>
          <w:pgSz w:w="11910" w:h="16840"/>
          <w:pgMar w:header="816" w:footer="858" w:top="1160" w:bottom="1040" w:left="960" w:right="960"/>
        </w:sectPr>
      </w:pP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4251"/>
        <w:gridCol w:w="1203"/>
        <w:gridCol w:w="1500"/>
        <w:gridCol w:w="1237"/>
        <w:gridCol w:w="1531"/>
      </w:tblGrid>
      <w:tr>
        <w:trPr>
          <w:trHeight w:val="307" w:hRule="exact"/>
        </w:trPr>
        <w:tc>
          <w:tcPr>
            <w:tcW w:w="4251" w:type="dxa"/>
            <w:tcBorders>
              <w:top w:val="single" w:sz="12" w:space="0" w:color="000000"/>
              <w:left w:val="nil" w:sz="6" w:space="0" w:color="auto"/>
              <w:bottom w:val="single" w:sz="6" w:space="0" w:color="000000"/>
              <w:right w:val="single" w:sz="6" w:space="0" w:color="000000"/>
            </w:tcBorders>
          </w:tcPr>
          <w:p>
            <w:pPr>
              <w:pStyle w:val="TableParagraph"/>
              <w:spacing w:line="253" w:lineRule="exact"/>
              <w:ind w:left="120" w:right="0"/>
              <w:jc w:val="left"/>
              <w:rPr>
                <w:rFonts w:ascii="宋体" w:hAnsi="宋体" w:cs="宋体" w:eastAsia="宋体" w:hint="default"/>
                <w:sz w:val="21"/>
                <w:szCs w:val="21"/>
              </w:rPr>
            </w:pPr>
            <w:r>
              <w:rPr>
                <w:rFonts w:ascii="宋体" w:hAnsi="宋体" w:cs="宋体" w:eastAsia="宋体" w:hint="default"/>
                <w:spacing w:val="-42"/>
                <w:sz w:val="21"/>
                <w:szCs w:val="21"/>
              </w:rPr>
              <w:t>中铁电气化局京沪高铁电气化项目分部第一工区</w:t>
            </w:r>
            <w:r>
              <w:rPr>
                <w:rFonts w:ascii="宋体" w:hAnsi="宋体" w:cs="宋体" w:eastAsia="宋体" w:hint="default"/>
                <w:sz w:val="21"/>
                <w:szCs w:val="21"/>
              </w:rPr>
            </w:r>
          </w:p>
        </w:tc>
        <w:tc>
          <w:tcPr>
            <w:tcW w:w="1203"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44,326,570.20</w:t>
            </w:r>
            <w:r>
              <w:rPr>
                <w:rFonts w:ascii="Arial Narrow"/>
                <w:sz w:val="20"/>
              </w:rPr>
            </w:r>
          </w:p>
        </w:tc>
        <w:tc>
          <w:tcPr>
            <w:tcW w:w="1237"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15.39</w:t>
            </w:r>
            <w:r>
              <w:rPr>
                <w:rFonts w:ascii="Arial Narrow"/>
                <w:sz w:val="20"/>
              </w:rPr>
            </w:r>
          </w:p>
        </w:tc>
      </w:tr>
      <w:tr>
        <w:trPr>
          <w:trHeight w:val="298"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0" w:right="0"/>
              <w:jc w:val="left"/>
              <w:rPr>
                <w:rFonts w:ascii="宋体" w:hAnsi="宋体" w:cs="宋体" w:eastAsia="宋体" w:hint="default"/>
                <w:sz w:val="21"/>
                <w:szCs w:val="21"/>
              </w:rPr>
            </w:pPr>
            <w:r>
              <w:rPr>
                <w:rFonts w:ascii="宋体" w:hAnsi="宋体" w:cs="宋体" w:eastAsia="宋体" w:hint="default"/>
                <w:sz w:val="21"/>
                <w:szCs w:val="21"/>
              </w:rPr>
              <w:t>久泰能源内蒙古有限公司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15,937,639.84</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5.53</w:t>
            </w:r>
            <w:r>
              <w:rPr>
                <w:rFonts w:ascii="Arial Narrow"/>
                <w:sz w:val="20"/>
              </w:rPr>
            </w:r>
          </w:p>
        </w:tc>
      </w:tr>
      <w:tr>
        <w:trPr>
          <w:trHeight w:val="300"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0" w:right="0"/>
              <w:jc w:val="left"/>
              <w:rPr>
                <w:rFonts w:ascii="宋体" w:hAnsi="宋体" w:cs="宋体" w:eastAsia="宋体" w:hint="default"/>
                <w:sz w:val="21"/>
                <w:szCs w:val="21"/>
              </w:rPr>
            </w:pPr>
            <w:r>
              <w:rPr>
                <w:rFonts w:ascii="宋体" w:hAnsi="宋体" w:cs="宋体" w:eastAsia="宋体" w:hint="default"/>
                <w:sz w:val="21"/>
                <w:szCs w:val="21"/>
              </w:rPr>
              <w:t>山东埕口盐化有限责任公司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9,242,975.27</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3.21</w:t>
            </w:r>
            <w:r>
              <w:rPr>
                <w:rFonts w:ascii="Arial Narrow"/>
                <w:sz w:val="20"/>
              </w:rPr>
            </w:r>
          </w:p>
        </w:tc>
      </w:tr>
      <w:tr>
        <w:trPr>
          <w:trHeight w:val="298"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0" w:right="0"/>
              <w:jc w:val="left"/>
              <w:rPr>
                <w:rFonts w:ascii="宋体" w:hAnsi="宋体" w:cs="宋体" w:eastAsia="宋体" w:hint="default"/>
                <w:sz w:val="21"/>
                <w:szCs w:val="21"/>
              </w:rPr>
            </w:pPr>
            <w:r>
              <w:rPr>
                <w:rFonts w:ascii="宋体" w:hAnsi="宋体" w:cs="宋体" w:eastAsia="宋体" w:hint="default"/>
                <w:sz w:val="21"/>
                <w:szCs w:val="21"/>
              </w:rPr>
              <w:t>河北华电石家庄鹿华热电有限公司</w:t>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8,654,100.00</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8"/>
              <w:jc w:val="right"/>
              <w:rPr>
                <w:rFonts w:ascii="Arial Narrow" w:hAnsi="Arial Narrow" w:cs="Arial Narrow" w:eastAsia="Arial Narrow" w:hint="default"/>
                <w:sz w:val="20"/>
                <w:szCs w:val="20"/>
              </w:rPr>
            </w:pPr>
            <w:r>
              <w:rPr>
                <w:rFonts w:ascii="Arial Narrow"/>
                <w:w w:val="95"/>
                <w:sz w:val="20"/>
              </w:rPr>
              <w:t>3.01</w:t>
            </w:r>
            <w:r>
              <w:rPr>
                <w:rFonts w:ascii="Arial Narrow"/>
                <w:sz w:val="20"/>
              </w:rPr>
            </w:r>
          </w:p>
        </w:tc>
      </w:tr>
      <w:tr>
        <w:trPr>
          <w:trHeight w:val="300" w:hRule="exact"/>
        </w:trPr>
        <w:tc>
          <w:tcPr>
            <w:tcW w:w="4251"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spacing w:val="-42"/>
                <w:sz w:val="21"/>
                <w:szCs w:val="21"/>
              </w:rPr>
              <w:t>中铁电气化局集团海南东环铁路系统集成项目经理部</w:t>
            </w:r>
            <w:r>
              <w:rPr>
                <w:rFonts w:ascii="宋体" w:hAnsi="宋体" w:cs="宋体" w:eastAsia="宋体" w:hint="default"/>
                <w:sz w:val="21"/>
                <w:szCs w:val="21"/>
              </w:rPr>
            </w:r>
          </w:p>
        </w:tc>
        <w:tc>
          <w:tcPr>
            <w:tcW w:w="120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8,368,374.00</w:t>
            </w:r>
            <w:r>
              <w:rPr>
                <w:rFonts w:ascii="Arial Narrow"/>
                <w:sz w:val="20"/>
              </w:rPr>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53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2.91</w:t>
            </w:r>
            <w:r>
              <w:rPr>
                <w:rFonts w:ascii="Arial Narrow"/>
                <w:sz w:val="20"/>
              </w:rPr>
            </w:r>
          </w:p>
        </w:tc>
      </w:tr>
      <w:tr>
        <w:trPr>
          <w:trHeight w:val="307" w:hRule="exact"/>
        </w:trPr>
        <w:tc>
          <w:tcPr>
            <w:tcW w:w="4251"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8"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03" w:type="dxa"/>
            <w:tcBorders>
              <w:top w:val="single" w:sz="6" w:space="0" w:color="000000"/>
              <w:left w:val="single" w:sz="6" w:space="0" w:color="000000"/>
              <w:bottom w:val="single" w:sz="12" w:space="0" w:color="000000"/>
              <w:right w:val="single" w:sz="6" w:space="0" w:color="000000"/>
            </w:tcBorders>
          </w:tcPr>
          <w:p>
            <w:pP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86,529,659.31</w:t>
            </w:r>
            <w:r>
              <w:rPr>
                <w:rFonts w:ascii="Arial Narrow"/>
                <w:sz w:val="20"/>
              </w:rPr>
            </w:r>
          </w:p>
        </w:tc>
        <w:tc>
          <w:tcPr>
            <w:tcW w:w="1237"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8"/>
              <w:jc w:val="right"/>
              <w:rPr>
                <w:rFonts w:ascii="Arial Narrow" w:hAnsi="Arial Narrow" w:cs="Arial Narrow" w:eastAsia="Arial Narrow" w:hint="default"/>
                <w:sz w:val="20"/>
                <w:szCs w:val="20"/>
              </w:rPr>
            </w:pPr>
            <w:r>
              <w:rPr>
                <w:rFonts w:ascii="Arial Narrow"/>
                <w:w w:val="95"/>
                <w:sz w:val="20"/>
              </w:rPr>
              <w:t>30.05</w:t>
            </w:r>
            <w:r>
              <w:rPr>
                <w:rFonts w:ascii="Arial Narrow"/>
                <w:sz w:val="20"/>
              </w:rPr>
            </w:r>
          </w:p>
        </w:tc>
      </w:tr>
    </w:tbl>
    <w:p>
      <w:pPr>
        <w:spacing w:line="338" w:lineRule="auto" w:before="86"/>
        <w:ind w:left="838" w:right="0" w:firstLine="511"/>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Arial Narrow" w:hAnsi="Arial Narrow" w:cs="Arial Narrow" w:eastAsia="Arial Narrow" w:hint="default"/>
          <w:spacing w:val="-5"/>
          <w:sz w:val="21"/>
          <w:szCs w:val="21"/>
        </w:rPr>
        <w:t>4</w:t>
      </w:r>
      <w:r>
        <w:rPr>
          <w:rFonts w:ascii="宋体" w:hAnsi="宋体" w:cs="宋体" w:eastAsia="宋体" w:hint="default"/>
          <w:spacing w:val="-5"/>
          <w:sz w:val="21"/>
          <w:szCs w:val="21"/>
        </w:rPr>
        <w:t>）截至</w:t>
      </w:r>
      <w:r>
        <w:rPr>
          <w:rFonts w:ascii="宋体" w:hAnsi="宋体" w:cs="宋体" w:eastAsia="宋体" w:hint="default"/>
          <w:spacing w:val="-47"/>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8"/>
          <w:sz w:val="21"/>
          <w:szCs w:val="21"/>
        </w:rPr>
        <w:t> </w:t>
      </w:r>
      <w:r>
        <w:rPr>
          <w:rFonts w:ascii="宋体" w:hAnsi="宋体" w:cs="宋体" w:eastAsia="宋体" w:hint="default"/>
          <w:spacing w:val="-3"/>
          <w:sz w:val="21"/>
          <w:szCs w:val="21"/>
        </w:rPr>
        <w:t>日止，应收账款余额中无应收持有本公司</w:t>
      </w:r>
      <w:r>
        <w:rPr>
          <w:rFonts w:ascii="宋体" w:hAnsi="宋体" w:cs="宋体" w:eastAsia="宋体" w:hint="default"/>
          <w:spacing w:val="-47"/>
          <w:sz w:val="21"/>
          <w:szCs w:val="21"/>
        </w:rPr>
        <w:t> </w:t>
      </w:r>
      <w:r>
        <w:rPr>
          <w:rFonts w:ascii="Arial Narrow" w:hAnsi="Arial Narrow" w:cs="Arial Narrow" w:eastAsia="Arial Narrow" w:hint="default"/>
          <w:spacing w:val="-6"/>
          <w:sz w:val="21"/>
          <w:szCs w:val="21"/>
        </w:rPr>
        <w:t>5%</w:t>
      </w:r>
      <w:r>
        <w:rPr>
          <w:rFonts w:ascii="宋体" w:hAnsi="宋体" w:cs="宋体" w:eastAsia="宋体" w:hint="default"/>
          <w:spacing w:val="-6"/>
          <w:sz w:val="21"/>
          <w:szCs w:val="21"/>
        </w:rPr>
        <w:t>（含</w:t>
      </w:r>
      <w:r>
        <w:rPr>
          <w:rFonts w:ascii="宋体" w:hAnsi="宋体" w:cs="宋体" w:eastAsia="宋体" w:hint="default"/>
          <w:spacing w:val="-46"/>
          <w:sz w:val="21"/>
          <w:szCs w:val="21"/>
        </w:rPr>
        <w:t> </w:t>
      </w:r>
      <w:r>
        <w:rPr>
          <w:rFonts w:ascii="Arial Narrow" w:hAnsi="Arial Narrow" w:cs="Arial Narrow" w:eastAsia="Arial Narrow" w:hint="default"/>
          <w:spacing w:val="-5"/>
          <w:sz w:val="21"/>
          <w:szCs w:val="21"/>
        </w:rPr>
        <w:t>5%</w:t>
      </w:r>
      <w:r>
        <w:rPr>
          <w:rFonts w:ascii="宋体" w:hAnsi="宋体" w:cs="宋体" w:eastAsia="宋体" w:hint="default"/>
          <w:spacing w:val="-5"/>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表决权股份的股东单位及关联方欠款。</w:t>
      </w:r>
    </w:p>
    <w:p>
      <w:pPr>
        <w:spacing w:before="169"/>
        <w:ind w:left="1349"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Arial Narrow" w:hAnsi="Arial Narrow" w:cs="Arial Narrow" w:eastAsia="Arial Narrow" w:hint="default"/>
          <w:spacing w:val="-4"/>
          <w:sz w:val="21"/>
          <w:szCs w:val="21"/>
        </w:rPr>
        <w:t>5</w:t>
      </w:r>
      <w:r>
        <w:rPr>
          <w:rFonts w:ascii="宋体" w:hAnsi="宋体" w:cs="宋体" w:eastAsia="宋体" w:hint="default"/>
          <w:spacing w:val="-4"/>
          <w:sz w:val="21"/>
          <w:szCs w:val="21"/>
        </w:rPr>
        <w:t>）年末应收账款余额比年初增加</w:t>
      </w:r>
      <w:r>
        <w:rPr>
          <w:rFonts w:ascii="宋体" w:hAnsi="宋体" w:cs="宋体" w:eastAsia="宋体" w:hint="default"/>
          <w:spacing w:val="16"/>
          <w:sz w:val="21"/>
          <w:szCs w:val="21"/>
        </w:rPr>
        <w:t> </w:t>
      </w:r>
      <w:r>
        <w:rPr>
          <w:rFonts w:ascii="Arial Narrow" w:hAnsi="Arial Narrow" w:cs="Arial Narrow" w:eastAsia="Arial Narrow" w:hint="default"/>
          <w:spacing w:val="-3"/>
          <w:sz w:val="21"/>
          <w:szCs w:val="21"/>
        </w:rPr>
        <w:t>127.07%</w:t>
      </w:r>
      <w:r>
        <w:rPr>
          <w:rFonts w:ascii="宋体" w:hAnsi="宋体" w:cs="宋体" w:eastAsia="宋体" w:hint="default"/>
          <w:spacing w:val="-3"/>
          <w:sz w:val="21"/>
          <w:szCs w:val="21"/>
        </w:rPr>
        <w:t>，主要原因为收入增加导致应收款亦增加。</w:t>
      </w:r>
    </w:p>
    <w:p>
      <w:pPr>
        <w:spacing w:line="240" w:lineRule="auto" w:before="3"/>
        <w:rPr>
          <w:rFonts w:ascii="宋体" w:hAnsi="宋体" w:cs="宋体" w:eastAsia="宋体" w:hint="default"/>
          <w:sz w:val="18"/>
          <w:szCs w:val="18"/>
        </w:rPr>
      </w:pPr>
    </w:p>
    <w:p>
      <w:pPr>
        <w:tabs>
          <w:tab w:pos="2817" w:val="left" w:leader="none"/>
        </w:tabs>
        <w:spacing w:before="0"/>
        <w:ind w:left="1258" w:right="0"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37</w:t>
      </w:r>
      <w:r>
        <w:rPr>
          <w:rFonts w:ascii="宋体" w:hAnsi="宋体" w:cs="宋体" w:eastAsia="宋体" w:hint="default"/>
          <w:b/>
          <w:bCs/>
          <w:spacing w:val="-1"/>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tabs>
          <w:tab w:pos="1977" w:val="left" w:leader="none"/>
        </w:tabs>
        <w:spacing w:before="0"/>
        <w:ind w:left="1258"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w:t>
        <w:tab/>
      </w:r>
      <w:r>
        <w:rPr>
          <w:rFonts w:ascii="宋体" w:hAnsi="宋体" w:cs="宋体" w:eastAsia="宋体" w:hint="default"/>
          <w:spacing w:val="-2"/>
          <w:sz w:val="21"/>
          <w:szCs w:val="21"/>
        </w:rPr>
        <w:t>其他应收款按类别分析列示如下：</w:t>
      </w:r>
    </w:p>
    <w:p>
      <w:pPr>
        <w:spacing w:line="240" w:lineRule="auto" w:before="9"/>
        <w:rPr>
          <w:rFonts w:ascii="宋体" w:hAnsi="宋体" w:cs="宋体" w:eastAsia="宋体" w:hint="default"/>
          <w:sz w:val="11"/>
          <w:szCs w:val="11"/>
        </w:rPr>
      </w:pPr>
    </w:p>
    <w:tbl>
      <w:tblPr>
        <w:tblW w:w="0" w:type="auto"/>
        <w:jc w:val="left"/>
        <w:tblInd w:w="610" w:type="dxa"/>
        <w:tblLayout w:type="fixed"/>
        <w:tblCellMar>
          <w:top w:w="0" w:type="dxa"/>
          <w:left w:w="0" w:type="dxa"/>
          <w:bottom w:w="0" w:type="dxa"/>
          <w:right w:w="0" w:type="dxa"/>
        </w:tblCellMar>
        <w:tblLook w:val="01E0"/>
      </w:tblPr>
      <w:tblGrid>
        <w:gridCol w:w="2837"/>
        <w:gridCol w:w="1445"/>
        <w:gridCol w:w="864"/>
        <w:gridCol w:w="1259"/>
        <w:gridCol w:w="957"/>
        <w:gridCol w:w="1363"/>
      </w:tblGrid>
      <w:tr>
        <w:trPr>
          <w:trHeight w:val="362" w:hRule="exact"/>
        </w:trPr>
        <w:tc>
          <w:tcPr>
            <w:tcW w:w="283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88"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37" w:type="dxa"/>
            <w:vMerge/>
            <w:tcBorders>
              <w:left w:val="nil" w:sz="6" w:space="0" w:color="auto"/>
              <w:right w:val="single" w:sz="6" w:space="0" w:color="000000"/>
            </w:tcBorders>
          </w:tcPr>
          <w:p>
            <w:pPr/>
          </w:p>
        </w:tc>
        <w:tc>
          <w:tcPr>
            <w:tcW w:w="23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27"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3"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37" w:type="dxa"/>
            <w:vMerge/>
            <w:tcBorders>
              <w:left w:val="nil" w:sz="6" w:space="0" w:color="auto"/>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36"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 w:right="0" w:firstLine="57"/>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94" w:right="0"/>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63" w:type="dxa"/>
            <w:vMerge/>
            <w:tcBorders>
              <w:left w:val="single" w:sz="6" w:space="0" w:color="000000"/>
              <w:bottom w:val="single" w:sz="6" w:space="0" w:color="000000"/>
              <w:right w:val="nil" w:sz="6" w:space="0" w:color="auto"/>
            </w:tcBorders>
          </w:tcPr>
          <w:p>
            <w:pPr/>
          </w:p>
        </w:tc>
      </w:tr>
      <w:tr>
        <w:trPr>
          <w:trHeight w:val="562"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单项金额重大并单项计提坏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4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95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按帐龄组合计提坏账准备的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189" w:right="0"/>
              <w:jc w:val="left"/>
              <w:rPr>
                <w:rFonts w:ascii="Arial Narrow" w:hAnsi="Arial Narrow" w:cs="Arial Narrow" w:eastAsia="Arial Narrow" w:hint="default"/>
                <w:sz w:val="20"/>
                <w:szCs w:val="20"/>
              </w:rPr>
            </w:pPr>
            <w:r>
              <w:rPr>
                <w:rFonts w:ascii="Arial Narrow"/>
                <w:sz w:val="20"/>
              </w:rPr>
              <w:t>18,531,745.36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100</w:t>
            </w:r>
            <w:r>
              <w:rPr>
                <w:rFonts w:ascii="Arial Narrow"/>
                <w:sz w:val="20"/>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4"/>
              <w:jc w:val="right"/>
              <w:rPr>
                <w:rFonts w:ascii="Arial Narrow" w:hAnsi="Arial Narrow" w:cs="Arial Narrow" w:eastAsia="Arial Narrow" w:hint="default"/>
                <w:sz w:val="20"/>
                <w:szCs w:val="20"/>
              </w:rPr>
            </w:pPr>
            <w:r>
              <w:rPr>
                <w:rFonts w:ascii="Arial Narrow"/>
                <w:w w:val="95"/>
                <w:sz w:val="20"/>
              </w:rPr>
              <w:t>870,520.22</w:t>
            </w:r>
            <w:r>
              <w:rPr>
                <w:rFonts w:ascii="Arial Narrow"/>
                <w:sz w:val="20"/>
              </w:rPr>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4.70</w:t>
            </w:r>
            <w:r>
              <w:rPr>
                <w:rFonts w:ascii="Arial Narrow"/>
                <w:sz w:val="20"/>
              </w:rPr>
            </w:r>
          </w:p>
        </w:tc>
        <w:tc>
          <w:tcPr>
            <w:tcW w:w="1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17,661,225.14</w:t>
            </w:r>
            <w:r>
              <w:rPr>
                <w:rFonts w:ascii="Arial Narrow"/>
                <w:sz w:val="20"/>
              </w:rPr>
            </w:r>
          </w:p>
        </w:tc>
      </w:tr>
      <w:tr>
        <w:trPr>
          <w:trHeight w:val="559"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单项金额虽不重大但单项计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4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95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tabs>
                <w:tab w:pos="422" w:val="left" w:leader="none"/>
              </w:tabs>
              <w:spacing w:line="240" w:lineRule="auto"/>
              <w:ind w:right="108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89" w:right="0"/>
              <w:jc w:val="left"/>
              <w:rPr>
                <w:rFonts w:ascii="Arial Narrow" w:hAnsi="Arial Narrow" w:cs="Arial Narrow" w:eastAsia="Arial Narrow" w:hint="default"/>
                <w:sz w:val="20"/>
                <w:szCs w:val="20"/>
              </w:rPr>
            </w:pPr>
            <w:r>
              <w:rPr>
                <w:rFonts w:ascii="Arial Narrow"/>
                <w:sz w:val="20"/>
              </w:rPr>
              <w:t>18,531,745.36</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100</w:t>
            </w:r>
            <w:r>
              <w:rPr>
                <w:rFonts w:ascii="Arial Narrow"/>
                <w:sz w:val="20"/>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4"/>
              <w:jc w:val="right"/>
              <w:rPr>
                <w:rFonts w:ascii="Arial Narrow" w:hAnsi="Arial Narrow" w:cs="Arial Narrow" w:eastAsia="Arial Narrow" w:hint="default"/>
                <w:sz w:val="20"/>
                <w:szCs w:val="20"/>
              </w:rPr>
            </w:pPr>
            <w:r>
              <w:rPr>
                <w:rFonts w:ascii="Arial Narrow"/>
                <w:w w:val="95"/>
                <w:sz w:val="20"/>
              </w:rPr>
              <w:t>870,520.22</w:t>
            </w:r>
            <w:r>
              <w:rPr>
                <w:rFonts w:ascii="Arial Narrow"/>
                <w:sz w:val="20"/>
              </w:rPr>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4.70</w:t>
            </w:r>
            <w:r>
              <w:rPr>
                <w:rFonts w:ascii="Arial Narrow"/>
                <w:sz w:val="20"/>
              </w:rPr>
            </w:r>
          </w:p>
        </w:tc>
        <w:tc>
          <w:tcPr>
            <w:tcW w:w="1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17,661,225.14</w:t>
            </w:r>
            <w:r>
              <w:rPr>
                <w:rFonts w:ascii="Arial Narrow"/>
                <w:sz w:val="20"/>
              </w:rPr>
            </w:r>
          </w:p>
        </w:tc>
      </w:tr>
      <w:tr>
        <w:trPr>
          <w:trHeight w:val="355" w:hRule="exact"/>
        </w:trPr>
        <w:tc>
          <w:tcPr>
            <w:tcW w:w="283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88"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837" w:type="dxa"/>
            <w:vMerge/>
            <w:tcBorders>
              <w:left w:val="nil" w:sz="6" w:space="0" w:color="auto"/>
              <w:right w:val="single" w:sz="6" w:space="0" w:color="000000"/>
            </w:tcBorders>
          </w:tcPr>
          <w:p>
            <w:pPr/>
          </w:p>
        </w:tc>
        <w:tc>
          <w:tcPr>
            <w:tcW w:w="23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3"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37" w:type="dxa"/>
            <w:vMerge/>
            <w:tcBorders>
              <w:left w:val="nil" w:sz="6" w:space="0" w:color="auto"/>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36"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6" w:right="0"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6" w:right="0"/>
              <w:jc w:val="left"/>
              <w:rPr>
                <w:rFonts w:ascii="宋体" w:hAnsi="宋体" w:cs="宋体" w:eastAsia="宋体"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363" w:type="dxa"/>
            <w:vMerge/>
            <w:tcBorders>
              <w:left w:val="single" w:sz="6" w:space="0" w:color="000000"/>
              <w:bottom w:val="single" w:sz="6" w:space="0" w:color="000000"/>
              <w:right w:val="nil" w:sz="6" w:space="0" w:color="auto"/>
            </w:tcBorders>
          </w:tcPr>
          <w:p>
            <w:pPr/>
          </w:p>
        </w:tc>
      </w:tr>
      <w:tr>
        <w:trPr>
          <w:trHeight w:val="559"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单项金额重大并单项计提坏</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4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95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按帐龄组合计提坏账准备的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Arial Narrow" w:hAnsi="Arial Narrow" w:cs="Arial Narrow" w:eastAsia="Arial Narrow" w:hint="default"/>
                <w:sz w:val="20"/>
                <w:szCs w:val="20"/>
              </w:rPr>
            </w:pPr>
            <w:r>
              <w:rPr>
                <w:rFonts w:ascii="Arial Narrow"/>
                <w:w w:val="95"/>
                <w:sz w:val="20"/>
              </w:rPr>
              <w:t>15,192,716.53</w:t>
            </w:r>
            <w:r>
              <w:rPr>
                <w:rFonts w:ascii="Arial Narrow"/>
                <w:sz w:val="20"/>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2"/>
              <w:jc w:val="right"/>
              <w:rPr>
                <w:rFonts w:ascii="Arial Narrow" w:hAnsi="Arial Narrow" w:cs="Arial Narrow" w:eastAsia="Arial Narrow" w:hint="default"/>
                <w:sz w:val="20"/>
                <w:szCs w:val="20"/>
              </w:rPr>
            </w:pPr>
            <w:r>
              <w:rPr>
                <w:rFonts w:ascii="Arial Narrow"/>
                <w:w w:val="95"/>
                <w:sz w:val="20"/>
              </w:rPr>
              <w:t>718,027.98</w:t>
            </w:r>
            <w:r>
              <w:rPr>
                <w:rFonts w:ascii="Arial Narrow"/>
                <w:sz w:val="20"/>
              </w:rPr>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9"/>
              <w:jc w:val="right"/>
              <w:rPr>
                <w:rFonts w:ascii="Arial Narrow" w:hAnsi="Arial Narrow" w:cs="Arial Narrow" w:eastAsia="Arial Narrow" w:hint="default"/>
                <w:sz w:val="20"/>
                <w:szCs w:val="20"/>
              </w:rPr>
            </w:pPr>
            <w:r>
              <w:rPr>
                <w:rFonts w:ascii="Arial Narrow"/>
                <w:w w:val="95"/>
                <w:sz w:val="20"/>
              </w:rPr>
              <w:t>4.73</w:t>
            </w:r>
            <w:r>
              <w:rPr>
                <w:rFonts w:ascii="Arial Narrow"/>
                <w:sz w:val="20"/>
              </w:rPr>
            </w:r>
          </w:p>
        </w:tc>
        <w:tc>
          <w:tcPr>
            <w:tcW w:w="1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14,474,688.55</w:t>
            </w:r>
            <w:r>
              <w:rPr>
                <w:rFonts w:ascii="Arial Narrow"/>
                <w:sz w:val="20"/>
              </w:rPr>
            </w:r>
          </w:p>
        </w:tc>
      </w:tr>
      <w:tr>
        <w:trPr>
          <w:trHeight w:val="562" w:hRule="exact"/>
        </w:trPr>
        <w:tc>
          <w:tcPr>
            <w:tcW w:w="283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单项金额虽不重大但单项计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45"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
        </w:tc>
        <w:tc>
          <w:tcPr>
            <w:tcW w:w="957"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837" w:type="dxa"/>
            <w:tcBorders>
              <w:top w:val="single" w:sz="6" w:space="0" w:color="000000"/>
              <w:left w:val="nil" w:sz="6" w:space="0" w:color="auto"/>
              <w:bottom w:val="single" w:sz="12" w:space="0" w:color="000000"/>
              <w:right w:val="single" w:sz="6" w:space="0" w:color="000000"/>
            </w:tcBorders>
          </w:tcPr>
          <w:p>
            <w:pPr>
              <w:pStyle w:val="TableParagraph"/>
              <w:tabs>
                <w:tab w:pos="422" w:val="left" w:leader="none"/>
              </w:tabs>
              <w:spacing w:line="274" w:lineRule="exact"/>
              <w:ind w:right="108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15,192,716.53</w:t>
            </w:r>
            <w:r>
              <w:rPr>
                <w:rFonts w:ascii="Arial Narrow"/>
                <w:sz w:val="20"/>
              </w:rPr>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2"/>
              <w:jc w:val="right"/>
              <w:rPr>
                <w:rFonts w:ascii="Arial Narrow" w:hAnsi="Arial Narrow" w:cs="Arial Narrow" w:eastAsia="Arial Narrow" w:hint="default"/>
                <w:sz w:val="20"/>
                <w:szCs w:val="20"/>
              </w:rPr>
            </w:pPr>
            <w:r>
              <w:rPr>
                <w:rFonts w:ascii="Arial Narrow"/>
                <w:w w:val="95"/>
                <w:sz w:val="20"/>
              </w:rPr>
              <w:t>718,027.98</w:t>
            </w:r>
            <w:r>
              <w:rPr>
                <w:rFonts w:ascii="Arial Narrow"/>
                <w:sz w:val="20"/>
              </w:rPr>
            </w:r>
          </w:p>
        </w:tc>
        <w:tc>
          <w:tcPr>
            <w:tcW w:w="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4.73</w:t>
            </w:r>
            <w:r>
              <w:rPr>
                <w:rFonts w:ascii="Arial Narrow"/>
                <w:sz w:val="20"/>
              </w:rPr>
            </w:r>
          </w:p>
        </w:tc>
        <w:tc>
          <w:tcPr>
            <w:tcW w:w="13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14,474,688.55</w:t>
            </w:r>
            <w:r>
              <w:rPr>
                <w:rFonts w:ascii="Arial Narrow"/>
                <w:sz w:val="20"/>
              </w:rPr>
            </w:r>
          </w:p>
        </w:tc>
      </w:tr>
    </w:tbl>
    <w:p>
      <w:pPr>
        <w:spacing w:line="240" w:lineRule="auto" w:before="5"/>
        <w:rPr>
          <w:rFonts w:ascii="宋体" w:hAnsi="宋体" w:cs="宋体" w:eastAsia="宋体" w:hint="default"/>
          <w:sz w:val="22"/>
          <w:szCs w:val="22"/>
        </w:rPr>
      </w:pPr>
    </w:p>
    <w:p>
      <w:pPr>
        <w:spacing w:before="36"/>
        <w:ind w:left="1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）其他应收款按账龄分析列示如下：</w:t>
      </w:r>
    </w:p>
    <w:p>
      <w:pPr>
        <w:spacing w:line="240" w:lineRule="auto" w:before="9"/>
        <w:rPr>
          <w:rFonts w:ascii="宋体" w:hAnsi="宋体" w:cs="宋体" w:eastAsia="宋体" w:hint="default"/>
          <w:sz w:val="11"/>
          <w:szCs w:val="11"/>
        </w:rPr>
      </w:pPr>
    </w:p>
    <w:tbl>
      <w:tblPr>
        <w:tblW w:w="0" w:type="auto"/>
        <w:jc w:val="left"/>
        <w:tblInd w:w="701" w:type="dxa"/>
        <w:tblLayout w:type="fixed"/>
        <w:tblCellMar>
          <w:top w:w="0" w:type="dxa"/>
          <w:left w:w="0" w:type="dxa"/>
          <w:bottom w:w="0" w:type="dxa"/>
          <w:right w:w="0" w:type="dxa"/>
        </w:tblCellMar>
        <w:tblLook w:val="01E0"/>
      </w:tblPr>
      <w:tblGrid>
        <w:gridCol w:w="2103"/>
        <w:gridCol w:w="1980"/>
        <w:gridCol w:w="1080"/>
        <w:gridCol w:w="1800"/>
        <w:gridCol w:w="1981"/>
      </w:tblGrid>
      <w:tr>
        <w:trPr>
          <w:trHeight w:val="362" w:hRule="exact"/>
        </w:trPr>
        <w:tc>
          <w:tcPr>
            <w:tcW w:w="2103" w:type="dxa"/>
            <w:vMerge w:val="restart"/>
            <w:tcBorders>
              <w:top w:val="single" w:sz="12" w:space="0" w:color="000000"/>
              <w:left w:val="nil" w:sz="6" w:space="0" w:color="auto"/>
              <w:right w:val="single" w:sz="6" w:space="0" w:color="000000"/>
            </w:tcBorders>
          </w:tcPr>
          <w:p>
            <w:pPr>
              <w:pStyle w:val="TableParagraph"/>
              <w:spacing w:line="240" w:lineRule="auto" w:before="177"/>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1"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16,075,931.84</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86.75</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476,915.76</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15,599,016.08</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1,560,967.89</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8.42</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156,096.79</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1,404,871.10</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699,717.18</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3.78</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139,943.44</w:t>
            </w:r>
            <w:r>
              <w:rPr>
                <w:rFonts w:ascii="Arial Narrow"/>
                <w:sz w:val="20"/>
              </w:rPr>
            </w:r>
          </w:p>
        </w:tc>
        <w:tc>
          <w:tcPr>
            <w:tcW w:w="1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559,773.74</w:t>
            </w:r>
            <w:r>
              <w:rPr>
                <w:rFonts w:ascii="Arial Narrow"/>
                <w:sz w:val="20"/>
              </w:rPr>
            </w:r>
          </w:p>
        </w:tc>
      </w:tr>
      <w:tr>
        <w:trPr>
          <w:trHeight w:val="362" w:hRule="exact"/>
        </w:trPr>
        <w:tc>
          <w:tcPr>
            <w:tcW w:w="2103"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年以上</w:t>
            </w:r>
            <w:r>
              <w:rPr>
                <w:rFonts w:ascii="宋体" w:hAnsi="宋体" w:cs="宋体" w:eastAsia="宋体" w:hint="default"/>
                <w:sz w:val="21"/>
                <w:szCs w:val="21"/>
              </w:rPr>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195,128.45</w:t>
            </w:r>
            <w:r>
              <w:rPr>
                <w:rFonts w:ascii="Arial Narrow"/>
                <w:sz w:val="20"/>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1.05</w:t>
            </w:r>
            <w:r>
              <w:rPr>
                <w:rFonts w:ascii="Arial Narrow"/>
                <w:sz w:val="20"/>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97,564.23</w:t>
            </w:r>
            <w:r>
              <w:rPr>
                <w:rFonts w:ascii="Arial Narrow"/>
                <w:sz w:val="20"/>
              </w:rPr>
            </w:r>
          </w:p>
        </w:tc>
        <w:tc>
          <w:tcPr>
            <w:tcW w:w="198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97,564.22</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960" w:right="960"/>
        </w:sectPr>
      </w:pPr>
    </w:p>
    <w:p>
      <w:pPr>
        <w:spacing w:line="240" w:lineRule="auto" w:before="9"/>
        <w:rPr>
          <w:rFonts w:ascii="宋体" w:hAnsi="宋体" w:cs="宋体" w:eastAsia="宋体" w:hint="default"/>
          <w:sz w:val="19"/>
          <w:szCs w:val="19"/>
        </w:rPr>
      </w:pPr>
    </w:p>
    <w:tbl>
      <w:tblPr>
        <w:tblW w:w="0" w:type="auto"/>
        <w:jc w:val="left"/>
        <w:tblInd w:w="841" w:type="dxa"/>
        <w:tblLayout w:type="fixed"/>
        <w:tblCellMar>
          <w:top w:w="0" w:type="dxa"/>
          <w:left w:w="0" w:type="dxa"/>
          <w:bottom w:w="0" w:type="dxa"/>
          <w:right w:w="0" w:type="dxa"/>
        </w:tblCellMar>
        <w:tblLook w:val="01E0"/>
      </w:tblPr>
      <w:tblGrid>
        <w:gridCol w:w="2103"/>
        <w:gridCol w:w="1980"/>
        <w:gridCol w:w="1080"/>
        <w:gridCol w:w="1800"/>
        <w:gridCol w:w="1980"/>
      </w:tblGrid>
      <w:tr>
        <w:trPr>
          <w:trHeight w:val="363" w:hRule="exact"/>
        </w:trPr>
        <w:tc>
          <w:tcPr>
            <w:tcW w:w="2103" w:type="dxa"/>
            <w:tcBorders>
              <w:top w:val="single" w:sz="12" w:space="0" w:color="000000"/>
              <w:left w:val="nil" w:sz="6" w:space="0" w:color="auto"/>
              <w:bottom w:val="single" w:sz="6"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18,531,745.36</w:t>
            </w:r>
            <w:r>
              <w:rPr>
                <w:rFonts w:ascii="Arial Narrow"/>
                <w:sz w:val="20"/>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0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870,520.22</w:t>
            </w:r>
            <w:r>
              <w:rPr>
                <w:rFonts w:ascii="Arial Narrow"/>
                <w:sz w:val="20"/>
              </w:rPr>
            </w:r>
          </w:p>
        </w:tc>
        <w:tc>
          <w:tcPr>
            <w:tcW w:w="198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17,661,225.14</w:t>
            </w:r>
            <w:r>
              <w:rPr>
                <w:rFonts w:ascii="Arial Narrow"/>
                <w:sz w:val="20"/>
              </w:rPr>
            </w:r>
          </w:p>
        </w:tc>
      </w:tr>
      <w:tr>
        <w:trPr>
          <w:trHeight w:val="355" w:hRule="exact"/>
        </w:trPr>
        <w:tc>
          <w:tcPr>
            <w:tcW w:w="2103" w:type="dxa"/>
            <w:vMerge w:val="restart"/>
            <w:tcBorders>
              <w:top w:val="single" w:sz="6" w:space="0" w:color="000000"/>
              <w:left w:val="nil" w:sz="6" w:space="0" w:color="auto"/>
              <w:right w:val="single" w:sz="6" w:space="0" w:color="000000"/>
            </w:tcBorders>
          </w:tcPr>
          <w:p>
            <w:pPr>
              <w:pStyle w:val="TableParagraph"/>
              <w:spacing w:line="240" w:lineRule="auto" w:before="177"/>
              <w:ind w:left="63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841"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3" w:type="dxa"/>
            <w:vMerge/>
            <w:tcBorders>
              <w:left w:val="nil" w:sz="6" w:space="0" w:color="auto"/>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8"/>
              <w:jc w:val="right"/>
              <w:rPr>
                <w:rFonts w:ascii="宋体" w:hAnsi="宋体" w:cs="宋体" w:eastAsia="宋体" w:hint="default"/>
                <w:sz w:val="21"/>
                <w:szCs w:val="21"/>
              </w:rPr>
            </w:pPr>
            <w:r>
              <w:rPr>
                <w:rFonts w:ascii="宋体" w:hAnsi="宋体" w:cs="宋体" w:eastAsia="宋体" w:hint="default"/>
                <w:spacing w:val="-6"/>
                <w:sz w:val="21"/>
                <w:szCs w:val="21"/>
              </w:rPr>
              <w:t>比例（</w:t>
            </w:r>
            <w:r>
              <w:rPr>
                <w:rFonts w:ascii="Arial Narrow" w:hAnsi="Arial Narrow" w:cs="Arial Narrow" w:eastAsia="Arial Narrow" w:hint="default"/>
                <w:spacing w:val="-6"/>
                <w:sz w:val="21"/>
                <w:szCs w:val="21"/>
              </w:rPr>
              <w:t>%</w:t>
            </w:r>
            <w:r>
              <w:rPr>
                <w:rFonts w:ascii="宋体" w:hAnsi="宋体" w:cs="宋体" w:eastAsia="宋体" w:hint="default"/>
                <w:spacing w:val="-6"/>
                <w:sz w:val="21"/>
                <w:szCs w:val="21"/>
              </w:rPr>
              <w:t>）</w:t>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12,527,378.75</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82.46</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375,821.36</w:t>
            </w:r>
            <w:r>
              <w:rPr>
                <w:rFonts w:ascii="Arial Narrow"/>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12,151,557.39</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2,371,809.33</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15.61</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237,180.93</w:t>
            </w:r>
            <w:r>
              <w:rPr>
                <w:rFonts w:ascii="Arial Narrow"/>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2,134,628.40</w:t>
            </w:r>
            <w:r>
              <w:rPr>
                <w:rFonts w:ascii="Arial Narrow"/>
                <w:sz w:val="20"/>
              </w:rPr>
            </w:r>
          </w:p>
        </w:tc>
      </w:tr>
      <w:tr>
        <w:trPr>
          <w:trHeight w:val="355"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139,128.45</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0.92</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27,825.69</w:t>
            </w:r>
            <w:r>
              <w:rPr>
                <w:rFonts w:ascii="Arial Narrow"/>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0"/>
                <w:szCs w:val="20"/>
              </w:rPr>
            </w:pPr>
            <w:r>
              <w:rPr>
                <w:rFonts w:ascii="Arial Narrow"/>
                <w:spacing w:val="-3"/>
                <w:sz w:val="20"/>
              </w:rPr>
              <w:t>111,302.76</w:t>
            </w:r>
          </w:p>
        </w:tc>
      </w:tr>
      <w:tr>
        <w:trPr>
          <w:trHeight w:val="353" w:hRule="exact"/>
        </w:trPr>
        <w:tc>
          <w:tcPr>
            <w:tcW w:w="210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年以上</w:t>
            </w:r>
            <w:r>
              <w:rPr>
                <w:rFonts w:ascii="宋体" w:hAnsi="宋体" w:cs="宋体" w:eastAsia="宋体" w:hint="default"/>
                <w:sz w:val="21"/>
                <w:szCs w:val="21"/>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154,400.00</w:t>
            </w:r>
            <w:r>
              <w:rPr>
                <w:rFonts w:ascii="Arial Narrow"/>
                <w:sz w:val="20"/>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Arial Narrow" w:hAnsi="Arial Narrow" w:cs="Arial Narrow" w:eastAsia="Arial Narrow" w:hint="default"/>
                <w:sz w:val="20"/>
                <w:szCs w:val="20"/>
              </w:rPr>
            </w:pPr>
            <w:r>
              <w:rPr>
                <w:rFonts w:ascii="Arial Narrow"/>
                <w:w w:val="95"/>
                <w:sz w:val="20"/>
              </w:rPr>
              <w:t>1.01</w:t>
            </w:r>
            <w:r>
              <w:rPr>
                <w:rFonts w:ascii="Arial Narrow"/>
                <w:sz w:val="20"/>
              </w:rPr>
            </w:r>
          </w:p>
        </w:tc>
        <w:tc>
          <w:tcPr>
            <w:tcW w:w="18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77,200.00</w:t>
            </w:r>
            <w:r>
              <w:rPr>
                <w:rFonts w:ascii="Arial Narrow"/>
                <w:sz w:val="20"/>
              </w:rPr>
            </w:r>
          </w:p>
        </w:tc>
        <w:tc>
          <w:tcPr>
            <w:tcW w:w="19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77,200.00</w:t>
            </w:r>
            <w:r>
              <w:rPr>
                <w:rFonts w:ascii="Arial Narrow"/>
                <w:sz w:val="20"/>
              </w:rPr>
            </w:r>
          </w:p>
        </w:tc>
      </w:tr>
      <w:tr>
        <w:trPr>
          <w:trHeight w:val="365" w:hRule="exact"/>
        </w:trPr>
        <w:tc>
          <w:tcPr>
            <w:tcW w:w="2103"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Narrow" w:hAnsi="Arial Narrow" w:cs="Arial Narrow" w:eastAsia="Arial Narrow" w:hint="default"/>
                <w:sz w:val="20"/>
                <w:szCs w:val="20"/>
              </w:rPr>
            </w:pPr>
            <w:r>
              <w:rPr>
                <w:rFonts w:ascii="Arial Narrow"/>
                <w:w w:val="95"/>
                <w:sz w:val="20"/>
              </w:rPr>
              <w:t>15,192,716.53</w:t>
            </w:r>
            <w:r>
              <w:rPr>
                <w:rFonts w:ascii="Arial Narrow"/>
                <w:sz w:val="20"/>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9"/>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18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718,027.98</w:t>
            </w:r>
            <w:r>
              <w:rPr>
                <w:rFonts w:ascii="Arial Narrow"/>
                <w:sz w:val="20"/>
              </w:rPr>
            </w:r>
          </w:p>
        </w:tc>
        <w:tc>
          <w:tcPr>
            <w:tcW w:w="198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0"/>
                <w:szCs w:val="20"/>
              </w:rPr>
            </w:pPr>
            <w:r>
              <w:rPr>
                <w:rFonts w:ascii="Arial Narrow"/>
                <w:w w:val="95"/>
                <w:sz w:val="20"/>
              </w:rPr>
              <w:t>14,474,688.55</w:t>
            </w:r>
            <w:r>
              <w:rPr>
                <w:rFonts w:ascii="Arial Narrow"/>
                <w:sz w:val="20"/>
              </w:rPr>
            </w:r>
          </w:p>
        </w:tc>
      </w:tr>
    </w:tbl>
    <w:p>
      <w:pPr>
        <w:spacing w:line="240" w:lineRule="auto" w:before="2"/>
        <w:rPr>
          <w:rFonts w:ascii="宋体" w:hAnsi="宋体" w:cs="宋体" w:eastAsia="宋体" w:hint="default"/>
          <w:sz w:val="13"/>
          <w:szCs w:val="13"/>
        </w:rPr>
      </w:pPr>
    </w:p>
    <w:p>
      <w:pPr>
        <w:spacing w:line="336" w:lineRule="auto" w:before="36"/>
        <w:ind w:left="978" w:right="96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）本报告期其他应收款中持有本公司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67"/>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）以上表决权股份的股东单位欠款</w:t>
      </w:r>
      <w:r>
        <w:rPr>
          <w:rFonts w:ascii="宋体" w:hAnsi="宋体" w:cs="宋体" w:eastAsia="宋体" w:hint="default"/>
          <w:w w:val="100"/>
          <w:sz w:val="21"/>
          <w:szCs w:val="21"/>
        </w:rPr>
        <w:t> </w:t>
      </w:r>
      <w:r>
        <w:rPr>
          <w:rFonts w:ascii="宋体" w:hAnsi="宋体" w:cs="宋体" w:eastAsia="宋体" w:hint="default"/>
          <w:sz w:val="21"/>
          <w:szCs w:val="21"/>
        </w:rPr>
        <w:t>情况如下：</w:t>
      </w:r>
    </w:p>
    <w:p>
      <w:pPr>
        <w:spacing w:line="240" w:lineRule="auto" w:before="5"/>
        <w:rPr>
          <w:rFonts w:ascii="宋体" w:hAnsi="宋体" w:cs="宋体" w:eastAsia="宋体" w:hint="default"/>
          <w:sz w:val="6"/>
          <w:szCs w:val="6"/>
        </w:rPr>
      </w:pPr>
    </w:p>
    <w:tbl>
      <w:tblPr>
        <w:tblW w:w="0" w:type="auto"/>
        <w:jc w:val="left"/>
        <w:tblInd w:w="408" w:type="dxa"/>
        <w:tblLayout w:type="fixed"/>
        <w:tblCellMar>
          <w:top w:w="0" w:type="dxa"/>
          <w:left w:w="0" w:type="dxa"/>
          <w:bottom w:w="0" w:type="dxa"/>
          <w:right w:w="0" w:type="dxa"/>
        </w:tblCellMar>
        <w:tblLook w:val="01E0"/>
      </w:tblPr>
      <w:tblGrid>
        <w:gridCol w:w="2720"/>
        <w:gridCol w:w="1670"/>
        <w:gridCol w:w="1673"/>
        <w:gridCol w:w="1673"/>
        <w:gridCol w:w="1670"/>
      </w:tblGrid>
      <w:tr>
        <w:trPr>
          <w:trHeight w:val="307" w:hRule="exact"/>
        </w:trPr>
        <w:tc>
          <w:tcPr>
            <w:tcW w:w="2720" w:type="dxa"/>
            <w:vMerge w:val="restart"/>
            <w:tcBorders>
              <w:top w:val="single" w:sz="12" w:space="0" w:color="000000"/>
              <w:left w:val="nil" w:sz="6" w:space="0" w:color="auto"/>
              <w:right w:val="single" w:sz="6" w:space="0" w:color="000000"/>
            </w:tcBorders>
          </w:tcPr>
          <w:p>
            <w:pPr>
              <w:pStyle w:val="TableParagraph"/>
              <w:spacing w:line="240" w:lineRule="auto" w:before="12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103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344" w:type="dxa"/>
            <w:gridSpan w:val="2"/>
            <w:tcBorders>
              <w:top w:val="single" w:sz="12" w:space="0" w:color="000000"/>
              <w:left w:val="single" w:sz="6" w:space="0" w:color="000000"/>
              <w:bottom w:val="single" w:sz="6" w:space="0" w:color="000000"/>
              <w:right w:val="nil" w:sz="6" w:space="0" w:color="auto"/>
            </w:tcBorders>
          </w:tcPr>
          <w:p>
            <w:pPr>
              <w:pStyle w:val="TableParagraph"/>
              <w:spacing w:line="248" w:lineRule="exact"/>
              <w:ind w:left="10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8" w:hRule="exact"/>
        </w:trPr>
        <w:tc>
          <w:tcPr>
            <w:tcW w:w="2720" w:type="dxa"/>
            <w:vMerge/>
            <w:tcBorders>
              <w:left w:val="nil" w:sz="6" w:space="0" w:color="auto"/>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96" w:right="0"/>
              <w:jc w:val="left"/>
              <w:rPr>
                <w:rFonts w:ascii="宋体" w:hAnsi="宋体" w:cs="宋体" w:eastAsia="宋体" w:hint="default"/>
                <w:sz w:val="21"/>
                <w:szCs w:val="21"/>
              </w:rPr>
            </w:pPr>
            <w:r>
              <w:rPr>
                <w:rFonts w:ascii="宋体" w:hAnsi="宋体" w:cs="宋体" w:eastAsia="宋体" w:hint="default"/>
                <w:sz w:val="21"/>
                <w:szCs w:val="21"/>
              </w:rPr>
              <w:t>坏账准备金额</w:t>
            </w:r>
          </w:p>
        </w:tc>
      </w:tr>
      <w:tr>
        <w:trPr>
          <w:trHeight w:val="300" w:hRule="exact"/>
        </w:trPr>
        <w:tc>
          <w:tcPr>
            <w:tcW w:w="2720"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29,522.82</w:t>
            </w:r>
            <w:r>
              <w:rPr>
                <w:rFonts w:ascii="Arial Narrow"/>
                <w:sz w:val="20"/>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14,761.41</w:t>
            </w:r>
            <w:r>
              <w:rPr>
                <w:rFonts w:ascii="Arial Narrow"/>
                <w:sz w:val="20"/>
              </w:rPr>
            </w:r>
          </w:p>
        </w:tc>
      </w:tr>
      <w:tr>
        <w:trPr>
          <w:trHeight w:val="307" w:hRule="exact"/>
        </w:trPr>
        <w:tc>
          <w:tcPr>
            <w:tcW w:w="2720"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8"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29,522.82</w:t>
            </w:r>
            <w:r>
              <w:rPr>
                <w:rFonts w:ascii="Arial Narrow"/>
                <w:sz w:val="20"/>
              </w:rPr>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9"/>
              <w:jc w:val="right"/>
              <w:rPr>
                <w:rFonts w:ascii="Arial Narrow" w:hAnsi="Arial Narrow" w:cs="Arial Narrow" w:eastAsia="Arial Narrow" w:hint="default"/>
                <w:sz w:val="20"/>
                <w:szCs w:val="20"/>
              </w:rPr>
            </w:pPr>
            <w:r>
              <w:rPr>
                <w:rFonts w:ascii="Arial Narrow"/>
                <w:w w:val="95"/>
                <w:sz w:val="20"/>
              </w:rPr>
              <w:t>147,614.10</w:t>
            </w:r>
            <w:r>
              <w:rPr>
                <w:rFonts w:ascii="Arial Narrow"/>
                <w:sz w:val="20"/>
              </w:rPr>
            </w:r>
          </w:p>
        </w:tc>
        <w:tc>
          <w:tcPr>
            <w:tcW w:w="16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14,761.41</w:t>
            </w:r>
            <w:r>
              <w:rPr>
                <w:rFonts w:ascii="Arial Narrow"/>
                <w:sz w:val="20"/>
              </w:rPr>
            </w:r>
          </w:p>
        </w:tc>
      </w:tr>
    </w:tbl>
    <w:p>
      <w:pPr>
        <w:spacing w:line="338" w:lineRule="auto" w:before="86"/>
        <w:ind w:left="978" w:right="963"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4</w:t>
      </w: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3"/>
          <w:sz w:val="21"/>
          <w:szCs w:val="21"/>
        </w:rPr>
        <w:t> </w:t>
      </w:r>
      <w:r>
        <w:rPr>
          <w:rFonts w:ascii="宋体" w:hAnsi="宋体" w:cs="宋体" w:eastAsia="宋体" w:hint="default"/>
          <w:sz w:val="21"/>
          <w:szCs w:val="21"/>
        </w:rPr>
        <w:t>日止，其他应收款余额中无应收持有本公司</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（含</w:t>
      </w:r>
      <w:r>
        <w:rPr>
          <w:rFonts w:ascii="宋体" w:hAnsi="宋体" w:cs="宋体" w:eastAsia="宋体" w:hint="default"/>
          <w:spacing w:val="-51"/>
          <w:sz w:val="21"/>
          <w:szCs w:val="21"/>
        </w:rPr>
        <w:t> </w:t>
      </w:r>
      <w:r>
        <w:rPr>
          <w:rFonts w:ascii="Arial Narrow" w:hAnsi="Arial Narrow" w:cs="Arial Narrow" w:eastAsia="Arial Narrow" w:hint="default"/>
          <w:sz w:val="21"/>
          <w:szCs w:val="21"/>
        </w:rPr>
        <w:t>5%</w:t>
      </w:r>
      <w:r>
        <w:rPr>
          <w:rFonts w:ascii="宋体" w:hAnsi="宋体" w:cs="宋体" w:eastAsia="宋体" w:hint="default"/>
          <w:sz w:val="21"/>
          <w:szCs w:val="21"/>
        </w:rPr>
        <w:t>）以</w:t>
      </w:r>
      <w:r>
        <w:rPr>
          <w:rFonts w:ascii="宋体" w:hAnsi="宋体" w:cs="宋体" w:eastAsia="宋体" w:hint="default"/>
          <w:spacing w:val="-3"/>
          <w:w w:val="100"/>
          <w:sz w:val="21"/>
          <w:szCs w:val="21"/>
        </w:rPr>
        <w:t> </w:t>
      </w:r>
      <w:r>
        <w:rPr>
          <w:rFonts w:ascii="宋体" w:hAnsi="宋体" w:cs="宋体" w:eastAsia="宋体" w:hint="default"/>
          <w:sz w:val="21"/>
          <w:szCs w:val="21"/>
        </w:rPr>
        <w:t>上表决权股份的股东单位及关联方欠款。</w:t>
      </w:r>
    </w:p>
    <w:p>
      <w:pPr>
        <w:spacing w:before="167"/>
        <w:ind w:left="1398" w:right="15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5</w:t>
      </w:r>
      <w:r>
        <w:rPr>
          <w:rFonts w:ascii="宋体" w:hAnsi="宋体" w:cs="宋体" w:eastAsia="宋体" w:hint="default"/>
          <w:sz w:val="21"/>
          <w:szCs w:val="21"/>
        </w:rPr>
        <w:t>）年末其他应收款前五名单位列示如下：</w:t>
      </w:r>
    </w:p>
    <w:p>
      <w:pPr>
        <w:spacing w:line="240" w:lineRule="auto" w:before="11"/>
        <w:rPr>
          <w:rFonts w:ascii="宋体" w:hAnsi="宋体" w:cs="宋体" w:eastAsia="宋体"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2852"/>
        <w:gridCol w:w="1445"/>
        <w:gridCol w:w="1227"/>
        <w:gridCol w:w="1183"/>
        <w:gridCol w:w="1357"/>
        <w:gridCol w:w="1867"/>
      </w:tblGrid>
      <w:tr>
        <w:trPr>
          <w:trHeight w:val="566" w:hRule="exact"/>
        </w:trPr>
        <w:tc>
          <w:tcPr>
            <w:tcW w:w="285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22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1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3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67"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218" w:right="0" w:hanging="29"/>
              <w:jc w:val="left"/>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left="218"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00"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昆明新机场建设指挥部</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1,684,000.00</w:t>
            </w:r>
            <w:r>
              <w:rPr>
                <w:rFonts w:ascii="Arial Narrow"/>
                <w:sz w:val="20"/>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9.09</w:t>
            </w:r>
            <w:r>
              <w:rPr>
                <w:rFonts w:ascii="Arial Narrow"/>
                <w:sz w:val="20"/>
              </w:rPr>
            </w:r>
          </w:p>
        </w:tc>
      </w:tr>
      <w:tr>
        <w:trPr>
          <w:trHeight w:val="298"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pacing w:val="-46"/>
                <w:sz w:val="20"/>
                <w:szCs w:val="20"/>
              </w:rPr>
              <w:t>北京中铁建电气化设计研究院有限公司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852,000.00</w:t>
            </w:r>
            <w:r>
              <w:rPr>
                <w:rFonts w:ascii="Arial Narrow"/>
                <w:sz w:val="20"/>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4.60</w:t>
            </w:r>
            <w:r>
              <w:rPr>
                <w:rFonts w:ascii="Arial Narrow"/>
                <w:sz w:val="20"/>
              </w:rPr>
            </w:r>
          </w:p>
        </w:tc>
      </w:tr>
      <w:tr>
        <w:trPr>
          <w:trHeight w:val="300"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铁道部工程交易中心上海分中心</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750,000.00</w:t>
            </w:r>
            <w:r>
              <w:rPr>
                <w:rFonts w:ascii="Arial Narrow"/>
                <w:sz w:val="20"/>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4.05</w:t>
            </w:r>
            <w:r>
              <w:rPr>
                <w:rFonts w:ascii="Arial Narrow"/>
                <w:sz w:val="20"/>
              </w:rPr>
            </w:r>
          </w:p>
        </w:tc>
      </w:tr>
      <w:tr>
        <w:trPr>
          <w:trHeight w:val="298"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芜湖市政府招标采购代理处</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467,852.00</w:t>
            </w:r>
            <w:r>
              <w:rPr>
                <w:rFonts w:ascii="Arial Narrow"/>
                <w:sz w:val="20"/>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2.52</w:t>
            </w:r>
            <w:r>
              <w:rPr>
                <w:rFonts w:ascii="Arial Narrow"/>
                <w:sz w:val="20"/>
              </w:rPr>
            </w:r>
          </w:p>
        </w:tc>
      </w:tr>
      <w:tr>
        <w:trPr>
          <w:trHeight w:val="300" w:hRule="exact"/>
        </w:trPr>
        <w:tc>
          <w:tcPr>
            <w:tcW w:w="2852"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2" w:right="0"/>
              <w:jc w:val="left"/>
              <w:rPr>
                <w:rFonts w:ascii="宋体" w:hAnsi="宋体" w:cs="宋体" w:eastAsia="宋体" w:hint="default"/>
                <w:sz w:val="21"/>
                <w:szCs w:val="21"/>
              </w:rPr>
            </w:pPr>
            <w:r>
              <w:rPr>
                <w:rFonts w:ascii="宋体" w:hAnsi="宋体" w:cs="宋体" w:eastAsia="宋体" w:hint="default"/>
                <w:spacing w:val="-42"/>
                <w:sz w:val="21"/>
                <w:szCs w:val="21"/>
              </w:rPr>
              <w:t>日东电子科技（深圳）有限公司</w:t>
            </w:r>
            <w:r>
              <w:rPr>
                <w:rFonts w:ascii="宋体" w:hAnsi="宋体" w:cs="宋体" w:eastAsia="宋体" w:hint="default"/>
                <w:sz w:val="21"/>
                <w:szCs w:val="21"/>
              </w:rPr>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预付款</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408,000.00</w:t>
            </w:r>
            <w:r>
              <w:rPr>
                <w:rFonts w:ascii="Arial Narrow"/>
                <w:sz w:val="20"/>
              </w:rPr>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2.20</w:t>
            </w:r>
            <w:r>
              <w:rPr>
                <w:rFonts w:ascii="Arial Narrow"/>
                <w:sz w:val="20"/>
              </w:rPr>
            </w:r>
          </w:p>
        </w:tc>
      </w:tr>
      <w:tr>
        <w:trPr>
          <w:trHeight w:val="307" w:hRule="exact"/>
        </w:trPr>
        <w:tc>
          <w:tcPr>
            <w:tcW w:w="2852"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48"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5" w:type="dxa"/>
            <w:tcBorders>
              <w:top w:val="single" w:sz="6" w:space="0" w:color="000000"/>
              <w:left w:val="single" w:sz="6" w:space="0" w:color="000000"/>
              <w:bottom w:val="single" w:sz="12" w:space="0" w:color="000000"/>
              <w:right w:val="single" w:sz="6" w:space="0" w:color="000000"/>
            </w:tcBorders>
          </w:tcPr>
          <w:p>
            <w:pPr/>
          </w:p>
        </w:tc>
        <w:tc>
          <w:tcPr>
            <w:tcW w:w="1227"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98"/>
              <w:jc w:val="right"/>
              <w:rPr>
                <w:rFonts w:ascii="Arial Narrow" w:hAnsi="Arial Narrow" w:cs="Arial Narrow" w:eastAsia="Arial Narrow" w:hint="default"/>
                <w:sz w:val="20"/>
                <w:szCs w:val="20"/>
              </w:rPr>
            </w:pPr>
            <w:r>
              <w:rPr>
                <w:rFonts w:ascii="Arial Narrow"/>
                <w:w w:val="95"/>
                <w:sz w:val="20"/>
              </w:rPr>
              <w:t>4,161,852.00</w:t>
            </w:r>
            <w:r>
              <w:rPr>
                <w:rFonts w:ascii="Arial Narrow"/>
                <w:sz w:val="20"/>
              </w:rPr>
            </w:r>
          </w:p>
        </w:tc>
        <w:tc>
          <w:tcPr>
            <w:tcW w:w="1357" w:type="dxa"/>
            <w:tcBorders>
              <w:top w:val="single" w:sz="6" w:space="0" w:color="000000"/>
              <w:left w:val="single" w:sz="6" w:space="0" w:color="000000"/>
              <w:bottom w:val="single" w:sz="12" w:space="0" w:color="000000"/>
              <w:right w:val="single" w:sz="6" w:space="0" w:color="000000"/>
            </w:tcBorders>
          </w:tcPr>
          <w:p>
            <w:pPr/>
          </w:p>
        </w:tc>
        <w:tc>
          <w:tcPr>
            <w:tcW w:w="18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22.46</w:t>
            </w:r>
            <w:r>
              <w:rPr>
                <w:rFonts w:ascii="Arial Narrow"/>
                <w:sz w:val="20"/>
              </w:rPr>
            </w:r>
          </w:p>
        </w:tc>
      </w:tr>
    </w:tbl>
    <w:p>
      <w:pPr>
        <w:tabs>
          <w:tab w:pos="2957" w:val="left" w:leader="none"/>
        </w:tabs>
        <w:spacing w:line="436" w:lineRule="auto" w:before="86"/>
        <w:ind w:left="1398" w:right="6039"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38</w:t>
      </w:r>
      <w:r>
        <w:rPr>
          <w:rFonts w:ascii="宋体" w:hAnsi="宋体" w:cs="宋体" w:eastAsia="宋体" w:hint="default"/>
          <w:b/>
          <w:bCs/>
          <w:spacing w:val="-1"/>
          <w:sz w:val="21"/>
          <w:szCs w:val="21"/>
        </w:rPr>
        <w:t>．</w:t>
        <w:tab/>
      </w:r>
      <w:r>
        <w:rPr>
          <w:rFonts w:ascii="宋体" w:hAnsi="宋体" w:cs="宋体" w:eastAsia="宋体" w:hint="default"/>
          <w:b/>
          <w:bCs/>
          <w:sz w:val="21"/>
          <w:szCs w:val="21"/>
        </w:rPr>
        <w:t>长期股权投资</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长期股权投资分项列示如下：</w:t>
      </w:r>
    </w:p>
    <w:tbl>
      <w:tblPr>
        <w:tblW w:w="0" w:type="auto"/>
        <w:jc w:val="left"/>
        <w:tblInd w:w="106" w:type="dxa"/>
        <w:tblLayout w:type="fixed"/>
        <w:tblCellMar>
          <w:top w:w="0" w:type="dxa"/>
          <w:left w:w="0" w:type="dxa"/>
          <w:bottom w:w="0" w:type="dxa"/>
          <w:right w:w="0" w:type="dxa"/>
        </w:tblCellMar>
        <w:tblLook w:val="01E0"/>
      </w:tblPr>
      <w:tblGrid>
        <w:gridCol w:w="2789"/>
        <w:gridCol w:w="1268"/>
        <w:gridCol w:w="1522"/>
        <w:gridCol w:w="1538"/>
        <w:gridCol w:w="1275"/>
        <w:gridCol w:w="1622"/>
      </w:tblGrid>
      <w:tr>
        <w:trPr>
          <w:trHeight w:val="1112" w:hRule="exact"/>
        </w:trPr>
        <w:tc>
          <w:tcPr>
            <w:tcW w:w="27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87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1"/>
                <w:sz w:val="21"/>
                <w:szCs w:val="21"/>
              </w:rPr>
              <w:t>初始投资成本</w:t>
            </w:r>
          </w:p>
        </w:tc>
        <w:tc>
          <w:tcPr>
            <w:tcW w:w="15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29"/>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本年增减额</w:t>
            </w:r>
          </w:p>
          <w:p>
            <w:pPr>
              <w:pStyle w:val="TableParagraph"/>
              <w:spacing w:line="230" w:lineRule="auto" w:before="9"/>
              <w:ind w:left="177" w:right="180"/>
              <w:jc w:val="center"/>
              <w:rPr>
                <w:rFonts w:ascii="宋体" w:hAnsi="宋体" w:cs="宋体" w:eastAsia="宋体" w:hint="default"/>
                <w:sz w:val="21"/>
                <w:szCs w:val="21"/>
              </w:rPr>
            </w:pPr>
            <w:r>
              <w:rPr>
                <w:rFonts w:ascii="宋体" w:hAnsi="宋体" w:cs="宋体" w:eastAsia="宋体" w:hint="default"/>
                <w:sz w:val="21"/>
                <w:szCs w:val="21"/>
              </w:rPr>
              <w:t>（减少以</w:t>
            </w:r>
            <w:r>
              <w:rPr>
                <w:rFonts w:ascii="宋体" w:hAnsi="宋体" w:cs="宋体" w:eastAsia="宋体" w:hint="default"/>
                <w:w w:val="100"/>
                <w:sz w:val="21"/>
                <w:szCs w:val="21"/>
              </w:rPr>
              <w:t> </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16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安徽森源电器有限公司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Arial Narrow" w:hAnsi="Arial Narrow" w:cs="Arial Narrow" w:eastAsia="Arial Narrow" w:hint="default"/>
                <w:sz w:val="20"/>
                <w:szCs w:val="20"/>
              </w:rPr>
            </w:pPr>
            <w:r>
              <w:rPr>
                <w:rFonts w:ascii="Arial Narrow"/>
                <w:w w:val="95"/>
                <w:sz w:val="20"/>
              </w:rPr>
              <w:t>95,678,925.69</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95,678,925.69</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95,678,925.69</w:t>
            </w:r>
            <w:r>
              <w:rPr>
                <w:rFonts w:ascii="Arial Narrow"/>
                <w:sz w:val="20"/>
              </w:rPr>
            </w: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安徽鑫龙低压电器有限公司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0"/>
                <w:szCs w:val="20"/>
              </w:rPr>
            </w:pPr>
            <w:r>
              <w:rPr>
                <w:rFonts w:ascii="Arial Narrow"/>
                <w:w w:val="95"/>
                <w:sz w:val="20"/>
              </w:rPr>
              <w:t>3,070,266.00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3,070,266.00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0"/>
                <w:szCs w:val="20"/>
              </w:rPr>
            </w:pPr>
            <w:r>
              <w:rPr>
                <w:rFonts w:ascii="Arial Narrow"/>
                <w:w w:val="95"/>
                <w:sz w:val="20"/>
              </w:rPr>
              <w:t>3,070,266.00</w:t>
            </w:r>
            <w:r>
              <w:rPr>
                <w:rFonts w:ascii="Arial Narrow"/>
                <w:sz w:val="20"/>
              </w:rPr>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安徽鑫龙自动化有限公司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10,266,868.00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2"/>
              <w:jc w:val="right"/>
              <w:rPr>
                <w:rFonts w:ascii="Arial Narrow" w:hAnsi="Arial Narrow" w:cs="Arial Narrow" w:eastAsia="Arial Narrow" w:hint="default"/>
                <w:sz w:val="20"/>
                <w:szCs w:val="20"/>
              </w:rPr>
            </w:pPr>
            <w:r>
              <w:rPr>
                <w:rFonts w:ascii="Arial Narrow"/>
                <w:w w:val="95"/>
                <w:sz w:val="20"/>
              </w:rPr>
              <w:t>10,266,868.00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6"/>
              <w:jc w:val="right"/>
              <w:rPr>
                <w:rFonts w:ascii="Arial Narrow" w:hAnsi="Arial Narrow" w:cs="Arial Narrow" w:eastAsia="Arial Narrow" w:hint="default"/>
                <w:sz w:val="20"/>
                <w:szCs w:val="20"/>
              </w:rPr>
            </w:pPr>
            <w:r>
              <w:rPr>
                <w:rFonts w:ascii="Arial Narrow"/>
                <w:w w:val="95"/>
                <w:sz w:val="20"/>
              </w:rPr>
              <w:t>10,266,868.00</w:t>
            </w:r>
            <w:r>
              <w:rPr>
                <w:rFonts w:ascii="Arial Narrow"/>
                <w:sz w:val="20"/>
              </w:rPr>
            </w: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安徽鑫龙变压器有限公司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0"/>
                <w:szCs w:val="20"/>
              </w:rPr>
            </w:pPr>
            <w:r>
              <w:rPr>
                <w:rFonts w:ascii="Arial Narrow"/>
                <w:w w:val="95"/>
                <w:sz w:val="20"/>
              </w:rPr>
              <w:t>3,066,448.50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3,066,448.50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0"/>
                <w:szCs w:val="20"/>
              </w:rPr>
            </w:pPr>
            <w:r>
              <w:rPr>
                <w:rFonts w:ascii="Arial Narrow"/>
                <w:w w:val="95"/>
                <w:sz w:val="20"/>
              </w:rPr>
              <w:t>3,066,448.50</w:t>
            </w:r>
            <w:r>
              <w:rPr>
                <w:rFonts w:ascii="Arial Narrow"/>
                <w:sz w:val="20"/>
              </w:rPr>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安徽鑫龙电器元件销售有限公司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4,479,262.50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4,479,262.50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4,479,262.50</w:t>
            </w:r>
            <w:r>
              <w:rPr>
                <w:rFonts w:ascii="Arial Narrow"/>
                <w:sz w:val="20"/>
              </w:rPr>
            </w: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安徽鑫龙电力工程安装有限公司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0"/>
                <w:szCs w:val="20"/>
              </w:rPr>
            </w:pPr>
            <w:r>
              <w:rPr>
                <w:rFonts w:ascii="Arial Narrow"/>
                <w:w w:val="95"/>
                <w:sz w:val="20"/>
              </w:rPr>
              <w:t>2,994,091.50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2,994,091.50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5"/>
              <w:jc w:val="right"/>
              <w:rPr>
                <w:rFonts w:ascii="Arial Narrow" w:hAnsi="Arial Narrow" w:cs="Arial Narrow" w:eastAsia="Arial Narrow" w:hint="default"/>
                <w:sz w:val="20"/>
                <w:szCs w:val="20"/>
              </w:rPr>
            </w:pPr>
            <w:r>
              <w:rPr>
                <w:rFonts w:ascii="Arial Narrow"/>
                <w:w w:val="95"/>
                <w:sz w:val="20"/>
              </w:rPr>
              <w:t>2,994,091.50</w:t>
            </w:r>
            <w:r>
              <w:rPr>
                <w:rFonts w:ascii="Arial Narrow"/>
                <w:sz w:val="20"/>
              </w:rPr>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芜湖扬子农村商业银行股份有限公司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1,000,000.00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1,000,000.00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1,000,000.00</w:t>
            </w:r>
            <w:r>
              <w:rPr>
                <w:rFonts w:ascii="Arial Narrow"/>
                <w:sz w:val="20"/>
              </w:rPr>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芜湖市中小企业信用担保有限公司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Arial Narrow" w:hAnsi="Arial Narrow" w:cs="Arial Narrow" w:eastAsia="Arial Narrow" w:hint="default"/>
                <w:sz w:val="20"/>
                <w:szCs w:val="20"/>
              </w:rPr>
            </w:pPr>
            <w:r>
              <w:rPr>
                <w:rFonts w:ascii="Arial Narrow"/>
                <w:w w:val="95"/>
                <w:sz w:val="20"/>
              </w:rPr>
              <w:t>5,000,000.00</w:t>
            </w:r>
            <w:r>
              <w:rPr>
                <w:rFonts w:ascii="Arial Narrow"/>
                <w:sz w:val="20"/>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5,000,000.00</w:t>
            </w:r>
            <w:r>
              <w:rPr>
                <w:rFonts w:ascii="Arial Narrow"/>
                <w:sz w:val="20"/>
              </w:rPr>
            </w: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5,000,000.00</w:t>
            </w:r>
            <w:r>
              <w:rPr>
                <w:rFonts w:ascii="Arial Narrow"/>
                <w:sz w:val="20"/>
              </w:rPr>
            </w:r>
          </w:p>
        </w:tc>
      </w:tr>
      <w:tr>
        <w:trPr>
          <w:trHeight w:val="307" w:hRule="exact"/>
        </w:trPr>
        <w:tc>
          <w:tcPr>
            <w:tcW w:w="2789" w:type="dxa"/>
            <w:tcBorders>
              <w:top w:val="single" w:sz="6" w:space="0" w:color="000000"/>
              <w:left w:val="nil" w:sz="6" w:space="0" w:color="auto"/>
              <w:bottom w:val="single" w:sz="12" w:space="0" w:color="000000"/>
              <w:right w:val="single" w:sz="6" w:space="0" w:color="000000"/>
            </w:tcBorders>
          </w:tcPr>
          <w:p>
            <w:pPr>
              <w:pStyle w:val="TableParagraph"/>
              <w:spacing w:line="233" w:lineRule="exact"/>
              <w:ind w:left="122" w:right="0"/>
              <w:jc w:val="left"/>
              <w:rPr>
                <w:rFonts w:ascii="宋体" w:hAnsi="宋体" w:cs="宋体" w:eastAsia="宋体" w:hint="default"/>
                <w:sz w:val="19"/>
                <w:szCs w:val="19"/>
              </w:rPr>
            </w:pPr>
            <w:r>
              <w:rPr>
                <w:rFonts w:ascii="宋体" w:hAnsi="宋体" w:cs="宋体" w:eastAsia="宋体" w:hint="default"/>
                <w:spacing w:val="-39"/>
                <w:sz w:val="19"/>
                <w:szCs w:val="19"/>
              </w:rPr>
              <w:t>芜湖市鸠江中小企业信用担保有限公司</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98"/>
              <w:jc w:val="right"/>
              <w:rPr>
                <w:rFonts w:ascii="Arial Narrow" w:hAnsi="Arial Narrow" w:cs="Arial Narrow" w:eastAsia="Arial Narrow" w:hint="default"/>
                <w:sz w:val="20"/>
                <w:szCs w:val="20"/>
              </w:rPr>
            </w:pPr>
            <w:r>
              <w:rPr>
                <w:rFonts w:ascii="Arial Narrow"/>
                <w:w w:val="95"/>
                <w:sz w:val="20"/>
              </w:rPr>
              <w:t>3,000,000.00</w:t>
            </w:r>
            <w:r>
              <w:rPr>
                <w:rFonts w:ascii="Arial Narrow"/>
                <w:sz w:val="20"/>
              </w:rPr>
            </w:r>
          </w:p>
        </w:tc>
        <w:tc>
          <w:tcPr>
            <w:tcW w:w="15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3,000,000.00</w:t>
            </w:r>
            <w:r>
              <w:rPr>
                <w:rFonts w:ascii="Arial Narrow"/>
                <w:sz w:val="20"/>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left="143" w:right="0"/>
              <w:jc w:val="left"/>
              <w:rPr>
                <w:rFonts w:ascii="Arial Narrow" w:hAnsi="Arial Narrow" w:cs="Arial Narrow" w:eastAsia="Arial Narrow" w:hint="default"/>
                <w:sz w:val="20"/>
                <w:szCs w:val="20"/>
              </w:rPr>
            </w:pPr>
            <w:r>
              <w:rPr>
                <w:rFonts w:ascii="Arial Narrow"/>
                <w:sz w:val="20"/>
              </w:rPr>
              <w:t>-3,000,000.00</w:t>
            </w:r>
          </w:p>
        </w:tc>
        <w:tc>
          <w:tcPr>
            <w:tcW w:w="1622"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16" w:footer="858" w:top="1160" w:bottom="1040" w:left="820" w:right="820"/>
        </w:sectPr>
      </w:pPr>
    </w:p>
    <w:p>
      <w:pPr>
        <w:spacing w:line="240" w:lineRule="auto" w:before="9"/>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789"/>
        <w:gridCol w:w="1268"/>
        <w:gridCol w:w="1522"/>
        <w:gridCol w:w="1538"/>
        <w:gridCol w:w="1275"/>
        <w:gridCol w:w="1622"/>
      </w:tblGrid>
      <w:tr>
        <w:trPr>
          <w:trHeight w:val="307" w:hRule="exact"/>
        </w:trPr>
        <w:tc>
          <w:tcPr>
            <w:tcW w:w="2789"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12" w:space="0" w:color="000000"/>
              <w:left w:val="single" w:sz="6" w:space="0" w:color="000000"/>
              <w:bottom w:val="single" w:sz="6" w:space="0" w:color="000000"/>
              <w:right w:val="single" w:sz="6" w:space="0" w:color="000000"/>
            </w:tcBorders>
          </w:tcPr>
          <w:p>
            <w:pP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66" w:right="0"/>
              <w:jc w:val="left"/>
              <w:rPr>
                <w:rFonts w:ascii="Arial Narrow" w:hAnsi="Arial Narrow" w:cs="Arial Narrow" w:eastAsia="Arial Narrow" w:hint="default"/>
                <w:sz w:val="20"/>
                <w:szCs w:val="20"/>
              </w:rPr>
            </w:pPr>
            <w:r>
              <w:rPr>
                <w:rFonts w:ascii="Arial Narrow"/>
                <w:sz w:val="20"/>
              </w:rPr>
              <w:t>128,555,862.19</w:t>
            </w:r>
          </w:p>
        </w:tc>
        <w:tc>
          <w:tcPr>
            <w:tcW w:w="15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102"/>
              <w:jc w:val="right"/>
              <w:rPr>
                <w:rFonts w:ascii="Arial Narrow" w:hAnsi="Arial Narrow" w:cs="Arial Narrow" w:eastAsia="Arial Narrow" w:hint="default"/>
                <w:sz w:val="20"/>
                <w:szCs w:val="20"/>
              </w:rPr>
            </w:pPr>
            <w:r>
              <w:rPr>
                <w:rFonts w:ascii="Arial Narrow"/>
                <w:w w:val="95"/>
                <w:sz w:val="20"/>
              </w:rPr>
              <w:t>128,555,862.19</w:t>
            </w:r>
            <w:r>
              <w:rPr>
                <w:rFonts w:ascii="Arial Narrow"/>
                <w:sz w:val="20"/>
              </w:rPr>
            </w:r>
          </w:p>
        </w:tc>
        <w:tc>
          <w:tcPr>
            <w:tcW w:w="1275" w:type="dxa"/>
            <w:tcBorders>
              <w:top w:val="single" w:sz="12" w:space="0" w:color="000000"/>
              <w:left w:val="single" w:sz="6" w:space="0" w:color="000000"/>
              <w:bottom w:val="single" w:sz="6" w:space="0" w:color="000000"/>
              <w:right w:val="single" w:sz="6" w:space="0" w:color="000000"/>
            </w:tcBorders>
          </w:tcPr>
          <w:p>
            <w:pPr/>
          </w:p>
        </w:tc>
        <w:tc>
          <w:tcPr>
            <w:tcW w:w="16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3"/>
              <w:ind w:right="106"/>
              <w:jc w:val="right"/>
              <w:rPr>
                <w:rFonts w:ascii="Arial Narrow" w:hAnsi="Arial Narrow" w:cs="Arial Narrow" w:eastAsia="Arial Narrow" w:hint="default"/>
                <w:sz w:val="20"/>
                <w:szCs w:val="20"/>
              </w:rPr>
            </w:pPr>
            <w:r>
              <w:rPr>
                <w:rFonts w:ascii="Arial Narrow"/>
                <w:w w:val="95"/>
                <w:sz w:val="20"/>
              </w:rPr>
              <w:t>125,555,862.19</w:t>
            </w:r>
            <w:r>
              <w:rPr>
                <w:rFonts w:ascii="Arial Narrow"/>
                <w:sz w:val="20"/>
              </w:rPr>
            </w:r>
          </w:p>
        </w:tc>
      </w:tr>
      <w:tr>
        <w:trPr>
          <w:trHeight w:val="56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87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宋体" w:hAnsi="宋体" w:cs="宋体" w:eastAsia="宋体" w:hint="default"/>
                <w:sz w:val="21"/>
                <w:szCs w:val="21"/>
              </w:rPr>
            </w:pPr>
            <w:r>
              <w:rPr>
                <w:rFonts w:ascii="宋体" w:hAnsi="宋体" w:cs="宋体" w:eastAsia="宋体" w:hint="default"/>
                <w:spacing w:val="-1"/>
                <w:sz w:val="21"/>
                <w:szCs w:val="21"/>
              </w:rPr>
              <w:t>减值准备金额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本年计提减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值准备金额</w:t>
            </w: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安徽森源电器有限公司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安徽鑫龙低压电器有限公司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安徽鑫龙自动化有限公司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安徽鑫龙变压器有限公司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安徽鑫龙电器元件销售有限公司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90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90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安徽鑫龙电力工程安装有限公司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芜湖扬子农村商业银行股份有限公司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0.01</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Arial Narrow" w:hAnsi="Arial Narrow" w:cs="Arial Narrow" w:eastAsia="Arial Narrow" w:hint="default"/>
                <w:sz w:val="20"/>
                <w:szCs w:val="20"/>
              </w:rPr>
            </w:pPr>
            <w:r>
              <w:rPr>
                <w:rFonts w:ascii="Arial Narrow"/>
                <w:sz w:val="20"/>
              </w:rPr>
              <w:t>0.01</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96,000.00</w:t>
            </w:r>
            <w:r>
              <w:rPr>
                <w:rFonts w:ascii="Arial Narrow"/>
                <w:sz w:val="20"/>
              </w:rPr>
            </w:r>
          </w:p>
        </w:tc>
      </w:tr>
      <w:tr>
        <w:trPr>
          <w:trHeight w:val="300"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pacing w:val="-38"/>
                <w:sz w:val="18"/>
                <w:szCs w:val="18"/>
              </w:rPr>
              <w:t>芜湖市中小企业信用担保有限公司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Arial Narrow" w:hAnsi="Arial Narrow" w:cs="Arial Narrow" w:eastAsia="Arial Narrow" w:hint="default"/>
                <w:sz w:val="20"/>
                <w:szCs w:val="20"/>
              </w:rPr>
            </w:pPr>
            <w:r>
              <w:rPr>
                <w:rFonts w:ascii="Arial Narrow"/>
                <w:sz w:val="20"/>
              </w:rPr>
              <w:t>1.00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Arial Narrow" w:hAnsi="Arial Narrow" w:cs="Arial Narrow" w:eastAsia="Arial Narrow" w:hint="default"/>
                <w:sz w:val="20"/>
                <w:szCs w:val="20"/>
              </w:rPr>
            </w:pPr>
            <w:r>
              <w:rPr>
                <w:rFonts w:ascii="Arial Narrow"/>
                <w:sz w:val="20"/>
              </w:rPr>
              <w:t>1.00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
        </w:tc>
      </w:tr>
      <w:tr>
        <w:trPr>
          <w:trHeight w:val="298" w:hRule="exact"/>
        </w:trPr>
        <w:tc>
          <w:tcPr>
            <w:tcW w:w="2789" w:type="dxa"/>
            <w:tcBorders>
              <w:top w:val="single" w:sz="6" w:space="0" w:color="000000"/>
              <w:left w:val="nil" w:sz="6" w:space="0" w:color="auto"/>
              <w:bottom w:val="single" w:sz="6" w:space="0" w:color="000000"/>
              <w:right w:val="single" w:sz="6" w:space="0" w:color="000000"/>
            </w:tcBorders>
          </w:tcPr>
          <w:p>
            <w:pPr>
              <w:pStyle w:val="TableParagraph"/>
              <w:spacing w:line="236" w:lineRule="exact"/>
              <w:ind w:left="122" w:right="0"/>
              <w:jc w:val="left"/>
              <w:rPr>
                <w:rFonts w:ascii="宋体" w:hAnsi="宋体" w:cs="宋体" w:eastAsia="宋体" w:hint="default"/>
                <w:sz w:val="19"/>
                <w:szCs w:val="19"/>
              </w:rPr>
            </w:pPr>
            <w:r>
              <w:rPr>
                <w:rFonts w:ascii="宋体" w:hAnsi="宋体" w:cs="宋体" w:eastAsia="宋体" w:hint="default"/>
                <w:spacing w:val="-39"/>
                <w:sz w:val="19"/>
                <w:szCs w:val="19"/>
              </w:rPr>
              <w:t>芜湖市鸠江中小企业信用担保有限公司</w:t>
            </w:r>
          </w:p>
        </w:tc>
        <w:tc>
          <w:tcPr>
            <w:tcW w:w="1268"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05"/>
              <w:jc w:val="right"/>
              <w:rPr>
                <w:rFonts w:ascii="Arial Narrow" w:hAnsi="Arial Narrow" w:cs="Arial Narrow" w:eastAsia="Arial Narrow" w:hint="default"/>
                <w:sz w:val="20"/>
                <w:szCs w:val="20"/>
              </w:rPr>
            </w:pPr>
            <w:r>
              <w:rPr>
                <w:rFonts w:ascii="Arial Narrow"/>
                <w:w w:val="95"/>
                <w:sz w:val="20"/>
              </w:rPr>
              <w:t>34,276.00</w:t>
            </w:r>
            <w:r>
              <w:rPr>
                <w:rFonts w:ascii="Arial Narrow"/>
                <w:sz w:val="20"/>
              </w:rPr>
            </w:r>
          </w:p>
        </w:tc>
      </w:tr>
      <w:tr>
        <w:trPr>
          <w:trHeight w:val="307" w:hRule="exact"/>
        </w:trPr>
        <w:tc>
          <w:tcPr>
            <w:tcW w:w="2789"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2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single" w:sz="6" w:space="0" w:color="000000"/>
            </w:tcBorders>
          </w:tcPr>
          <w:p>
            <w:pPr/>
          </w:p>
        </w:tc>
        <w:tc>
          <w:tcPr>
            <w:tcW w:w="1538"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
        </w:tc>
        <w:tc>
          <w:tcPr>
            <w:tcW w:w="16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20"/>
                <w:szCs w:val="20"/>
              </w:rPr>
            </w:pPr>
            <w:r>
              <w:rPr>
                <w:rFonts w:ascii="Arial Narrow"/>
                <w:w w:val="95"/>
                <w:sz w:val="20"/>
              </w:rPr>
              <w:t>130,276.00</w:t>
            </w:r>
            <w:r>
              <w:rPr>
                <w:rFonts w:ascii="Arial Narrow"/>
                <w:sz w:val="20"/>
              </w:rPr>
            </w:r>
          </w:p>
        </w:tc>
      </w:tr>
    </w:tbl>
    <w:p>
      <w:pPr>
        <w:spacing w:line="338" w:lineRule="auto" w:before="86"/>
        <w:ind w:left="978" w:right="963" w:firstLine="419"/>
        <w:jc w:val="left"/>
        <w:rPr>
          <w:rFonts w:ascii="宋体" w:hAnsi="宋体" w:cs="宋体" w:eastAsia="宋体" w:hint="default"/>
          <w:sz w:val="21"/>
          <w:szCs w:val="21"/>
        </w:rPr>
      </w:pPr>
      <w:r>
        <w:rPr>
          <w:rFonts w:ascii="宋体" w:hAnsi="宋体" w:cs="宋体" w:eastAsia="宋体" w:hint="default"/>
          <w:sz w:val="21"/>
          <w:szCs w:val="21"/>
        </w:rPr>
        <w:t>本期减少的长期股权投资 </w:t>
      </w:r>
      <w:r>
        <w:rPr>
          <w:rFonts w:ascii="Arial Narrow" w:hAnsi="Arial Narrow" w:cs="Arial Narrow" w:eastAsia="Arial Narrow" w:hint="default"/>
          <w:sz w:val="21"/>
          <w:szCs w:val="21"/>
        </w:rPr>
        <w:t>300</w:t>
      </w:r>
      <w:r>
        <w:rPr>
          <w:rFonts w:ascii="Arial Narrow" w:hAnsi="Arial Narrow" w:cs="Arial Narrow" w:eastAsia="Arial Narrow" w:hint="default"/>
          <w:spacing w:val="-22"/>
          <w:sz w:val="21"/>
          <w:szCs w:val="21"/>
        </w:rPr>
        <w:t> </w:t>
      </w:r>
      <w:r>
        <w:rPr>
          <w:rFonts w:ascii="宋体" w:hAnsi="宋体" w:cs="宋体" w:eastAsia="宋体" w:hint="default"/>
          <w:spacing w:val="-4"/>
          <w:sz w:val="21"/>
          <w:szCs w:val="21"/>
        </w:rPr>
        <w:t>万元，为收回对芜湖市鸠江中小企业信用担保有限公司投</w:t>
      </w:r>
      <w:r>
        <w:rPr>
          <w:rFonts w:ascii="宋体" w:hAnsi="宋体" w:cs="宋体" w:eastAsia="宋体" w:hint="default"/>
          <w:w w:val="100"/>
          <w:sz w:val="21"/>
          <w:szCs w:val="21"/>
        </w:rPr>
        <w:t> </w:t>
      </w:r>
      <w:r>
        <w:rPr>
          <w:rFonts w:ascii="宋体" w:hAnsi="宋体" w:cs="宋体" w:eastAsia="宋体" w:hint="default"/>
          <w:sz w:val="21"/>
          <w:szCs w:val="21"/>
        </w:rPr>
        <w:t>资。</w:t>
      </w:r>
    </w:p>
    <w:p>
      <w:pPr>
        <w:tabs>
          <w:tab w:pos="2957" w:val="left" w:leader="none"/>
        </w:tabs>
        <w:spacing w:before="169"/>
        <w:ind w:left="1398" w:right="1503"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39</w:t>
      </w:r>
      <w:r>
        <w:rPr>
          <w:rFonts w:ascii="宋体" w:hAnsi="宋体" w:cs="宋体" w:eastAsia="宋体" w:hint="default"/>
          <w:b/>
          <w:bCs/>
          <w:spacing w:val="-1"/>
          <w:sz w:val="21"/>
          <w:szCs w:val="21"/>
        </w:rPr>
        <w:t>．</w:t>
        <w:tab/>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1398" w:right="15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）营业收入、营业成本明细如下：</w:t>
      </w:r>
    </w:p>
    <w:p>
      <w:pPr>
        <w:spacing w:line="240" w:lineRule="auto" w:before="9"/>
        <w:rPr>
          <w:rFonts w:ascii="宋体" w:hAnsi="宋体" w:cs="宋体" w:eastAsia="宋体" w:hint="default"/>
          <w:sz w:val="11"/>
          <w:szCs w:val="11"/>
        </w:rPr>
      </w:pPr>
    </w:p>
    <w:tbl>
      <w:tblPr>
        <w:tblW w:w="0" w:type="auto"/>
        <w:jc w:val="left"/>
        <w:tblInd w:w="682"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6" w:val="left" w:leader="none"/>
              </w:tabs>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65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554,133,175.74</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spacing w:val="-1"/>
                <w:sz w:val="20"/>
              </w:rPr>
              <w:t>462,675,778.63</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545,967,528.98</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457,256,982.23</w:t>
            </w:r>
            <w:r>
              <w:rPr>
                <w:rFonts w:ascii="Arial Narrow"/>
                <w:sz w:val="20"/>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8,165,646.76</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5,418,796.40</w:t>
            </w:r>
            <w:r>
              <w:rPr>
                <w:rFonts w:ascii="Arial Narrow"/>
                <w:sz w:val="20"/>
              </w:rPr>
            </w:r>
          </w:p>
        </w:tc>
      </w:tr>
      <w:tr>
        <w:trPr>
          <w:trHeight w:val="35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397,551,151.88</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329,973,996.05</w:t>
            </w:r>
            <w:r>
              <w:rPr>
                <w:rFonts w:ascii="Arial Narrow"/>
                <w:sz w:val="20"/>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397,312,899.53</w:t>
            </w:r>
            <w:r>
              <w:rPr>
                <w:rFonts w:ascii="Arial Narrow"/>
                <w:sz w:val="20"/>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329,582,952.64</w:t>
            </w:r>
            <w:r>
              <w:rPr>
                <w:rFonts w:ascii="Arial Narrow"/>
                <w:sz w:val="20"/>
              </w:rPr>
            </w:r>
          </w:p>
        </w:tc>
      </w:tr>
      <w:tr>
        <w:trPr>
          <w:trHeight w:val="362"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238,252.35</w:t>
            </w:r>
            <w:r>
              <w:rPr>
                <w:rFonts w:ascii="Arial Narrow"/>
                <w:sz w:val="20"/>
              </w:rPr>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391,043.41</w:t>
            </w:r>
            <w:r>
              <w:rPr>
                <w:rFonts w:ascii="Arial Narrow"/>
                <w:sz w:val="20"/>
              </w:rPr>
            </w:r>
          </w:p>
        </w:tc>
      </w:tr>
    </w:tbl>
    <w:p>
      <w:pPr>
        <w:spacing w:before="86"/>
        <w:ind w:left="1398" w:right="15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）按产品类别分项列示如下：</w:t>
      </w:r>
    </w:p>
    <w:p>
      <w:pPr>
        <w:spacing w:line="240" w:lineRule="auto" w:before="9"/>
        <w:rPr>
          <w:rFonts w:ascii="宋体" w:hAnsi="宋体" w:cs="宋体" w:eastAsia="宋体" w:hint="default"/>
          <w:sz w:val="11"/>
          <w:szCs w:val="11"/>
        </w:rPr>
      </w:pPr>
    </w:p>
    <w:tbl>
      <w:tblPr>
        <w:tblW w:w="0" w:type="auto"/>
        <w:jc w:val="left"/>
        <w:tblInd w:w="807" w:type="dxa"/>
        <w:tblLayout w:type="fixed"/>
        <w:tblCellMar>
          <w:top w:w="0" w:type="dxa"/>
          <w:left w:w="0" w:type="dxa"/>
          <w:bottom w:w="0" w:type="dxa"/>
          <w:right w:w="0" w:type="dxa"/>
        </w:tblCellMar>
        <w:tblLook w:val="01E0"/>
      </w:tblPr>
      <w:tblGrid>
        <w:gridCol w:w="2230"/>
        <w:gridCol w:w="1596"/>
        <w:gridCol w:w="1594"/>
        <w:gridCol w:w="1596"/>
        <w:gridCol w:w="1596"/>
      </w:tblGrid>
      <w:tr>
        <w:trPr>
          <w:trHeight w:val="415" w:hRule="exact"/>
        </w:trPr>
        <w:tc>
          <w:tcPr>
            <w:tcW w:w="2230"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产品类别</w:t>
            </w:r>
          </w:p>
        </w:tc>
        <w:tc>
          <w:tcPr>
            <w:tcW w:w="31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19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106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08" w:hRule="exact"/>
        </w:trPr>
        <w:tc>
          <w:tcPr>
            <w:tcW w:w="2230" w:type="dxa"/>
            <w:vMerge/>
            <w:tcBorders>
              <w:left w:val="nil" w:sz="6" w:space="0" w:color="auto"/>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color w:val="212121"/>
                <w:sz w:val="21"/>
                <w:szCs w:val="21"/>
              </w:rPr>
              <w:t>营业收入</w:t>
            </w:r>
            <w:r>
              <w:rPr>
                <w:rFonts w:ascii="宋体" w:hAnsi="宋体" w:cs="宋体" w:eastAsia="宋体" w:hint="default"/>
                <w:sz w:val="21"/>
                <w:szCs w:val="21"/>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color w:val="212121"/>
                <w:sz w:val="21"/>
                <w:szCs w:val="21"/>
              </w:rPr>
              <w:t>营业成本</w:t>
            </w:r>
            <w:r>
              <w:rPr>
                <w:rFonts w:ascii="宋体" w:hAnsi="宋体" w:cs="宋体" w:eastAsia="宋体" w:hint="default"/>
                <w:sz w:val="21"/>
                <w:szCs w:val="21"/>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color w:val="212121"/>
                <w:sz w:val="21"/>
                <w:szCs w:val="21"/>
              </w:rPr>
              <w:t>营业收入</w:t>
            </w:r>
            <w:r>
              <w:rPr>
                <w:rFonts w:ascii="宋体" w:hAnsi="宋体" w:cs="宋体" w:eastAsia="宋体" w:hint="default"/>
                <w:sz w:val="21"/>
                <w:szCs w:val="21"/>
              </w:rPr>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color w:val="212121"/>
                <w:sz w:val="21"/>
                <w:szCs w:val="21"/>
              </w:rPr>
              <w:t>营业成本</w:t>
            </w:r>
            <w:r>
              <w:rPr>
                <w:rFonts w:ascii="宋体" w:hAnsi="宋体" w:cs="宋体" w:eastAsia="宋体" w:hint="default"/>
                <w:sz w:val="21"/>
                <w:szCs w:val="21"/>
              </w:rPr>
            </w:r>
          </w:p>
        </w:tc>
      </w:tr>
      <w:tr>
        <w:trPr>
          <w:trHeight w:val="355" w:hRule="exact"/>
        </w:trPr>
        <w:tc>
          <w:tcPr>
            <w:tcW w:w="22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高</w:t>
            </w:r>
            <w:r>
              <w:rPr>
                <w:rFonts w:ascii="宋体" w:hAnsi="宋体" w:cs="宋体" w:eastAsia="宋体" w:hint="default"/>
                <w:spacing w:val="-104"/>
                <w:w w:val="100"/>
                <w:sz w:val="21"/>
                <w:szCs w:val="21"/>
              </w:rPr>
              <w:t>、</w:t>
            </w:r>
            <w:r>
              <w:rPr>
                <w:rFonts w:ascii="宋体" w:hAnsi="宋体" w:cs="宋体" w:eastAsia="宋体" w:hint="default"/>
                <w:spacing w:val="-1"/>
                <w:w w:val="100"/>
                <w:sz w:val="21"/>
                <w:szCs w:val="21"/>
              </w:rPr>
              <w:t>低</w:t>
            </w:r>
            <w:r>
              <w:rPr>
                <w:rFonts w:ascii="宋体" w:hAnsi="宋体" w:cs="宋体" w:eastAsia="宋体" w:hint="default"/>
                <w:spacing w:val="-3"/>
                <w:w w:val="100"/>
                <w:sz w:val="21"/>
                <w:szCs w:val="21"/>
              </w:rPr>
              <w:t>压</w:t>
            </w:r>
            <w:r>
              <w:rPr>
                <w:rFonts w:ascii="宋体" w:hAnsi="宋体" w:cs="宋体" w:eastAsia="宋体" w:hint="default"/>
                <w:w w:val="100"/>
                <w:sz w:val="21"/>
                <w:szCs w:val="21"/>
              </w:rPr>
              <w:t>成</w:t>
            </w:r>
            <w:r>
              <w:rPr>
                <w:rFonts w:ascii="宋体" w:hAnsi="宋体" w:cs="宋体" w:eastAsia="宋体" w:hint="default"/>
                <w:spacing w:val="-3"/>
                <w:w w:val="100"/>
                <w:sz w:val="21"/>
                <w:szCs w:val="21"/>
              </w:rPr>
              <w:t>套</w:t>
            </w:r>
            <w:r>
              <w:rPr>
                <w:rFonts w:ascii="宋体" w:hAnsi="宋体" w:cs="宋体" w:eastAsia="宋体" w:hint="default"/>
                <w:w w:val="100"/>
                <w:sz w:val="21"/>
                <w:szCs w:val="21"/>
              </w:rPr>
              <w:t>开</w:t>
            </w:r>
            <w:r>
              <w:rPr>
                <w:rFonts w:ascii="宋体" w:hAnsi="宋体" w:cs="宋体" w:eastAsia="宋体" w:hint="default"/>
                <w:spacing w:val="-3"/>
                <w:w w:val="100"/>
                <w:sz w:val="21"/>
                <w:szCs w:val="21"/>
              </w:rPr>
              <w:t>关</w:t>
            </w:r>
            <w:r>
              <w:rPr>
                <w:rFonts w:ascii="宋体" w:hAnsi="宋体" w:cs="宋体" w:eastAsia="宋体" w:hint="default"/>
                <w:w w:val="100"/>
                <w:sz w:val="21"/>
                <w:szCs w:val="21"/>
              </w:rPr>
              <w:t>设备</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494,035,441.65</w:t>
            </w:r>
            <w:r>
              <w:rPr>
                <w:rFonts w:ascii="Arial Narrow"/>
                <w:sz w:val="20"/>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0"/>
                <w:szCs w:val="20"/>
              </w:rPr>
            </w:pPr>
            <w:r>
              <w:rPr>
                <w:rFonts w:ascii="Arial Narrow"/>
                <w:w w:val="95"/>
                <w:sz w:val="20"/>
              </w:rPr>
              <w:t>362,828,967.76</w:t>
            </w:r>
            <w:r>
              <w:rPr>
                <w:rFonts w:ascii="Arial Narrow"/>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442,004,671.62</w:t>
            </w:r>
            <w:r>
              <w:rPr>
                <w:rFonts w:ascii="Arial Narrow"/>
                <w:sz w:val="20"/>
              </w:rPr>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318,416,968.35</w:t>
            </w:r>
            <w:r>
              <w:rPr>
                <w:rFonts w:ascii="Arial Narrow"/>
                <w:sz w:val="20"/>
              </w:rPr>
            </w:r>
          </w:p>
        </w:tc>
      </w:tr>
      <w:tr>
        <w:trPr>
          <w:trHeight w:val="475" w:hRule="exact"/>
        </w:trPr>
        <w:tc>
          <w:tcPr>
            <w:tcW w:w="22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元器件</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Arial Narrow" w:hAnsi="Arial Narrow" w:cs="Arial Narrow" w:eastAsia="Arial Narrow" w:hint="default"/>
                <w:sz w:val="20"/>
                <w:szCs w:val="20"/>
              </w:rPr>
            </w:pPr>
            <w:r>
              <w:rPr>
                <w:rFonts w:ascii="Arial Narrow"/>
                <w:w w:val="95"/>
                <w:sz w:val="20"/>
              </w:rPr>
              <w:t>38,013,008.69</w:t>
            </w:r>
            <w:r>
              <w:rPr>
                <w:rFonts w:ascii="Arial Narrow"/>
                <w:sz w:val="20"/>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Arial Narrow" w:hAnsi="Arial Narrow" w:cs="Arial Narrow" w:eastAsia="Arial Narrow" w:hint="default"/>
                <w:sz w:val="20"/>
                <w:szCs w:val="20"/>
              </w:rPr>
            </w:pPr>
            <w:r>
              <w:rPr>
                <w:rFonts w:ascii="Arial Narrow"/>
                <w:w w:val="95"/>
                <w:sz w:val="20"/>
              </w:rPr>
              <w:t>25,276,941.19</w:t>
            </w:r>
            <w:r>
              <w:rPr>
                <w:rFonts w:ascii="Arial Narrow"/>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Arial Narrow" w:hAnsi="Arial Narrow" w:cs="Arial Narrow" w:eastAsia="Arial Narrow" w:hint="default"/>
                <w:sz w:val="20"/>
                <w:szCs w:val="20"/>
              </w:rPr>
            </w:pPr>
            <w:r>
              <w:rPr>
                <w:rFonts w:ascii="Arial Narrow"/>
                <w:w w:val="95"/>
                <w:sz w:val="20"/>
              </w:rPr>
              <w:t>4,497,253.46</w:t>
            </w:r>
            <w:r>
              <w:rPr>
                <w:rFonts w:ascii="Arial Narrow"/>
                <w:sz w:val="20"/>
              </w:rPr>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6"/>
              <w:jc w:val="right"/>
              <w:rPr>
                <w:rFonts w:ascii="Arial Narrow" w:hAnsi="Arial Narrow" w:cs="Arial Narrow" w:eastAsia="Arial Narrow" w:hint="default"/>
                <w:sz w:val="20"/>
                <w:szCs w:val="20"/>
              </w:rPr>
            </w:pPr>
            <w:r>
              <w:rPr>
                <w:rFonts w:ascii="Arial Narrow"/>
                <w:spacing w:val="-3"/>
                <w:sz w:val="20"/>
              </w:rPr>
              <w:t>3,785,111.77</w:t>
            </w:r>
          </w:p>
        </w:tc>
      </w:tr>
      <w:tr>
        <w:trPr>
          <w:trHeight w:val="353" w:hRule="exact"/>
        </w:trPr>
        <w:tc>
          <w:tcPr>
            <w:tcW w:w="223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自动化产品</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13,919,078.64</w:t>
            </w:r>
            <w:r>
              <w:rPr>
                <w:rFonts w:ascii="Arial Narrow"/>
                <w:sz w:val="20"/>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Arial Narrow" w:hAnsi="Arial Narrow" w:cs="Arial Narrow" w:eastAsia="Arial Narrow" w:hint="default"/>
                <w:sz w:val="20"/>
                <w:szCs w:val="20"/>
              </w:rPr>
            </w:pPr>
            <w:r>
              <w:rPr>
                <w:rFonts w:ascii="Arial Narrow"/>
                <w:w w:val="95"/>
                <w:sz w:val="20"/>
              </w:rPr>
              <w:t>9,206,990.58</w:t>
            </w:r>
            <w:r>
              <w:rPr>
                <w:rFonts w:ascii="Arial Narrow"/>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Arial Narrow" w:hAnsi="Arial Narrow" w:cs="Arial Narrow" w:eastAsia="Arial Narrow" w:hint="default"/>
                <w:sz w:val="20"/>
                <w:szCs w:val="20"/>
              </w:rPr>
            </w:pPr>
            <w:r>
              <w:rPr>
                <w:rFonts w:ascii="Arial Narrow"/>
                <w:w w:val="95"/>
                <w:sz w:val="20"/>
              </w:rPr>
              <w:t>10,755,057.15</w:t>
            </w:r>
            <w:r>
              <w:rPr>
                <w:rFonts w:ascii="Arial Narrow"/>
                <w:sz w:val="20"/>
              </w:rPr>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0"/>
                <w:szCs w:val="20"/>
              </w:rPr>
            </w:pPr>
            <w:r>
              <w:rPr>
                <w:rFonts w:ascii="Arial Narrow"/>
                <w:w w:val="95"/>
                <w:sz w:val="20"/>
              </w:rPr>
              <w:t>7,380,872.52</w:t>
            </w:r>
            <w:r>
              <w:rPr>
                <w:rFonts w:ascii="Arial Narrow"/>
                <w:sz w:val="20"/>
              </w:rPr>
            </w:r>
          </w:p>
        </w:tc>
      </w:tr>
      <w:tr>
        <w:trPr>
          <w:trHeight w:val="356" w:hRule="exact"/>
        </w:trPr>
        <w:tc>
          <w:tcPr>
            <w:tcW w:w="22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Narrow" w:hAnsi="Arial Narrow" w:cs="Arial Narrow" w:eastAsia="Arial Narrow" w:hint="default"/>
                <w:sz w:val="20"/>
                <w:szCs w:val="20"/>
              </w:rPr>
            </w:pPr>
            <w:r>
              <w:rPr>
                <w:rFonts w:ascii="Arial Narrow"/>
                <w:w w:val="95"/>
                <w:sz w:val="20"/>
              </w:rPr>
              <w:t>8,165,646.76</w:t>
            </w:r>
            <w:r>
              <w:rPr>
                <w:rFonts w:ascii="Arial Narrow"/>
                <w:sz w:val="20"/>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Arial Narrow" w:hAnsi="Arial Narrow" w:cs="Arial Narrow" w:eastAsia="Arial Narrow" w:hint="default"/>
                <w:sz w:val="20"/>
                <w:szCs w:val="20"/>
              </w:rPr>
            </w:pPr>
            <w:r>
              <w:rPr>
                <w:rFonts w:ascii="Arial Narrow"/>
                <w:w w:val="95"/>
                <w:sz w:val="20"/>
              </w:rPr>
              <w:t>238,252.35</w:t>
            </w:r>
            <w:r>
              <w:rPr>
                <w:rFonts w:ascii="Arial Narrow"/>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Arial Narrow" w:hAnsi="Arial Narrow" w:cs="Arial Narrow" w:eastAsia="Arial Narrow" w:hint="default"/>
                <w:sz w:val="20"/>
                <w:szCs w:val="20"/>
              </w:rPr>
            </w:pPr>
            <w:r>
              <w:rPr>
                <w:rFonts w:ascii="Arial Narrow"/>
                <w:w w:val="95"/>
                <w:sz w:val="20"/>
              </w:rPr>
              <w:t>5,418,796.40</w:t>
            </w:r>
            <w:r>
              <w:rPr>
                <w:rFonts w:ascii="Arial Narrow"/>
                <w:sz w:val="20"/>
              </w:rPr>
            </w:r>
          </w:p>
        </w:tc>
        <w:tc>
          <w:tcPr>
            <w:tcW w:w="15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0"/>
                <w:szCs w:val="20"/>
              </w:rPr>
            </w:pPr>
            <w:r>
              <w:rPr>
                <w:rFonts w:ascii="Arial Narrow"/>
                <w:w w:val="95"/>
                <w:sz w:val="20"/>
              </w:rPr>
              <w:t>391,043.41</w:t>
            </w:r>
            <w:r>
              <w:rPr>
                <w:rFonts w:ascii="Arial Narrow"/>
                <w:sz w:val="20"/>
              </w:rPr>
            </w:r>
          </w:p>
        </w:tc>
      </w:tr>
      <w:tr>
        <w:trPr>
          <w:trHeight w:val="418" w:hRule="exact"/>
        </w:trPr>
        <w:tc>
          <w:tcPr>
            <w:tcW w:w="22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23" w:right="0"/>
              <w:jc w:val="center"/>
              <w:rPr>
                <w:rFonts w:ascii="宋体" w:hAnsi="宋体" w:cs="宋体" w:eastAsia="宋体" w:hint="default"/>
                <w:sz w:val="21"/>
                <w:szCs w:val="21"/>
              </w:rPr>
            </w:pPr>
            <w:r>
              <w:rPr>
                <w:rFonts w:ascii="宋体" w:hAnsi="宋体" w:cs="宋体" w:eastAsia="宋体" w:hint="default"/>
                <w:color w:val="212121"/>
                <w:sz w:val="21"/>
                <w:szCs w:val="21"/>
              </w:rPr>
              <w:t>合计</w:t>
            </w:r>
            <w:r>
              <w:rPr>
                <w:rFonts w:ascii="宋体" w:hAnsi="宋体" w:cs="宋体" w:eastAsia="宋体" w:hint="default"/>
                <w:sz w:val="21"/>
                <w:szCs w:val="21"/>
              </w:rPr>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Arial Narrow" w:hAnsi="Arial Narrow" w:cs="Arial Narrow" w:eastAsia="Arial Narrow" w:hint="default"/>
                <w:sz w:val="20"/>
                <w:szCs w:val="20"/>
              </w:rPr>
            </w:pPr>
            <w:r>
              <w:rPr>
                <w:rFonts w:ascii="Arial Narrow"/>
                <w:w w:val="95"/>
                <w:sz w:val="20"/>
              </w:rPr>
              <w:t>554,133,175.74</w:t>
            </w:r>
            <w:r>
              <w:rPr>
                <w:rFonts w:ascii="Arial Narrow"/>
                <w:sz w:val="20"/>
              </w:rPr>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6"/>
              <w:jc w:val="right"/>
              <w:rPr>
                <w:rFonts w:ascii="Arial Narrow" w:hAnsi="Arial Narrow" w:cs="Arial Narrow" w:eastAsia="Arial Narrow" w:hint="default"/>
                <w:sz w:val="20"/>
                <w:szCs w:val="20"/>
              </w:rPr>
            </w:pPr>
            <w:r>
              <w:rPr>
                <w:rFonts w:ascii="Arial Narrow"/>
                <w:w w:val="95"/>
                <w:sz w:val="20"/>
              </w:rPr>
              <w:t>397,551,151.88</w:t>
            </w:r>
            <w:r>
              <w:rPr>
                <w:rFonts w:ascii="Arial Narrow"/>
                <w:sz w:val="20"/>
              </w:rPr>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Arial Narrow" w:hAnsi="Arial Narrow" w:cs="Arial Narrow" w:eastAsia="Arial Narrow" w:hint="default"/>
                <w:sz w:val="20"/>
                <w:szCs w:val="20"/>
              </w:rPr>
            </w:pPr>
            <w:r>
              <w:rPr>
                <w:rFonts w:ascii="Arial Narrow"/>
                <w:w w:val="95"/>
                <w:sz w:val="20"/>
              </w:rPr>
              <w:t>462,675,778.63</w:t>
            </w:r>
            <w:r>
              <w:rPr>
                <w:rFonts w:ascii="Arial Narrow"/>
                <w:sz w:val="20"/>
              </w:rPr>
            </w:r>
          </w:p>
        </w:tc>
        <w:tc>
          <w:tcPr>
            <w:tcW w:w="15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105"/>
              <w:jc w:val="right"/>
              <w:rPr>
                <w:rFonts w:ascii="Arial Narrow" w:hAnsi="Arial Narrow" w:cs="Arial Narrow" w:eastAsia="Arial Narrow" w:hint="default"/>
                <w:sz w:val="20"/>
                <w:szCs w:val="20"/>
              </w:rPr>
            </w:pPr>
            <w:r>
              <w:rPr>
                <w:rFonts w:ascii="Arial Narrow"/>
                <w:w w:val="95"/>
                <w:sz w:val="20"/>
              </w:rPr>
              <w:t>329,973,996.05</w:t>
            </w:r>
            <w:r>
              <w:rPr>
                <w:rFonts w:ascii="Arial Narrow"/>
                <w:sz w:val="20"/>
              </w:rPr>
            </w:r>
          </w:p>
        </w:tc>
      </w:tr>
    </w:tbl>
    <w:p>
      <w:pPr>
        <w:spacing w:before="86"/>
        <w:ind w:left="1398" w:right="15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3</w:t>
      </w:r>
      <w:r>
        <w:rPr>
          <w:rFonts w:ascii="宋体" w:hAnsi="宋体" w:cs="宋体" w:eastAsia="宋体" w:hint="default"/>
          <w:sz w:val="21"/>
          <w:szCs w:val="21"/>
        </w:rPr>
        <w:t>）前五名销售客户收入总额及占全部销售收入的比例：</w:t>
      </w:r>
    </w:p>
    <w:p>
      <w:pPr>
        <w:spacing w:line="240" w:lineRule="auto" w:before="9"/>
        <w:rPr>
          <w:rFonts w:ascii="宋体" w:hAnsi="宋体" w:cs="宋体" w:eastAsia="宋体" w:hint="default"/>
          <w:sz w:val="11"/>
          <w:szCs w:val="11"/>
        </w:rPr>
      </w:pPr>
    </w:p>
    <w:tbl>
      <w:tblPr>
        <w:tblW w:w="0" w:type="auto"/>
        <w:jc w:val="left"/>
        <w:tblInd w:w="682" w:type="dxa"/>
        <w:tblLayout w:type="fixed"/>
        <w:tblCellMar>
          <w:top w:w="0" w:type="dxa"/>
          <w:left w:w="0" w:type="dxa"/>
          <w:bottom w:w="0" w:type="dxa"/>
          <w:right w:w="0" w:type="dxa"/>
        </w:tblCellMar>
        <w:tblLook w:val="01E0"/>
      </w:tblPr>
      <w:tblGrid>
        <w:gridCol w:w="2969"/>
        <w:gridCol w:w="2945"/>
        <w:gridCol w:w="2945"/>
      </w:tblGrid>
      <w:tr>
        <w:trPr>
          <w:trHeight w:val="415"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6"/>
              <w:ind w:left="23" w:right="0"/>
              <w:jc w:val="center"/>
              <w:rPr>
                <w:rFonts w:ascii="宋体" w:hAnsi="宋体" w:cs="宋体" w:eastAsia="宋体" w:hint="default"/>
                <w:sz w:val="21"/>
                <w:szCs w:val="21"/>
              </w:rPr>
            </w:pPr>
            <w:r>
              <w:rPr>
                <w:rFonts w:ascii="宋体" w:hAnsi="宋体" w:cs="宋体" w:eastAsia="宋体" w:hint="default"/>
                <w:color w:val="212121"/>
                <w:sz w:val="21"/>
                <w:szCs w:val="21"/>
              </w:rPr>
              <w:t>项目</w:t>
            </w:r>
            <w:r>
              <w:rPr>
                <w:rFonts w:ascii="宋体" w:hAnsi="宋体" w:cs="宋体" w:eastAsia="宋体" w:hint="default"/>
                <w:sz w:val="21"/>
                <w:szCs w:val="21"/>
              </w:rPr>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93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20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0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Narrow" w:hAnsi="Arial Narrow" w:cs="Arial Narrow" w:eastAsia="Arial Narrow" w:hint="default"/>
                <w:sz w:val="20"/>
                <w:szCs w:val="20"/>
              </w:rPr>
            </w:pPr>
            <w:r>
              <w:rPr>
                <w:rFonts w:ascii="Arial Narrow"/>
                <w:w w:val="95"/>
                <w:sz w:val="20"/>
              </w:rPr>
              <w:t>38,856,446.24</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7.01%</w:t>
            </w:r>
          </w:p>
        </w:tc>
      </w:tr>
      <w:tr>
        <w:trPr>
          <w:trHeight w:val="40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Narrow" w:hAnsi="Arial Narrow" w:cs="Arial Narrow" w:eastAsia="Arial Narrow" w:hint="default"/>
                <w:sz w:val="20"/>
                <w:szCs w:val="20"/>
              </w:rPr>
            </w:pPr>
            <w:r>
              <w:rPr>
                <w:rFonts w:ascii="Arial Narrow"/>
                <w:w w:val="95"/>
                <w:sz w:val="20"/>
              </w:rPr>
              <w:t>31,132,405.98</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5.62%</w:t>
            </w:r>
          </w:p>
        </w:tc>
      </w:tr>
      <w:tr>
        <w:trPr>
          <w:trHeight w:val="41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Narrow" w:hAnsi="Arial Narrow" w:cs="Arial Narrow" w:eastAsia="Arial Narrow" w:hint="default"/>
                <w:sz w:val="20"/>
                <w:szCs w:val="20"/>
              </w:rPr>
            </w:pPr>
            <w:r>
              <w:rPr>
                <w:rFonts w:ascii="Arial Narrow"/>
                <w:w w:val="95"/>
                <w:sz w:val="20"/>
              </w:rPr>
              <w:t>22,380,924.15</w:t>
            </w:r>
            <w:r>
              <w:rPr>
                <w:rFonts w:ascii="Arial Narrow"/>
                <w:sz w:val="20"/>
              </w:rPr>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4.04%</w:t>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820" w:right="820"/>
        </w:sectPr>
      </w:pPr>
    </w:p>
    <w:p>
      <w:pPr>
        <w:spacing w:line="240" w:lineRule="auto" w:before="9"/>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2969"/>
        <w:gridCol w:w="2945"/>
        <w:gridCol w:w="2945"/>
      </w:tblGrid>
      <w:tr>
        <w:trPr>
          <w:trHeight w:val="416"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Arial Narrow" w:hAnsi="Arial Narrow" w:cs="Arial Narrow" w:eastAsia="Arial Narrow" w:hint="default"/>
                <w:sz w:val="20"/>
                <w:szCs w:val="20"/>
              </w:rPr>
            </w:pPr>
            <w:r>
              <w:rPr>
                <w:rFonts w:ascii="Arial Narrow"/>
                <w:w w:val="95"/>
                <w:sz w:val="20"/>
              </w:rPr>
              <w:t>17,697,179.49</w:t>
            </w:r>
            <w:r>
              <w:rPr>
                <w:rFonts w:ascii="Arial Narrow"/>
                <w:sz w:val="20"/>
              </w:rPr>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3.19%</w:t>
            </w:r>
          </w:p>
        </w:tc>
      </w:tr>
      <w:tr>
        <w:trPr>
          <w:trHeight w:val="408"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Arial Narrow" w:hAnsi="Arial Narrow" w:cs="Arial Narrow" w:eastAsia="Arial Narrow" w:hint="default"/>
                <w:sz w:val="20"/>
                <w:szCs w:val="20"/>
              </w:rPr>
            </w:pPr>
            <w:r>
              <w:rPr>
                <w:rFonts w:ascii="Arial Narrow"/>
                <w:w w:val="95"/>
                <w:sz w:val="20"/>
              </w:rPr>
              <w:t>14,210,138.46</w:t>
            </w:r>
            <w:r>
              <w:rPr>
                <w:rFonts w:ascii="Arial Narrow"/>
                <w:sz w:val="20"/>
              </w:rPr>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2.56%</w:t>
            </w:r>
          </w:p>
        </w:tc>
      </w:tr>
      <w:tr>
        <w:trPr>
          <w:trHeight w:val="41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前五名客户收入总额</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98"/>
              <w:jc w:val="right"/>
              <w:rPr>
                <w:rFonts w:ascii="Arial Narrow" w:hAnsi="Arial Narrow" w:cs="Arial Narrow" w:eastAsia="Arial Narrow" w:hint="default"/>
                <w:sz w:val="20"/>
                <w:szCs w:val="20"/>
              </w:rPr>
            </w:pPr>
            <w:r>
              <w:rPr>
                <w:rFonts w:ascii="Arial Narrow"/>
                <w:w w:val="95"/>
                <w:sz w:val="20"/>
              </w:rPr>
              <w:t>124,277,094.32</w:t>
            </w:r>
            <w:r>
              <w:rPr>
                <w:rFonts w:ascii="Arial Narrow"/>
                <w:sz w:val="20"/>
              </w:rPr>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6"/>
              <w:ind w:right="104"/>
              <w:jc w:val="right"/>
              <w:rPr>
                <w:rFonts w:ascii="Arial Narrow" w:hAnsi="Arial Narrow" w:cs="Arial Narrow" w:eastAsia="Arial Narrow" w:hint="default"/>
                <w:sz w:val="20"/>
                <w:szCs w:val="20"/>
              </w:rPr>
            </w:pPr>
            <w:r>
              <w:rPr>
                <w:rFonts w:ascii="Arial Narrow"/>
                <w:sz w:val="20"/>
              </w:rPr>
              <w:t>22.43%</w:t>
            </w:r>
          </w:p>
        </w:tc>
      </w:tr>
    </w:tbl>
    <w:p>
      <w:pPr>
        <w:tabs>
          <w:tab w:pos="2377" w:val="left" w:leader="none"/>
        </w:tabs>
        <w:spacing w:before="86"/>
        <w:ind w:left="818" w:right="283"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40</w:t>
      </w:r>
      <w:r>
        <w:rPr>
          <w:rFonts w:ascii="宋体" w:hAnsi="宋体" w:cs="宋体" w:eastAsia="宋体" w:hint="default"/>
          <w:b/>
          <w:bCs/>
          <w:spacing w:val="-1"/>
          <w:sz w:val="21"/>
          <w:szCs w:val="21"/>
        </w:rPr>
        <w:t>．</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6090"/>
        <w:gridCol w:w="1414"/>
        <w:gridCol w:w="1356"/>
      </w:tblGrid>
      <w:tr>
        <w:trPr>
          <w:trHeight w:val="391" w:hRule="exact"/>
        </w:trPr>
        <w:tc>
          <w:tcPr>
            <w:tcW w:w="609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278"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3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left="24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将净利润调节为经营活动现金流量：</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32,468,564.03</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27,507,520.56</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2"/>
              <w:jc w:val="right"/>
              <w:rPr>
                <w:rFonts w:ascii="Arial Narrow" w:hAnsi="Arial Narrow" w:cs="Arial Narrow" w:eastAsia="Arial Narrow" w:hint="default"/>
                <w:sz w:val="20"/>
                <w:szCs w:val="20"/>
              </w:rPr>
            </w:pPr>
            <w:r>
              <w:rPr>
                <w:rFonts w:ascii="Arial Narrow"/>
                <w:spacing w:val="-1"/>
                <w:w w:val="95"/>
                <w:sz w:val="20"/>
              </w:rPr>
              <w:t>4,118,490.32</w:t>
            </w:r>
            <w:r>
              <w:rPr>
                <w:rFonts w:ascii="Arial Narrow"/>
                <w:spacing w:val="-1"/>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1,257,571.75</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6,224,610.99</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5,376,080.70</w:t>
            </w:r>
            <w:r>
              <w:rPr>
                <w:rFonts w:ascii="Arial Narrow"/>
                <w:sz w:val="20"/>
              </w:rPr>
            </w:r>
          </w:p>
        </w:tc>
      </w:tr>
      <w:tr>
        <w:trPr>
          <w:trHeight w:val="385"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402,266.64</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395,455.16</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-74,216.58</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3"/>
              <w:ind w:right="105"/>
              <w:jc w:val="right"/>
              <w:rPr>
                <w:rFonts w:ascii="Arial Narrow" w:hAnsi="Arial Narrow" w:cs="Arial Narrow" w:eastAsia="Arial Narrow" w:hint="default"/>
                <w:sz w:val="20"/>
                <w:szCs w:val="20"/>
              </w:rPr>
            </w:pPr>
            <w:r>
              <w:rPr>
                <w:rFonts w:ascii="Arial Narrow"/>
                <w:w w:val="95"/>
                <w:sz w:val="20"/>
              </w:rPr>
              <w:t>-68,510.00</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10,481,010.84</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12,399,650.62</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-130,276.00</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-100,000.00</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-616,814.40</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0"/>
                <w:szCs w:val="20"/>
              </w:rPr>
            </w:pPr>
            <w:r>
              <w:rPr>
                <w:rFonts w:ascii="Arial Narrow"/>
                <w:w w:val="95"/>
                <w:sz w:val="20"/>
              </w:rPr>
              <w:t>-101,561.13</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-147,591,696.36</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-63,460,493.34</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-154,774,854.65</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-19,449,375.73</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127,459,186.53</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83,131,723.55</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2"/>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-122,033,728.64</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46,888,062.14</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5"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147,749,529.65</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155,010,423.75</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155,010,423.75</w:t>
            </w:r>
            <w:r>
              <w:rPr>
                <w:rFonts w:ascii="Arial Narrow"/>
                <w:sz w:val="20"/>
              </w:rPr>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22,138,353.61</w:t>
            </w:r>
            <w:r>
              <w:rPr>
                <w:rFonts w:ascii="Arial Narrow"/>
                <w:sz w:val="20"/>
              </w:rPr>
            </w: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60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14"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60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-7,260,894.10</w:t>
            </w:r>
            <w:r>
              <w:rPr>
                <w:rFonts w:ascii="Arial Narrow"/>
                <w:sz w:val="20"/>
              </w:rPr>
            </w:r>
          </w:p>
        </w:tc>
        <w:tc>
          <w:tcPr>
            <w:tcW w:w="13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7"/>
              <w:ind w:right="105"/>
              <w:jc w:val="right"/>
              <w:rPr>
                <w:rFonts w:ascii="Arial Narrow" w:hAnsi="Arial Narrow" w:cs="Arial Narrow" w:eastAsia="Arial Narrow" w:hint="default"/>
                <w:sz w:val="20"/>
                <w:szCs w:val="20"/>
              </w:rPr>
            </w:pPr>
            <w:r>
              <w:rPr>
                <w:rFonts w:ascii="Arial Narrow"/>
                <w:w w:val="95"/>
                <w:sz w:val="20"/>
              </w:rPr>
              <w:t>132,872,070.14</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816" w:footer="858" w:top="1160" w:bottom="1040" w:left="1400" w:right="1400"/>
        </w:sectPr>
      </w:pPr>
    </w:p>
    <w:p>
      <w:pPr>
        <w:spacing w:line="240" w:lineRule="auto" w:before="8"/>
        <w:rPr>
          <w:rFonts w:ascii="宋体" w:hAnsi="宋体" w:cs="宋体" w:eastAsia="宋体" w:hint="default"/>
          <w:b/>
          <w:bCs/>
          <w:sz w:val="14"/>
          <w:szCs w:val="14"/>
        </w:rPr>
      </w:pPr>
    </w:p>
    <w:p>
      <w:pPr>
        <w:pStyle w:val="BodyText"/>
        <w:spacing w:line="240" w:lineRule="auto" w:before="26"/>
        <w:ind w:left="518" w:right="0"/>
        <w:jc w:val="left"/>
        <w:rPr>
          <w:rFonts w:ascii="黑体" w:hAnsi="黑体" w:cs="黑体" w:eastAsia="黑体" w:hint="default"/>
        </w:rPr>
      </w:pPr>
      <w:r>
        <w:rPr>
          <w:rFonts w:ascii="黑体" w:hAnsi="黑体" w:cs="黑体" w:eastAsia="黑体" w:hint="default"/>
        </w:rPr>
        <w:t>六、关联方关系及其交易</w:t>
      </w:r>
    </w:p>
    <w:p>
      <w:pPr>
        <w:spacing w:line="240" w:lineRule="auto" w:before="12"/>
        <w:rPr>
          <w:rFonts w:ascii="黑体" w:hAnsi="黑体" w:cs="黑体" w:eastAsia="黑体" w:hint="default"/>
          <w:sz w:val="20"/>
          <w:szCs w:val="20"/>
        </w:rPr>
      </w:pPr>
    </w:p>
    <w:p>
      <w:pPr>
        <w:spacing w:before="0"/>
        <w:ind w:left="518" w:right="0" w:firstLine="0"/>
        <w:jc w:val="left"/>
        <w:rPr>
          <w:rFonts w:ascii="宋体" w:hAnsi="宋体" w:cs="宋体" w:eastAsia="宋体" w:hint="default"/>
          <w:sz w:val="21"/>
          <w:szCs w:val="21"/>
        </w:rPr>
      </w:pPr>
      <w:r>
        <w:rPr>
          <w:rFonts w:ascii="宋体" w:hAnsi="宋体" w:cs="宋体" w:eastAsia="宋体" w:hint="default"/>
          <w:sz w:val="22"/>
          <w:szCs w:val="22"/>
        </w:rPr>
        <w:t>（一</w:t>
      </w:r>
      <w:r>
        <w:rPr>
          <w:rFonts w:ascii="宋体" w:hAnsi="宋体" w:cs="宋体" w:eastAsia="宋体" w:hint="default"/>
          <w:b/>
          <w:bCs/>
          <w:sz w:val="22"/>
          <w:szCs w:val="22"/>
        </w:rPr>
        <w:t>）</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578" w:right="0" w:firstLine="0"/>
        <w:jc w:val="left"/>
        <w:rPr>
          <w:rFonts w:ascii="宋体" w:hAnsi="宋体" w:cs="宋体" w:eastAsia="宋体" w:hint="default"/>
          <w:sz w:val="21"/>
          <w:szCs w:val="21"/>
        </w:rPr>
      </w:pPr>
      <w:r>
        <w:rPr/>
        <w:pict>
          <v:group style="position:absolute;margin-left:87.744003pt;margin-top:21.847664pt;width:471pt;height:379.55pt;mso-position-horizontal-relative:page;mso-position-vertical-relative:paragraph;z-index:-607936" coordorigin="1755,437" coordsize="9420,7591">
            <v:group style="position:absolute;left:1769;top:451;width:1642;height:2" coordorigin="1769,451" coordsize="1642,2">
              <v:shape style="position:absolute;left:1769;top:451;width:1642;height:2" coordorigin="1769,451" coordsize="1642,0" path="m1769,451l3411,451e" filled="false" stroked="true" strokeweight="1.44pt" strokecolor="#000000">
                <v:path arrowok="t"/>
              </v:shape>
            </v:group>
            <v:group style="position:absolute;left:3411;top:451;width:29;height:2" coordorigin="3411,451" coordsize="29,2">
              <v:shape style="position:absolute;left:3411;top:451;width:29;height:2" coordorigin="3411,451" coordsize="29,0" path="m3411,451l3440,451e" filled="false" stroked="true" strokeweight="1.44pt" strokecolor="#000000">
                <v:path arrowok="t"/>
              </v:shape>
            </v:group>
            <v:group style="position:absolute;left:3440;top:451;width:872;height:2" coordorigin="3440,451" coordsize="872,2">
              <v:shape style="position:absolute;left:3440;top:451;width:872;height:2" coordorigin="3440,451" coordsize="872,0" path="m3440,451l4311,451e" filled="false" stroked="true" strokeweight="1.44pt" strokecolor="#000000">
                <v:path arrowok="t"/>
              </v:shape>
            </v:group>
            <v:group style="position:absolute;left:4311;top:451;width:29;height:2" coordorigin="4311,451" coordsize="29,2">
              <v:shape style="position:absolute;left:4311;top:451;width:29;height:2" coordorigin="4311,451" coordsize="29,0" path="m4311,451l4340,451e" filled="false" stroked="true" strokeweight="1.44pt" strokecolor="#000000">
                <v:path arrowok="t"/>
              </v:shape>
            </v:group>
            <v:group style="position:absolute;left:4340;top:451;width:3032;height:2" coordorigin="4340,451" coordsize="3032,2">
              <v:shape style="position:absolute;left:4340;top:451;width:3032;height:2" coordorigin="4340,451" coordsize="3032,0" path="m4340,451l7372,451e" filled="false" stroked="true" strokeweight="1.44pt" strokecolor="#000000">
                <v:path arrowok="t"/>
              </v:shape>
            </v:group>
            <v:group style="position:absolute;left:7372;top:451;width:29;height:2" coordorigin="7372,451" coordsize="29,2">
              <v:shape style="position:absolute;left:7372;top:451;width:29;height:2" coordorigin="7372,451" coordsize="29,0" path="m7372,451l7401,451e" filled="false" stroked="true" strokeweight="1.44pt" strokecolor="#000000">
                <v:path arrowok="t"/>
              </v:shape>
            </v:group>
            <v:group style="position:absolute;left:7401;top:451;width:1412;height:2" coordorigin="7401,451" coordsize="1412,2">
              <v:shape style="position:absolute;left:7401;top:451;width:1412;height:2" coordorigin="7401,451" coordsize="1412,0" path="m7401,451l8812,451e" filled="false" stroked="true" strokeweight="1.44pt" strokecolor="#000000">
                <v:path arrowok="t"/>
              </v:shape>
            </v:group>
            <v:group style="position:absolute;left:8812;top:451;width:30;height:2" coordorigin="8812,451" coordsize="30,2">
              <v:shape style="position:absolute;left:8812;top:451;width:30;height:2" coordorigin="8812,451" coordsize="30,0" path="m8812,451l8841,451e" filled="false" stroked="true" strokeweight="1.44pt" strokecolor="#000000">
                <v:path arrowok="t"/>
              </v:shape>
            </v:group>
            <v:group style="position:absolute;left:8841;top:451;width:1052;height:2" coordorigin="8841,451" coordsize="1052,2">
              <v:shape style="position:absolute;left:8841;top:451;width:1052;height:2" coordorigin="8841,451" coordsize="1052,0" path="m8841,451l9892,451e" filled="false" stroked="true" strokeweight="1.44pt" strokecolor="#000000">
                <v:path arrowok="t"/>
              </v:shape>
            </v:group>
            <v:group style="position:absolute;left:9892;top:451;width:29;height:2" coordorigin="9892,451" coordsize="29,2">
              <v:shape style="position:absolute;left:9892;top:451;width:29;height:2" coordorigin="9892,451" coordsize="29,0" path="m9892,451l9921,451e" filled="false" stroked="true" strokeweight="1.44pt" strokecolor="#000000">
                <v:path arrowok="t"/>
              </v:shape>
            </v:group>
            <v:group style="position:absolute;left:9921;top:451;width:1239;height:2" coordorigin="9921,451" coordsize="1239,2">
              <v:shape style="position:absolute;left:9921;top:451;width:1239;height:2" coordorigin="9921,451" coordsize="1239,0" path="m9921,451l11160,451e" filled="false" stroked="true" strokeweight="1.44pt" strokecolor="#000000">
                <v:path arrowok="t"/>
              </v:shape>
            </v:group>
            <v:group style="position:absolute;left:1769;top:1018;width:1642;height:2" coordorigin="1769,1018" coordsize="1642,2">
              <v:shape style="position:absolute;left:1769;top:1018;width:1642;height:2" coordorigin="1769,1018" coordsize="1642,0" path="m1769,1018l3411,1018e" filled="false" stroked="true" strokeweight=".72pt" strokecolor="#000000">
                <v:path arrowok="t"/>
              </v:shape>
            </v:group>
            <v:group style="position:absolute;left:3425;top:1018;width:887;height:2" coordorigin="3425,1018" coordsize="887,2">
              <v:shape style="position:absolute;left:3425;top:1018;width:887;height:2" coordorigin="3425,1018" coordsize="887,0" path="m3425,1018l4311,1018e" filled="false" stroked="true" strokeweight=".72pt" strokecolor="#000000">
                <v:path arrowok="t"/>
              </v:shape>
            </v:group>
            <v:group style="position:absolute;left:4326;top:1018;width:3046;height:2" coordorigin="4326,1018" coordsize="3046,2">
              <v:shape style="position:absolute;left:4326;top:1018;width:3046;height:2" coordorigin="4326,1018" coordsize="3046,0" path="m4326,1018l7372,1018e" filled="false" stroked="true" strokeweight=".72pt" strokecolor="#000000">
                <v:path arrowok="t"/>
              </v:shape>
            </v:group>
            <v:group style="position:absolute;left:7386;top:1018;width:1426;height:2" coordorigin="7386,1018" coordsize="1426,2">
              <v:shape style="position:absolute;left:7386;top:1018;width:1426;height:2" coordorigin="7386,1018" coordsize="1426,0" path="m7386,1018l8812,1018e" filled="false" stroked="true" strokeweight=".72pt" strokecolor="#000000">
                <v:path arrowok="t"/>
              </v:shape>
            </v:group>
            <v:group style="position:absolute;left:8827;top:1018;width:1066;height:2" coordorigin="8827,1018" coordsize="1066,2">
              <v:shape style="position:absolute;left:8827;top:1018;width:1066;height:2" coordorigin="8827,1018" coordsize="1066,0" path="m8827,1018l9892,1018e" filled="false" stroked="true" strokeweight=".72pt" strokecolor="#000000">
                <v:path arrowok="t"/>
              </v:shape>
            </v:group>
            <v:group style="position:absolute;left:9907;top:1018;width:1253;height:2" coordorigin="9907,1018" coordsize="1253,2">
              <v:shape style="position:absolute;left:9907;top:1018;width:1253;height:2" coordorigin="9907,1018" coordsize="1253,0" path="m9907,1018l11160,1018e" filled="false" stroked="true" strokeweight=".72pt" strokecolor="#000000">
                <v:path arrowok="t"/>
              </v:shape>
            </v:group>
            <v:group style="position:absolute;left:1769;top:1579;width:1642;height:2" coordorigin="1769,1579" coordsize="1642,2">
              <v:shape style="position:absolute;left:1769;top:1579;width:1642;height:2" coordorigin="1769,1579" coordsize="1642,0" path="m1769,1579l3411,1579e" filled="false" stroked="true" strokeweight=".72pt" strokecolor="#000000">
                <v:path arrowok="t"/>
              </v:shape>
            </v:group>
            <v:group style="position:absolute;left:3425;top:1579;width:887;height:2" coordorigin="3425,1579" coordsize="887,2">
              <v:shape style="position:absolute;left:3425;top:1579;width:887;height:2" coordorigin="3425,1579" coordsize="887,0" path="m3425,1579l4311,1579e" filled="false" stroked="true" strokeweight=".72pt" strokecolor="#000000">
                <v:path arrowok="t"/>
              </v:shape>
            </v:group>
            <v:group style="position:absolute;left:4326;top:1579;width:3046;height:2" coordorigin="4326,1579" coordsize="3046,2">
              <v:shape style="position:absolute;left:4326;top:1579;width:3046;height:2" coordorigin="4326,1579" coordsize="3046,0" path="m4326,1579l7372,1579e" filled="false" stroked="true" strokeweight=".72pt" strokecolor="#000000">
                <v:path arrowok="t"/>
              </v:shape>
            </v:group>
            <v:group style="position:absolute;left:7386;top:1579;width:1426;height:2" coordorigin="7386,1579" coordsize="1426,2">
              <v:shape style="position:absolute;left:7386;top:1579;width:1426;height:2" coordorigin="7386,1579" coordsize="1426,0" path="m7386,1579l8812,1579e" filled="false" stroked="true" strokeweight=".72pt" strokecolor="#000000">
                <v:path arrowok="t"/>
              </v:shape>
            </v:group>
            <v:group style="position:absolute;left:8827;top:1579;width:1066;height:2" coordorigin="8827,1579" coordsize="1066,2">
              <v:shape style="position:absolute;left:8827;top:1579;width:1066;height:2" coordorigin="8827,1579" coordsize="1066,0" path="m8827,1579l9892,1579e" filled="false" stroked="true" strokeweight=".72pt" strokecolor="#000000">
                <v:path arrowok="t"/>
              </v:shape>
            </v:group>
            <v:group style="position:absolute;left:9907;top:1579;width:1253;height:2" coordorigin="9907,1579" coordsize="1253,2">
              <v:shape style="position:absolute;left:9907;top:1579;width:1253;height:2" coordorigin="9907,1579" coordsize="1253,0" path="m9907,1579l11160,1579e" filled="false" stroked="true" strokeweight=".72pt" strokecolor="#000000">
                <v:path arrowok="t"/>
              </v:shape>
            </v:group>
            <v:group style="position:absolute;left:1769;top:2256;width:1642;height:2" coordorigin="1769,2256" coordsize="1642,2">
              <v:shape style="position:absolute;left:1769;top:2256;width:1642;height:2" coordorigin="1769,2256" coordsize="1642,0" path="m1769,2256l3411,2256e" filled="false" stroked="true" strokeweight=".72pt" strokecolor="#000000">
                <v:path arrowok="t"/>
              </v:shape>
            </v:group>
            <v:group style="position:absolute;left:3425;top:2256;width:887;height:2" coordorigin="3425,2256" coordsize="887,2">
              <v:shape style="position:absolute;left:3425;top:2256;width:887;height:2" coordorigin="3425,2256" coordsize="887,0" path="m3425,2256l4311,2256e" filled="false" stroked="true" strokeweight=".72pt" strokecolor="#000000">
                <v:path arrowok="t"/>
              </v:shape>
            </v:group>
            <v:group style="position:absolute;left:4326;top:2256;width:3046;height:2" coordorigin="4326,2256" coordsize="3046,2">
              <v:shape style="position:absolute;left:4326;top:2256;width:3046;height:2" coordorigin="4326,2256" coordsize="3046,0" path="m4326,2256l7372,2256e" filled="false" stroked="true" strokeweight=".72pt" strokecolor="#000000">
                <v:path arrowok="t"/>
              </v:shape>
            </v:group>
            <v:group style="position:absolute;left:7386;top:2256;width:1426;height:2" coordorigin="7386,2256" coordsize="1426,2">
              <v:shape style="position:absolute;left:7386;top:2256;width:1426;height:2" coordorigin="7386,2256" coordsize="1426,0" path="m7386,2256l8812,2256e" filled="false" stroked="true" strokeweight=".72pt" strokecolor="#000000">
                <v:path arrowok="t"/>
              </v:shape>
            </v:group>
            <v:group style="position:absolute;left:8827;top:2256;width:1066;height:2" coordorigin="8827,2256" coordsize="1066,2">
              <v:shape style="position:absolute;left:8827;top:2256;width:1066;height:2" coordorigin="8827,2256" coordsize="1066,0" path="m8827,2256l9892,2256e" filled="false" stroked="true" strokeweight=".72pt" strokecolor="#000000">
                <v:path arrowok="t"/>
              </v:shape>
            </v:group>
            <v:group style="position:absolute;left:9907;top:2256;width:1253;height:2" coordorigin="9907,2256" coordsize="1253,2">
              <v:shape style="position:absolute;left:9907;top:2256;width:1253;height:2" coordorigin="9907,2256" coordsize="1253,0" path="m9907,2256l11160,2256e" filled="false" stroked="true" strokeweight=".72pt" strokecolor="#000000">
                <v:path arrowok="t"/>
              </v:shape>
            </v:group>
            <v:group style="position:absolute;left:1769;top:2832;width:1642;height:2" coordorigin="1769,2832" coordsize="1642,2">
              <v:shape style="position:absolute;left:1769;top:2832;width:1642;height:2" coordorigin="1769,2832" coordsize="1642,0" path="m1769,2832l3411,2832e" filled="false" stroked="true" strokeweight=".72pt" strokecolor="#000000">
                <v:path arrowok="t"/>
              </v:shape>
            </v:group>
            <v:group style="position:absolute;left:3425;top:2832;width:887;height:2" coordorigin="3425,2832" coordsize="887,2">
              <v:shape style="position:absolute;left:3425;top:2832;width:887;height:2" coordorigin="3425,2832" coordsize="887,0" path="m3425,2832l4311,2832e" filled="false" stroked="true" strokeweight=".72pt" strokecolor="#000000">
                <v:path arrowok="t"/>
              </v:shape>
            </v:group>
            <v:group style="position:absolute;left:4326;top:2832;width:3046;height:2" coordorigin="4326,2832" coordsize="3046,2">
              <v:shape style="position:absolute;left:4326;top:2832;width:3046;height:2" coordorigin="4326,2832" coordsize="3046,0" path="m4326,2832l7372,2832e" filled="false" stroked="true" strokeweight=".72pt" strokecolor="#000000">
                <v:path arrowok="t"/>
              </v:shape>
            </v:group>
            <v:group style="position:absolute;left:7386;top:2832;width:1426;height:2" coordorigin="7386,2832" coordsize="1426,2">
              <v:shape style="position:absolute;left:7386;top:2832;width:1426;height:2" coordorigin="7386,2832" coordsize="1426,0" path="m7386,2832l8812,2832e" filled="false" stroked="true" strokeweight=".72pt" strokecolor="#000000">
                <v:path arrowok="t"/>
              </v:shape>
            </v:group>
            <v:group style="position:absolute;left:8827;top:2832;width:1066;height:2" coordorigin="8827,2832" coordsize="1066,2">
              <v:shape style="position:absolute;left:8827;top:2832;width:1066;height:2" coordorigin="8827,2832" coordsize="1066,0" path="m8827,2832l9892,2832e" filled="false" stroked="true" strokeweight=".72pt" strokecolor="#000000">
                <v:path arrowok="t"/>
              </v:shape>
            </v:group>
            <v:group style="position:absolute;left:9907;top:2832;width:1253;height:2" coordorigin="9907,2832" coordsize="1253,2">
              <v:shape style="position:absolute;left:9907;top:2832;width:1253;height:2" coordorigin="9907,2832" coordsize="1253,0" path="m9907,2832l11160,2832e" filled="false" stroked="true" strokeweight=".72pt" strokecolor="#000000">
                <v:path arrowok="t"/>
              </v:shape>
            </v:group>
            <v:group style="position:absolute;left:1769;top:3452;width:1642;height:2" coordorigin="1769,3452" coordsize="1642,2">
              <v:shape style="position:absolute;left:1769;top:3452;width:1642;height:2" coordorigin="1769,3452" coordsize="1642,0" path="m1769,3452l3411,3452e" filled="false" stroked="true" strokeweight=".72pt" strokecolor="#000000">
                <v:path arrowok="t"/>
              </v:shape>
            </v:group>
            <v:group style="position:absolute;left:3425;top:3452;width:887;height:2" coordorigin="3425,3452" coordsize="887,2">
              <v:shape style="position:absolute;left:3425;top:3452;width:887;height:2" coordorigin="3425,3452" coordsize="887,0" path="m3425,3452l4311,3452e" filled="false" stroked="true" strokeweight=".72pt" strokecolor="#000000">
                <v:path arrowok="t"/>
              </v:shape>
            </v:group>
            <v:group style="position:absolute;left:4326;top:3452;width:3046;height:2" coordorigin="4326,3452" coordsize="3046,2">
              <v:shape style="position:absolute;left:4326;top:3452;width:3046;height:2" coordorigin="4326,3452" coordsize="3046,0" path="m4326,3452l7372,3452e" filled="false" stroked="true" strokeweight=".72pt" strokecolor="#000000">
                <v:path arrowok="t"/>
              </v:shape>
            </v:group>
            <v:group style="position:absolute;left:7386;top:3452;width:1426;height:2" coordorigin="7386,3452" coordsize="1426,2">
              <v:shape style="position:absolute;left:7386;top:3452;width:1426;height:2" coordorigin="7386,3452" coordsize="1426,0" path="m7386,3452l8812,3452e" filled="false" stroked="true" strokeweight=".72pt" strokecolor="#000000">
                <v:path arrowok="t"/>
              </v:shape>
            </v:group>
            <v:group style="position:absolute;left:8827;top:3452;width:1066;height:2" coordorigin="8827,3452" coordsize="1066,2">
              <v:shape style="position:absolute;left:8827;top:3452;width:1066;height:2" coordorigin="8827,3452" coordsize="1066,0" path="m8827,3452l9892,3452e" filled="false" stroked="true" strokeweight=".72pt" strokecolor="#000000">
                <v:path arrowok="t"/>
              </v:shape>
            </v:group>
            <v:group style="position:absolute;left:9907;top:3452;width:1253;height:2" coordorigin="9907,3452" coordsize="1253,2">
              <v:shape style="position:absolute;left:9907;top:3452;width:1253;height:2" coordorigin="9907,3452" coordsize="1253,0" path="m9907,3452l11160,3452e" filled="false" stroked="true" strokeweight=".72pt" strokecolor="#000000">
                <v:path arrowok="t"/>
              </v:shape>
            </v:group>
            <v:group style="position:absolute;left:1769;top:4712;width:1642;height:2" coordorigin="1769,4712" coordsize="1642,2">
              <v:shape style="position:absolute;left:1769;top:4712;width:1642;height:2" coordorigin="1769,4712" coordsize="1642,0" path="m1769,4712l3411,4712e" filled="false" stroked="true" strokeweight=".72pt" strokecolor="#000000">
                <v:path arrowok="t"/>
              </v:shape>
            </v:group>
            <v:group style="position:absolute;left:3425;top:4712;width:887;height:2" coordorigin="3425,4712" coordsize="887,2">
              <v:shape style="position:absolute;left:3425;top:4712;width:887;height:2" coordorigin="3425,4712" coordsize="887,0" path="m3425,4712l4311,4712e" filled="false" stroked="true" strokeweight=".72pt" strokecolor="#000000">
                <v:path arrowok="t"/>
              </v:shape>
            </v:group>
            <v:group style="position:absolute;left:4326;top:4712;width:3046;height:2" coordorigin="4326,4712" coordsize="3046,2">
              <v:shape style="position:absolute;left:4326;top:4712;width:3046;height:2" coordorigin="4326,4712" coordsize="3046,0" path="m4326,4712l7372,4712e" filled="false" stroked="true" strokeweight=".72pt" strokecolor="#000000">
                <v:path arrowok="t"/>
              </v:shape>
            </v:group>
            <v:group style="position:absolute;left:7386;top:4712;width:1426;height:2" coordorigin="7386,4712" coordsize="1426,2">
              <v:shape style="position:absolute;left:7386;top:4712;width:1426;height:2" coordorigin="7386,4712" coordsize="1426,0" path="m7386,4712l8812,4712e" filled="false" stroked="true" strokeweight=".72pt" strokecolor="#000000">
                <v:path arrowok="t"/>
              </v:shape>
            </v:group>
            <v:group style="position:absolute;left:8827;top:4712;width:1066;height:2" coordorigin="8827,4712" coordsize="1066,2">
              <v:shape style="position:absolute;left:8827;top:4712;width:1066;height:2" coordorigin="8827,4712" coordsize="1066,0" path="m8827,4712l9892,4712e" filled="false" stroked="true" strokeweight=".72pt" strokecolor="#000000">
                <v:path arrowok="t"/>
              </v:shape>
            </v:group>
            <v:group style="position:absolute;left:9907;top:4712;width:1253;height:2" coordorigin="9907,4712" coordsize="1253,2">
              <v:shape style="position:absolute;left:9907;top:4712;width:1253;height:2" coordorigin="9907,4712" coordsize="1253,0" path="m9907,4712l11160,4712e" filled="false" stroked="true" strokeweight=".72pt" strokecolor="#000000">
                <v:path arrowok="t"/>
              </v:shape>
            </v:group>
            <v:group style="position:absolute;left:3418;top:466;width:2;height:7554" coordorigin="3418,466" coordsize="2,7554">
              <v:shape style="position:absolute;left:3418;top:466;width:2;height:7554" coordorigin="3418,466" coordsize="0,7554" path="m3418,466l3418,8020e" filled="false" stroked="true" strokeweight=".72pt" strokecolor="#000000">
                <v:path arrowok="t"/>
              </v:shape>
            </v:group>
            <v:group style="position:absolute;left:4319;top:466;width:2;height:7554" coordorigin="4319,466" coordsize="2,7554">
              <v:shape style="position:absolute;left:4319;top:466;width:2;height:7554" coordorigin="4319,466" coordsize="0,7554" path="m4319,466l4319,8020e" filled="false" stroked="true" strokeweight=".71999pt" strokecolor="#000000">
                <v:path arrowok="t"/>
              </v:shape>
            </v:group>
            <v:group style="position:absolute;left:7379;top:466;width:2;height:7554" coordorigin="7379,466" coordsize="2,7554">
              <v:shape style="position:absolute;left:7379;top:466;width:2;height:7554" coordorigin="7379,466" coordsize="0,7554" path="m7379,466l7379,8020e" filled="false" stroked="true" strokeweight=".72pt" strokecolor="#000000">
                <v:path arrowok="t"/>
              </v:shape>
            </v:group>
            <v:group style="position:absolute;left:8819;top:466;width:2;height:7554" coordorigin="8819,466" coordsize="2,7554">
              <v:shape style="position:absolute;left:8819;top:466;width:2;height:7554" coordorigin="8819,466" coordsize="0,7554" path="m8819,466l8819,8020e" filled="false" stroked="true" strokeweight=".74399pt" strokecolor="#000000">
                <v:path arrowok="t"/>
              </v:shape>
            </v:group>
            <v:group style="position:absolute;left:9900;top:466;width:2;height:7554" coordorigin="9900,466" coordsize="2,7554">
              <v:shape style="position:absolute;left:9900;top:466;width:2;height:7554" coordorigin="9900,466" coordsize="0,7554" path="m9900,466l9900,8020e" filled="false" stroked="true" strokeweight=".72pt" strokecolor="#000000">
                <v:path arrowok="t"/>
              </v:shape>
              <v:shape style="position:absolute;left:4345;top:5805;width:2324;height:161"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w w:val="100"/>
                          <w:sz w:val="16"/>
                          <w:szCs w:val="16"/>
                        </w:rPr>
                        <w:t>规办</w:t>
                      </w:r>
                      <w:r>
                        <w:rPr>
                          <w:rFonts w:ascii="宋体" w:hAnsi="宋体" w:cs="宋体" w:eastAsia="宋体" w:hint="default"/>
                          <w:spacing w:val="-3"/>
                          <w:w w:val="100"/>
                          <w:sz w:val="16"/>
                          <w:szCs w:val="16"/>
                        </w:rPr>
                        <w:t>理</w:t>
                      </w:r>
                      <w:r>
                        <w:rPr>
                          <w:rFonts w:ascii="宋体" w:hAnsi="宋体" w:cs="宋体" w:eastAsia="宋体" w:hint="default"/>
                          <w:spacing w:val="-80"/>
                          <w:w w:val="100"/>
                          <w:sz w:val="16"/>
                          <w:szCs w:val="16"/>
                        </w:rPr>
                        <w:t>）</w:t>
                      </w:r>
                      <w:r>
                        <w:rPr>
                          <w:rFonts w:ascii="宋体" w:hAnsi="宋体" w:cs="宋体" w:eastAsia="宋体" w:hint="default"/>
                          <w:w w:val="100"/>
                          <w:sz w:val="16"/>
                          <w:szCs w:val="16"/>
                        </w:rPr>
                        <w:t>、</w:t>
                      </w:r>
                      <w:r>
                        <w:rPr>
                          <w:rFonts w:ascii="宋体" w:hAnsi="宋体" w:cs="宋体" w:eastAsia="宋体" w:hint="default"/>
                          <w:spacing w:val="-3"/>
                          <w:w w:val="100"/>
                          <w:sz w:val="16"/>
                          <w:szCs w:val="16"/>
                        </w:rPr>
                        <w:t>预</w:t>
                      </w:r>
                      <w:r>
                        <w:rPr>
                          <w:rFonts w:ascii="宋体" w:hAnsi="宋体" w:cs="宋体" w:eastAsia="宋体" w:hint="default"/>
                          <w:w w:val="100"/>
                          <w:sz w:val="16"/>
                          <w:szCs w:val="16"/>
                        </w:rPr>
                        <w:t>装式</w:t>
                      </w:r>
                      <w:r>
                        <w:rPr>
                          <w:rFonts w:ascii="宋体" w:hAnsi="宋体" w:cs="宋体" w:eastAsia="宋体" w:hint="default"/>
                          <w:spacing w:val="-3"/>
                          <w:w w:val="100"/>
                          <w:sz w:val="16"/>
                          <w:szCs w:val="16"/>
                        </w:rPr>
                        <w:t>变</w:t>
                      </w:r>
                      <w:r>
                        <w:rPr>
                          <w:rFonts w:ascii="宋体" w:hAnsi="宋体" w:cs="宋体" w:eastAsia="宋体" w:hint="default"/>
                          <w:w w:val="100"/>
                          <w:sz w:val="16"/>
                          <w:szCs w:val="16"/>
                        </w:rPr>
                        <w:t>电站</w:t>
                      </w:r>
                      <w:r>
                        <w:rPr>
                          <w:rFonts w:ascii="宋体" w:hAnsi="宋体" w:cs="宋体" w:eastAsia="宋体" w:hint="default"/>
                          <w:spacing w:val="-3"/>
                          <w:w w:val="100"/>
                          <w:sz w:val="16"/>
                          <w:szCs w:val="16"/>
                        </w:rPr>
                        <w:t>的</w:t>
                      </w:r>
                      <w:r>
                        <w:rPr>
                          <w:rFonts w:ascii="宋体" w:hAnsi="宋体" w:cs="宋体" w:eastAsia="宋体" w:hint="default"/>
                          <w:w w:val="100"/>
                          <w:sz w:val="16"/>
                          <w:szCs w:val="16"/>
                        </w:rPr>
                        <w:t>设计。</w:t>
                      </w:r>
                    </w:p>
                  </w:txbxContent>
                </v:textbox>
                <w10:wrap type="none"/>
              </v:shape>
            </v:group>
            <w10:wrap type="none"/>
          </v:group>
        </w:pict>
      </w:r>
      <w:r>
        <w:rPr>
          <w:rFonts w:ascii="Arial Narrow" w:hAnsi="Arial Narrow" w:cs="Arial Narrow" w:eastAsia="Arial Narrow" w:hint="default"/>
          <w:b/>
          <w:bCs/>
          <w:sz w:val="22"/>
          <w:szCs w:val="22"/>
        </w:rPr>
        <w:t>1</w:t>
      </w:r>
      <w:r>
        <w:rPr>
          <w:rFonts w:ascii="宋体" w:hAnsi="宋体" w:cs="宋体" w:eastAsia="宋体" w:hint="default"/>
          <w:b/>
          <w:bCs/>
          <w:sz w:val="22"/>
          <w:szCs w:val="22"/>
        </w:rPr>
        <w:t>、</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4"/>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2564"/>
        <w:gridCol w:w="3060"/>
        <w:gridCol w:w="1440"/>
        <w:gridCol w:w="1080"/>
        <w:gridCol w:w="1260"/>
      </w:tblGrid>
      <w:tr>
        <w:trPr>
          <w:trHeight w:val="566"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9" w:lineRule="exact"/>
              <w:ind w:right="238"/>
              <w:jc w:val="right"/>
              <w:rPr>
                <w:rFonts w:ascii="宋体" w:hAnsi="宋体" w:cs="宋体" w:eastAsia="宋体" w:hint="default"/>
                <w:sz w:val="21"/>
                <w:szCs w:val="21"/>
              </w:rPr>
            </w:pPr>
            <w:r>
              <w:rPr>
                <w:rFonts w:ascii="宋体" w:hAnsi="宋体" w:cs="宋体" w:eastAsia="宋体" w:hint="default"/>
                <w:sz w:val="21"/>
                <w:szCs w:val="21"/>
              </w:rPr>
              <w:t>注册</w:t>
            </w:r>
          </w:p>
          <w:p>
            <w:pPr>
              <w:pStyle w:val="TableParagraph"/>
              <w:tabs>
                <w:tab w:pos="1271" w:val="left" w:leader="none"/>
              </w:tabs>
              <w:spacing w:line="319" w:lineRule="exact"/>
              <w:ind w:right="238"/>
              <w:jc w:val="right"/>
              <w:rPr>
                <w:rFonts w:ascii="宋体" w:hAnsi="宋体" w:cs="宋体" w:eastAsia="宋体" w:hint="default"/>
                <w:sz w:val="21"/>
                <w:szCs w:val="21"/>
              </w:rPr>
            </w:pPr>
            <w:r>
              <w:rPr>
                <w:rFonts w:ascii="宋体" w:hAnsi="宋体" w:cs="宋体" w:eastAsia="宋体" w:hint="default"/>
                <w:sz w:val="21"/>
                <w:szCs w:val="21"/>
              </w:rPr>
              <w:t>名称</w:t>
              <w:tab/>
            </w:r>
            <w:r>
              <w:rPr>
                <w:rFonts w:ascii="宋体" w:hAnsi="宋体" w:cs="宋体" w:eastAsia="宋体" w:hint="default"/>
                <w:position w:val="-8"/>
                <w:sz w:val="21"/>
                <w:szCs w:val="21"/>
              </w:rPr>
              <w:t>地址</w:t>
            </w:r>
            <w:r>
              <w:rPr>
                <w:rFonts w:ascii="宋体" w:hAnsi="宋体" w:cs="宋体" w:eastAsia="宋体" w:hint="default"/>
                <w:sz w:val="21"/>
                <w:szCs w:val="21"/>
              </w:rPr>
            </w:r>
          </w:p>
        </w:tc>
        <w:tc>
          <w:tcPr>
            <w:tcW w:w="30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080" w:type="dxa"/>
            <w:tcBorders>
              <w:top w:val="nil" w:sz="6" w:space="0" w:color="auto"/>
              <w:left w:val="nil" w:sz="6" w:space="0" w:color="auto"/>
              <w:bottom w:val="nil" w:sz="6" w:space="0" w:color="auto"/>
              <w:right w:val="nil" w:sz="6" w:space="0" w:color="auto"/>
            </w:tcBorders>
          </w:tcPr>
          <w:p>
            <w:pPr>
              <w:pStyle w:val="TableParagraph"/>
              <w:spacing w:line="274" w:lineRule="exact" w:before="6"/>
              <w:ind w:left="223" w:right="117" w:hanging="106"/>
              <w:jc w:val="left"/>
              <w:rPr>
                <w:rFonts w:ascii="宋体" w:hAnsi="宋体" w:cs="宋体" w:eastAsia="宋体" w:hint="default"/>
                <w:sz w:val="21"/>
                <w:szCs w:val="21"/>
              </w:rPr>
            </w:pPr>
            <w:r>
              <w:rPr>
                <w:rFonts w:ascii="宋体" w:hAnsi="宋体" w:cs="宋体" w:eastAsia="宋体" w:hint="default"/>
                <w:sz w:val="21"/>
                <w:szCs w:val="21"/>
              </w:rPr>
              <w:t>经济性质</w:t>
            </w:r>
            <w:r>
              <w:rPr>
                <w:rFonts w:ascii="宋体" w:hAnsi="宋体" w:cs="宋体" w:eastAsia="宋体" w:hint="default"/>
                <w:w w:val="100"/>
                <w:sz w:val="21"/>
                <w:szCs w:val="21"/>
              </w:rPr>
              <w:t> </w:t>
            </w:r>
            <w:r>
              <w:rPr>
                <w:rFonts w:ascii="宋体" w:hAnsi="宋体" w:cs="宋体" w:eastAsia="宋体" w:hint="default"/>
                <w:sz w:val="21"/>
                <w:szCs w:val="21"/>
              </w:rPr>
              <w:t>或类型</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r>
      <w:tr>
        <w:trPr>
          <w:trHeight w:val="562"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0"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0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72" w:lineRule="exact" w:before="3"/>
              <w:ind w:left="403" w:right="24" w:hanging="377"/>
              <w:jc w:val="left"/>
              <w:rPr>
                <w:rFonts w:ascii="宋体" w:hAnsi="宋体" w:cs="宋体" w:eastAsia="宋体" w:hint="default"/>
                <w:sz w:val="21"/>
                <w:szCs w:val="21"/>
              </w:rPr>
            </w:pPr>
            <w:r>
              <w:rPr>
                <w:rFonts w:ascii="宋体" w:hAnsi="宋体" w:cs="宋体" w:eastAsia="宋体" w:hint="default"/>
                <w:spacing w:val="-14"/>
                <w:w w:val="100"/>
                <w:sz w:val="21"/>
                <w:szCs w:val="21"/>
              </w:rPr>
              <w:t>实际控制人、控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股股东</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自然人</w:t>
            </w:r>
          </w:p>
        </w:tc>
        <w:tc>
          <w:tcPr>
            <w:tcW w:w="1260" w:type="dxa"/>
            <w:tcBorders>
              <w:top w:val="nil" w:sz="6" w:space="0" w:color="auto"/>
              <w:left w:val="nil" w:sz="6" w:space="0" w:color="auto"/>
              <w:bottom w:val="nil" w:sz="6" w:space="0" w:color="auto"/>
              <w:right w:val="nil" w:sz="6" w:space="0" w:color="auto"/>
            </w:tcBorders>
          </w:tcPr>
          <w:p>
            <w:pPr/>
          </w:p>
        </w:tc>
      </w:tr>
      <w:tr>
        <w:trPr>
          <w:trHeight w:val="677" w:hRule="exact"/>
        </w:trPr>
        <w:tc>
          <w:tcPr>
            <w:tcW w:w="2564"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158" w:lineRule="auto" w:before="116"/>
              <w:ind w:left="43" w:right="134"/>
              <w:jc w:val="left"/>
              <w:rPr>
                <w:rFonts w:ascii="宋体" w:hAnsi="宋体" w:cs="宋体" w:eastAsia="宋体" w:hint="default"/>
                <w:sz w:val="21"/>
                <w:szCs w:val="21"/>
              </w:rPr>
            </w:pPr>
            <w:r>
              <w:rPr>
                <w:rFonts w:ascii="宋体" w:hAnsi="宋体" w:cs="宋体" w:eastAsia="宋体" w:hint="default"/>
                <w:sz w:val="21"/>
                <w:szCs w:val="21"/>
              </w:rPr>
              <w:t>芜湖市鑫诚科技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投资有限公司</w:t>
              <w:tab/>
            </w:r>
            <w:r>
              <w:rPr>
                <w:rFonts w:ascii="宋体" w:hAnsi="宋体" w:cs="宋体" w:eastAsia="宋体" w:hint="default"/>
                <w:position w:val="9"/>
                <w:sz w:val="21"/>
                <w:szCs w:val="21"/>
              </w:rPr>
              <w:t>芜湖市</w:t>
            </w:r>
            <w:r>
              <w:rPr>
                <w:rFonts w:ascii="宋体" w:hAnsi="宋体" w:cs="宋体" w:eastAsia="宋体" w:hint="default"/>
                <w:sz w:val="21"/>
                <w:szCs w:val="21"/>
              </w:rPr>
            </w:r>
          </w:p>
        </w:tc>
        <w:tc>
          <w:tcPr>
            <w:tcW w:w="3060" w:type="dxa"/>
            <w:tcBorders>
              <w:top w:val="nil" w:sz="6" w:space="0" w:color="auto"/>
              <w:left w:val="nil" w:sz="6" w:space="0" w:color="auto"/>
              <w:bottom w:val="nil" w:sz="6" w:space="0" w:color="auto"/>
              <w:right w:val="nil" w:sz="6" w:space="0" w:color="auto"/>
            </w:tcBorders>
          </w:tcPr>
          <w:p>
            <w:pPr>
              <w:pStyle w:val="TableParagraph"/>
              <w:spacing w:line="237" w:lineRule="auto" w:before="2"/>
              <w:ind w:left="26" w:right="24"/>
              <w:jc w:val="both"/>
              <w:rPr>
                <w:rFonts w:ascii="宋体" w:hAnsi="宋体" w:cs="宋体" w:eastAsia="宋体" w:hint="default"/>
                <w:sz w:val="16"/>
                <w:szCs w:val="16"/>
              </w:rPr>
            </w:pPr>
            <w:r>
              <w:rPr>
                <w:rFonts w:ascii="宋体" w:hAnsi="宋体" w:cs="宋体" w:eastAsia="宋体" w:hint="default"/>
                <w:spacing w:val="-3"/>
                <w:sz w:val="16"/>
                <w:szCs w:val="16"/>
              </w:rPr>
              <w:t>科技项目及实业投资、项目开发、建筑装饰</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pacing w:val="-3"/>
                <w:sz w:val="16"/>
                <w:szCs w:val="16"/>
              </w:rPr>
              <w:t>材料、计算机、制冷设备、生铁、汽车（除</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小轿车）及配件、一般劳保用品等。</w:t>
            </w:r>
          </w:p>
        </w:tc>
        <w:tc>
          <w:tcPr>
            <w:tcW w:w="1440" w:type="dxa"/>
            <w:tcBorders>
              <w:top w:val="nil" w:sz="6" w:space="0" w:color="auto"/>
              <w:left w:val="nil" w:sz="6" w:space="0" w:color="auto"/>
              <w:bottom w:val="nil" w:sz="6" w:space="0" w:color="auto"/>
              <w:right w:val="nil" w:sz="6" w:space="0" w:color="auto"/>
            </w:tcBorders>
          </w:tcPr>
          <w:p>
            <w:pPr>
              <w:pStyle w:val="TableParagraph"/>
              <w:spacing w:line="272" w:lineRule="exact" w:before="60"/>
              <w:ind w:left="612" w:right="86" w:hanging="524"/>
              <w:jc w:val="left"/>
              <w:rPr>
                <w:rFonts w:ascii="宋体" w:hAnsi="宋体" w:cs="宋体" w:eastAsia="宋体" w:hint="default"/>
                <w:sz w:val="21"/>
                <w:szCs w:val="21"/>
              </w:rPr>
            </w:pPr>
            <w:r>
              <w:rPr>
                <w:rFonts w:ascii="宋体" w:hAnsi="宋体" w:cs="宋体" w:eastAsia="宋体" w:hint="default"/>
                <w:spacing w:val="-1"/>
                <w:sz w:val="21"/>
                <w:szCs w:val="21"/>
              </w:rPr>
              <w:t>同一法定代表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束龙胜</w:t>
            </w:r>
          </w:p>
        </w:tc>
      </w:tr>
      <w:tr>
        <w:trPr>
          <w:trHeight w:val="576"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10" w:lineRule="exact"/>
              <w:ind w:left="43" w:right="0"/>
              <w:jc w:val="left"/>
              <w:rPr>
                <w:rFonts w:ascii="宋体" w:hAnsi="宋体" w:cs="宋体" w:eastAsia="宋体" w:hint="default"/>
                <w:sz w:val="21"/>
                <w:szCs w:val="21"/>
              </w:rPr>
            </w:pPr>
            <w:r>
              <w:rPr>
                <w:rFonts w:ascii="宋体" w:hAnsi="宋体" w:cs="宋体" w:eastAsia="宋体" w:hint="default"/>
                <w:sz w:val="21"/>
                <w:szCs w:val="21"/>
              </w:rPr>
              <w:t>安徽森源电器有</w:t>
            </w:r>
          </w:p>
          <w:p>
            <w:pPr>
              <w:pStyle w:val="TableParagraph"/>
              <w:tabs>
                <w:tab w:pos="1795" w:val="left" w:leader="none"/>
              </w:tabs>
              <w:spacing w:line="317" w:lineRule="exact"/>
              <w:ind w:left="43" w:right="0"/>
              <w:jc w:val="left"/>
              <w:rPr>
                <w:rFonts w:ascii="宋体" w:hAnsi="宋体" w:cs="宋体" w:eastAsia="宋体" w:hint="default"/>
                <w:sz w:val="21"/>
                <w:szCs w:val="21"/>
              </w:rPr>
            </w:pPr>
            <w:r>
              <w:rPr>
                <w:rFonts w:ascii="宋体" w:hAnsi="宋体" w:cs="宋体" w:eastAsia="宋体" w:hint="default"/>
                <w:position w:val="-8"/>
                <w:sz w:val="21"/>
                <w:szCs w:val="21"/>
              </w:rPr>
              <w:t>限公司</w:t>
              <w:tab/>
            </w:r>
            <w:r>
              <w:rPr>
                <w:rFonts w:ascii="宋体" w:hAnsi="宋体" w:cs="宋体" w:eastAsia="宋体" w:hint="default"/>
                <w:sz w:val="21"/>
                <w:szCs w:val="21"/>
              </w:rPr>
              <w:t>芜湖市</w:t>
            </w:r>
          </w:p>
        </w:tc>
        <w:tc>
          <w:tcPr>
            <w:tcW w:w="4501" w:type="dxa"/>
            <w:gridSpan w:val="2"/>
            <w:tcBorders>
              <w:top w:val="nil" w:sz="6" w:space="0" w:color="auto"/>
              <w:left w:val="nil" w:sz="6" w:space="0" w:color="auto"/>
              <w:bottom w:val="nil" w:sz="6" w:space="0" w:color="auto"/>
              <w:right w:val="nil" w:sz="6" w:space="0" w:color="auto"/>
            </w:tcBorders>
          </w:tcPr>
          <w:p>
            <w:pPr>
              <w:pStyle w:val="TableParagraph"/>
              <w:tabs>
                <w:tab w:pos="3252" w:val="left" w:leader="none"/>
              </w:tabs>
              <w:spacing w:line="86" w:lineRule="auto" w:before="160"/>
              <w:ind w:left="26" w:right="192"/>
              <w:jc w:val="left"/>
              <w:rPr>
                <w:rFonts w:ascii="宋体" w:hAnsi="宋体" w:cs="宋体" w:eastAsia="宋体" w:hint="default"/>
                <w:sz w:val="21"/>
                <w:szCs w:val="21"/>
              </w:rPr>
            </w:pPr>
            <w:r>
              <w:rPr>
                <w:rFonts w:ascii="宋体" w:hAnsi="宋体" w:cs="宋体" w:eastAsia="宋体" w:hint="default"/>
                <w:spacing w:val="-7"/>
                <w:sz w:val="16"/>
                <w:szCs w:val="16"/>
              </w:rPr>
              <w:t>高、低压电器元器件、开关配件设计、制造、</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pacing w:val="-1"/>
                <w:sz w:val="16"/>
                <w:szCs w:val="16"/>
              </w:rPr>
              <w:t>销售。</w:t>
            </w:r>
            <w:r>
              <w:rPr>
                <w:rFonts w:ascii="华文楷体" w:hAnsi="华文楷体" w:cs="华文楷体" w:eastAsia="华文楷体" w:hint="default"/>
                <w:spacing w:val="-1"/>
                <w:sz w:val="16"/>
                <w:szCs w:val="16"/>
              </w:rPr>
              <w:t>钣金机械加工。</w:t>
              <w:tab/>
            </w:r>
            <w:r>
              <w:rPr>
                <w:rFonts w:ascii="宋体" w:hAnsi="宋体" w:cs="宋体" w:eastAsia="宋体" w:hint="default"/>
                <w:spacing w:val="-1"/>
                <w:position w:val="8"/>
                <w:sz w:val="21"/>
                <w:szCs w:val="21"/>
              </w:rPr>
              <w:t>全资子公司</w:t>
            </w:r>
            <w:r>
              <w:rPr>
                <w:rFonts w:ascii="宋体" w:hAnsi="宋体" w:cs="宋体" w:eastAsia="宋体" w:hint="default"/>
                <w:spacing w:val="-1"/>
                <w:sz w:val="21"/>
                <w:szCs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唐荣保</w:t>
            </w:r>
          </w:p>
        </w:tc>
      </w:tr>
      <w:tr>
        <w:trPr>
          <w:trHeight w:val="620" w:hRule="exact"/>
        </w:trPr>
        <w:tc>
          <w:tcPr>
            <w:tcW w:w="2564" w:type="dxa"/>
            <w:tcBorders>
              <w:top w:val="nil" w:sz="6" w:space="0" w:color="auto"/>
              <w:left w:val="nil" w:sz="6" w:space="0" w:color="auto"/>
              <w:bottom w:val="nil" w:sz="6" w:space="0" w:color="auto"/>
              <w:right w:val="nil" w:sz="6" w:space="0" w:color="auto"/>
            </w:tcBorders>
          </w:tcPr>
          <w:p>
            <w:pPr>
              <w:pStyle w:val="TableParagraph"/>
              <w:tabs>
                <w:tab w:pos="1795" w:val="left" w:leader="none"/>
              </w:tabs>
              <w:spacing w:line="158" w:lineRule="auto" w:before="88"/>
              <w:ind w:left="43" w:right="134"/>
              <w:jc w:val="left"/>
              <w:rPr>
                <w:rFonts w:ascii="宋体" w:hAnsi="宋体" w:cs="宋体" w:eastAsia="宋体" w:hint="default"/>
                <w:sz w:val="21"/>
                <w:szCs w:val="21"/>
              </w:rPr>
            </w:pPr>
            <w:r>
              <w:rPr>
                <w:rFonts w:ascii="宋体" w:hAnsi="宋体" w:cs="宋体" w:eastAsia="宋体" w:hint="default"/>
                <w:sz w:val="21"/>
                <w:szCs w:val="21"/>
              </w:rPr>
              <w:t>安徽鑫龙电器元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件销售有限公司</w:t>
              <w:tab/>
            </w:r>
            <w:r>
              <w:rPr>
                <w:rFonts w:ascii="宋体" w:hAnsi="宋体" w:cs="宋体" w:eastAsia="宋体" w:hint="default"/>
                <w:position w:val="9"/>
                <w:sz w:val="21"/>
                <w:szCs w:val="21"/>
              </w:rPr>
              <w:t>芜湖市</w:t>
            </w:r>
            <w:r>
              <w:rPr>
                <w:rFonts w:ascii="宋体" w:hAnsi="宋体" w:cs="宋体" w:eastAsia="宋体" w:hint="default"/>
                <w:sz w:val="21"/>
                <w:szCs w:val="21"/>
              </w:rPr>
            </w:r>
          </w:p>
        </w:tc>
        <w:tc>
          <w:tcPr>
            <w:tcW w:w="3060" w:type="dxa"/>
            <w:tcBorders>
              <w:top w:val="nil" w:sz="6" w:space="0" w:color="auto"/>
              <w:left w:val="nil" w:sz="6" w:space="0" w:color="auto"/>
              <w:bottom w:val="nil" w:sz="6" w:space="0" w:color="auto"/>
              <w:right w:val="nil" w:sz="6" w:space="0" w:color="auto"/>
            </w:tcBorders>
          </w:tcPr>
          <w:p>
            <w:pPr>
              <w:pStyle w:val="TableParagraph"/>
              <w:spacing w:line="206" w:lineRule="exact" w:before="99"/>
              <w:ind w:left="26" w:right="25"/>
              <w:jc w:val="left"/>
              <w:rPr>
                <w:rFonts w:ascii="宋体" w:hAnsi="宋体" w:cs="宋体" w:eastAsia="宋体" w:hint="default"/>
                <w:sz w:val="16"/>
                <w:szCs w:val="16"/>
              </w:rPr>
            </w:pPr>
            <w:r>
              <w:rPr>
                <w:rFonts w:ascii="宋体" w:hAnsi="宋体" w:cs="宋体" w:eastAsia="宋体" w:hint="default"/>
                <w:spacing w:val="-3"/>
                <w:sz w:val="16"/>
                <w:szCs w:val="16"/>
              </w:rPr>
              <w:t>高、低压电器元件，工控元器件，智能化仪</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器仪表，变压器、电线电缆销售。</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张祥</w:t>
            </w:r>
          </w:p>
        </w:tc>
      </w:tr>
      <w:tr>
        <w:trPr>
          <w:trHeight w:val="126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29" w:lineRule="exact"/>
              <w:ind w:left="43" w:right="0"/>
              <w:jc w:val="left"/>
              <w:rPr>
                <w:rFonts w:ascii="宋体" w:hAnsi="宋体" w:cs="宋体" w:eastAsia="宋体" w:hint="default"/>
                <w:sz w:val="21"/>
                <w:szCs w:val="21"/>
              </w:rPr>
            </w:pPr>
            <w:r>
              <w:rPr>
                <w:rFonts w:ascii="宋体" w:hAnsi="宋体" w:cs="宋体" w:eastAsia="宋体" w:hint="default"/>
                <w:sz w:val="21"/>
                <w:szCs w:val="21"/>
              </w:rPr>
              <w:t>安徽鑫龙自动化</w:t>
            </w:r>
          </w:p>
          <w:p>
            <w:pPr>
              <w:pStyle w:val="TableParagraph"/>
              <w:tabs>
                <w:tab w:pos="1795" w:val="left" w:leader="none"/>
              </w:tabs>
              <w:spacing w:line="319" w:lineRule="exact"/>
              <w:ind w:left="43" w:right="0"/>
              <w:jc w:val="left"/>
              <w:rPr>
                <w:rFonts w:ascii="宋体" w:hAnsi="宋体" w:cs="宋体" w:eastAsia="宋体" w:hint="default"/>
                <w:sz w:val="21"/>
                <w:szCs w:val="21"/>
              </w:rPr>
            </w:pPr>
            <w:r>
              <w:rPr>
                <w:rFonts w:ascii="宋体" w:hAnsi="宋体" w:cs="宋体" w:eastAsia="宋体" w:hint="default"/>
                <w:spacing w:val="-1"/>
                <w:sz w:val="21"/>
                <w:szCs w:val="21"/>
              </w:rPr>
              <w:t>有限公司</w:t>
              <w:tab/>
            </w:r>
            <w:r>
              <w:rPr>
                <w:rFonts w:ascii="宋体" w:hAnsi="宋体" w:cs="宋体" w:eastAsia="宋体" w:hint="default"/>
                <w:position w:val="9"/>
                <w:sz w:val="21"/>
                <w:szCs w:val="21"/>
              </w:rPr>
              <w:t>芜湖市</w:t>
            </w:r>
            <w:r>
              <w:rPr>
                <w:rFonts w:ascii="宋体" w:hAnsi="宋体" w:cs="宋体" w:eastAsia="宋体" w:hint="default"/>
                <w:sz w:val="21"/>
                <w:szCs w:val="21"/>
              </w:rPr>
            </w:r>
          </w:p>
        </w:tc>
        <w:tc>
          <w:tcPr>
            <w:tcW w:w="4501" w:type="dxa"/>
            <w:gridSpan w:val="2"/>
            <w:tcBorders>
              <w:top w:val="nil" w:sz="6" w:space="0" w:color="auto"/>
              <w:left w:val="nil" w:sz="6" w:space="0" w:color="auto"/>
              <w:bottom w:val="nil" w:sz="6" w:space="0" w:color="auto"/>
              <w:right w:val="nil" w:sz="6" w:space="0" w:color="auto"/>
            </w:tcBorders>
          </w:tcPr>
          <w:p>
            <w:pPr>
              <w:pStyle w:val="TableParagraph"/>
              <w:spacing w:line="190"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变电站微机综合自动化系统；数控直流电源</w:t>
            </w:r>
          </w:p>
          <w:p>
            <w:pPr>
              <w:pStyle w:val="TableParagraph"/>
              <w:tabs>
                <w:tab w:pos="3252" w:val="left" w:leader="none"/>
              </w:tabs>
              <w:spacing w:line="237" w:lineRule="auto" w:before="1"/>
              <w:ind w:left="26" w:right="192"/>
              <w:jc w:val="left"/>
              <w:rPr>
                <w:rFonts w:ascii="宋体" w:hAnsi="宋体" w:cs="宋体" w:eastAsia="宋体" w:hint="default"/>
                <w:sz w:val="21"/>
                <w:szCs w:val="21"/>
              </w:rPr>
            </w:pPr>
            <w:r>
              <w:rPr>
                <w:rFonts w:ascii="宋体" w:hAnsi="宋体" w:cs="宋体" w:eastAsia="宋体" w:hint="default"/>
                <w:spacing w:val="-3"/>
                <w:sz w:val="16"/>
                <w:szCs w:val="16"/>
              </w:rPr>
              <w:t>柜及部件；全数字软启动器及装置；智能型</w:t>
            </w:r>
            <w:r>
              <w:rPr>
                <w:rFonts w:ascii="宋体" w:hAnsi="宋体" w:cs="宋体" w:eastAsia="宋体" w:hint="default"/>
                <w:spacing w:val="-60"/>
                <w:sz w:val="16"/>
                <w:szCs w:val="16"/>
              </w:rPr>
              <w:t> </w:t>
            </w:r>
            <w:r>
              <w:rPr>
                <w:rFonts w:ascii="宋体" w:hAnsi="宋体" w:cs="宋体" w:eastAsia="宋体" w:hint="default"/>
                <w:spacing w:val="-60"/>
                <w:sz w:val="16"/>
                <w:szCs w:val="16"/>
              </w:rPr>
            </w:r>
            <w:r>
              <w:rPr>
                <w:rFonts w:ascii="宋体" w:hAnsi="宋体" w:cs="宋体" w:eastAsia="宋体" w:hint="default"/>
                <w:spacing w:val="-3"/>
                <w:sz w:val="16"/>
                <w:szCs w:val="16"/>
              </w:rPr>
              <w:t>全数字晶闸管调功器；全数字交、直流调速</w:t>
              <w:tab/>
            </w:r>
            <w:r>
              <w:rPr>
                <w:rFonts w:ascii="宋体" w:hAnsi="宋体" w:cs="宋体" w:eastAsia="宋体" w:hint="default"/>
                <w:spacing w:val="-1"/>
                <w:position w:val="-11"/>
                <w:sz w:val="21"/>
                <w:szCs w:val="21"/>
              </w:rPr>
              <w:t>全资子公司</w:t>
            </w:r>
            <w:r>
              <w:rPr>
                <w:rFonts w:ascii="宋体" w:hAnsi="宋体" w:cs="宋体" w:eastAsia="宋体" w:hint="default"/>
                <w:spacing w:val="-1"/>
                <w:sz w:val="21"/>
                <w:szCs w:val="21"/>
              </w:rPr>
            </w:r>
          </w:p>
          <w:p>
            <w:pPr>
              <w:pStyle w:val="TableParagraph"/>
              <w:spacing w:line="82" w:lineRule="exact"/>
              <w:ind w:left="26" w:right="0"/>
              <w:jc w:val="left"/>
              <w:rPr>
                <w:rFonts w:ascii="宋体" w:hAnsi="宋体" w:cs="宋体" w:eastAsia="宋体" w:hint="default"/>
                <w:sz w:val="16"/>
                <w:szCs w:val="16"/>
              </w:rPr>
            </w:pPr>
            <w:r>
              <w:rPr>
                <w:rFonts w:ascii="宋体" w:hAnsi="宋体" w:cs="宋体" w:eastAsia="宋体" w:hint="default"/>
                <w:spacing w:val="5"/>
                <w:sz w:val="16"/>
                <w:szCs w:val="16"/>
              </w:rPr>
              <w:t>系统及装置；工业生产过程自动化控制系</w:t>
            </w:r>
          </w:p>
          <w:p>
            <w:pPr>
              <w:pStyle w:val="TableParagraph"/>
              <w:spacing w:line="240" w:lineRule="auto"/>
              <w:ind w:left="26" w:right="1386"/>
              <w:jc w:val="left"/>
              <w:rPr>
                <w:rFonts w:ascii="宋体" w:hAnsi="宋体" w:cs="宋体" w:eastAsia="宋体" w:hint="default"/>
                <w:sz w:val="16"/>
                <w:szCs w:val="16"/>
              </w:rPr>
            </w:pPr>
            <w:r>
              <w:rPr>
                <w:rFonts w:ascii="宋体" w:hAnsi="宋体" w:cs="宋体" w:eastAsia="宋体" w:hint="default"/>
                <w:sz w:val="16"/>
                <w:szCs w:val="16"/>
              </w:rPr>
              <w:t>统，</w:t>
            </w:r>
            <w:r>
              <w:rPr>
                <w:rFonts w:ascii="宋体" w:hAnsi="宋体" w:cs="宋体" w:eastAsia="宋体" w:hint="default"/>
                <w:sz w:val="16"/>
                <w:szCs w:val="16"/>
              </w:rPr>
              <w:t>DCS</w:t>
            </w:r>
            <w:r>
              <w:rPr>
                <w:rFonts w:ascii="宋体" w:hAnsi="宋体" w:cs="宋体" w:eastAsia="宋体" w:hint="default"/>
                <w:sz w:val="16"/>
                <w:szCs w:val="16"/>
              </w:rPr>
              <w:t>、</w:t>
            </w:r>
            <w:r>
              <w:rPr>
                <w:rFonts w:ascii="宋体" w:hAnsi="宋体" w:cs="宋体" w:eastAsia="宋体" w:hint="default"/>
                <w:sz w:val="16"/>
                <w:szCs w:val="16"/>
              </w:rPr>
              <w:t>PLC</w:t>
            </w:r>
            <w:r>
              <w:rPr>
                <w:rFonts w:ascii="宋体" w:hAnsi="宋体" w:cs="宋体" w:eastAsia="宋体" w:hint="default"/>
                <w:spacing w:val="-43"/>
                <w:sz w:val="16"/>
                <w:szCs w:val="16"/>
              </w:rPr>
              <w:t> </w:t>
            </w:r>
            <w:r>
              <w:rPr>
                <w:rFonts w:ascii="宋体" w:hAnsi="宋体" w:cs="宋体" w:eastAsia="宋体" w:hint="default"/>
                <w:sz w:val="16"/>
                <w:szCs w:val="16"/>
              </w:rPr>
              <w:t>控制；智能化数字仪表设计、</w:t>
            </w:r>
            <w:r>
              <w:rPr>
                <w:rFonts w:ascii="宋体" w:hAnsi="宋体" w:cs="宋体" w:eastAsia="宋体" w:hint="default"/>
                <w:w w:val="100"/>
                <w:sz w:val="16"/>
                <w:szCs w:val="16"/>
              </w:rPr>
              <w:t> </w:t>
            </w:r>
            <w:r>
              <w:rPr>
                <w:rFonts w:ascii="宋体" w:hAnsi="宋体" w:cs="宋体" w:eastAsia="宋体" w:hint="default"/>
                <w:spacing w:val="-7"/>
                <w:sz w:val="16"/>
                <w:szCs w:val="16"/>
              </w:rPr>
              <w:t>生产；安全防范技术工程设计、施工、维修。</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束龙胜</w:t>
            </w:r>
          </w:p>
        </w:tc>
      </w:tr>
      <w:tr>
        <w:trPr>
          <w:trHeight w:val="648" w:hRule="exact"/>
        </w:trPr>
        <w:tc>
          <w:tcPr>
            <w:tcW w:w="7064" w:type="dxa"/>
            <w:gridSpan w:val="3"/>
            <w:tcBorders>
              <w:top w:val="nil" w:sz="6" w:space="0" w:color="auto"/>
              <w:left w:val="nil" w:sz="6" w:space="0" w:color="auto"/>
              <w:bottom w:val="single" w:sz="6" w:space="0" w:color="000000"/>
              <w:right w:val="nil" w:sz="6" w:space="0" w:color="auto"/>
            </w:tcBorders>
          </w:tcPr>
          <w:p>
            <w:pPr>
              <w:pStyle w:val="TableParagraph"/>
              <w:tabs>
                <w:tab w:pos="2590" w:val="left" w:leader="none"/>
              </w:tabs>
              <w:spacing w:line="204" w:lineRule="exact" w:before="23"/>
              <w:ind w:left="40" w:right="0"/>
              <w:jc w:val="left"/>
              <w:rPr>
                <w:rFonts w:ascii="宋体" w:hAnsi="宋体" w:cs="宋体" w:eastAsia="宋体" w:hint="default"/>
                <w:sz w:val="16"/>
                <w:szCs w:val="16"/>
              </w:rPr>
            </w:pPr>
            <w:r>
              <w:rPr>
                <w:rFonts w:ascii="宋体" w:hAnsi="宋体" w:cs="宋体" w:eastAsia="宋体" w:hint="default"/>
                <w:spacing w:val="-1"/>
                <w:position w:val="1"/>
                <w:sz w:val="21"/>
                <w:szCs w:val="21"/>
              </w:rPr>
              <w:t>安徽鑫龙低压电</w:t>
              <w:tab/>
            </w:r>
            <w:r>
              <w:rPr>
                <w:rFonts w:ascii="宋体" w:hAnsi="宋体" w:cs="宋体" w:eastAsia="宋体" w:hint="default"/>
                <w:spacing w:val="-1"/>
                <w:sz w:val="16"/>
                <w:szCs w:val="16"/>
              </w:rPr>
              <w:t>低压电器设备、元件及附件的设计、制造、</w:t>
            </w:r>
          </w:p>
          <w:p>
            <w:pPr>
              <w:pStyle w:val="TableParagraph"/>
              <w:tabs>
                <w:tab w:pos="1795" w:val="left" w:leader="none"/>
                <w:tab w:pos="5816" w:val="left" w:leader="none"/>
              </w:tabs>
              <w:spacing w:line="341" w:lineRule="exact"/>
              <w:ind w:left="43" w:right="0"/>
              <w:jc w:val="left"/>
              <w:rPr>
                <w:rFonts w:ascii="宋体" w:hAnsi="宋体" w:cs="宋体" w:eastAsia="宋体" w:hint="default"/>
                <w:sz w:val="21"/>
                <w:szCs w:val="21"/>
              </w:rPr>
            </w:pPr>
            <w:r>
              <w:rPr>
                <w:rFonts w:ascii="宋体" w:hAnsi="宋体" w:cs="宋体" w:eastAsia="宋体" w:hint="default"/>
                <w:spacing w:val="-1"/>
                <w:position w:val="-13"/>
                <w:sz w:val="21"/>
                <w:szCs w:val="21"/>
              </w:rPr>
              <w:t>器有限公司</w:t>
              <w:tab/>
            </w:r>
            <w:r>
              <w:rPr>
                <w:rFonts w:ascii="宋体" w:hAnsi="宋体" w:cs="宋体" w:eastAsia="宋体" w:hint="default"/>
                <w:position w:val="-4"/>
                <w:sz w:val="21"/>
                <w:szCs w:val="21"/>
              </w:rPr>
              <w:t>芜湖市</w:t>
            </w:r>
            <w:r>
              <w:rPr>
                <w:rFonts w:ascii="宋体" w:hAnsi="宋体" w:cs="宋体" w:eastAsia="宋体" w:hint="default"/>
                <w:spacing w:val="62"/>
                <w:position w:val="-4"/>
                <w:sz w:val="21"/>
                <w:szCs w:val="21"/>
              </w:rPr>
              <w:t> </w:t>
            </w:r>
            <w:r>
              <w:rPr>
                <w:rFonts w:ascii="宋体" w:hAnsi="宋体" w:cs="宋体" w:eastAsia="宋体" w:hint="default"/>
                <w:position w:val="-8"/>
                <w:sz w:val="16"/>
                <w:szCs w:val="16"/>
              </w:rPr>
              <w:t>销售。</w:t>
              <w:tab/>
            </w:r>
            <w:r>
              <w:rPr>
                <w:rFonts w:ascii="宋体" w:hAnsi="宋体" w:cs="宋体" w:eastAsia="宋体" w:hint="default"/>
                <w:spacing w:val="-1"/>
                <w:sz w:val="21"/>
                <w:szCs w:val="21"/>
              </w:rPr>
              <w:t>全资子公司</w:t>
            </w:r>
          </w:p>
        </w:tc>
        <w:tc>
          <w:tcPr>
            <w:tcW w:w="1080" w:type="dxa"/>
            <w:tcBorders>
              <w:top w:val="nil" w:sz="6" w:space="0" w:color="auto"/>
              <w:left w:val="nil" w:sz="6" w:space="0" w:color="auto"/>
              <w:bottom w:val="single" w:sz="6"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nil" w:sz="6" w:space="0" w:color="auto"/>
              <w:left w:val="nil" w:sz="6" w:space="0" w:color="auto"/>
              <w:bottom w:val="single" w:sz="6"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张祥</w:t>
            </w:r>
          </w:p>
        </w:tc>
      </w:tr>
      <w:tr>
        <w:trPr>
          <w:trHeight w:val="638" w:hRule="exact"/>
        </w:trPr>
        <w:tc>
          <w:tcPr>
            <w:tcW w:w="7064" w:type="dxa"/>
            <w:gridSpan w:val="3"/>
            <w:tcBorders>
              <w:top w:val="single" w:sz="6" w:space="0" w:color="000000"/>
              <w:left w:val="nil" w:sz="6" w:space="0" w:color="auto"/>
              <w:bottom w:val="single" w:sz="6" w:space="0" w:color="000000"/>
              <w:right w:val="nil" w:sz="6" w:space="0" w:color="auto"/>
            </w:tcBorders>
          </w:tcPr>
          <w:p>
            <w:pPr>
              <w:pStyle w:val="TableParagraph"/>
              <w:tabs>
                <w:tab w:pos="2590" w:val="left" w:leader="none"/>
              </w:tabs>
              <w:spacing w:line="211" w:lineRule="exact"/>
              <w:ind w:left="43" w:right="0"/>
              <w:jc w:val="left"/>
              <w:rPr>
                <w:rFonts w:ascii="宋体" w:hAnsi="宋体" w:cs="宋体" w:eastAsia="宋体" w:hint="default"/>
                <w:sz w:val="16"/>
                <w:szCs w:val="16"/>
              </w:rPr>
            </w:pPr>
            <w:r>
              <w:rPr>
                <w:rFonts w:ascii="宋体" w:hAnsi="宋体" w:cs="宋体" w:eastAsia="宋体" w:hint="default"/>
                <w:spacing w:val="-1"/>
                <w:position w:val="-8"/>
                <w:sz w:val="21"/>
                <w:szCs w:val="21"/>
              </w:rPr>
              <w:t>安徽鑫龙变压器</w:t>
              <w:tab/>
            </w:r>
            <w:r>
              <w:rPr>
                <w:rFonts w:ascii="宋体" w:hAnsi="宋体" w:cs="宋体" w:eastAsia="宋体" w:hint="default"/>
                <w:spacing w:val="-3"/>
                <w:sz w:val="16"/>
                <w:szCs w:val="16"/>
              </w:rPr>
              <w:t>油浸式变压器、干式变压器生产、销售和维</w:t>
            </w:r>
          </w:p>
          <w:p>
            <w:pPr>
              <w:pStyle w:val="TableParagraph"/>
              <w:tabs>
                <w:tab w:pos="1795" w:val="left" w:leader="none"/>
                <w:tab w:pos="5816" w:val="left" w:leader="none"/>
              </w:tabs>
              <w:spacing w:line="345" w:lineRule="exact"/>
              <w:ind w:left="43" w:right="0"/>
              <w:jc w:val="left"/>
              <w:rPr>
                <w:rFonts w:ascii="宋体" w:hAnsi="宋体" w:cs="宋体" w:eastAsia="宋体" w:hint="default"/>
                <w:sz w:val="21"/>
                <w:szCs w:val="21"/>
              </w:rPr>
            </w:pPr>
            <w:r>
              <w:rPr>
                <w:rFonts w:ascii="宋体" w:hAnsi="宋体" w:cs="宋体" w:eastAsia="宋体" w:hint="default"/>
                <w:spacing w:val="-1"/>
                <w:position w:val="-13"/>
                <w:sz w:val="21"/>
                <w:szCs w:val="21"/>
              </w:rPr>
              <w:t>有限公司</w:t>
              <w:tab/>
            </w:r>
            <w:r>
              <w:rPr>
                <w:rFonts w:ascii="宋体" w:hAnsi="宋体" w:cs="宋体" w:eastAsia="宋体" w:hint="default"/>
                <w:position w:val="-4"/>
                <w:sz w:val="21"/>
                <w:szCs w:val="21"/>
              </w:rPr>
              <w:t>芜湖市</w:t>
            </w:r>
            <w:r>
              <w:rPr>
                <w:rFonts w:ascii="宋体" w:hAnsi="宋体" w:cs="宋体" w:eastAsia="宋体" w:hint="default"/>
                <w:spacing w:val="79"/>
                <w:position w:val="-4"/>
                <w:sz w:val="21"/>
                <w:szCs w:val="21"/>
              </w:rPr>
              <w:t> </w:t>
            </w:r>
            <w:r>
              <w:rPr>
                <w:rFonts w:ascii="宋体" w:hAnsi="宋体" w:cs="宋体" w:eastAsia="宋体" w:hint="default"/>
                <w:spacing w:val="-3"/>
                <w:position w:val="2"/>
                <w:sz w:val="16"/>
                <w:szCs w:val="16"/>
              </w:rPr>
              <w:t>修（涉及国家有关审批项目，按国家有关法</w:t>
              <w:tab/>
            </w:r>
            <w:r>
              <w:rPr>
                <w:rFonts w:ascii="宋体" w:hAnsi="宋体" w:cs="宋体" w:eastAsia="宋体" w:hint="default"/>
                <w:spacing w:val="-1"/>
                <w:sz w:val="21"/>
                <w:szCs w:val="21"/>
              </w:rPr>
              <w:t>全资子公司</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6" w:space="0" w:color="000000"/>
              <w:left w:val="nil" w:sz="6" w:space="0" w:color="auto"/>
              <w:bottom w:val="single" w:sz="6"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叶柳</w:t>
            </w:r>
          </w:p>
        </w:tc>
      </w:tr>
      <w:tr>
        <w:trPr>
          <w:trHeight w:val="1260" w:hRule="exact"/>
        </w:trPr>
        <w:tc>
          <w:tcPr>
            <w:tcW w:w="7064" w:type="dxa"/>
            <w:gridSpan w:val="3"/>
            <w:tcBorders>
              <w:top w:val="single" w:sz="6" w:space="0" w:color="000000"/>
              <w:left w:val="nil" w:sz="6" w:space="0" w:color="auto"/>
              <w:bottom w:val="single" w:sz="6" w:space="0" w:color="000000"/>
              <w:right w:val="nil" w:sz="6" w:space="0" w:color="auto"/>
            </w:tcBorders>
          </w:tcPr>
          <w:p>
            <w:pPr>
              <w:pStyle w:val="TableParagraph"/>
              <w:spacing w:line="182" w:lineRule="exact"/>
              <w:ind w:left="2590" w:right="0"/>
              <w:jc w:val="left"/>
              <w:rPr>
                <w:rFonts w:ascii="宋体" w:hAnsi="宋体" w:cs="宋体" w:eastAsia="宋体" w:hint="default"/>
                <w:sz w:val="16"/>
                <w:szCs w:val="16"/>
              </w:rPr>
            </w:pPr>
            <w:r>
              <w:rPr>
                <w:rFonts w:ascii="宋体" w:hAnsi="宋体" w:cs="宋体" w:eastAsia="宋体" w:hint="default"/>
                <w:spacing w:val="-7"/>
                <w:sz w:val="16"/>
                <w:szCs w:val="16"/>
              </w:rPr>
              <w:t>电气设备（含发电、输电、配电、电气传动、</w:t>
            </w:r>
          </w:p>
          <w:p>
            <w:pPr>
              <w:pStyle w:val="TableParagraph"/>
              <w:tabs>
                <w:tab w:pos="1795" w:val="left" w:leader="none"/>
                <w:tab w:pos="2590" w:val="left" w:leader="none"/>
                <w:tab w:pos="5816" w:val="left" w:leader="none"/>
              </w:tabs>
              <w:spacing w:line="139" w:lineRule="auto" w:before="77"/>
              <w:ind w:left="43" w:right="192" w:firstLine="2546"/>
              <w:jc w:val="left"/>
              <w:rPr>
                <w:rFonts w:ascii="宋体" w:hAnsi="宋体" w:cs="宋体" w:eastAsia="宋体" w:hint="default"/>
                <w:sz w:val="21"/>
                <w:szCs w:val="21"/>
              </w:rPr>
            </w:pPr>
            <w:r>
              <w:rPr>
                <w:rFonts w:ascii="宋体" w:hAnsi="宋体" w:cs="宋体" w:eastAsia="宋体" w:hint="default"/>
                <w:spacing w:val="-3"/>
                <w:w w:val="100"/>
                <w:sz w:val="16"/>
                <w:szCs w:val="16"/>
              </w:rPr>
              <w:t>自动化仪表、通讯工业电视）、工业过程控</w:t>
            </w:r>
            <w:r>
              <w:rPr>
                <w:rFonts w:ascii="宋体" w:hAnsi="宋体" w:cs="宋体" w:eastAsia="宋体" w:hint="default"/>
                <w:w w:val="100"/>
                <w:sz w:val="16"/>
                <w:szCs w:val="16"/>
              </w:rPr>
              <w:t> </w:t>
            </w:r>
            <w:r>
              <w:rPr>
                <w:rFonts w:ascii="宋体" w:hAnsi="宋体" w:cs="宋体" w:eastAsia="宋体" w:hint="default"/>
                <w:spacing w:val="-1"/>
                <w:position w:val="1"/>
                <w:sz w:val="21"/>
                <w:szCs w:val="21"/>
              </w:rPr>
              <w:t>安徽鑫龙电力工</w:t>
              <w:tab/>
              <w:tab/>
            </w:r>
            <w:r>
              <w:rPr>
                <w:rFonts w:ascii="宋体" w:hAnsi="宋体" w:cs="宋体" w:eastAsia="宋体" w:hint="default"/>
                <w:spacing w:val="-3"/>
                <w:sz w:val="16"/>
                <w:szCs w:val="16"/>
              </w:rPr>
              <w:t>制及监控系统、计算机应用服务与综合信息</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pacing w:val="-1"/>
                <w:position w:val="-4"/>
                <w:sz w:val="21"/>
                <w:szCs w:val="21"/>
              </w:rPr>
              <w:t>程安装有限公司</w:t>
              <w:tab/>
            </w:r>
            <w:r>
              <w:rPr>
                <w:rFonts w:ascii="宋体" w:hAnsi="宋体" w:cs="宋体" w:eastAsia="宋体" w:hint="default"/>
                <w:position w:val="4"/>
                <w:sz w:val="21"/>
                <w:szCs w:val="21"/>
              </w:rPr>
              <w:t>芜湖市</w:t>
            </w:r>
            <w:r>
              <w:rPr>
                <w:rFonts w:ascii="宋体" w:hAnsi="宋体" w:cs="宋体" w:eastAsia="宋体" w:hint="default"/>
                <w:spacing w:val="79"/>
                <w:position w:val="4"/>
                <w:sz w:val="21"/>
                <w:szCs w:val="21"/>
              </w:rPr>
              <w:t> </w:t>
            </w:r>
            <w:r>
              <w:rPr>
                <w:rFonts w:ascii="宋体" w:hAnsi="宋体" w:cs="宋体" w:eastAsia="宋体" w:hint="default"/>
                <w:spacing w:val="-3"/>
                <w:sz w:val="16"/>
                <w:szCs w:val="16"/>
              </w:rPr>
              <w:t>网络工程、电子声像工程、智能化系统和技</w:t>
              <w:tab/>
            </w:r>
            <w:r>
              <w:rPr>
                <w:rFonts w:ascii="宋体" w:hAnsi="宋体" w:cs="宋体" w:eastAsia="宋体" w:hint="default"/>
                <w:spacing w:val="-1"/>
                <w:position w:val="8"/>
                <w:sz w:val="21"/>
                <w:szCs w:val="21"/>
              </w:rPr>
              <w:t>全资子公司</w:t>
            </w:r>
            <w:r>
              <w:rPr>
                <w:rFonts w:ascii="宋体" w:hAnsi="宋体" w:cs="宋体" w:eastAsia="宋体" w:hint="default"/>
                <w:spacing w:val="-1"/>
                <w:sz w:val="21"/>
                <w:szCs w:val="21"/>
              </w:rPr>
            </w:r>
          </w:p>
          <w:p>
            <w:pPr>
              <w:pStyle w:val="TableParagraph"/>
              <w:spacing w:line="184" w:lineRule="exact"/>
              <w:ind w:left="2590" w:right="0"/>
              <w:jc w:val="left"/>
              <w:rPr>
                <w:rFonts w:ascii="宋体" w:hAnsi="宋体" w:cs="宋体" w:eastAsia="宋体" w:hint="default"/>
                <w:sz w:val="16"/>
                <w:szCs w:val="16"/>
              </w:rPr>
            </w:pPr>
            <w:r>
              <w:rPr>
                <w:rFonts w:ascii="宋体" w:hAnsi="宋体" w:cs="宋体" w:eastAsia="宋体" w:hint="default"/>
                <w:spacing w:val="-3"/>
                <w:sz w:val="16"/>
                <w:szCs w:val="16"/>
              </w:rPr>
              <w:t>术防范工程安装、调试、维护（凡涉及专项</w:t>
            </w:r>
          </w:p>
          <w:p>
            <w:pPr>
              <w:pStyle w:val="TableParagraph"/>
              <w:spacing w:line="208" w:lineRule="exact"/>
              <w:ind w:right="199"/>
              <w:jc w:val="center"/>
              <w:rPr>
                <w:rFonts w:ascii="宋体" w:hAnsi="宋体" w:cs="宋体" w:eastAsia="宋体" w:hint="default"/>
                <w:sz w:val="16"/>
                <w:szCs w:val="16"/>
              </w:rPr>
            </w:pPr>
            <w:r>
              <w:rPr>
                <w:rFonts w:ascii="宋体" w:hAnsi="宋体" w:cs="宋体" w:eastAsia="宋体" w:hint="default"/>
                <w:w w:val="100"/>
                <w:sz w:val="16"/>
                <w:szCs w:val="16"/>
              </w:rPr>
              <w:t>审批的</w:t>
            </w:r>
            <w:r>
              <w:rPr>
                <w:rFonts w:ascii="宋体" w:hAnsi="宋体" w:cs="宋体" w:eastAsia="宋体" w:hint="default"/>
                <w:spacing w:val="-3"/>
                <w:w w:val="100"/>
                <w:sz w:val="16"/>
                <w:szCs w:val="16"/>
              </w:rPr>
              <w:t>凭</w:t>
            </w:r>
            <w:r>
              <w:rPr>
                <w:rFonts w:ascii="宋体" w:hAnsi="宋体" w:cs="宋体" w:eastAsia="宋体" w:hint="default"/>
                <w:w w:val="100"/>
                <w:sz w:val="16"/>
                <w:szCs w:val="16"/>
              </w:rPr>
              <w:t>许可</w:t>
            </w:r>
            <w:r>
              <w:rPr>
                <w:rFonts w:ascii="宋体" w:hAnsi="宋体" w:cs="宋体" w:eastAsia="宋体" w:hint="default"/>
                <w:spacing w:val="-3"/>
                <w:w w:val="100"/>
                <w:sz w:val="16"/>
                <w:szCs w:val="16"/>
              </w:rPr>
              <w:t>证</w:t>
            </w:r>
            <w:r>
              <w:rPr>
                <w:rFonts w:ascii="宋体" w:hAnsi="宋体" w:cs="宋体" w:eastAsia="宋体" w:hint="default"/>
                <w:w w:val="100"/>
                <w:sz w:val="16"/>
                <w:szCs w:val="16"/>
              </w:rPr>
              <w:t>经</w:t>
            </w:r>
            <w:r>
              <w:rPr>
                <w:rFonts w:ascii="宋体" w:hAnsi="宋体" w:cs="宋体" w:eastAsia="宋体" w:hint="default"/>
                <w:spacing w:val="-3"/>
                <w:w w:val="100"/>
                <w:sz w:val="16"/>
                <w:szCs w:val="16"/>
              </w:rPr>
              <w:t>营</w:t>
            </w:r>
            <w:r>
              <w:rPr>
                <w:rFonts w:ascii="宋体" w:hAnsi="宋体" w:cs="宋体" w:eastAsia="宋体" w:hint="default"/>
                <w:spacing w:val="-80"/>
                <w:w w:val="100"/>
                <w:sz w:val="16"/>
                <w:szCs w:val="16"/>
              </w:rPr>
              <w:t>）</w:t>
            </w:r>
            <w:r>
              <w:rPr>
                <w:rFonts w:ascii="宋体" w:hAnsi="宋体" w:cs="宋体" w:eastAsia="宋体" w:hint="default"/>
                <w:w w:val="100"/>
                <w:sz w:val="16"/>
                <w:szCs w:val="16"/>
              </w:rPr>
              <w:t>。</w:t>
            </w:r>
          </w:p>
        </w:tc>
        <w:tc>
          <w:tcPr>
            <w:tcW w:w="1080"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李小庆</w:t>
            </w:r>
          </w:p>
        </w:tc>
      </w:tr>
      <w:tr>
        <w:trPr>
          <w:trHeight w:val="775" w:hRule="exact"/>
        </w:trPr>
        <w:tc>
          <w:tcPr>
            <w:tcW w:w="7064" w:type="dxa"/>
            <w:gridSpan w:val="3"/>
            <w:tcBorders>
              <w:top w:val="single" w:sz="6" w:space="0" w:color="000000"/>
              <w:left w:val="nil" w:sz="6" w:space="0" w:color="auto"/>
              <w:bottom w:val="single" w:sz="12" w:space="0" w:color="000000"/>
              <w:right w:val="nil" w:sz="6" w:space="0" w:color="auto"/>
            </w:tcBorders>
          </w:tcPr>
          <w:p>
            <w:pPr>
              <w:pStyle w:val="TableParagraph"/>
              <w:tabs>
                <w:tab w:pos="1795" w:val="left" w:leader="none"/>
                <w:tab w:pos="2590" w:val="left" w:leader="none"/>
                <w:tab w:pos="5921" w:val="left" w:leader="none"/>
              </w:tabs>
              <w:spacing w:line="156" w:lineRule="auto" w:before="163"/>
              <w:ind w:left="43" w:right="86"/>
              <w:jc w:val="left"/>
              <w:rPr>
                <w:rFonts w:ascii="宋体" w:hAnsi="宋体" w:cs="宋体" w:eastAsia="宋体" w:hint="default"/>
                <w:sz w:val="21"/>
                <w:szCs w:val="21"/>
              </w:rPr>
            </w:pPr>
            <w:r>
              <w:rPr>
                <w:rFonts w:ascii="宋体" w:hAnsi="宋体" w:cs="宋体" w:eastAsia="宋体" w:hint="default"/>
                <w:spacing w:val="-1"/>
                <w:position w:val="1"/>
                <w:sz w:val="21"/>
                <w:szCs w:val="21"/>
              </w:rPr>
              <w:t>芜湖斯高思电器</w:t>
              <w:tab/>
              <w:tab/>
            </w:r>
            <w:r>
              <w:rPr>
                <w:rFonts w:ascii="宋体" w:hAnsi="宋体" w:cs="宋体" w:eastAsia="宋体" w:hint="default"/>
                <w:spacing w:val="-1"/>
                <w:sz w:val="16"/>
                <w:szCs w:val="16"/>
              </w:rPr>
              <w:t>生产和销售高、低压电器元件、开关配件、</w:t>
            </w:r>
            <w:r>
              <w:rPr>
                <w:rFonts w:ascii="宋体" w:hAnsi="宋体" w:cs="宋体" w:eastAsia="宋体" w:hint="default"/>
                <w:spacing w:val="25"/>
                <w:sz w:val="16"/>
                <w:szCs w:val="16"/>
              </w:rPr>
              <w:t> </w:t>
            </w:r>
            <w:r>
              <w:rPr>
                <w:rFonts w:ascii="宋体" w:hAnsi="宋体" w:cs="宋体" w:eastAsia="宋体" w:hint="default"/>
                <w:spacing w:val="-1"/>
                <w:position w:val="1"/>
                <w:sz w:val="21"/>
                <w:szCs w:val="21"/>
              </w:rPr>
              <w:t>全资子公司的</w:t>
            </w:r>
            <w:r>
              <w:rPr>
                <w:rFonts w:ascii="宋体" w:hAnsi="宋体" w:cs="宋体" w:eastAsia="宋体" w:hint="default"/>
                <w:w w:val="100"/>
                <w:position w:val="1"/>
                <w:sz w:val="21"/>
                <w:szCs w:val="21"/>
              </w:rPr>
              <w:t> </w:t>
            </w:r>
            <w:r>
              <w:rPr>
                <w:rFonts w:ascii="宋体" w:hAnsi="宋体" w:cs="宋体" w:eastAsia="宋体" w:hint="default"/>
                <w:spacing w:val="-1"/>
                <w:sz w:val="21"/>
                <w:szCs w:val="21"/>
              </w:rPr>
              <w:t>有限公司</w:t>
              <w:tab/>
            </w:r>
            <w:r>
              <w:rPr>
                <w:rFonts w:ascii="宋体" w:hAnsi="宋体" w:cs="宋体" w:eastAsia="宋体" w:hint="default"/>
                <w:position w:val="9"/>
                <w:sz w:val="21"/>
                <w:szCs w:val="21"/>
              </w:rPr>
              <w:t>芜湖市</w:t>
            </w:r>
            <w:r>
              <w:rPr>
                <w:rFonts w:ascii="宋体" w:hAnsi="宋体" w:cs="宋体" w:eastAsia="宋体" w:hint="default"/>
                <w:spacing w:val="69"/>
                <w:position w:val="9"/>
                <w:sz w:val="21"/>
                <w:szCs w:val="21"/>
              </w:rPr>
              <w:t> </w:t>
            </w:r>
            <w:r>
              <w:rPr>
                <w:rFonts w:ascii="宋体" w:hAnsi="宋体" w:cs="宋体" w:eastAsia="宋体" w:hint="default"/>
                <w:spacing w:val="-1"/>
                <w:position w:val="5"/>
                <w:sz w:val="16"/>
                <w:szCs w:val="16"/>
              </w:rPr>
              <w:t>钣金机械加工。</w:t>
              <w:tab/>
            </w:r>
            <w:r>
              <w:rPr>
                <w:rFonts w:ascii="宋体" w:hAnsi="宋体" w:cs="宋体" w:eastAsia="宋体" w:hint="default"/>
                <w:spacing w:val="-1"/>
                <w:sz w:val="21"/>
                <w:szCs w:val="21"/>
              </w:rPr>
              <w:t>控股公司</w:t>
            </w:r>
          </w:p>
        </w:tc>
        <w:tc>
          <w:tcPr>
            <w:tcW w:w="1080" w:type="dxa"/>
            <w:tcBorders>
              <w:top w:val="single" w:sz="6"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合资企业</w:t>
            </w:r>
          </w:p>
        </w:tc>
        <w:tc>
          <w:tcPr>
            <w:tcW w:w="1260" w:type="dxa"/>
            <w:tcBorders>
              <w:top w:val="single" w:sz="6"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束龙胜</w:t>
            </w:r>
          </w:p>
        </w:tc>
      </w:tr>
    </w:tbl>
    <w:p>
      <w:pPr>
        <w:spacing w:line="240" w:lineRule="auto" w:before="12"/>
        <w:rPr>
          <w:rFonts w:ascii="宋体" w:hAnsi="宋体" w:cs="宋体" w:eastAsia="宋体" w:hint="default"/>
          <w:b/>
          <w:bCs/>
          <w:sz w:val="4"/>
          <w:szCs w:val="4"/>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b/>
          <w:bCs/>
          <w:sz w:val="19"/>
          <w:szCs w:val="19"/>
        </w:rPr>
        <w:t>2</w:t>
      </w:r>
      <w:r>
        <w:rPr>
          <w:rFonts w:ascii="宋体" w:hAnsi="宋体" w:cs="宋体" w:eastAsia="宋体" w:hint="default"/>
          <w:b/>
          <w:bCs/>
          <w:sz w:val="19"/>
          <w:szCs w:val="19"/>
        </w:rPr>
        <w:t>、</w:t>
      </w:r>
      <w:r>
        <w:rPr>
          <w:rFonts w:ascii="宋体" w:hAnsi="宋体" w:cs="宋体" w:eastAsia="宋体" w:hint="default"/>
          <w:b/>
          <w:bCs/>
          <w:sz w:val="21"/>
          <w:szCs w:val="21"/>
        </w:rPr>
        <w:t>存在控制关系的关联方注册资本及其变化</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193"/>
        <w:gridCol w:w="1844"/>
        <w:gridCol w:w="1157"/>
        <w:gridCol w:w="1364"/>
        <w:gridCol w:w="1668"/>
      </w:tblGrid>
      <w:tr>
        <w:trPr>
          <w:trHeight w:val="422" w:hRule="exact"/>
        </w:trPr>
        <w:tc>
          <w:tcPr>
            <w:tcW w:w="31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9"/>
              <w:ind w:left="16" w:right="0"/>
              <w:jc w:val="center"/>
              <w:rPr>
                <w:rFonts w:ascii="宋体" w:hAnsi="宋体" w:cs="宋体" w:eastAsia="宋体" w:hint="default"/>
                <w:sz w:val="19"/>
                <w:szCs w:val="19"/>
              </w:rPr>
            </w:pPr>
            <w:r>
              <w:rPr>
                <w:rFonts w:ascii="宋体" w:hAnsi="宋体" w:cs="宋体" w:eastAsia="宋体" w:hint="default"/>
                <w:sz w:val="19"/>
                <w:szCs w:val="19"/>
              </w:rPr>
              <w:t>企业名称</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right="163"/>
              <w:jc w:val="right"/>
              <w:rPr>
                <w:rFonts w:ascii="宋体" w:hAnsi="宋体" w:cs="宋体" w:eastAsia="宋体" w:hint="default"/>
                <w:sz w:val="19"/>
                <w:szCs w:val="19"/>
              </w:rPr>
            </w:pPr>
            <w:r>
              <w:rPr>
                <w:rFonts w:ascii="Arial Narrow" w:hAnsi="Arial Narrow" w:cs="Arial Narrow" w:eastAsia="Arial Narrow" w:hint="default"/>
                <w:sz w:val="19"/>
                <w:szCs w:val="19"/>
              </w:rPr>
              <w:t>2009</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3"/>
                <w:sz w:val="19"/>
                <w:szCs w:val="19"/>
              </w:rPr>
              <w:t> </w:t>
            </w:r>
            <w:r>
              <w:rPr>
                <w:rFonts w:ascii="宋体" w:hAnsi="宋体" w:cs="宋体" w:eastAsia="宋体" w:hint="default"/>
                <w:sz w:val="19"/>
                <w:szCs w:val="19"/>
              </w:rPr>
              <w:t>日</w:t>
            </w:r>
          </w:p>
        </w:tc>
        <w:tc>
          <w:tcPr>
            <w:tcW w:w="11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95" w:right="0"/>
              <w:jc w:val="left"/>
              <w:rPr>
                <w:rFonts w:ascii="宋体" w:hAnsi="宋体" w:cs="宋体" w:eastAsia="宋体" w:hint="default"/>
                <w:sz w:val="19"/>
                <w:szCs w:val="19"/>
              </w:rPr>
            </w:pPr>
            <w:r>
              <w:rPr>
                <w:rFonts w:ascii="宋体" w:hAnsi="宋体" w:cs="宋体" w:eastAsia="宋体" w:hint="default"/>
                <w:sz w:val="19"/>
                <w:szCs w:val="19"/>
              </w:rPr>
              <w:t>本年增加数</w:t>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196" w:right="0"/>
              <w:jc w:val="left"/>
              <w:rPr>
                <w:rFonts w:ascii="宋体" w:hAnsi="宋体" w:cs="宋体" w:eastAsia="宋体" w:hint="default"/>
                <w:sz w:val="19"/>
                <w:szCs w:val="19"/>
              </w:rPr>
            </w:pPr>
            <w:r>
              <w:rPr>
                <w:rFonts w:ascii="宋体" w:hAnsi="宋体" w:cs="宋体" w:eastAsia="宋体" w:hint="default"/>
                <w:sz w:val="19"/>
                <w:szCs w:val="19"/>
              </w:rPr>
              <w:t>本年减少数</w:t>
            </w:r>
          </w:p>
        </w:tc>
        <w:tc>
          <w:tcPr>
            <w:tcW w:w="16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9"/>
              <w:ind w:right="83"/>
              <w:jc w:val="right"/>
              <w:rPr>
                <w:rFonts w:ascii="宋体" w:hAnsi="宋体" w:cs="宋体" w:eastAsia="宋体" w:hint="default"/>
                <w:sz w:val="19"/>
                <w:szCs w:val="19"/>
              </w:rPr>
            </w:pPr>
            <w:r>
              <w:rPr>
                <w:rFonts w:ascii="Arial Narrow" w:hAnsi="Arial Narrow" w:cs="Arial Narrow" w:eastAsia="Arial Narrow" w:hint="default"/>
                <w:sz w:val="19"/>
                <w:szCs w:val="19"/>
              </w:rPr>
              <w:t>2010</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43" w:right="0"/>
              <w:jc w:val="left"/>
              <w:rPr>
                <w:rFonts w:ascii="宋体" w:hAnsi="宋体" w:cs="宋体" w:eastAsia="宋体" w:hint="default"/>
                <w:sz w:val="21"/>
                <w:szCs w:val="21"/>
              </w:rPr>
            </w:pPr>
            <w:r>
              <w:rPr>
                <w:rFonts w:ascii="宋体" w:hAnsi="宋体" w:cs="宋体" w:eastAsia="宋体" w:hint="default"/>
                <w:sz w:val="21"/>
                <w:szCs w:val="21"/>
              </w:rPr>
              <w:t>芜湖市鑫诚科技投资有限公司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3"/>
              <w:jc w:val="right"/>
              <w:rPr>
                <w:rFonts w:ascii="宋体" w:hAnsi="宋体" w:cs="宋体" w:eastAsia="宋体" w:hint="default"/>
                <w:sz w:val="20"/>
                <w:szCs w:val="20"/>
              </w:rPr>
            </w:pPr>
            <w:r>
              <w:rPr>
                <w:rFonts w:ascii="Arial Narrow" w:hAnsi="Arial Narrow" w:cs="Arial Narrow" w:eastAsia="Arial Narrow" w:hint="default"/>
                <w:sz w:val="20"/>
                <w:szCs w:val="20"/>
              </w:rPr>
              <w:t>2108</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80"/>
              <w:jc w:val="right"/>
              <w:rPr>
                <w:rFonts w:ascii="宋体" w:hAnsi="宋体" w:cs="宋体" w:eastAsia="宋体" w:hint="default"/>
                <w:sz w:val="20"/>
                <w:szCs w:val="20"/>
              </w:rPr>
            </w:pPr>
            <w:r>
              <w:rPr>
                <w:rFonts w:ascii="Arial Narrow" w:hAnsi="Arial Narrow" w:cs="Arial Narrow" w:eastAsia="Arial Narrow" w:hint="default"/>
                <w:sz w:val="20"/>
                <w:szCs w:val="20"/>
              </w:rPr>
              <w:t>2108</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43"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3"/>
              <w:jc w:val="right"/>
              <w:rPr>
                <w:rFonts w:ascii="宋体" w:hAnsi="宋体" w:cs="宋体" w:eastAsia="宋体" w:hint="default"/>
                <w:sz w:val="20"/>
                <w:szCs w:val="20"/>
              </w:rPr>
            </w:pPr>
            <w:r>
              <w:rPr>
                <w:rFonts w:ascii="Arial Narrow" w:hAnsi="Arial Narrow" w:cs="Arial Narrow" w:eastAsia="Arial Narrow" w:hint="default"/>
                <w:sz w:val="20"/>
                <w:szCs w:val="20"/>
              </w:rPr>
              <w:t>7560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80"/>
              <w:jc w:val="right"/>
              <w:rPr>
                <w:rFonts w:ascii="宋体" w:hAnsi="宋体" w:cs="宋体" w:eastAsia="宋体" w:hint="default"/>
                <w:sz w:val="20"/>
                <w:szCs w:val="20"/>
              </w:rPr>
            </w:pPr>
            <w:r>
              <w:rPr>
                <w:rFonts w:ascii="Arial Narrow" w:hAnsi="Arial Narrow" w:cs="Arial Narrow" w:eastAsia="Arial Narrow" w:hint="default"/>
                <w:sz w:val="20"/>
                <w:szCs w:val="20"/>
              </w:rPr>
              <w:t>7560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r>
      <w:tr>
        <w:trPr>
          <w:trHeight w:val="380"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43" w:right="0"/>
              <w:jc w:val="left"/>
              <w:rPr>
                <w:rFonts w:ascii="宋体" w:hAnsi="宋体" w:cs="宋体" w:eastAsia="宋体" w:hint="default"/>
                <w:sz w:val="21"/>
                <w:szCs w:val="21"/>
              </w:rPr>
            </w:pPr>
            <w:r>
              <w:rPr>
                <w:rFonts w:ascii="宋体" w:hAnsi="宋体" w:cs="宋体" w:eastAsia="宋体" w:hint="default"/>
                <w:sz w:val="21"/>
                <w:szCs w:val="21"/>
              </w:rPr>
              <w:t>安徽鑫龙电器元件销售有限公司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3"/>
              <w:jc w:val="right"/>
              <w:rPr>
                <w:rFonts w:ascii="宋体" w:hAnsi="宋体" w:cs="宋体" w:eastAsia="宋体" w:hint="default"/>
                <w:sz w:val="20"/>
                <w:szCs w:val="20"/>
              </w:rPr>
            </w:pPr>
            <w:r>
              <w:rPr>
                <w:rFonts w:ascii="Arial Narrow" w:hAnsi="Arial Narrow" w:cs="Arial Narrow" w:eastAsia="Arial Narrow" w:hint="default"/>
                <w:sz w:val="20"/>
                <w:szCs w:val="20"/>
              </w:rPr>
              <w:t>500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80"/>
              <w:jc w:val="right"/>
              <w:rPr>
                <w:rFonts w:ascii="宋体" w:hAnsi="宋体" w:cs="宋体" w:eastAsia="宋体" w:hint="default"/>
                <w:sz w:val="20"/>
                <w:szCs w:val="20"/>
              </w:rPr>
            </w:pPr>
            <w:r>
              <w:rPr>
                <w:rFonts w:ascii="Arial Narrow" w:hAnsi="Arial Narrow" w:cs="Arial Narrow" w:eastAsia="Arial Narrow" w:hint="default"/>
                <w:sz w:val="20"/>
                <w:szCs w:val="20"/>
              </w:rPr>
              <w:t>500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73"/>
              <w:jc w:val="right"/>
              <w:rPr>
                <w:rFonts w:ascii="宋体" w:hAnsi="宋体" w:cs="宋体" w:eastAsia="宋体" w:hint="default"/>
                <w:sz w:val="20"/>
                <w:szCs w:val="20"/>
              </w:rPr>
            </w:pPr>
            <w:r>
              <w:rPr>
                <w:rFonts w:ascii="Arial Narrow" w:hAnsi="Arial Narrow" w:cs="Arial Narrow" w:eastAsia="Arial Narrow" w:hint="default"/>
                <w:sz w:val="20"/>
                <w:szCs w:val="20"/>
              </w:rPr>
              <w:t>1000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180"/>
              <w:jc w:val="right"/>
              <w:rPr>
                <w:rFonts w:ascii="宋体" w:hAnsi="宋体" w:cs="宋体" w:eastAsia="宋体" w:hint="default"/>
                <w:sz w:val="20"/>
                <w:szCs w:val="20"/>
              </w:rPr>
            </w:pPr>
            <w:r>
              <w:rPr>
                <w:rFonts w:ascii="Arial Narrow" w:hAnsi="Arial Narrow" w:cs="Arial Narrow" w:eastAsia="Arial Narrow" w:hint="default"/>
                <w:sz w:val="20"/>
                <w:szCs w:val="20"/>
              </w:rPr>
              <w:t>1000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73"/>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180"/>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73"/>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180"/>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r>
      <w:tr>
        <w:trPr>
          <w:trHeight w:val="377" w:hRule="exact"/>
        </w:trPr>
        <w:tc>
          <w:tcPr>
            <w:tcW w:w="31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left="43" w:right="0"/>
              <w:jc w:val="left"/>
              <w:rPr>
                <w:rFonts w:ascii="宋体" w:hAnsi="宋体" w:cs="宋体" w:eastAsia="宋体" w:hint="default"/>
                <w:sz w:val="21"/>
                <w:szCs w:val="21"/>
              </w:rPr>
            </w:pPr>
            <w:r>
              <w:rPr>
                <w:rFonts w:ascii="宋体" w:hAnsi="宋体" w:cs="宋体" w:eastAsia="宋体" w:hint="default"/>
                <w:sz w:val="21"/>
                <w:szCs w:val="21"/>
              </w:rPr>
              <w:t>安徽鑫龙电力工程安装有限公司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73"/>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1157"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180"/>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r>
      <w:tr>
        <w:trPr>
          <w:trHeight w:val="384" w:hRule="exact"/>
        </w:trPr>
        <w:tc>
          <w:tcPr>
            <w:tcW w:w="31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43" w:right="0"/>
              <w:jc w:val="left"/>
              <w:rPr>
                <w:rFonts w:ascii="宋体" w:hAnsi="宋体" w:cs="宋体" w:eastAsia="宋体" w:hint="default"/>
                <w:sz w:val="21"/>
                <w:szCs w:val="21"/>
              </w:rPr>
            </w:pPr>
            <w:r>
              <w:rPr>
                <w:rFonts w:ascii="宋体" w:hAnsi="宋体" w:cs="宋体" w:eastAsia="宋体" w:hint="default"/>
                <w:sz w:val="21"/>
                <w:szCs w:val="21"/>
              </w:rPr>
              <w:t>芜湖斯高思电器有限公司</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73"/>
              <w:jc w:val="right"/>
              <w:rPr>
                <w:rFonts w:ascii="宋体" w:hAnsi="宋体" w:cs="宋体" w:eastAsia="宋体" w:hint="default"/>
                <w:sz w:val="20"/>
                <w:szCs w:val="20"/>
              </w:rPr>
            </w:pPr>
            <w:r>
              <w:rPr>
                <w:rFonts w:ascii="Arial Narrow" w:hAnsi="Arial Narrow" w:cs="Arial Narrow" w:eastAsia="Arial Narrow" w:hint="default"/>
                <w:sz w:val="20"/>
                <w:szCs w:val="20"/>
              </w:rPr>
              <w:t>500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万美元</w:t>
            </w:r>
          </w:p>
        </w:tc>
        <w:tc>
          <w:tcPr>
            <w:tcW w:w="1157" w:type="dxa"/>
            <w:tcBorders>
              <w:top w:val="single" w:sz="6" w:space="0" w:color="000000"/>
              <w:left w:val="single" w:sz="6" w:space="0" w:color="000000"/>
              <w:bottom w:val="single" w:sz="12" w:space="0" w:color="000000"/>
              <w:right w:val="single" w:sz="6" w:space="0" w:color="000000"/>
            </w:tcBorders>
          </w:tcPr>
          <w:p>
            <w:pPr/>
          </w:p>
        </w:tc>
        <w:tc>
          <w:tcPr>
            <w:tcW w:w="1364" w:type="dxa"/>
            <w:tcBorders>
              <w:top w:val="single" w:sz="6" w:space="0" w:color="000000"/>
              <w:left w:val="single" w:sz="6" w:space="0" w:color="000000"/>
              <w:bottom w:val="single" w:sz="12" w:space="0" w:color="000000"/>
              <w:right w:val="single" w:sz="6" w:space="0" w:color="000000"/>
            </w:tcBorders>
          </w:tcPr>
          <w:p>
            <w:pPr/>
          </w:p>
        </w:tc>
        <w:tc>
          <w:tcPr>
            <w:tcW w:w="16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80"/>
              <w:jc w:val="right"/>
              <w:rPr>
                <w:rFonts w:ascii="宋体" w:hAnsi="宋体" w:cs="宋体" w:eastAsia="宋体" w:hint="default"/>
                <w:sz w:val="20"/>
                <w:szCs w:val="20"/>
              </w:rPr>
            </w:pPr>
            <w:r>
              <w:rPr>
                <w:rFonts w:ascii="Arial Narrow" w:hAnsi="Arial Narrow" w:cs="Arial Narrow" w:eastAsia="Arial Narrow" w:hint="default"/>
                <w:sz w:val="20"/>
                <w:szCs w:val="20"/>
              </w:rPr>
              <w:t>500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万美元</w:t>
            </w:r>
          </w:p>
        </w:tc>
      </w:tr>
    </w:tbl>
    <w:p>
      <w:pPr>
        <w:spacing w:line="240" w:lineRule="auto" w:before="13"/>
        <w:rPr>
          <w:rFonts w:ascii="宋体" w:hAnsi="宋体" w:cs="宋体" w:eastAsia="宋体" w:hint="default"/>
          <w:b/>
          <w:bCs/>
          <w:sz w:val="5"/>
          <w:szCs w:val="5"/>
        </w:rPr>
      </w:pPr>
    </w:p>
    <w:p>
      <w:pPr>
        <w:spacing w:before="36"/>
        <w:ind w:left="578" w:right="0" w:firstLine="0"/>
        <w:jc w:val="left"/>
        <w:rPr>
          <w:rFonts w:ascii="宋体" w:hAnsi="宋体" w:cs="宋体" w:eastAsia="宋体" w:hint="default"/>
          <w:sz w:val="21"/>
          <w:szCs w:val="21"/>
        </w:rPr>
      </w:pPr>
      <w:r>
        <w:rPr>
          <w:rFonts w:ascii="宋体" w:hAnsi="宋体" w:cs="宋体" w:eastAsia="宋体" w:hint="default"/>
          <w:b/>
          <w:bCs/>
          <w:sz w:val="19"/>
          <w:szCs w:val="19"/>
        </w:rPr>
        <w:t>3</w:t>
      </w:r>
      <w:r>
        <w:rPr>
          <w:rFonts w:ascii="宋体" w:hAnsi="宋体" w:cs="宋体" w:eastAsia="宋体" w:hint="default"/>
          <w:b/>
          <w:bCs/>
          <w:sz w:val="19"/>
          <w:szCs w:val="19"/>
        </w:rPr>
        <w:t>、</w:t>
      </w:r>
      <w:r>
        <w:rPr>
          <w:rFonts w:ascii="宋体" w:hAnsi="宋体" w:cs="宋体" w:eastAsia="宋体" w:hint="default"/>
          <w:b/>
          <w:bCs/>
          <w:sz w:val="21"/>
          <w:szCs w:val="21"/>
        </w:rPr>
        <w:t>存在控制关系的关联方所持股份或权益及其变化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16" w:footer="858" w:top="1160" w:bottom="1040" w:left="1640" w:right="620"/>
        </w:sectPr>
      </w:pPr>
    </w:p>
    <w:p>
      <w:pPr>
        <w:spacing w:line="240" w:lineRule="auto" w:before="9"/>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2352"/>
        <w:gridCol w:w="1438"/>
        <w:gridCol w:w="720"/>
        <w:gridCol w:w="900"/>
        <w:gridCol w:w="900"/>
        <w:gridCol w:w="900"/>
        <w:gridCol w:w="721"/>
        <w:gridCol w:w="1440"/>
        <w:gridCol w:w="900"/>
      </w:tblGrid>
      <w:tr>
        <w:trPr>
          <w:trHeight w:val="423" w:hRule="exact"/>
        </w:trPr>
        <w:tc>
          <w:tcPr>
            <w:tcW w:w="2352"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749" w:right="0"/>
              <w:jc w:val="left"/>
              <w:rPr>
                <w:rFonts w:ascii="宋体" w:hAnsi="宋体" w:cs="宋体" w:eastAsia="宋体" w:hint="default"/>
                <w:sz w:val="19"/>
                <w:szCs w:val="19"/>
              </w:rPr>
            </w:pPr>
            <w:r>
              <w:rPr>
                <w:rFonts w:ascii="宋体" w:hAnsi="宋体" w:cs="宋体" w:eastAsia="宋体" w:hint="default"/>
                <w:sz w:val="19"/>
                <w:szCs w:val="19"/>
              </w:rPr>
              <w:t>企业名称</w:t>
            </w:r>
          </w:p>
        </w:tc>
        <w:tc>
          <w:tcPr>
            <w:tcW w:w="21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266" w:right="0"/>
              <w:jc w:val="left"/>
              <w:rPr>
                <w:rFonts w:ascii="宋体" w:hAnsi="宋体" w:cs="宋体" w:eastAsia="宋体" w:hint="default"/>
                <w:sz w:val="19"/>
                <w:szCs w:val="19"/>
              </w:rPr>
            </w:pPr>
            <w:r>
              <w:rPr>
                <w:rFonts w:ascii="Arial Narrow" w:hAnsi="Arial Narrow" w:cs="Arial Narrow" w:eastAsia="Arial Narrow" w:hint="default"/>
                <w:sz w:val="19"/>
                <w:szCs w:val="19"/>
              </w:rPr>
              <w:t>2009</w:t>
            </w:r>
            <w:r>
              <w:rPr>
                <w:rFonts w:ascii="Arial Narrow" w:hAnsi="Arial Narrow" w:cs="Arial Narrow" w:eastAsia="Arial Narrow" w:hint="default"/>
                <w:spacing w:val="3"/>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c>
          <w:tcPr>
            <w:tcW w:w="18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458" w:right="0"/>
              <w:jc w:val="left"/>
              <w:rPr>
                <w:rFonts w:ascii="宋体" w:hAnsi="宋体" w:cs="宋体" w:eastAsia="宋体" w:hint="default"/>
                <w:sz w:val="19"/>
                <w:szCs w:val="19"/>
              </w:rPr>
            </w:pPr>
            <w:r>
              <w:rPr>
                <w:rFonts w:ascii="宋体" w:hAnsi="宋体" w:cs="宋体" w:eastAsia="宋体" w:hint="default"/>
                <w:sz w:val="19"/>
                <w:szCs w:val="19"/>
              </w:rPr>
              <w:t>本年增加</w:t>
            </w:r>
          </w:p>
        </w:tc>
        <w:tc>
          <w:tcPr>
            <w:tcW w:w="162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388" w:right="0"/>
              <w:jc w:val="left"/>
              <w:rPr>
                <w:rFonts w:ascii="宋体" w:hAnsi="宋体" w:cs="宋体" w:eastAsia="宋体" w:hint="default"/>
                <w:sz w:val="19"/>
                <w:szCs w:val="19"/>
              </w:rPr>
            </w:pPr>
            <w:r>
              <w:rPr>
                <w:rFonts w:ascii="宋体" w:hAnsi="宋体" w:cs="宋体" w:eastAsia="宋体" w:hint="default"/>
                <w:sz w:val="19"/>
                <w:szCs w:val="19"/>
              </w:rPr>
              <w:t>本年减少</w:t>
            </w:r>
          </w:p>
        </w:tc>
        <w:tc>
          <w:tcPr>
            <w:tcW w:w="234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97"/>
              <w:ind w:left="371" w:right="0"/>
              <w:jc w:val="left"/>
              <w:rPr>
                <w:rFonts w:ascii="宋体" w:hAnsi="宋体" w:cs="宋体" w:eastAsia="宋体" w:hint="default"/>
                <w:sz w:val="19"/>
                <w:szCs w:val="19"/>
              </w:rPr>
            </w:pPr>
            <w:r>
              <w:rPr>
                <w:rFonts w:ascii="Arial Narrow" w:hAnsi="Arial Narrow" w:cs="Arial Narrow" w:eastAsia="Arial Narrow" w:hint="default"/>
                <w:sz w:val="19"/>
                <w:szCs w:val="19"/>
              </w:rPr>
              <w:t>2010</w:t>
            </w:r>
            <w:r>
              <w:rPr>
                <w:rFonts w:ascii="Arial Narrow" w:hAnsi="Arial Narrow" w:cs="Arial Narrow" w:eastAsia="Arial Narrow" w:hint="default"/>
                <w:spacing w:val="2"/>
                <w:sz w:val="19"/>
                <w:szCs w:val="19"/>
              </w:rPr>
              <w:t> </w:t>
            </w:r>
            <w:r>
              <w:rPr>
                <w:rFonts w:ascii="宋体" w:hAnsi="宋体" w:cs="宋体" w:eastAsia="宋体" w:hint="default"/>
                <w:sz w:val="19"/>
                <w:szCs w:val="19"/>
              </w:rPr>
              <w:t>年</w:t>
            </w:r>
            <w:r>
              <w:rPr>
                <w:rFonts w:ascii="宋体" w:hAnsi="宋体" w:cs="宋体" w:eastAsia="宋体" w:hint="default"/>
                <w:spacing w:val="-49"/>
                <w:sz w:val="19"/>
                <w:szCs w:val="19"/>
              </w:rPr>
              <w:t> </w:t>
            </w:r>
            <w:r>
              <w:rPr>
                <w:rFonts w:ascii="Arial Narrow" w:hAnsi="Arial Narrow" w:cs="Arial Narrow" w:eastAsia="Arial Narrow" w:hint="default"/>
                <w:sz w:val="19"/>
                <w:szCs w:val="19"/>
              </w:rPr>
              <w:t>12</w:t>
            </w:r>
            <w:r>
              <w:rPr>
                <w:rFonts w:ascii="Arial Narrow" w:hAnsi="Arial Narrow" w:cs="Arial Narrow" w:eastAsia="Arial Narrow" w:hint="default"/>
                <w:spacing w:val="2"/>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Narrow" w:hAnsi="Arial Narrow" w:cs="Arial Narrow" w:eastAsia="Arial Narrow" w:hint="default"/>
                <w:sz w:val="19"/>
                <w:szCs w:val="19"/>
              </w:rPr>
              <w:t>31</w:t>
            </w:r>
            <w:r>
              <w:rPr>
                <w:rFonts w:ascii="Arial Narrow" w:hAnsi="Arial Narrow" w:cs="Arial Narrow" w:eastAsia="Arial Narrow" w:hint="default"/>
                <w:spacing w:val="2"/>
                <w:sz w:val="19"/>
                <w:szCs w:val="19"/>
              </w:rPr>
              <w:t> </w:t>
            </w:r>
            <w:r>
              <w:rPr>
                <w:rFonts w:ascii="宋体" w:hAnsi="宋体" w:cs="宋体" w:eastAsia="宋体" w:hint="default"/>
                <w:sz w:val="19"/>
                <w:szCs w:val="19"/>
              </w:rPr>
              <w:t>日</w:t>
            </w:r>
          </w:p>
        </w:tc>
      </w:tr>
      <w:tr>
        <w:trPr>
          <w:trHeight w:val="415" w:hRule="exact"/>
        </w:trPr>
        <w:tc>
          <w:tcPr>
            <w:tcW w:w="2352" w:type="dxa"/>
            <w:vMerge/>
            <w:tcBorders>
              <w:left w:val="nil" w:sz="6" w:space="0" w:color="auto"/>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68"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14"/>
              <w:jc w:val="right"/>
              <w:rPr>
                <w:rFonts w:ascii="宋体" w:hAnsi="宋体" w:cs="宋体" w:eastAsia="宋体" w:hint="default"/>
                <w:sz w:val="19"/>
                <w:szCs w:val="19"/>
              </w:rPr>
            </w:pPr>
            <w:r>
              <w:rPr>
                <w:rFonts w:ascii="宋体" w:hAnsi="宋体" w:cs="宋体" w:eastAsia="宋体" w:hint="default"/>
                <w:w w:val="95"/>
                <w:sz w:val="19"/>
                <w:szCs w:val="19"/>
              </w:rPr>
              <w:t>比例</w:t>
            </w:r>
            <w:r>
              <w:rPr>
                <w:rFonts w:ascii="宋体" w:hAnsi="宋体" w:cs="宋体" w:eastAsia="宋体" w:hint="default"/>
                <w:w w:val="95"/>
                <w:sz w:val="19"/>
                <w:szCs w:val="19"/>
              </w:rPr>
              <w:t>%</w:t>
            </w:r>
            <w:r>
              <w:rPr>
                <w:rFonts w:ascii="宋体" w:hAnsi="宋体" w:cs="宋体" w:eastAsia="宋体" w:hint="default"/>
                <w:sz w:val="19"/>
                <w:szCs w:val="19"/>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99"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03" w:right="0"/>
              <w:jc w:val="left"/>
              <w:rPr>
                <w:rFonts w:ascii="宋体" w:hAnsi="宋体" w:cs="宋体" w:eastAsia="宋体" w:hint="default"/>
                <w:sz w:val="19"/>
                <w:szCs w:val="19"/>
              </w:rPr>
            </w:pPr>
            <w:r>
              <w:rPr>
                <w:rFonts w:ascii="宋体" w:hAnsi="宋体" w:cs="宋体" w:eastAsia="宋体" w:hint="default"/>
                <w:sz w:val="19"/>
                <w:szCs w:val="19"/>
              </w:rPr>
              <w:t>比例</w:t>
            </w:r>
            <w:r>
              <w:rPr>
                <w:rFonts w:ascii="宋体" w:hAnsi="宋体" w:cs="宋体" w:eastAsia="宋体" w:hint="default"/>
                <w:sz w:val="19"/>
                <w:szCs w:val="19"/>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99"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15" w:right="0"/>
              <w:jc w:val="left"/>
              <w:rPr>
                <w:rFonts w:ascii="宋体" w:hAnsi="宋体" w:cs="宋体" w:eastAsia="宋体" w:hint="default"/>
                <w:sz w:val="19"/>
                <w:szCs w:val="19"/>
              </w:rPr>
            </w:pPr>
            <w:r>
              <w:rPr>
                <w:rFonts w:ascii="宋体" w:hAnsi="宋体" w:cs="宋体" w:eastAsia="宋体" w:hint="default"/>
                <w:sz w:val="19"/>
                <w:szCs w:val="19"/>
              </w:rPr>
              <w:t>比例</w:t>
            </w:r>
            <w:r>
              <w:rPr>
                <w:rFonts w:ascii="宋体" w:hAnsi="宋体" w:cs="宋体" w:eastAsia="宋体" w:hint="default"/>
                <w:sz w:val="19"/>
                <w:szCs w:val="19"/>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67" w:right="0"/>
              <w:jc w:val="left"/>
              <w:rPr>
                <w:rFonts w:ascii="宋体" w:hAnsi="宋体" w:cs="宋体" w:eastAsia="宋体" w:hint="default"/>
                <w:sz w:val="19"/>
                <w:szCs w:val="19"/>
              </w:rPr>
            </w:pPr>
            <w:r>
              <w:rPr>
                <w:rFonts w:ascii="宋体" w:hAnsi="宋体" w:cs="宋体" w:eastAsia="宋体" w:hint="default"/>
                <w:sz w:val="19"/>
                <w:szCs w:val="19"/>
              </w:rPr>
              <w:t>金额</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204" w:right="0"/>
              <w:jc w:val="left"/>
              <w:rPr>
                <w:rFonts w:ascii="宋体" w:hAnsi="宋体" w:cs="宋体" w:eastAsia="宋体" w:hint="default"/>
                <w:sz w:val="19"/>
                <w:szCs w:val="19"/>
              </w:rPr>
            </w:pPr>
            <w:r>
              <w:rPr>
                <w:rFonts w:ascii="宋体" w:hAnsi="宋体" w:cs="宋体" w:eastAsia="宋体" w:hint="default"/>
                <w:sz w:val="19"/>
                <w:szCs w:val="19"/>
              </w:rPr>
              <w:t>比例</w:t>
            </w:r>
            <w:r>
              <w:rPr>
                <w:rFonts w:ascii="宋体" w:hAnsi="宋体" w:cs="宋体" w:eastAsia="宋体" w:hint="default"/>
                <w:sz w:val="19"/>
                <w:szCs w:val="19"/>
              </w:rPr>
              <w:t>%</w:t>
            </w:r>
          </w:p>
        </w:tc>
      </w:tr>
      <w:tr>
        <w:trPr>
          <w:trHeight w:val="415"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0" w:right="0"/>
              <w:jc w:val="left"/>
              <w:rPr>
                <w:rFonts w:ascii="宋体" w:hAnsi="宋体" w:cs="宋体" w:eastAsia="宋体" w:hint="default"/>
                <w:sz w:val="18"/>
                <w:szCs w:val="18"/>
              </w:rPr>
            </w:pPr>
            <w:r>
              <w:rPr>
                <w:rFonts w:ascii="宋体" w:hAnsi="宋体" w:cs="宋体" w:eastAsia="宋体" w:hint="default"/>
                <w:spacing w:val="-27"/>
                <w:sz w:val="18"/>
                <w:szCs w:val="18"/>
              </w:rPr>
              <w:t>束龙胜</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宋体" w:hAnsi="宋体" w:cs="宋体" w:eastAsia="宋体" w:hint="default"/>
                <w:sz w:val="20"/>
                <w:szCs w:val="20"/>
              </w:rPr>
            </w:pPr>
            <w:r>
              <w:rPr>
                <w:rFonts w:ascii="Arial Narrow" w:hAnsi="Arial Narrow" w:cs="Arial Narrow" w:eastAsia="Arial Narrow" w:hint="default"/>
                <w:sz w:val="20"/>
                <w:szCs w:val="20"/>
              </w:rPr>
              <w:t>3248.9115</w:t>
            </w:r>
            <w:r>
              <w:rPr>
                <w:rFonts w:ascii="Arial Narrow" w:hAnsi="Arial Narrow" w:cs="Arial Narrow" w:eastAsia="Arial Narrow" w:hint="default"/>
                <w:spacing w:val="-11"/>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Arial Narrow" w:hAnsi="Arial Narrow" w:cs="Arial Narrow" w:eastAsia="Arial Narrow" w:hint="default"/>
                <w:sz w:val="20"/>
                <w:szCs w:val="20"/>
              </w:rPr>
            </w:pPr>
            <w:r>
              <w:rPr>
                <w:rFonts w:ascii="Arial Narrow"/>
                <w:w w:val="95"/>
                <w:sz w:val="20"/>
              </w:rPr>
              <w:t>29.54</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1"/>
              <w:jc w:val="right"/>
              <w:rPr>
                <w:rFonts w:ascii="宋体" w:hAnsi="宋体" w:cs="宋体" w:eastAsia="宋体" w:hint="default"/>
                <w:sz w:val="20"/>
                <w:szCs w:val="20"/>
              </w:rPr>
            </w:pPr>
            <w:r>
              <w:rPr>
                <w:rFonts w:ascii="Arial Narrow" w:hAnsi="Arial Narrow" w:cs="Arial Narrow" w:eastAsia="Arial Narrow" w:hint="default"/>
                <w:sz w:val="20"/>
                <w:szCs w:val="20"/>
              </w:rPr>
              <w:t>3248.9115</w:t>
            </w:r>
            <w:r>
              <w:rPr>
                <w:rFonts w:ascii="Arial Narrow" w:hAnsi="Arial Narrow" w:cs="Arial Narrow" w:eastAsia="Arial Narrow" w:hint="default"/>
                <w:spacing w:val="-1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5"/>
              <w:jc w:val="right"/>
              <w:rPr>
                <w:rFonts w:ascii="Arial Narrow" w:hAnsi="Arial Narrow" w:cs="Arial Narrow" w:eastAsia="Arial Narrow" w:hint="default"/>
                <w:sz w:val="20"/>
                <w:szCs w:val="20"/>
              </w:rPr>
            </w:pPr>
            <w:r>
              <w:rPr>
                <w:rFonts w:ascii="Arial Narrow"/>
                <w:w w:val="95"/>
                <w:sz w:val="20"/>
              </w:rPr>
              <w:t>29.54</w:t>
            </w:r>
            <w:r>
              <w:rPr>
                <w:rFonts w:ascii="Arial Narrow"/>
                <w:sz w:val="20"/>
              </w:rPr>
            </w:r>
          </w:p>
        </w:tc>
      </w:tr>
      <w:tr>
        <w:trPr>
          <w:trHeight w:val="314"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20" w:right="0"/>
              <w:jc w:val="left"/>
              <w:rPr>
                <w:rFonts w:ascii="宋体" w:hAnsi="宋体" w:cs="宋体" w:eastAsia="宋体" w:hint="default"/>
                <w:sz w:val="18"/>
                <w:szCs w:val="18"/>
              </w:rPr>
            </w:pPr>
            <w:r>
              <w:rPr>
                <w:rFonts w:ascii="宋体" w:hAnsi="宋体" w:cs="宋体" w:eastAsia="宋体" w:hint="default"/>
                <w:spacing w:val="-38"/>
                <w:sz w:val="18"/>
                <w:szCs w:val="18"/>
              </w:rPr>
              <w:t>芜湖市鑫诚科技投资有限公司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1224.0312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9"/>
              <w:jc w:val="right"/>
              <w:rPr>
                <w:rFonts w:ascii="Arial Narrow" w:hAnsi="Arial Narrow" w:cs="Arial Narrow" w:eastAsia="Arial Narrow" w:hint="default"/>
                <w:sz w:val="20"/>
                <w:szCs w:val="20"/>
              </w:rPr>
            </w:pPr>
            <w:r>
              <w:rPr>
                <w:rFonts w:ascii="Arial Narrow"/>
                <w:spacing w:val="-3"/>
                <w:sz w:val="20"/>
              </w:rPr>
              <w:t>11.13</w:t>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1224.0312</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6"/>
              <w:jc w:val="right"/>
              <w:rPr>
                <w:rFonts w:ascii="Arial Narrow" w:hAnsi="Arial Narrow" w:cs="Arial Narrow" w:eastAsia="Arial Narrow" w:hint="default"/>
                <w:sz w:val="20"/>
                <w:szCs w:val="20"/>
              </w:rPr>
            </w:pPr>
            <w:r>
              <w:rPr>
                <w:rFonts w:ascii="Arial Narrow"/>
                <w:spacing w:val="-3"/>
                <w:sz w:val="20"/>
              </w:rPr>
              <w:t>11.13</w:t>
            </w:r>
          </w:p>
        </w:tc>
      </w:tr>
      <w:tr>
        <w:trPr>
          <w:trHeight w:val="314"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20" w:right="0"/>
              <w:jc w:val="left"/>
              <w:rPr>
                <w:rFonts w:ascii="宋体" w:hAnsi="宋体" w:cs="宋体" w:eastAsia="宋体" w:hint="default"/>
                <w:sz w:val="18"/>
                <w:szCs w:val="18"/>
              </w:rPr>
            </w:pPr>
            <w:r>
              <w:rPr>
                <w:rFonts w:ascii="宋体" w:hAnsi="宋体" w:cs="宋体" w:eastAsia="宋体" w:hint="default"/>
                <w:spacing w:val="-37"/>
                <w:sz w:val="18"/>
                <w:szCs w:val="18"/>
              </w:rPr>
              <w:t>安徽森源电器有限公司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7560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7560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r>
        <w:trPr>
          <w:trHeight w:val="317"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17" w:right="0"/>
              <w:jc w:val="left"/>
              <w:rPr>
                <w:rFonts w:ascii="宋体" w:hAnsi="宋体" w:cs="宋体" w:eastAsia="宋体" w:hint="default"/>
                <w:sz w:val="18"/>
                <w:szCs w:val="18"/>
              </w:rPr>
            </w:pPr>
            <w:r>
              <w:rPr>
                <w:rFonts w:ascii="宋体" w:hAnsi="宋体" w:cs="宋体" w:eastAsia="宋体" w:hint="default"/>
                <w:spacing w:val="-38"/>
                <w:sz w:val="18"/>
                <w:szCs w:val="18"/>
              </w:rPr>
              <w:t>安徽鑫龙电器元件销售有限公司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450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90.00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450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90.00</w:t>
            </w:r>
            <w:r>
              <w:rPr>
                <w:rFonts w:ascii="Arial Narrow"/>
                <w:sz w:val="20"/>
              </w:rPr>
            </w:r>
          </w:p>
        </w:tc>
      </w:tr>
      <w:tr>
        <w:trPr>
          <w:trHeight w:val="314"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37"/>
                <w:sz w:val="18"/>
                <w:szCs w:val="18"/>
              </w:rPr>
              <w:t>安徽鑫龙自动化有限公司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1000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1000</w:t>
            </w:r>
            <w:r>
              <w:rPr>
                <w:rFonts w:ascii="Arial Narrow" w:hAnsi="Arial Narrow" w:cs="Arial Narrow" w:eastAsia="Arial Narrow" w:hint="default"/>
                <w:spacing w:val="1"/>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r>
        <w:trPr>
          <w:trHeight w:val="314"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15" w:right="0"/>
              <w:jc w:val="left"/>
              <w:rPr>
                <w:rFonts w:ascii="宋体" w:hAnsi="宋体" w:cs="宋体" w:eastAsia="宋体" w:hint="default"/>
                <w:sz w:val="18"/>
                <w:szCs w:val="18"/>
              </w:rPr>
            </w:pPr>
            <w:r>
              <w:rPr>
                <w:rFonts w:ascii="宋体" w:hAnsi="宋体" w:cs="宋体" w:eastAsia="宋体" w:hint="default"/>
                <w:spacing w:val="-38"/>
                <w:sz w:val="18"/>
                <w:szCs w:val="18"/>
              </w:rPr>
              <w:t>安徽鑫安徽鑫龙低压电器有限公司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r>
        <w:trPr>
          <w:trHeight w:val="314"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20" w:right="0"/>
              <w:jc w:val="left"/>
              <w:rPr>
                <w:rFonts w:ascii="宋体" w:hAnsi="宋体" w:cs="宋体" w:eastAsia="宋体" w:hint="default"/>
                <w:sz w:val="18"/>
                <w:szCs w:val="18"/>
              </w:rPr>
            </w:pPr>
            <w:r>
              <w:rPr>
                <w:rFonts w:ascii="宋体" w:hAnsi="宋体" w:cs="宋体" w:eastAsia="宋体" w:hint="default"/>
                <w:spacing w:val="-37"/>
                <w:sz w:val="18"/>
                <w:szCs w:val="18"/>
              </w:rPr>
              <w:t>安徽鑫龙变压器有限公司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r>
        <w:trPr>
          <w:trHeight w:val="317" w:hRule="exact"/>
        </w:trPr>
        <w:tc>
          <w:tcPr>
            <w:tcW w:w="2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20" w:right="0"/>
              <w:jc w:val="left"/>
              <w:rPr>
                <w:rFonts w:ascii="宋体" w:hAnsi="宋体" w:cs="宋体" w:eastAsia="宋体" w:hint="default"/>
                <w:sz w:val="18"/>
                <w:szCs w:val="18"/>
              </w:rPr>
            </w:pPr>
            <w:r>
              <w:rPr>
                <w:rFonts w:ascii="宋体" w:hAnsi="宋体" w:cs="宋体" w:eastAsia="宋体" w:hint="default"/>
                <w:spacing w:val="-38"/>
                <w:sz w:val="18"/>
                <w:szCs w:val="18"/>
              </w:rPr>
              <w:t>安徽鑫龙电力工程安装有限公司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8"/>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300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8"/>
              <w:ind w:right="105"/>
              <w:jc w:val="right"/>
              <w:rPr>
                <w:rFonts w:ascii="Arial Narrow" w:hAnsi="Arial Narrow" w:cs="Arial Narrow" w:eastAsia="Arial Narrow" w:hint="default"/>
                <w:sz w:val="20"/>
                <w:szCs w:val="20"/>
              </w:rPr>
            </w:pPr>
            <w:r>
              <w:rPr>
                <w:rFonts w:ascii="Arial Narrow"/>
                <w:w w:val="95"/>
                <w:sz w:val="20"/>
              </w:rPr>
              <w:t>100.00</w:t>
            </w:r>
            <w:r>
              <w:rPr>
                <w:rFonts w:ascii="Arial Narrow"/>
                <w:sz w:val="20"/>
              </w:rPr>
            </w:r>
          </w:p>
        </w:tc>
      </w:tr>
      <w:tr>
        <w:trPr>
          <w:trHeight w:val="322" w:hRule="exact"/>
        </w:trPr>
        <w:tc>
          <w:tcPr>
            <w:tcW w:w="235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37"/>
                <w:sz w:val="18"/>
                <w:szCs w:val="18"/>
              </w:rPr>
              <w:t>芜湖斯高思电器有限公司</w:t>
            </w:r>
          </w:p>
        </w:tc>
        <w:tc>
          <w:tcPr>
            <w:tcW w:w="1438"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600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Arial Narrow" w:hAnsi="Arial Narrow" w:cs="Arial Narrow" w:eastAsia="Arial Narrow" w:hint="default"/>
                <w:sz w:val="20"/>
                <w:szCs w:val="20"/>
              </w:rPr>
            </w:pPr>
            <w:r>
              <w:rPr>
                <w:rFonts w:ascii="Arial Narrow"/>
                <w:w w:val="95"/>
                <w:sz w:val="20"/>
              </w:rPr>
              <w:t>75.00</w:t>
            </w:r>
            <w:r>
              <w:rPr>
                <w:rFonts w:ascii="Arial Narrow"/>
                <w:sz w:val="20"/>
              </w:rPr>
            </w:r>
          </w:p>
        </w:tc>
        <w:tc>
          <w:tcPr>
            <w:tcW w:w="900"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721"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101"/>
              <w:jc w:val="right"/>
              <w:rPr>
                <w:rFonts w:ascii="宋体" w:hAnsi="宋体" w:cs="宋体" w:eastAsia="宋体" w:hint="default"/>
                <w:sz w:val="20"/>
                <w:szCs w:val="20"/>
              </w:rPr>
            </w:pPr>
            <w:r>
              <w:rPr>
                <w:rFonts w:ascii="Arial Narrow" w:hAnsi="Arial Narrow" w:cs="Arial Narrow" w:eastAsia="Arial Narrow" w:hint="default"/>
                <w:sz w:val="20"/>
                <w:szCs w:val="20"/>
              </w:rPr>
              <w:t>600</w:t>
            </w:r>
            <w:r>
              <w:rPr>
                <w:rFonts w:ascii="Arial Narrow" w:hAnsi="Arial Narrow" w:cs="Arial Narrow" w:eastAsia="Arial Narrow" w:hint="default"/>
                <w:spacing w:val="2"/>
                <w:sz w:val="20"/>
                <w:szCs w:val="20"/>
              </w:rPr>
              <w:t> </w:t>
            </w:r>
            <w:r>
              <w:rPr>
                <w:rFonts w:ascii="宋体" w:hAnsi="宋体" w:cs="宋体" w:eastAsia="宋体" w:hint="default"/>
                <w:sz w:val="20"/>
                <w:szCs w:val="20"/>
              </w:rPr>
              <w:t>万元</w:t>
            </w:r>
          </w:p>
        </w:tc>
        <w:tc>
          <w:tcPr>
            <w:tcW w:w="9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5"/>
              <w:jc w:val="right"/>
              <w:rPr>
                <w:rFonts w:ascii="Arial Narrow" w:hAnsi="Arial Narrow" w:cs="Arial Narrow" w:eastAsia="Arial Narrow" w:hint="default"/>
                <w:sz w:val="20"/>
                <w:szCs w:val="20"/>
              </w:rPr>
            </w:pPr>
            <w:r>
              <w:rPr>
                <w:rFonts w:ascii="Arial Narrow"/>
                <w:w w:val="95"/>
                <w:sz w:val="20"/>
              </w:rPr>
              <w:t>75.00</w:t>
            </w:r>
            <w:r>
              <w:rPr>
                <w:rFonts w:ascii="Arial Narrow"/>
                <w:sz w:val="20"/>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36"/>
        <w:ind w:left="1220" w:right="1665" w:firstLine="0"/>
        <w:jc w:val="left"/>
        <w:rPr>
          <w:rFonts w:ascii="宋体" w:hAnsi="宋体" w:cs="宋体" w:eastAsia="宋体" w:hint="default"/>
          <w:sz w:val="21"/>
          <w:szCs w:val="21"/>
        </w:rPr>
      </w:pPr>
      <w:r>
        <w:rPr>
          <w:rFonts w:ascii="宋体" w:hAnsi="宋体" w:cs="宋体" w:eastAsia="宋体" w:hint="default"/>
          <w:b/>
          <w:bCs/>
          <w:sz w:val="19"/>
          <w:szCs w:val="19"/>
        </w:rPr>
        <w:t>4</w:t>
      </w:r>
      <w:r>
        <w:rPr>
          <w:rFonts w:ascii="宋体" w:hAnsi="宋体" w:cs="宋体" w:eastAsia="宋体" w:hint="default"/>
          <w:b/>
          <w:bCs/>
          <w:sz w:val="19"/>
          <w:szCs w:val="19"/>
        </w:rPr>
        <w:t>、</w:t>
      </w:r>
      <w:r>
        <w:rPr>
          <w:rFonts w:ascii="宋体" w:hAnsi="宋体" w:cs="宋体" w:eastAsia="宋体" w:hint="default"/>
          <w:b/>
          <w:bCs/>
          <w:sz w:val="21"/>
          <w:szCs w:val="21"/>
        </w:rPr>
        <w:t>不存在控制关系的关联方的性质</w:t>
      </w:r>
      <w:r>
        <w:rPr>
          <w:rFonts w:ascii="宋体" w:hAnsi="宋体" w:cs="宋体" w:eastAsia="宋体" w:hint="default"/>
          <w:sz w:val="21"/>
          <w:szCs w:val="21"/>
        </w:rPr>
      </w:r>
    </w:p>
    <w:p>
      <w:pPr>
        <w:spacing w:line="240" w:lineRule="auto" w:before="11"/>
        <w:rPr>
          <w:rFonts w:ascii="宋体" w:hAnsi="宋体" w:cs="宋体" w:eastAsia="宋体" w:hint="default"/>
          <w:b/>
          <w:bCs/>
          <w:sz w:val="16"/>
          <w:szCs w:val="16"/>
        </w:rPr>
      </w:pPr>
    </w:p>
    <w:tbl>
      <w:tblPr>
        <w:tblW w:w="0" w:type="auto"/>
        <w:jc w:val="left"/>
        <w:tblInd w:w="721" w:type="dxa"/>
        <w:tblLayout w:type="fixed"/>
        <w:tblCellMar>
          <w:top w:w="0" w:type="dxa"/>
          <w:left w:w="0" w:type="dxa"/>
          <w:bottom w:w="0" w:type="dxa"/>
          <w:right w:w="0" w:type="dxa"/>
        </w:tblCellMar>
        <w:tblLook w:val="01E0"/>
      </w:tblPr>
      <w:tblGrid>
        <w:gridCol w:w="4280"/>
        <w:gridCol w:w="4263"/>
      </w:tblGrid>
      <w:tr>
        <w:trPr>
          <w:trHeight w:val="290" w:hRule="exact"/>
        </w:trPr>
        <w:tc>
          <w:tcPr>
            <w:tcW w:w="4280" w:type="dxa"/>
            <w:tcBorders>
              <w:top w:val="single" w:sz="12" w:space="0" w:color="000000"/>
              <w:left w:val="nil" w:sz="6" w:space="0" w:color="auto"/>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263"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28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本公司的股东</w:t>
            </w:r>
          </w:p>
        </w:tc>
      </w:tr>
      <w:tr>
        <w:trPr>
          <w:trHeight w:val="283" w:hRule="exact"/>
        </w:trPr>
        <w:tc>
          <w:tcPr>
            <w:tcW w:w="428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芜湖市鸠江建设投资有限公司</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本公司的股东</w:t>
            </w:r>
          </w:p>
        </w:tc>
      </w:tr>
      <w:tr>
        <w:trPr>
          <w:trHeight w:val="293" w:hRule="exact"/>
        </w:trPr>
        <w:tc>
          <w:tcPr>
            <w:tcW w:w="4280"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合肥世纪创新投资有限公司</w:t>
            </w:r>
          </w:p>
        </w:tc>
        <w:tc>
          <w:tcPr>
            <w:tcW w:w="4263" w:type="dxa"/>
            <w:tcBorders>
              <w:top w:val="single" w:sz="4" w:space="0" w:color="000000"/>
              <w:left w:val="single" w:sz="4" w:space="0" w:color="000000"/>
              <w:bottom w:val="single" w:sz="12"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本公司的股东</w:t>
            </w:r>
          </w:p>
        </w:tc>
      </w:tr>
    </w:tbl>
    <w:p>
      <w:pPr>
        <w:spacing w:line="240" w:lineRule="auto" w:before="13"/>
        <w:rPr>
          <w:rFonts w:ascii="宋体" w:hAnsi="宋体" w:cs="宋体" w:eastAsia="宋体" w:hint="default"/>
          <w:b/>
          <w:bCs/>
          <w:sz w:val="12"/>
          <w:szCs w:val="12"/>
        </w:rPr>
      </w:pPr>
    </w:p>
    <w:p>
      <w:pPr>
        <w:spacing w:before="36"/>
        <w:ind w:left="1218" w:right="166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7"/>
          <w:sz w:val="21"/>
          <w:szCs w:val="21"/>
        </w:rPr>
        <w:t>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81" w:lineRule="auto" w:before="0"/>
        <w:ind w:left="1278" w:right="830" w:hanging="58"/>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Arial Narrow" w:hAnsi="Arial Narrow" w:cs="Arial Narrow" w:eastAsia="Arial Narrow" w:hint="default"/>
          <w:b/>
          <w:bCs/>
          <w:spacing w:val="9"/>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安徽鑫龙电器股份有限公司北京技术服务分公司与束龙胜签订房屋租赁协议，即束龙胜</w:t>
      </w:r>
    </w:p>
    <w:p>
      <w:pPr>
        <w:spacing w:line="338" w:lineRule="auto" w:before="9"/>
        <w:ind w:left="858" w:right="830" w:firstLine="0"/>
        <w:jc w:val="left"/>
        <w:rPr>
          <w:rFonts w:ascii="宋体" w:hAnsi="宋体" w:cs="宋体" w:eastAsia="宋体" w:hint="default"/>
          <w:sz w:val="21"/>
          <w:szCs w:val="21"/>
        </w:rPr>
      </w:pPr>
      <w:r>
        <w:rPr>
          <w:rFonts w:ascii="宋体" w:hAnsi="宋体" w:cs="宋体" w:eastAsia="宋体" w:hint="default"/>
          <w:sz w:val="21"/>
          <w:szCs w:val="21"/>
        </w:rPr>
        <w:t>将北京市海淀区大柳树路</w:t>
      </w:r>
      <w:r>
        <w:rPr>
          <w:rFonts w:ascii="宋体" w:hAnsi="宋体" w:cs="宋体" w:eastAsia="宋体" w:hint="default"/>
          <w:spacing w:val="-53"/>
          <w:sz w:val="21"/>
          <w:szCs w:val="21"/>
        </w:rPr>
        <w:t> </w:t>
      </w:r>
      <w:r>
        <w:rPr>
          <w:rFonts w:ascii="Arial Narrow" w:hAnsi="Arial Narrow" w:cs="Arial Narrow" w:eastAsia="Arial Narrow" w:hint="default"/>
          <w:sz w:val="21"/>
          <w:szCs w:val="21"/>
        </w:rPr>
        <w:t>17</w:t>
      </w:r>
      <w:r>
        <w:rPr>
          <w:rFonts w:ascii="Arial Narrow" w:hAnsi="Arial Narrow" w:cs="Arial Narrow" w:eastAsia="Arial Narrow" w:hint="default"/>
          <w:spacing w:val="6"/>
          <w:sz w:val="21"/>
          <w:szCs w:val="21"/>
        </w:rPr>
        <w:t> </w:t>
      </w:r>
      <w:r>
        <w:rPr>
          <w:rFonts w:ascii="宋体" w:hAnsi="宋体" w:cs="宋体" w:eastAsia="宋体" w:hint="default"/>
          <w:sz w:val="21"/>
          <w:szCs w:val="21"/>
        </w:rPr>
        <w:t>号富海中心</w:t>
      </w:r>
      <w:r>
        <w:rPr>
          <w:rFonts w:ascii="宋体" w:hAnsi="宋体" w:cs="宋体" w:eastAsia="宋体" w:hint="default"/>
          <w:spacing w:val="-5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Arial Narrow" w:hAnsi="Arial Narrow" w:cs="Arial Narrow" w:eastAsia="Arial Narrow" w:hint="default"/>
          <w:sz w:val="21"/>
          <w:szCs w:val="21"/>
        </w:rPr>
        <w:t>1207</w:t>
      </w:r>
      <w:r>
        <w:rPr>
          <w:rFonts w:ascii="宋体" w:hAnsi="宋体" w:cs="宋体" w:eastAsia="宋体" w:hint="default"/>
          <w:sz w:val="21"/>
          <w:szCs w:val="21"/>
        </w:rPr>
        <w:t>、</w:t>
      </w:r>
      <w:r>
        <w:rPr>
          <w:rFonts w:ascii="Arial Narrow" w:hAnsi="Arial Narrow" w:cs="Arial Narrow" w:eastAsia="Arial Narrow" w:hint="default"/>
          <w:sz w:val="21"/>
          <w:szCs w:val="21"/>
        </w:rPr>
        <w:t>1208</w:t>
      </w:r>
      <w:r>
        <w:rPr>
          <w:rFonts w:ascii="Arial Narrow" w:hAnsi="Arial Narrow" w:cs="Arial Narrow" w:eastAsia="Arial Narrow" w:hint="default"/>
          <w:spacing w:val="3"/>
          <w:sz w:val="21"/>
          <w:szCs w:val="21"/>
        </w:rPr>
        <w:t> </w:t>
      </w:r>
      <w:r>
        <w:rPr>
          <w:rFonts w:ascii="宋体" w:hAnsi="宋体" w:cs="宋体" w:eastAsia="宋体" w:hint="default"/>
          <w:sz w:val="21"/>
          <w:szCs w:val="21"/>
        </w:rPr>
        <w:t>室两套房间，无偿提供给安徽鑫</w:t>
      </w:r>
      <w:r>
        <w:rPr>
          <w:rFonts w:ascii="宋体" w:hAnsi="宋体" w:cs="宋体" w:eastAsia="宋体" w:hint="default"/>
          <w:w w:val="100"/>
          <w:sz w:val="21"/>
          <w:szCs w:val="21"/>
        </w:rPr>
        <w:t> </w:t>
      </w:r>
      <w:r>
        <w:rPr>
          <w:rFonts w:ascii="宋体" w:hAnsi="宋体" w:cs="宋体" w:eastAsia="宋体" w:hint="default"/>
          <w:spacing w:val="-4"/>
          <w:sz w:val="21"/>
          <w:szCs w:val="21"/>
        </w:rPr>
        <w:t>龙电器股份有限公司北京技术服务分公司使用，使用期为</w:t>
      </w:r>
      <w:r>
        <w:rPr>
          <w:rFonts w:ascii="宋体" w:hAnsi="宋体" w:cs="宋体" w:eastAsia="宋体" w:hint="default"/>
          <w:spacing w:val="-50"/>
          <w:sz w:val="21"/>
          <w:szCs w:val="21"/>
        </w:rPr>
        <w:t> </w:t>
      </w:r>
      <w:r>
        <w:rPr>
          <w:rFonts w:ascii="Arial Narrow" w:hAnsi="Arial Narrow" w:cs="Arial Narrow" w:eastAsia="Arial Narrow" w:hint="default"/>
          <w:sz w:val="21"/>
          <w:szCs w:val="21"/>
        </w:rPr>
        <w:t>2005</w:t>
      </w:r>
      <w:r>
        <w:rPr>
          <w:rFonts w:ascii="Arial Narrow" w:hAnsi="Arial Narrow" w:cs="Arial Narrow" w:eastAsia="Arial Narrow"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月</w:t>
      </w:r>
    </w:p>
    <w:p>
      <w:pPr>
        <w:spacing w:before="23"/>
        <w:ind w:left="858" w:right="1665" w:firstLine="0"/>
        <w:jc w:val="left"/>
        <w:rPr>
          <w:rFonts w:ascii="宋体" w:hAnsi="宋体" w:cs="宋体" w:eastAsia="宋体" w:hint="default"/>
          <w:sz w:val="21"/>
          <w:szCs w:val="21"/>
        </w:rPr>
      </w:pPr>
      <w:r>
        <w:rPr>
          <w:rFonts w:ascii="Arial Narrow" w:hAnsi="Arial Narrow" w:cs="Arial Narrow" w:eastAsia="Arial Narrow" w:hint="default"/>
          <w:spacing w:val="-7"/>
          <w:sz w:val="21"/>
          <w:szCs w:val="21"/>
        </w:rPr>
        <w:t>11</w:t>
      </w:r>
      <w:r>
        <w:rPr>
          <w:rFonts w:ascii="Arial Narrow" w:hAnsi="Arial Narrow" w:cs="Arial Narrow" w:eastAsia="Arial Narrow" w:hint="default"/>
          <w:spacing w:val="5"/>
          <w:sz w:val="21"/>
          <w:szCs w:val="21"/>
        </w:rPr>
        <w:t> </w:t>
      </w:r>
      <w:r>
        <w:rPr>
          <w:rFonts w:ascii="宋体" w:hAnsi="宋体" w:cs="宋体" w:eastAsia="宋体" w:hint="default"/>
          <w:sz w:val="21"/>
          <w:szCs w:val="21"/>
        </w:rPr>
        <w:t>日。经双方协商，上述租赁协议期限延长一年，即使用期至</w:t>
      </w:r>
      <w:r>
        <w:rPr>
          <w:rFonts w:ascii="宋体" w:hAnsi="宋体" w:cs="宋体" w:eastAsia="宋体" w:hint="default"/>
          <w:spacing w:val="-52"/>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Narrow" w:hAnsi="Arial Narrow" w:cs="Arial Narrow" w:eastAsia="Arial Narrow" w:hint="default"/>
          <w:sz w:val="21"/>
          <w:szCs w:val="21"/>
        </w:rPr>
        <w:t>10</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6"/>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27"/>
          <w:szCs w:val="27"/>
        </w:rPr>
      </w:pPr>
    </w:p>
    <w:p>
      <w:pPr>
        <w:spacing w:before="0"/>
        <w:ind w:left="1218"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 </w:t>
      </w:r>
      <w:r>
        <w:rPr>
          <w:rFonts w:ascii="Arial Narrow" w:hAnsi="Arial Narrow" w:cs="Arial Narrow" w:eastAsia="Arial Narrow" w:hint="default"/>
          <w:b/>
          <w:bCs/>
          <w:spacing w:val="47"/>
          <w:sz w:val="21"/>
          <w:szCs w:val="21"/>
        </w:rPr>
        <w:t> </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80" w:type="dxa"/>
        <w:tblLayout w:type="fixed"/>
        <w:tblCellMar>
          <w:top w:w="0" w:type="dxa"/>
          <w:left w:w="0" w:type="dxa"/>
          <w:bottom w:w="0" w:type="dxa"/>
          <w:right w:w="0" w:type="dxa"/>
        </w:tblCellMar>
        <w:tblLook w:val="01E0"/>
      </w:tblPr>
      <w:tblGrid>
        <w:gridCol w:w="1940"/>
        <w:gridCol w:w="1169"/>
        <w:gridCol w:w="1260"/>
        <w:gridCol w:w="1080"/>
        <w:gridCol w:w="1440"/>
        <w:gridCol w:w="1385"/>
        <w:gridCol w:w="1349"/>
      </w:tblGrid>
      <w:tr>
        <w:trPr>
          <w:trHeight w:val="307" w:hRule="exact"/>
        </w:trPr>
        <w:tc>
          <w:tcPr>
            <w:tcW w:w="1940"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169" w:type="dxa"/>
            <w:vMerge w:val="restart"/>
            <w:tcBorders>
              <w:top w:val="single" w:sz="12" w:space="0" w:color="000000"/>
              <w:left w:val="single" w:sz="6" w:space="0" w:color="000000"/>
              <w:right w:val="single" w:sz="6" w:space="0" w:color="000000"/>
            </w:tcBorders>
          </w:tcPr>
          <w:p>
            <w:pPr>
              <w:pStyle w:val="TableParagraph"/>
              <w:spacing w:line="240" w:lineRule="auto" w:before="172"/>
              <w:ind w:left="15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23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74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440" w:type="dxa"/>
            <w:vMerge w:val="restart"/>
            <w:tcBorders>
              <w:top w:val="single" w:sz="12" w:space="0" w:color="000000"/>
              <w:left w:val="single" w:sz="6" w:space="0" w:color="000000"/>
              <w:right w:val="single" w:sz="6" w:space="0" w:color="000000"/>
            </w:tcBorders>
          </w:tcPr>
          <w:p>
            <w:pPr>
              <w:pStyle w:val="TableParagraph"/>
              <w:spacing w:line="240" w:lineRule="auto" w:before="172"/>
              <w:ind w:left="18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385" w:type="dxa"/>
            <w:vMerge w:val="restart"/>
            <w:tcBorders>
              <w:top w:val="single" w:sz="12" w:space="0" w:color="000000"/>
              <w:left w:val="single" w:sz="6" w:space="0" w:color="000000"/>
              <w:right w:val="single" w:sz="6" w:space="0" w:color="000000"/>
            </w:tcBorders>
          </w:tcPr>
          <w:p>
            <w:pPr>
              <w:pStyle w:val="TableParagraph"/>
              <w:spacing w:line="240" w:lineRule="auto" w:before="172"/>
              <w:ind w:left="158"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349" w:type="dxa"/>
            <w:vMerge w:val="restart"/>
            <w:tcBorders>
              <w:top w:val="single" w:sz="12" w:space="0" w:color="000000"/>
              <w:left w:val="single" w:sz="6" w:space="0" w:color="000000"/>
              <w:right w:val="nil" w:sz="6" w:space="0" w:color="auto"/>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40" w:lineRule="auto" w:before="133"/>
              <w:ind w:left="141"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533" w:hRule="exact"/>
        </w:trPr>
        <w:tc>
          <w:tcPr>
            <w:tcW w:w="1940" w:type="dxa"/>
            <w:vMerge/>
            <w:tcBorders>
              <w:left w:val="nil" w:sz="6" w:space="0" w:color="auto"/>
              <w:bottom w:val="single" w:sz="6" w:space="0" w:color="000000"/>
              <w:right w:val="single" w:sz="6" w:space="0" w:color="000000"/>
            </w:tcBorders>
          </w:tcPr>
          <w:p>
            <w:pPr/>
          </w:p>
        </w:tc>
        <w:tc>
          <w:tcPr>
            <w:tcW w:w="116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01"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票据金额</w:t>
            </w:r>
          </w:p>
        </w:tc>
        <w:tc>
          <w:tcPr>
            <w:tcW w:w="1440" w:type="dxa"/>
            <w:vMerge/>
            <w:tcBorders>
              <w:left w:val="single" w:sz="6" w:space="0" w:color="000000"/>
              <w:bottom w:val="single" w:sz="6" w:space="0" w:color="000000"/>
              <w:right w:val="single" w:sz="6" w:space="0" w:color="000000"/>
            </w:tcBorders>
          </w:tcPr>
          <w:p>
            <w:pPr/>
          </w:p>
        </w:tc>
        <w:tc>
          <w:tcPr>
            <w:tcW w:w="1385" w:type="dxa"/>
            <w:vMerge/>
            <w:tcBorders>
              <w:left w:val="single" w:sz="6" w:space="0" w:color="000000"/>
              <w:bottom w:val="single" w:sz="6" w:space="0" w:color="000000"/>
              <w:right w:val="single" w:sz="6" w:space="0" w:color="000000"/>
            </w:tcBorders>
          </w:tcPr>
          <w:p>
            <w:pPr/>
          </w:p>
        </w:tc>
        <w:tc>
          <w:tcPr>
            <w:tcW w:w="1349" w:type="dxa"/>
            <w:vMerge/>
            <w:tcBorders>
              <w:left w:val="single" w:sz="6" w:space="0" w:color="000000"/>
              <w:bottom w:val="single" w:sz="6" w:space="0" w:color="000000"/>
              <w:right w:val="nil" w:sz="6" w:space="0" w:color="auto"/>
            </w:tcBorders>
          </w:tcPr>
          <w:p>
            <w:pPr/>
          </w:p>
        </w:tc>
      </w:tr>
      <w:tr>
        <w:trPr>
          <w:trHeight w:val="482"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芜湖市鑫诚科技投资有限公</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安徽鑫龙电器</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34"/>
                <w:sz w:val="18"/>
                <w:szCs w:val="18"/>
              </w:rPr>
              <w:t>股份有限公司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宋体" w:hAnsi="宋体" w:cs="宋体" w:eastAsia="宋体" w:hint="default"/>
                <w:sz w:val="21"/>
                <w:szCs w:val="21"/>
              </w:rPr>
            </w:pPr>
            <w:r>
              <w:rPr>
                <w:rFonts w:ascii="Arial Narrow" w:hAnsi="Arial Narrow" w:cs="Arial Narrow" w:eastAsia="Arial Narrow" w:hint="default"/>
                <w:sz w:val="21"/>
                <w:szCs w:val="21"/>
              </w:rPr>
              <w:t>2000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68"/>
              <w:jc w:val="right"/>
              <w:rPr>
                <w:rFonts w:ascii="Arial Narrow" w:hAnsi="Arial Narrow" w:cs="Arial Narrow" w:eastAsia="Arial Narrow" w:hint="default"/>
                <w:sz w:val="21"/>
                <w:szCs w:val="21"/>
              </w:rPr>
            </w:pPr>
            <w:r>
              <w:rPr>
                <w:rFonts w:ascii="Arial Narrow"/>
                <w:spacing w:val="-1"/>
                <w:sz w:val="21"/>
              </w:rPr>
              <w:t>2010-10-28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Arial Narrow" w:hAnsi="Arial Narrow" w:cs="Arial Narrow" w:eastAsia="Arial Narrow" w:hint="default"/>
                <w:sz w:val="21"/>
                <w:szCs w:val="21"/>
              </w:rPr>
            </w:pPr>
            <w:r>
              <w:rPr>
                <w:rFonts w:ascii="Arial Narrow"/>
                <w:sz w:val="21"/>
              </w:rPr>
              <w:t>2011-10-27</w:t>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497"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安徽森源电器有限公司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2"/>
              <w:ind w:left="98" w:right="58"/>
              <w:jc w:val="left"/>
              <w:rPr>
                <w:rFonts w:ascii="宋体" w:hAnsi="宋体" w:cs="宋体" w:eastAsia="宋体" w:hint="default"/>
                <w:sz w:val="18"/>
                <w:szCs w:val="18"/>
              </w:rPr>
            </w:pPr>
            <w:r>
              <w:rPr>
                <w:rFonts w:ascii="宋体" w:hAnsi="宋体" w:cs="宋体" w:eastAsia="宋体" w:hint="default"/>
                <w:spacing w:val="-15"/>
                <w:sz w:val="18"/>
                <w:szCs w:val="18"/>
              </w:rPr>
              <w:t>安徽鑫龙电器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4"/>
                <w:sz w:val="18"/>
                <w:szCs w:val="18"/>
              </w:rPr>
              <w:t>股份有限公司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宋体" w:hAnsi="宋体" w:cs="宋体" w:eastAsia="宋体" w:hint="default"/>
                <w:sz w:val="21"/>
                <w:szCs w:val="21"/>
              </w:rPr>
            </w:pPr>
            <w:r>
              <w:rPr>
                <w:rFonts w:ascii="Arial Narrow" w:hAnsi="Arial Narrow" w:cs="Arial Narrow" w:eastAsia="Arial Narrow" w:hint="default"/>
                <w:sz w:val="21"/>
                <w:szCs w:val="21"/>
              </w:rPr>
              <w:t>6800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 w:right="0"/>
              <w:jc w:val="center"/>
              <w:rPr>
                <w:rFonts w:ascii="宋体" w:hAnsi="宋体" w:cs="宋体" w:eastAsia="宋体" w:hint="default"/>
                <w:sz w:val="21"/>
                <w:szCs w:val="21"/>
              </w:rPr>
            </w:pPr>
            <w:r>
              <w:rPr>
                <w:rFonts w:ascii="Arial Narrow" w:hAnsi="Arial Narrow" w:cs="Arial Narrow" w:eastAsia="Arial Narrow" w:hint="default"/>
                <w:sz w:val="21"/>
                <w:szCs w:val="21"/>
              </w:rPr>
              <w:t>1000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71" w:right="0"/>
              <w:jc w:val="left"/>
              <w:rPr>
                <w:rFonts w:ascii="Arial Narrow" w:hAnsi="Arial Narrow" w:cs="Arial Narrow" w:eastAsia="Arial Narrow" w:hint="default"/>
                <w:sz w:val="21"/>
                <w:szCs w:val="21"/>
              </w:rPr>
            </w:pPr>
            <w:r>
              <w:rPr>
                <w:rFonts w:ascii="Arial Narrow"/>
                <w:sz w:val="21"/>
              </w:rPr>
              <w:t>2010-08-16</w:t>
            </w:r>
          </w:p>
          <w:p>
            <w:pPr>
              <w:pStyle w:val="TableParagraph"/>
              <w:spacing w:line="240" w:lineRule="exact"/>
              <w:ind w:left="271" w:right="0"/>
              <w:jc w:val="left"/>
              <w:rPr>
                <w:rFonts w:ascii="Arial Narrow" w:hAnsi="Arial Narrow" w:cs="Arial Narrow" w:eastAsia="Arial Narrow" w:hint="default"/>
                <w:sz w:val="21"/>
                <w:szCs w:val="21"/>
              </w:rPr>
            </w:pPr>
            <w:r>
              <w:rPr>
                <w:rFonts w:ascii="Arial Narrow"/>
                <w:sz w:val="21"/>
              </w:rPr>
              <w:t>2010-05-26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49" w:right="0"/>
              <w:jc w:val="left"/>
              <w:rPr>
                <w:rFonts w:ascii="Arial Narrow" w:hAnsi="Arial Narrow" w:cs="Arial Narrow" w:eastAsia="Arial Narrow" w:hint="default"/>
                <w:sz w:val="21"/>
                <w:szCs w:val="21"/>
              </w:rPr>
            </w:pPr>
            <w:r>
              <w:rPr>
                <w:rFonts w:ascii="Arial Narrow"/>
                <w:spacing w:val="-3"/>
                <w:sz w:val="21"/>
              </w:rPr>
              <w:t>2011-08-16</w:t>
            </w:r>
            <w:r>
              <w:rPr>
                <w:rFonts w:ascii="Arial Narrow"/>
                <w:sz w:val="21"/>
              </w:rPr>
            </w:r>
          </w:p>
          <w:p>
            <w:pPr>
              <w:pStyle w:val="TableParagraph"/>
              <w:spacing w:line="240" w:lineRule="exact"/>
              <w:ind w:left="244" w:right="0"/>
              <w:jc w:val="left"/>
              <w:rPr>
                <w:rFonts w:ascii="Arial Narrow" w:hAnsi="Arial Narrow" w:cs="Arial Narrow" w:eastAsia="Arial Narrow" w:hint="default"/>
                <w:sz w:val="21"/>
                <w:szCs w:val="21"/>
              </w:rPr>
            </w:pPr>
            <w:r>
              <w:rPr>
                <w:rFonts w:ascii="Arial Narrow"/>
                <w:sz w:val="21"/>
              </w:rPr>
              <w:t>2012-05-26</w:t>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482"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芜湖市鸠江建设投资有限公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安徽鑫龙电器</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pacing w:val="-34"/>
                <w:sz w:val="18"/>
                <w:szCs w:val="18"/>
              </w:rPr>
              <w:t>股份有限公司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宋体" w:hAnsi="宋体" w:cs="宋体" w:eastAsia="宋体" w:hint="default"/>
                <w:sz w:val="21"/>
                <w:szCs w:val="21"/>
              </w:rPr>
            </w:pPr>
            <w:r>
              <w:rPr>
                <w:rFonts w:ascii="Arial Narrow" w:hAnsi="Arial Narrow" w:cs="Arial Narrow" w:eastAsia="Arial Narrow" w:hint="default"/>
                <w:sz w:val="21"/>
                <w:szCs w:val="21"/>
              </w:rPr>
              <w:t>2000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Arial Narrow" w:hAnsi="Arial Narrow" w:cs="Arial Narrow" w:eastAsia="Arial Narrow" w:hint="default"/>
                <w:sz w:val="21"/>
                <w:szCs w:val="21"/>
              </w:rPr>
              <w:t>747</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69"/>
              <w:jc w:val="right"/>
              <w:rPr>
                <w:rFonts w:ascii="Arial Narrow" w:hAnsi="Arial Narrow" w:cs="Arial Narrow" w:eastAsia="Arial Narrow" w:hint="default"/>
                <w:sz w:val="21"/>
                <w:szCs w:val="21"/>
              </w:rPr>
            </w:pPr>
            <w:r>
              <w:rPr>
                <w:rFonts w:ascii="Arial Narrow"/>
                <w:spacing w:val="-1"/>
                <w:sz w:val="21"/>
              </w:rPr>
              <w:t>2009-07-31</w:t>
            </w:r>
            <w:r>
              <w:rPr>
                <w:rFonts w:ascii="Arial Narrow"/>
                <w:sz w:val="21"/>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Arial Narrow" w:hAnsi="Arial Narrow" w:cs="Arial Narrow" w:eastAsia="Arial Narrow" w:hint="default"/>
                <w:sz w:val="21"/>
                <w:szCs w:val="21"/>
              </w:rPr>
            </w:pPr>
            <w:r>
              <w:rPr>
                <w:rFonts w:ascii="Arial Narrow"/>
                <w:spacing w:val="-3"/>
                <w:sz w:val="21"/>
              </w:rPr>
              <w:t>2011-07-31</w:t>
            </w:r>
            <w:r>
              <w:rPr>
                <w:rFonts w:ascii="Arial Narrow"/>
                <w:sz w:val="21"/>
              </w:rPr>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480"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安徽森源电器有限公司、芜</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湖市鑫诚科技投资有限公司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安徽鑫龙电器</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pacing w:val="-34"/>
                <w:sz w:val="18"/>
                <w:szCs w:val="18"/>
              </w:rPr>
              <w:t>股份有限公司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Arial Narrow" w:hAnsi="Arial Narrow" w:cs="Arial Narrow" w:eastAsia="Arial Narrow" w:hint="default"/>
                <w:sz w:val="21"/>
                <w:szCs w:val="21"/>
              </w:rPr>
              <w:t>1980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69"/>
              <w:jc w:val="right"/>
              <w:rPr>
                <w:rFonts w:ascii="Arial Narrow" w:hAnsi="Arial Narrow" w:cs="Arial Narrow" w:eastAsia="Arial Narrow" w:hint="default"/>
                <w:sz w:val="21"/>
                <w:szCs w:val="21"/>
              </w:rPr>
            </w:pPr>
            <w:r>
              <w:rPr>
                <w:rFonts w:ascii="Arial Narrow"/>
                <w:spacing w:val="-1"/>
                <w:sz w:val="21"/>
              </w:rPr>
              <w:t>2010-04-16</w:t>
            </w:r>
            <w:r>
              <w:rPr>
                <w:rFonts w:ascii="Arial Narrow"/>
                <w:sz w:val="21"/>
              </w:rPr>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center"/>
              <w:rPr>
                <w:rFonts w:ascii="Arial Narrow" w:hAnsi="Arial Narrow" w:cs="Arial Narrow" w:eastAsia="Arial Narrow" w:hint="default"/>
                <w:sz w:val="21"/>
                <w:szCs w:val="21"/>
              </w:rPr>
            </w:pPr>
            <w:r>
              <w:rPr>
                <w:rFonts w:ascii="Arial Narrow"/>
                <w:spacing w:val="-3"/>
                <w:sz w:val="21"/>
              </w:rPr>
              <w:t>2011-04-15</w:t>
            </w:r>
            <w:r>
              <w:rPr>
                <w:rFonts w:ascii="Arial Narrow"/>
                <w:sz w:val="21"/>
              </w:rPr>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482"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安徽鑫龙电器股份有限公司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安徽鑫龙自动</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pacing w:val="-32"/>
                <w:sz w:val="18"/>
                <w:szCs w:val="18"/>
              </w:rPr>
              <w:t>化有限公司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268"/>
              <w:jc w:val="right"/>
              <w:rPr>
                <w:rFonts w:ascii="Arial Narrow" w:hAnsi="Arial Narrow" w:cs="Arial Narrow" w:eastAsia="Arial Narrow" w:hint="default"/>
                <w:sz w:val="21"/>
                <w:szCs w:val="21"/>
              </w:rPr>
            </w:pPr>
            <w:r>
              <w:rPr>
                <w:rFonts w:ascii="Arial Narrow"/>
                <w:spacing w:val="-1"/>
                <w:sz w:val="21"/>
              </w:rPr>
              <w:t>2010-10-29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Arial Narrow" w:hAnsi="Arial Narrow" w:cs="Arial Narrow" w:eastAsia="Arial Narrow" w:hint="default"/>
                <w:sz w:val="21"/>
                <w:szCs w:val="21"/>
              </w:rPr>
            </w:pPr>
            <w:r>
              <w:rPr>
                <w:rFonts w:ascii="Arial Narrow"/>
                <w:sz w:val="21"/>
              </w:rPr>
              <w:t>2011-10-29</w:t>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739" w:hRule="exact"/>
        </w:trPr>
        <w:tc>
          <w:tcPr>
            <w:tcW w:w="19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安徽鑫龙电器股份有限公司</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24"/>
              <w:ind w:left="98" w:right="58"/>
              <w:jc w:val="left"/>
              <w:rPr>
                <w:rFonts w:ascii="宋体" w:hAnsi="宋体" w:cs="宋体" w:eastAsia="宋体" w:hint="default"/>
                <w:sz w:val="18"/>
                <w:szCs w:val="18"/>
              </w:rPr>
            </w:pPr>
            <w:r>
              <w:rPr>
                <w:rFonts w:ascii="宋体" w:hAnsi="宋体" w:cs="宋体" w:eastAsia="宋体" w:hint="default"/>
                <w:spacing w:val="-15"/>
                <w:sz w:val="18"/>
                <w:szCs w:val="18"/>
              </w:rPr>
              <w:t>安徽森源电器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有限公司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1"/>
              <w:ind w:right="96"/>
              <w:jc w:val="right"/>
              <w:rPr>
                <w:rFonts w:ascii="宋体" w:hAnsi="宋体" w:cs="宋体" w:eastAsia="宋体" w:hint="default"/>
                <w:sz w:val="21"/>
                <w:szCs w:val="21"/>
              </w:rPr>
            </w:pPr>
            <w:r>
              <w:rPr>
                <w:rFonts w:ascii="Arial Narrow" w:hAnsi="Arial Narrow" w:cs="Arial Narrow" w:eastAsia="Arial Narrow" w:hint="default"/>
                <w:sz w:val="21"/>
                <w:szCs w:val="21"/>
              </w:rPr>
              <w:t>6100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71" w:right="0"/>
              <w:jc w:val="left"/>
              <w:rPr>
                <w:rFonts w:ascii="Arial Narrow" w:hAnsi="Arial Narrow" w:cs="Arial Narrow" w:eastAsia="Arial Narrow" w:hint="default"/>
                <w:sz w:val="21"/>
                <w:szCs w:val="21"/>
              </w:rPr>
            </w:pPr>
            <w:r>
              <w:rPr>
                <w:rFonts w:ascii="Arial Narrow"/>
                <w:sz w:val="21"/>
              </w:rPr>
              <w:t>2010-06-17</w:t>
            </w:r>
          </w:p>
          <w:p>
            <w:pPr>
              <w:pStyle w:val="TableParagraph"/>
              <w:spacing w:line="240" w:lineRule="exact" w:before="1"/>
              <w:ind w:left="271" w:right="0"/>
              <w:jc w:val="left"/>
              <w:rPr>
                <w:rFonts w:ascii="Arial Narrow" w:hAnsi="Arial Narrow" w:cs="Arial Narrow" w:eastAsia="Arial Narrow" w:hint="default"/>
                <w:sz w:val="21"/>
                <w:szCs w:val="21"/>
              </w:rPr>
            </w:pPr>
            <w:r>
              <w:rPr>
                <w:rFonts w:ascii="Arial Narrow"/>
                <w:sz w:val="21"/>
              </w:rPr>
              <w:t>2010-07-15</w:t>
            </w:r>
          </w:p>
          <w:p>
            <w:pPr>
              <w:pStyle w:val="TableParagraph"/>
              <w:spacing w:line="240" w:lineRule="exact"/>
              <w:ind w:left="271" w:right="0"/>
              <w:jc w:val="left"/>
              <w:rPr>
                <w:rFonts w:ascii="Arial Narrow" w:hAnsi="Arial Narrow" w:cs="Arial Narrow" w:eastAsia="Arial Narrow" w:hint="default"/>
                <w:sz w:val="21"/>
                <w:szCs w:val="21"/>
              </w:rPr>
            </w:pPr>
            <w:r>
              <w:rPr>
                <w:rFonts w:ascii="Arial Narrow"/>
                <w:sz w:val="21"/>
              </w:rPr>
              <w:t>2010-10-29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49" w:right="0"/>
              <w:jc w:val="left"/>
              <w:rPr>
                <w:rFonts w:ascii="Arial Narrow" w:hAnsi="Arial Narrow" w:cs="Arial Narrow" w:eastAsia="Arial Narrow" w:hint="default"/>
                <w:sz w:val="21"/>
                <w:szCs w:val="21"/>
              </w:rPr>
            </w:pPr>
            <w:r>
              <w:rPr>
                <w:rFonts w:ascii="Arial Narrow"/>
                <w:spacing w:val="-3"/>
                <w:sz w:val="21"/>
              </w:rPr>
              <w:t>2011-06-16</w:t>
            </w:r>
            <w:r>
              <w:rPr>
                <w:rFonts w:ascii="Arial Narrow"/>
                <w:sz w:val="21"/>
              </w:rPr>
            </w:r>
          </w:p>
          <w:p>
            <w:pPr>
              <w:pStyle w:val="TableParagraph"/>
              <w:spacing w:line="240" w:lineRule="exact" w:before="1"/>
              <w:ind w:left="249" w:right="0"/>
              <w:jc w:val="left"/>
              <w:rPr>
                <w:rFonts w:ascii="Arial Narrow" w:hAnsi="Arial Narrow" w:cs="Arial Narrow" w:eastAsia="Arial Narrow" w:hint="default"/>
                <w:sz w:val="21"/>
                <w:szCs w:val="21"/>
              </w:rPr>
            </w:pPr>
            <w:r>
              <w:rPr>
                <w:rFonts w:ascii="Arial Narrow"/>
                <w:spacing w:val="-3"/>
                <w:sz w:val="21"/>
              </w:rPr>
              <w:t>2011-07-15</w:t>
            </w:r>
            <w:r>
              <w:rPr>
                <w:rFonts w:ascii="Arial Narrow"/>
                <w:sz w:val="21"/>
              </w:rPr>
            </w:r>
          </w:p>
          <w:p>
            <w:pPr>
              <w:pStyle w:val="TableParagraph"/>
              <w:spacing w:line="240" w:lineRule="exact"/>
              <w:ind w:left="249" w:right="0"/>
              <w:jc w:val="left"/>
              <w:rPr>
                <w:rFonts w:ascii="Arial Narrow" w:hAnsi="Arial Narrow" w:cs="Arial Narrow" w:eastAsia="Arial Narrow" w:hint="default"/>
                <w:sz w:val="21"/>
                <w:szCs w:val="21"/>
              </w:rPr>
            </w:pPr>
            <w:r>
              <w:rPr>
                <w:rFonts w:ascii="Arial Narrow"/>
                <w:spacing w:val="-3"/>
                <w:sz w:val="21"/>
              </w:rPr>
              <w:t>2011-10-29</w:t>
            </w:r>
            <w:r>
              <w:rPr>
                <w:rFonts w:ascii="Arial Narrow"/>
                <w:sz w:val="21"/>
              </w:rPr>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r>
        <w:trPr>
          <w:trHeight w:val="307" w:hRule="exact"/>
        </w:trPr>
        <w:tc>
          <w:tcPr>
            <w:tcW w:w="1940" w:type="dxa"/>
            <w:tcBorders>
              <w:top w:val="single" w:sz="6" w:space="0" w:color="000000"/>
              <w:left w:val="nil" w:sz="6" w:space="0" w:color="auto"/>
              <w:bottom w:val="single" w:sz="12" w:space="0" w:color="000000"/>
              <w:right w:val="single" w:sz="6"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pacing w:val="-37"/>
                <w:sz w:val="18"/>
                <w:szCs w:val="18"/>
              </w:rPr>
              <w:t>安徽鑫龙电器股份有限公司</w:t>
            </w: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98" w:right="0"/>
              <w:jc w:val="left"/>
              <w:rPr>
                <w:rFonts w:ascii="宋体" w:hAnsi="宋体" w:cs="宋体" w:eastAsia="宋体" w:hint="default"/>
                <w:sz w:val="18"/>
                <w:szCs w:val="18"/>
              </w:rPr>
            </w:pPr>
            <w:r>
              <w:rPr>
                <w:rFonts w:ascii="宋体" w:hAnsi="宋体" w:cs="宋体" w:eastAsia="宋体" w:hint="default"/>
                <w:spacing w:val="-15"/>
                <w:sz w:val="18"/>
                <w:szCs w:val="18"/>
              </w:rPr>
              <w:t>安徽鑫龙低压</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w:t>
            </w:r>
          </w:p>
        </w:tc>
        <w:tc>
          <w:tcPr>
            <w:tcW w:w="1080"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69"/>
              <w:jc w:val="right"/>
              <w:rPr>
                <w:rFonts w:ascii="Arial Narrow" w:hAnsi="Arial Narrow" w:cs="Arial Narrow" w:eastAsia="Arial Narrow" w:hint="default"/>
                <w:sz w:val="21"/>
                <w:szCs w:val="21"/>
              </w:rPr>
            </w:pPr>
            <w:r>
              <w:rPr>
                <w:rFonts w:ascii="Arial Narrow"/>
                <w:spacing w:val="-1"/>
                <w:sz w:val="21"/>
              </w:rPr>
              <w:t>2010-10-29</w:t>
            </w:r>
            <w:r>
              <w:rPr>
                <w:rFonts w:ascii="Arial Narrow"/>
                <w:sz w:val="21"/>
              </w:rPr>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Arial Narrow" w:hAnsi="Arial Narrow" w:cs="Arial Narrow" w:eastAsia="Arial Narrow" w:hint="default"/>
                <w:sz w:val="21"/>
                <w:szCs w:val="21"/>
              </w:rPr>
            </w:pPr>
            <w:r>
              <w:rPr>
                <w:rFonts w:ascii="Arial Narrow"/>
                <w:spacing w:val="-3"/>
                <w:sz w:val="21"/>
              </w:rPr>
              <w:t>2011-10-29</w:t>
            </w:r>
            <w:r>
              <w:rPr>
                <w:rFonts w:ascii="Arial Narrow"/>
                <w:sz w:val="21"/>
              </w:rPr>
            </w:r>
          </w:p>
        </w:tc>
        <w:tc>
          <w:tcPr>
            <w:tcW w:w="1349" w:type="dxa"/>
            <w:tcBorders>
              <w:top w:val="single" w:sz="6" w:space="0" w:color="000000"/>
              <w:left w:val="single" w:sz="6" w:space="0" w:color="000000"/>
              <w:bottom w:val="single" w:sz="12"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正在履行</w:t>
            </w:r>
          </w:p>
        </w:tc>
      </w:tr>
    </w:tbl>
    <w:p>
      <w:pPr>
        <w:spacing w:after="0" w:line="246" w:lineRule="exact"/>
        <w:jc w:val="center"/>
        <w:rPr>
          <w:rFonts w:ascii="宋体" w:hAnsi="宋体" w:cs="宋体" w:eastAsia="宋体" w:hint="default"/>
          <w:sz w:val="21"/>
          <w:szCs w:val="21"/>
        </w:rPr>
        <w:sectPr>
          <w:pgSz w:w="11910" w:h="16840"/>
          <w:pgMar w:header="816" w:footer="858" w:top="1160" w:bottom="1040" w:left="940" w:right="440"/>
        </w:sectPr>
      </w:pPr>
    </w:p>
    <w:p>
      <w:pPr>
        <w:spacing w:line="240" w:lineRule="auto" w:before="9"/>
        <w:rPr>
          <w:rFonts w:ascii="宋体" w:hAnsi="宋体" w:cs="宋体" w:eastAsia="宋体" w:hint="default"/>
          <w:b/>
          <w:bCs/>
          <w:sz w:val="19"/>
          <w:szCs w:val="19"/>
        </w:rPr>
      </w:pPr>
    </w:p>
    <w:p>
      <w:pPr>
        <w:spacing w:line="343" w:lineRule="exact"/>
        <w:ind w:left="10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2.65pt;height:17.2pt;mso-position-horizontal-relative:char;mso-position-vertical-relative:line" coordorigin="0,0" coordsize="9653,344">
            <v:group style="position:absolute;left:29;top:14;width:1919;height:2" coordorigin="29,14" coordsize="1919,2">
              <v:shape style="position:absolute;left:29;top:14;width:1919;height:2" coordorigin="29,14" coordsize="1919,0" path="m29,14l1947,14e" filled="false" stroked="true" strokeweight="1.44pt" strokecolor="#000000">
                <v:path arrowok="t"/>
              </v:shape>
            </v:group>
            <v:group style="position:absolute;left:1947;top:14;width:29;height:2" coordorigin="1947,14" coordsize="29,2">
              <v:shape style="position:absolute;left:1947;top:14;width:29;height:2" coordorigin="1947,14" coordsize="29,0" path="m1947,14l1976,14e" filled="false" stroked="true" strokeweight="1.44pt" strokecolor="#000000">
                <v:path arrowok="t"/>
              </v:shape>
            </v:group>
            <v:group style="position:absolute;left:1976;top:14;width:1141;height:2" coordorigin="1976,14" coordsize="1141,2">
              <v:shape style="position:absolute;left:1976;top:14;width:1141;height:2" coordorigin="1976,14" coordsize="1141,0" path="m1976,14l3116,14e" filled="false" stroked="true" strokeweight="1.44pt" strokecolor="#000000">
                <v:path arrowok="t"/>
              </v:shape>
            </v:group>
            <v:group style="position:absolute;left:3116;top:14;width:29;height:2" coordorigin="3116,14" coordsize="29,2">
              <v:shape style="position:absolute;left:3116;top:14;width:29;height:2" coordorigin="3116,14" coordsize="29,0" path="m3116,14l3145,14e" filled="false" stroked="true" strokeweight="1.44pt" strokecolor="#000000">
                <v:path arrowok="t"/>
              </v:shape>
            </v:group>
            <v:group style="position:absolute;left:3145;top:14;width:1232;height:2" coordorigin="3145,14" coordsize="1232,2">
              <v:shape style="position:absolute;left:3145;top:14;width:1232;height:2" coordorigin="3145,14" coordsize="1232,0" path="m3145,14l4376,14e" filled="false" stroked="true" strokeweight="1.44pt" strokecolor="#000000">
                <v:path arrowok="t"/>
              </v:shape>
            </v:group>
            <v:group style="position:absolute;left:4376;top:14;width:29;height:2" coordorigin="4376,14" coordsize="29,2">
              <v:shape style="position:absolute;left:4376;top:14;width:29;height:2" coordorigin="4376,14" coordsize="29,0" path="m4376,14l4405,14e" filled="false" stroked="true" strokeweight="1.44pt" strokecolor="#000000">
                <v:path arrowok="t"/>
              </v:shape>
            </v:group>
            <v:group style="position:absolute;left:4405;top:14;width:1052;height:2" coordorigin="4405,14" coordsize="1052,2">
              <v:shape style="position:absolute;left:4405;top:14;width:1052;height:2" coordorigin="4405,14" coordsize="1052,0" path="m4405,14l5457,14e" filled="false" stroked="true" strokeweight="1.44pt" strokecolor="#000000">
                <v:path arrowok="t"/>
              </v:shape>
            </v:group>
            <v:group style="position:absolute;left:5457;top:14;width:29;height:2" coordorigin="5457,14" coordsize="29,2">
              <v:shape style="position:absolute;left:5457;top:14;width:29;height:2" coordorigin="5457,14" coordsize="29,0" path="m5457,14l5485,14e" filled="false" stroked="true" strokeweight="1.44pt" strokecolor="#000000">
                <v:path arrowok="t"/>
              </v:shape>
            </v:group>
            <v:group style="position:absolute;left:5485;top:14;width:1412;height:2" coordorigin="5485,14" coordsize="1412,2">
              <v:shape style="position:absolute;left:5485;top:14;width:1412;height:2" coordorigin="5485,14" coordsize="1412,0" path="m5485,14l6897,14e" filled="false" stroked="true" strokeweight="1.44pt" strokecolor="#000000">
                <v:path arrowok="t"/>
              </v:shape>
            </v:group>
            <v:group style="position:absolute;left:6897;top:14;width:29;height:2" coordorigin="6897,14" coordsize="29,2">
              <v:shape style="position:absolute;left:6897;top:14;width:29;height:2" coordorigin="6897,14" coordsize="29,0" path="m6897,14l6925,14e" filled="false" stroked="true" strokeweight="1.44pt" strokecolor="#000000">
                <v:path arrowok="t"/>
              </v:shape>
            </v:group>
            <v:group style="position:absolute;left:6925;top:14;width:1357;height:2" coordorigin="6925,14" coordsize="1357,2">
              <v:shape style="position:absolute;left:6925;top:14;width:1357;height:2" coordorigin="6925,14" coordsize="1357,0" path="m6925,14l8282,14e" filled="false" stroked="true" strokeweight="1.44pt" strokecolor="#000000">
                <v:path arrowok="t"/>
              </v:shape>
            </v:group>
            <v:group style="position:absolute;left:8282;top:14;width:29;height:2" coordorigin="8282,14" coordsize="29,2">
              <v:shape style="position:absolute;left:8282;top:14;width:29;height:2" coordorigin="8282,14" coordsize="29,0" path="m8282,14l8311,14e" filled="false" stroked="true" strokeweight="1.44pt" strokecolor="#000000">
                <v:path arrowok="t"/>
              </v:shape>
            </v:group>
            <v:group style="position:absolute;left:8311;top:14;width:1328;height:2" coordorigin="8311,14" coordsize="1328,2">
              <v:shape style="position:absolute;left:8311;top:14;width:1328;height:2" coordorigin="8311,14" coordsize="1328,0" path="m8311,14l9638,14e" filled="false" stroked="true" strokeweight="1.44pt" strokecolor="#000000">
                <v:path arrowok="t"/>
              </v:shape>
            </v:group>
            <v:group style="position:absolute;left:14;top:329;width:1933;height:2" coordorigin="14,329" coordsize="1933,2">
              <v:shape style="position:absolute;left:14;top:329;width:1933;height:2" coordorigin="14,329" coordsize="1933,0" path="m14,329l1947,329e" filled="false" stroked="true" strokeweight="1.44pt" strokecolor="#000000">
                <v:path arrowok="t"/>
              </v:shape>
            </v:group>
            <v:group style="position:absolute;left:1954;top:29;width:2;height:286" coordorigin="1954,29" coordsize="2,286">
              <v:shape style="position:absolute;left:1954;top:29;width:2;height:286" coordorigin="1954,29" coordsize="0,286" path="m1954,29l1954,314e" filled="false" stroked="true" strokeweight=".72pt" strokecolor="#000000">
                <v:path arrowok="t"/>
              </v:shape>
            </v:group>
            <v:group style="position:absolute;left:1947;top:329;width:29;height:2" coordorigin="1947,329" coordsize="29,2">
              <v:shape style="position:absolute;left:1947;top:329;width:29;height:2" coordorigin="1947,329" coordsize="29,0" path="m1947,329l1976,329e" filled="false" stroked="true" strokeweight="1.44pt" strokecolor="#000000">
                <v:path arrowok="t"/>
              </v:shape>
            </v:group>
            <v:group style="position:absolute;left:1976;top:329;width:1141;height:2" coordorigin="1976,329" coordsize="1141,2">
              <v:shape style="position:absolute;left:1976;top:329;width:1141;height:2" coordorigin="1976,329" coordsize="1141,0" path="m1976,329l3116,329e" filled="false" stroked="true" strokeweight="1.44pt" strokecolor="#000000">
                <v:path arrowok="t"/>
              </v:shape>
            </v:group>
            <v:group style="position:absolute;left:3123;top:29;width:2;height:286" coordorigin="3123,29" coordsize="2,286">
              <v:shape style="position:absolute;left:3123;top:29;width:2;height:286" coordorigin="3123,29" coordsize="0,286" path="m3123,29l3123,314e" filled="false" stroked="true" strokeweight=".72pt" strokecolor="#000000">
                <v:path arrowok="t"/>
              </v:shape>
            </v:group>
            <v:group style="position:absolute;left:3116;top:329;width:29;height:2" coordorigin="3116,329" coordsize="29,2">
              <v:shape style="position:absolute;left:3116;top:329;width:29;height:2" coordorigin="3116,329" coordsize="29,0" path="m3116,329l3145,329e" filled="false" stroked="true" strokeweight="1.44pt" strokecolor="#000000">
                <v:path arrowok="t"/>
              </v:shape>
            </v:group>
            <v:group style="position:absolute;left:3145;top:329;width:1232;height:2" coordorigin="3145,329" coordsize="1232,2">
              <v:shape style="position:absolute;left:3145;top:329;width:1232;height:2" coordorigin="3145,329" coordsize="1232,0" path="m3145,329l4376,329e" filled="false" stroked="true" strokeweight="1.44pt" strokecolor="#000000">
                <v:path arrowok="t"/>
              </v:shape>
            </v:group>
            <v:group style="position:absolute;left:4383;top:29;width:2;height:286" coordorigin="4383,29" coordsize="2,286">
              <v:shape style="position:absolute;left:4383;top:29;width:2;height:286" coordorigin="4383,29" coordsize="0,286" path="m4383,29l4383,314e" filled="false" stroked="true" strokeweight=".72pt" strokecolor="#000000">
                <v:path arrowok="t"/>
              </v:shape>
            </v:group>
            <v:group style="position:absolute;left:4376;top:329;width:29;height:2" coordorigin="4376,329" coordsize="29,2">
              <v:shape style="position:absolute;left:4376;top:329;width:29;height:2" coordorigin="4376,329" coordsize="29,0" path="m4376,329l4405,329e" filled="false" stroked="true" strokeweight="1.44pt" strokecolor="#000000">
                <v:path arrowok="t"/>
              </v:shape>
            </v:group>
            <v:group style="position:absolute;left:4405;top:329;width:1052;height:2" coordorigin="4405,329" coordsize="1052,2">
              <v:shape style="position:absolute;left:4405;top:329;width:1052;height:2" coordorigin="4405,329" coordsize="1052,0" path="m4405,329l5457,329e" filled="false" stroked="true" strokeweight="1.44pt" strokecolor="#000000">
                <v:path arrowok="t"/>
              </v:shape>
            </v:group>
            <v:group style="position:absolute;left:5464;top:29;width:2;height:286" coordorigin="5464,29" coordsize="2,286">
              <v:shape style="position:absolute;left:5464;top:29;width:2;height:286" coordorigin="5464,29" coordsize="0,286" path="m5464,29l5464,314e" filled="false" stroked="true" strokeweight=".72pt" strokecolor="#000000">
                <v:path arrowok="t"/>
              </v:shape>
            </v:group>
            <v:group style="position:absolute;left:5457;top:329;width:29;height:2" coordorigin="5457,329" coordsize="29,2">
              <v:shape style="position:absolute;left:5457;top:329;width:29;height:2" coordorigin="5457,329" coordsize="29,0" path="m5457,329l5485,329e" filled="false" stroked="true" strokeweight="1.44pt" strokecolor="#000000">
                <v:path arrowok="t"/>
              </v:shape>
            </v:group>
            <v:group style="position:absolute;left:5485;top:329;width:1412;height:2" coordorigin="5485,329" coordsize="1412,2">
              <v:shape style="position:absolute;left:5485;top:329;width:1412;height:2" coordorigin="5485,329" coordsize="1412,0" path="m5485,329l6897,329e" filled="false" stroked="true" strokeweight="1.44pt" strokecolor="#000000">
                <v:path arrowok="t"/>
              </v:shape>
            </v:group>
            <v:group style="position:absolute;left:6904;top:29;width:2;height:286" coordorigin="6904,29" coordsize="2,286">
              <v:shape style="position:absolute;left:6904;top:29;width:2;height:286" coordorigin="6904,29" coordsize="0,286" path="m6904,29l6904,314e" filled="false" stroked="true" strokeweight=".72pt" strokecolor="#000000">
                <v:path arrowok="t"/>
              </v:shape>
            </v:group>
            <v:group style="position:absolute;left:6897;top:329;width:29;height:2" coordorigin="6897,329" coordsize="29,2">
              <v:shape style="position:absolute;left:6897;top:329;width:29;height:2" coordorigin="6897,329" coordsize="29,0" path="m6897,329l6925,329e" filled="false" stroked="true" strokeweight="1.44pt" strokecolor="#000000">
                <v:path arrowok="t"/>
              </v:shape>
            </v:group>
            <v:group style="position:absolute;left:6925;top:329;width:1357;height:2" coordorigin="6925,329" coordsize="1357,2">
              <v:shape style="position:absolute;left:6925;top:329;width:1357;height:2" coordorigin="6925,329" coordsize="1357,0" path="m6925,329l8282,329e" filled="false" stroked="true" strokeweight="1.44pt" strokecolor="#000000">
                <v:path arrowok="t"/>
              </v:shape>
            </v:group>
            <v:group style="position:absolute;left:8289;top:29;width:2;height:286" coordorigin="8289,29" coordsize="2,286">
              <v:shape style="position:absolute;left:8289;top:29;width:2;height:286" coordorigin="8289,29" coordsize="0,286" path="m8289,29l8289,314e" filled="false" stroked="true" strokeweight=".72pt" strokecolor="#000000">
                <v:path arrowok="t"/>
              </v:shape>
            </v:group>
            <v:group style="position:absolute;left:8282;top:329;width:29;height:2" coordorigin="8282,329" coordsize="29,2">
              <v:shape style="position:absolute;left:8282;top:329;width:29;height:2" coordorigin="8282,329" coordsize="29,0" path="m8282,329l8311,329e" filled="false" stroked="true" strokeweight="1.44pt" strokecolor="#000000">
                <v:path arrowok="t"/>
              </v:shape>
            </v:group>
            <v:group style="position:absolute;left:8311;top:329;width:1328;height:2" coordorigin="8311,329" coordsize="1328,2">
              <v:shape style="position:absolute;left:8311;top:329;width:1328;height:2" coordorigin="8311,329" coordsize="1328,0" path="m8311,329l9638,329e" filled="false" stroked="true" strokeweight="1.44pt" strokecolor="#000000">
                <v:path arrowok="t"/>
              </v:shape>
              <v:shape style="position:absolute;left:1954;top:14;width:1170;height:315" type="#_x0000_t202" filled="false" stroked="false">
                <v:textbox inset="0,0,0,0">
                  <w:txbxContent>
                    <w:p>
                      <w:pPr>
                        <w:spacing w:line="220" w:lineRule="exact" w:before="0"/>
                        <w:ind w:left="105" w:right="0" w:firstLine="0"/>
                        <w:jc w:val="left"/>
                        <w:rPr>
                          <w:rFonts w:ascii="宋体" w:hAnsi="宋体" w:cs="宋体" w:eastAsia="宋体" w:hint="default"/>
                          <w:sz w:val="18"/>
                          <w:szCs w:val="18"/>
                        </w:rPr>
                      </w:pPr>
                      <w:r>
                        <w:rPr>
                          <w:rFonts w:ascii="宋体" w:hAnsi="宋体" w:cs="宋体" w:eastAsia="宋体" w:hint="default"/>
                          <w:spacing w:val="-34"/>
                          <w:sz w:val="18"/>
                          <w:szCs w:val="18"/>
                        </w:rPr>
                        <w:t>电器有限公司</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13"/>
          <w:szCs w:val="13"/>
        </w:rPr>
      </w:pPr>
    </w:p>
    <w:p>
      <w:pPr>
        <w:tabs>
          <w:tab w:pos="1442" w:val="left" w:leader="none"/>
        </w:tabs>
        <w:spacing w:before="36"/>
        <w:ind w:left="1087" w:right="768" w:firstLine="0"/>
        <w:jc w:val="left"/>
        <w:rPr>
          <w:rFonts w:ascii="宋体" w:hAnsi="宋体" w:cs="宋体" w:eastAsia="宋体" w:hint="default"/>
          <w:sz w:val="21"/>
          <w:szCs w:val="21"/>
        </w:rPr>
      </w:pPr>
      <w:r>
        <w:rPr>
          <w:rFonts w:ascii="Arial Narrow" w:hAnsi="Arial Narrow" w:cs="Arial Narrow" w:eastAsia="Arial Narrow" w:hint="default"/>
          <w:b/>
          <w:bCs/>
          <w:spacing w:val="-1"/>
          <w:sz w:val="21"/>
          <w:szCs w:val="21"/>
        </w:rPr>
        <w:t>3.</w:t>
        <w:tab/>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340" w:lineRule="auto" w:before="0"/>
        <w:ind w:left="778" w:right="768" w:firstLine="419"/>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2"/>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3"/>
          <w:sz w:val="21"/>
          <w:szCs w:val="21"/>
        </w:rPr>
        <w:t> </w:t>
      </w:r>
      <w:r>
        <w:rPr>
          <w:rFonts w:ascii="宋体" w:hAnsi="宋体" w:cs="宋体" w:eastAsia="宋体" w:hint="default"/>
          <w:sz w:val="21"/>
          <w:szCs w:val="21"/>
        </w:rPr>
        <w:t>年度支付关键管理人员报酬分别为</w:t>
      </w:r>
      <w:r>
        <w:rPr>
          <w:rFonts w:ascii="宋体" w:hAnsi="宋体" w:cs="宋体" w:eastAsia="宋体" w:hint="default"/>
          <w:spacing w:val="-41"/>
          <w:sz w:val="21"/>
          <w:szCs w:val="21"/>
        </w:rPr>
        <w:t> </w:t>
      </w:r>
      <w:r>
        <w:rPr>
          <w:rFonts w:ascii="Arial Narrow" w:hAnsi="Arial Narrow" w:cs="Arial Narrow" w:eastAsia="Arial Narrow" w:hint="default"/>
          <w:sz w:val="21"/>
          <w:szCs w:val="21"/>
        </w:rPr>
        <w:t>197.18</w:t>
      </w:r>
      <w:r>
        <w:rPr>
          <w:rFonts w:ascii="Arial Narrow" w:hAnsi="Arial Narrow" w:cs="Arial Narrow" w:eastAsia="Arial Narrow" w:hint="default"/>
          <w:spacing w:val="15"/>
          <w:sz w:val="21"/>
          <w:szCs w:val="21"/>
        </w:rPr>
        <w:t> </w:t>
      </w:r>
      <w:r>
        <w:rPr>
          <w:rFonts w:ascii="宋体" w:hAnsi="宋体" w:cs="宋体" w:eastAsia="宋体" w:hint="default"/>
          <w:sz w:val="21"/>
          <w:szCs w:val="21"/>
        </w:rPr>
        <w:t>万元，上述关键管理人员包含公</w:t>
      </w:r>
      <w:r>
        <w:rPr>
          <w:rFonts w:ascii="宋体" w:hAnsi="宋体" w:cs="宋体" w:eastAsia="宋体" w:hint="default"/>
          <w:w w:val="100"/>
          <w:sz w:val="21"/>
          <w:szCs w:val="21"/>
        </w:rPr>
        <w:t> </w:t>
      </w:r>
      <w:r>
        <w:rPr>
          <w:rFonts w:ascii="宋体" w:hAnsi="宋体" w:cs="宋体" w:eastAsia="宋体" w:hint="default"/>
          <w:sz w:val="21"/>
          <w:szCs w:val="21"/>
        </w:rPr>
        <w:t>司董事、总经理、副总经理、董事会秘书、总工程师、核心技术人员、财务负责人。</w:t>
      </w:r>
    </w:p>
    <w:p>
      <w:pPr>
        <w:spacing w:before="105"/>
        <w:ind w:left="1138" w:right="768" w:firstLine="0"/>
        <w:jc w:val="left"/>
        <w:rPr>
          <w:rFonts w:ascii="宋体" w:hAnsi="宋体" w:cs="宋体" w:eastAsia="宋体" w:hint="default"/>
          <w:sz w:val="21"/>
          <w:szCs w:val="21"/>
        </w:rPr>
      </w:pPr>
      <w:r>
        <w:rPr>
          <w:rFonts w:ascii="宋体" w:hAnsi="宋体" w:cs="宋体" w:eastAsia="宋体" w:hint="default"/>
          <w:b/>
          <w:bCs/>
          <w:sz w:val="21"/>
          <w:szCs w:val="21"/>
        </w:rPr>
        <w:t>（三）关联方往来款项余额</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27" w:type="dxa"/>
        <w:tblLayout w:type="fixed"/>
        <w:tblCellMar>
          <w:top w:w="0" w:type="dxa"/>
          <w:left w:w="0" w:type="dxa"/>
          <w:bottom w:w="0" w:type="dxa"/>
          <w:right w:w="0" w:type="dxa"/>
        </w:tblCellMar>
        <w:tblLook w:val="01E0"/>
      </w:tblPr>
      <w:tblGrid>
        <w:gridCol w:w="2720"/>
        <w:gridCol w:w="1447"/>
        <w:gridCol w:w="1724"/>
        <w:gridCol w:w="998"/>
        <w:gridCol w:w="1556"/>
        <w:gridCol w:w="1128"/>
      </w:tblGrid>
      <w:tr>
        <w:trPr>
          <w:trHeight w:val="391" w:hRule="exact"/>
        </w:trPr>
        <w:tc>
          <w:tcPr>
            <w:tcW w:w="2720"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47" w:type="dxa"/>
            <w:vMerge w:val="restart"/>
            <w:tcBorders>
              <w:top w:val="single" w:sz="12"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7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left="72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8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6"/>
              <w:ind w:left="70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720" w:type="dxa"/>
            <w:vMerge/>
            <w:tcBorders>
              <w:left w:val="nil" w:sz="6" w:space="0" w:color="auto"/>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left="34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94" w:hRule="exact"/>
        </w:trPr>
        <w:tc>
          <w:tcPr>
            <w:tcW w:w="272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芜湖市建设投资有限公司</w:t>
            </w:r>
          </w:p>
        </w:tc>
        <w:tc>
          <w:tcPr>
            <w:tcW w:w="14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746" w:right="0"/>
              <w:jc w:val="left"/>
              <w:rPr>
                <w:rFonts w:ascii="Arial Narrow" w:hAnsi="Arial Narrow" w:cs="Arial Narrow" w:eastAsia="Arial Narrow" w:hint="default"/>
                <w:sz w:val="21"/>
                <w:szCs w:val="21"/>
              </w:rPr>
            </w:pPr>
            <w:r>
              <w:rPr>
                <w:rFonts w:ascii="Arial Narrow"/>
                <w:sz w:val="21"/>
              </w:rPr>
              <w:t>147,614.10</w:t>
            </w:r>
          </w:p>
        </w:tc>
        <w:tc>
          <w:tcPr>
            <w:tcW w:w="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396" w:right="0"/>
              <w:jc w:val="left"/>
              <w:rPr>
                <w:rFonts w:ascii="Arial Narrow" w:hAnsi="Arial Narrow" w:cs="Arial Narrow" w:eastAsia="Arial Narrow" w:hint="default"/>
                <w:sz w:val="21"/>
                <w:szCs w:val="21"/>
              </w:rPr>
            </w:pPr>
            <w:r>
              <w:rPr>
                <w:rFonts w:ascii="Arial Narrow"/>
                <w:sz w:val="21"/>
              </w:rPr>
              <w:t>0.67%</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578" w:right="0"/>
              <w:jc w:val="left"/>
              <w:rPr>
                <w:rFonts w:ascii="Arial Narrow" w:hAnsi="Arial Narrow" w:cs="Arial Narrow" w:eastAsia="Arial Narrow" w:hint="default"/>
                <w:sz w:val="21"/>
                <w:szCs w:val="21"/>
              </w:rPr>
            </w:pPr>
            <w:r>
              <w:rPr>
                <w:rFonts w:ascii="Arial Narrow"/>
                <w:sz w:val="21"/>
              </w:rPr>
              <w:t>147,614.10</w:t>
            </w:r>
          </w:p>
        </w:tc>
        <w:tc>
          <w:tcPr>
            <w:tcW w:w="11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left="523" w:right="0"/>
              <w:jc w:val="left"/>
              <w:rPr>
                <w:rFonts w:ascii="Arial Narrow" w:hAnsi="Arial Narrow" w:cs="Arial Narrow" w:eastAsia="Arial Narrow" w:hint="default"/>
                <w:sz w:val="21"/>
                <w:szCs w:val="21"/>
              </w:rPr>
            </w:pPr>
            <w:r>
              <w:rPr>
                <w:rFonts w:ascii="Arial Narrow"/>
                <w:sz w:val="21"/>
              </w:rPr>
              <w:t>0.84%</w:t>
            </w:r>
          </w:p>
        </w:tc>
      </w:tr>
    </w:tbl>
    <w:p>
      <w:pPr>
        <w:spacing w:line="240" w:lineRule="auto" w:before="0"/>
        <w:rPr>
          <w:rFonts w:ascii="宋体" w:hAnsi="宋体" w:cs="宋体" w:eastAsia="宋体" w:hint="default"/>
          <w:b/>
          <w:bCs/>
          <w:sz w:val="13"/>
          <w:szCs w:val="13"/>
        </w:rPr>
      </w:pPr>
    </w:p>
    <w:p>
      <w:pPr>
        <w:spacing w:before="36"/>
        <w:ind w:left="1094" w:right="768" w:firstLine="0"/>
        <w:jc w:val="left"/>
        <w:rPr>
          <w:rFonts w:ascii="宋体" w:hAnsi="宋体" w:cs="宋体" w:eastAsia="宋体" w:hint="default"/>
          <w:sz w:val="21"/>
          <w:szCs w:val="21"/>
        </w:rPr>
      </w:pPr>
      <w:r>
        <w:rPr>
          <w:rFonts w:ascii="宋体" w:hAnsi="宋体" w:cs="宋体" w:eastAsia="宋体" w:hint="default"/>
          <w:b/>
          <w:bCs/>
          <w:sz w:val="21"/>
          <w:szCs w:val="21"/>
        </w:rPr>
        <w:t>（四）未结算关联应收项目的坏账准备余额</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670" w:type="dxa"/>
        <w:tblLayout w:type="fixed"/>
        <w:tblCellMar>
          <w:top w:w="0" w:type="dxa"/>
          <w:left w:w="0" w:type="dxa"/>
          <w:bottom w:w="0" w:type="dxa"/>
          <w:right w:w="0" w:type="dxa"/>
        </w:tblCellMar>
        <w:tblLook w:val="01E0"/>
      </w:tblPr>
      <w:tblGrid>
        <w:gridCol w:w="2468"/>
        <w:gridCol w:w="1267"/>
        <w:gridCol w:w="1385"/>
        <w:gridCol w:w="905"/>
        <w:gridCol w:w="1301"/>
        <w:gridCol w:w="1159"/>
      </w:tblGrid>
      <w:tr>
        <w:trPr>
          <w:trHeight w:val="415" w:hRule="exact"/>
        </w:trPr>
        <w:tc>
          <w:tcPr>
            <w:tcW w:w="2468"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67"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2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50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461"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59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408" w:hRule="exact"/>
        </w:trPr>
        <w:tc>
          <w:tcPr>
            <w:tcW w:w="2468" w:type="dxa"/>
            <w:vMerge/>
            <w:tcBorders>
              <w:left w:val="nil" w:sz="6" w:space="0" w:color="auto"/>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66" w:hRule="exact"/>
        </w:trPr>
        <w:tc>
          <w:tcPr>
            <w:tcW w:w="2468"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芜湖市建设投资有限公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left="539" w:right="0"/>
              <w:jc w:val="left"/>
              <w:rPr>
                <w:rFonts w:ascii="Arial Narrow" w:hAnsi="Arial Narrow" w:cs="Arial Narrow" w:eastAsia="Arial Narrow" w:hint="default"/>
                <w:sz w:val="20"/>
                <w:szCs w:val="20"/>
              </w:rPr>
            </w:pPr>
            <w:r>
              <w:rPr>
                <w:rFonts w:ascii="Arial Narrow"/>
                <w:sz w:val="20"/>
              </w:rPr>
              <w:t>29,522.82</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left="326" w:right="0"/>
              <w:jc w:val="left"/>
              <w:rPr>
                <w:rFonts w:ascii="Arial Narrow" w:hAnsi="Arial Narrow" w:cs="Arial Narrow" w:eastAsia="Arial Narrow" w:hint="default"/>
                <w:sz w:val="20"/>
                <w:szCs w:val="20"/>
              </w:rPr>
            </w:pPr>
            <w:r>
              <w:rPr>
                <w:rFonts w:ascii="Arial Narrow"/>
                <w:sz w:val="20"/>
              </w:rPr>
              <w:t>2.96%</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left="455" w:right="0"/>
              <w:jc w:val="left"/>
              <w:rPr>
                <w:rFonts w:ascii="Arial Narrow" w:hAnsi="Arial Narrow" w:cs="Arial Narrow" w:eastAsia="Arial Narrow" w:hint="default"/>
                <w:sz w:val="20"/>
                <w:szCs w:val="20"/>
              </w:rPr>
            </w:pPr>
            <w:r>
              <w:rPr>
                <w:rFonts w:ascii="Arial Narrow"/>
                <w:sz w:val="20"/>
              </w:rPr>
              <w:t>14,761.41</w:t>
            </w:r>
          </w:p>
        </w:tc>
        <w:tc>
          <w:tcPr>
            <w:tcW w:w="1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3"/>
              <w:ind w:left="578" w:right="0"/>
              <w:jc w:val="left"/>
              <w:rPr>
                <w:rFonts w:ascii="Arial Narrow" w:hAnsi="Arial Narrow" w:cs="Arial Narrow" w:eastAsia="Arial Narrow" w:hint="default"/>
                <w:sz w:val="20"/>
                <w:szCs w:val="20"/>
              </w:rPr>
            </w:pPr>
            <w:r>
              <w:rPr>
                <w:rFonts w:ascii="Arial Narrow"/>
                <w:sz w:val="20"/>
              </w:rPr>
              <w:t>1.86%</w:t>
            </w:r>
          </w:p>
        </w:tc>
      </w:tr>
    </w:tbl>
    <w:p>
      <w:pPr>
        <w:spacing w:line="240" w:lineRule="auto" w:before="4"/>
        <w:rPr>
          <w:rFonts w:ascii="宋体" w:hAnsi="宋体" w:cs="宋体" w:eastAsia="宋体" w:hint="default"/>
          <w:b/>
          <w:bCs/>
          <w:sz w:val="13"/>
          <w:szCs w:val="13"/>
        </w:rPr>
      </w:pPr>
    </w:p>
    <w:p>
      <w:pPr>
        <w:pStyle w:val="BodyText"/>
        <w:spacing w:line="240" w:lineRule="auto" w:before="26"/>
        <w:ind w:left="1138" w:right="768"/>
        <w:jc w:val="left"/>
        <w:rPr>
          <w:rFonts w:ascii="黑体" w:hAnsi="黑体" w:cs="黑体" w:eastAsia="黑体" w:hint="default"/>
        </w:rPr>
      </w:pPr>
      <w:r>
        <w:rPr>
          <w:rFonts w:ascii="黑体" w:hAnsi="黑体" w:cs="黑体" w:eastAsia="黑体" w:hint="default"/>
        </w:rPr>
        <w:t>九、或有事项</w:t>
      </w:r>
    </w:p>
    <w:p>
      <w:pPr>
        <w:spacing w:line="240" w:lineRule="auto" w:before="5"/>
        <w:rPr>
          <w:rFonts w:ascii="黑体" w:hAnsi="黑体" w:cs="黑体" w:eastAsia="黑体" w:hint="default"/>
          <w:sz w:val="21"/>
          <w:szCs w:val="21"/>
        </w:rPr>
      </w:pPr>
    </w:p>
    <w:p>
      <w:pPr>
        <w:spacing w:before="0"/>
        <w:ind w:left="1075" w:right="7280" w:firstLine="0"/>
        <w:jc w:val="center"/>
        <w:rPr>
          <w:rFonts w:ascii="宋体" w:hAnsi="宋体" w:cs="宋体" w:eastAsia="宋体" w:hint="default"/>
          <w:sz w:val="21"/>
          <w:szCs w:val="21"/>
        </w:rPr>
      </w:pPr>
      <w:r>
        <w:rPr>
          <w:rFonts w:ascii="宋体" w:hAnsi="宋体" w:cs="宋体" w:eastAsia="宋体" w:hint="default"/>
          <w:sz w:val="21"/>
          <w:szCs w:val="21"/>
        </w:rPr>
        <w:t>（一）或有负债</w:t>
      </w:r>
    </w:p>
    <w:p>
      <w:pPr>
        <w:spacing w:line="240" w:lineRule="auto" w:before="10"/>
        <w:rPr>
          <w:rFonts w:ascii="宋体" w:hAnsi="宋体" w:cs="宋体" w:eastAsia="宋体" w:hint="default"/>
          <w:sz w:val="14"/>
          <w:szCs w:val="14"/>
        </w:rPr>
      </w:pPr>
    </w:p>
    <w:p>
      <w:pPr>
        <w:spacing w:before="0"/>
        <w:ind w:left="1198" w:right="768"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．对外担保</w:t>
      </w:r>
    </w:p>
    <w:p>
      <w:pPr>
        <w:spacing w:before="111"/>
        <w:ind w:left="1198" w:right="768"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日，本公司为下列单位贷款提供保证：</w:t>
      </w:r>
    </w:p>
    <w:p>
      <w:pPr>
        <w:spacing w:line="240" w:lineRule="auto" w:before="11"/>
        <w:rPr>
          <w:rFonts w:ascii="宋体" w:hAnsi="宋体" w:cs="宋体" w:eastAsia="宋体" w:hint="default"/>
          <w:sz w:val="20"/>
          <w:szCs w:val="20"/>
        </w:rPr>
      </w:pPr>
    </w:p>
    <w:tbl>
      <w:tblPr>
        <w:tblW w:w="0" w:type="auto"/>
        <w:jc w:val="left"/>
        <w:tblInd w:w="120" w:type="dxa"/>
        <w:tblLayout w:type="fixed"/>
        <w:tblCellMar>
          <w:top w:w="0" w:type="dxa"/>
          <w:left w:w="0" w:type="dxa"/>
          <w:bottom w:w="0" w:type="dxa"/>
          <w:right w:w="0" w:type="dxa"/>
        </w:tblCellMar>
        <w:tblLook w:val="01E0"/>
      </w:tblPr>
      <w:tblGrid>
        <w:gridCol w:w="2821"/>
        <w:gridCol w:w="2107"/>
        <w:gridCol w:w="1596"/>
        <w:gridCol w:w="2161"/>
        <w:gridCol w:w="900"/>
      </w:tblGrid>
      <w:tr>
        <w:trPr>
          <w:trHeight w:val="362" w:hRule="exact"/>
        </w:trPr>
        <w:tc>
          <w:tcPr>
            <w:tcW w:w="28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679" w:right="0"/>
              <w:jc w:val="left"/>
              <w:rPr>
                <w:rFonts w:ascii="宋体" w:hAnsi="宋体" w:cs="宋体" w:eastAsia="宋体" w:hint="default"/>
                <w:sz w:val="21"/>
                <w:szCs w:val="21"/>
              </w:rPr>
            </w:pPr>
            <w:r>
              <w:rPr>
                <w:rFonts w:ascii="宋体" w:hAnsi="宋体" w:cs="宋体" w:eastAsia="宋体" w:hint="default"/>
                <w:sz w:val="21"/>
                <w:szCs w:val="21"/>
              </w:rPr>
              <w:t>被担保单位名称</w:t>
            </w:r>
          </w:p>
        </w:tc>
        <w:tc>
          <w:tcPr>
            <w:tcW w:w="21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担保事项</w:t>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tabs>
                <w:tab w:pos="895" w:val="left" w:leader="none"/>
              </w:tabs>
              <w:spacing w:line="240" w:lineRule="auto" w:before="2"/>
              <w:ind w:left="473"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161" w:type="dxa"/>
            <w:tcBorders>
              <w:top w:val="single" w:sz="12"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期</w:t>
              <w:tab/>
              <w:t>限</w:t>
            </w:r>
          </w:p>
        </w:tc>
        <w:tc>
          <w:tcPr>
            <w:tcW w:w="9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23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10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借款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Arial Narrow" w:hAnsi="Arial Narrow" w:cs="Arial Narrow" w:eastAsia="Arial Narrow" w:hint="default"/>
                <w:sz w:val="21"/>
                <w:szCs w:val="21"/>
              </w:rPr>
              <w:t>6100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9"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2010.06.17</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2011.10.29</w:t>
            </w:r>
          </w:p>
        </w:tc>
        <w:tc>
          <w:tcPr>
            <w:tcW w:w="9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借款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2010.10.29</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2011.10.29</w:t>
            </w:r>
          </w:p>
        </w:tc>
        <w:tc>
          <w:tcPr>
            <w:tcW w:w="90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1"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借款</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98"/>
              <w:jc w:val="righ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万元</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2010.10.29</w:t>
            </w:r>
            <w:r>
              <w:rPr>
                <w:rFonts w:ascii="Arial Narrow" w:hAnsi="Arial Narrow" w:cs="Arial Narrow" w:eastAsia="Arial Narrow" w:hint="default"/>
                <w:sz w:val="21"/>
                <w:szCs w:val="21"/>
              </w:rPr>
              <w:t>—</w:t>
            </w:r>
            <w:r>
              <w:rPr>
                <w:rFonts w:ascii="Arial Narrow" w:hAnsi="Arial Narrow" w:cs="Arial Narrow" w:eastAsia="Arial Narrow" w:hint="default"/>
                <w:sz w:val="21"/>
                <w:szCs w:val="21"/>
              </w:rPr>
              <w:t>2011.10.29</w:t>
            </w:r>
          </w:p>
        </w:tc>
        <w:tc>
          <w:tcPr>
            <w:tcW w:w="90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821" w:type="dxa"/>
            <w:tcBorders>
              <w:top w:val="single" w:sz="6" w:space="0" w:color="000000"/>
              <w:left w:val="nil" w:sz="6" w:space="0" w:color="auto"/>
              <w:bottom w:val="single" w:sz="12" w:space="0" w:color="000000"/>
              <w:right w:val="single" w:sz="6" w:space="0" w:color="000000"/>
            </w:tcBorders>
          </w:tcPr>
          <w:p>
            <w:pPr>
              <w:pStyle w:val="TableParagraph"/>
              <w:spacing w:line="27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07" w:type="dxa"/>
            <w:tcBorders>
              <w:top w:val="single" w:sz="6" w:space="0" w:color="000000"/>
              <w:left w:val="single" w:sz="6" w:space="0" w:color="000000"/>
              <w:bottom w:val="single" w:sz="12" w:space="0" w:color="000000"/>
              <w:right w:val="single" w:sz="6" w:space="0" w:color="000000"/>
            </w:tcBorders>
          </w:tcPr>
          <w:p>
            <w:pP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98"/>
              <w:jc w:val="right"/>
              <w:rPr>
                <w:rFonts w:ascii="宋体" w:hAnsi="宋体" w:cs="宋体" w:eastAsia="宋体" w:hint="default"/>
                <w:sz w:val="21"/>
                <w:szCs w:val="21"/>
              </w:rPr>
            </w:pPr>
            <w:r>
              <w:rPr>
                <w:rFonts w:ascii="Arial Narrow" w:hAnsi="Arial Narrow" w:cs="Arial Narrow" w:eastAsia="Arial Narrow" w:hint="default"/>
                <w:sz w:val="21"/>
                <w:szCs w:val="21"/>
              </w:rPr>
              <w:t>6300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万元</w:t>
            </w:r>
          </w:p>
        </w:tc>
        <w:tc>
          <w:tcPr>
            <w:tcW w:w="2161"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nil" w:sz="6" w:space="0" w:color="auto"/>
            </w:tcBorders>
          </w:tcPr>
          <w:p>
            <w:pPr/>
          </w:p>
        </w:tc>
      </w:tr>
    </w:tbl>
    <w:p>
      <w:pPr>
        <w:spacing w:line="274" w:lineRule="exact" w:before="52"/>
        <w:ind w:left="778" w:right="768" w:firstLine="314"/>
        <w:jc w:val="left"/>
        <w:rPr>
          <w:rFonts w:ascii="宋体" w:hAnsi="宋体" w:cs="宋体" w:eastAsia="宋体" w:hint="default"/>
          <w:sz w:val="21"/>
          <w:szCs w:val="21"/>
        </w:rPr>
      </w:pPr>
      <w:r>
        <w:rPr>
          <w:rFonts w:ascii="宋体" w:hAnsi="宋体" w:cs="宋体" w:eastAsia="宋体" w:hint="default"/>
          <w:sz w:val="21"/>
          <w:szCs w:val="21"/>
        </w:rPr>
        <w:t>（二）除存在上述或有事项外，截止</w:t>
      </w:r>
      <w:r>
        <w:rPr>
          <w:rFonts w:ascii="宋体" w:hAnsi="宋体" w:cs="宋体" w:eastAsia="宋体" w:hint="default"/>
          <w:spacing w:val="-56"/>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日，本公司无其他应披露未披露的</w:t>
      </w:r>
      <w:r>
        <w:rPr>
          <w:rFonts w:ascii="宋体" w:hAnsi="宋体" w:cs="宋体" w:eastAsia="宋体" w:hint="default"/>
          <w:w w:val="100"/>
          <w:sz w:val="21"/>
          <w:szCs w:val="21"/>
        </w:rPr>
        <w:t> </w:t>
      </w:r>
      <w:r>
        <w:rPr>
          <w:rFonts w:ascii="宋体" w:hAnsi="宋体" w:cs="宋体" w:eastAsia="宋体" w:hint="default"/>
          <w:sz w:val="21"/>
          <w:szCs w:val="21"/>
        </w:rPr>
        <w:t>重大或有事项。</w:t>
      </w:r>
    </w:p>
    <w:p>
      <w:pPr>
        <w:spacing w:line="240" w:lineRule="auto" w:before="9"/>
        <w:rPr>
          <w:rFonts w:ascii="宋体" w:hAnsi="宋体" w:cs="宋体" w:eastAsia="宋体" w:hint="default"/>
          <w:sz w:val="15"/>
          <w:szCs w:val="15"/>
        </w:rPr>
      </w:pPr>
    </w:p>
    <w:p>
      <w:pPr>
        <w:pStyle w:val="BodyText"/>
        <w:spacing w:line="240" w:lineRule="auto" w:before="0"/>
        <w:ind w:left="1138" w:right="768"/>
        <w:jc w:val="left"/>
        <w:rPr>
          <w:rFonts w:ascii="黑体" w:hAnsi="黑体" w:cs="黑体" w:eastAsia="黑体" w:hint="default"/>
        </w:rPr>
      </w:pPr>
      <w:r>
        <w:rPr>
          <w:rFonts w:ascii="黑体" w:hAnsi="黑体" w:cs="黑体" w:eastAsia="黑体" w:hint="default"/>
        </w:rPr>
        <w:t>十、承诺事项</w:t>
      </w:r>
    </w:p>
    <w:p>
      <w:pPr>
        <w:spacing w:line="240" w:lineRule="auto" w:before="5"/>
        <w:rPr>
          <w:rFonts w:ascii="黑体" w:hAnsi="黑体" w:cs="黑体" w:eastAsia="黑体" w:hint="default"/>
          <w:sz w:val="21"/>
          <w:szCs w:val="21"/>
        </w:rPr>
      </w:pPr>
    </w:p>
    <w:p>
      <w:pPr>
        <w:spacing w:before="0"/>
        <w:ind w:left="1198" w:right="768"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日，本公司无应披露未披露的重大承诺事项。</w:t>
      </w:r>
    </w:p>
    <w:p>
      <w:pPr>
        <w:spacing w:line="240" w:lineRule="auto" w:before="12"/>
        <w:rPr>
          <w:rFonts w:ascii="宋体" w:hAnsi="宋体" w:cs="宋体" w:eastAsia="宋体" w:hint="default"/>
          <w:sz w:val="26"/>
          <w:szCs w:val="26"/>
        </w:rPr>
      </w:pPr>
    </w:p>
    <w:p>
      <w:pPr>
        <w:pStyle w:val="BodyText"/>
        <w:spacing w:line="240" w:lineRule="auto" w:before="0"/>
        <w:ind w:left="1138" w:right="768"/>
        <w:jc w:val="left"/>
        <w:rPr>
          <w:rFonts w:ascii="黑体" w:hAnsi="黑体" w:cs="黑体" w:eastAsia="黑体" w:hint="default"/>
        </w:rPr>
      </w:pPr>
      <w:r>
        <w:rPr>
          <w:rFonts w:ascii="黑体" w:hAnsi="黑体" w:cs="黑体" w:eastAsia="黑体" w:hint="default"/>
        </w:rPr>
        <w:t>十一、资产负债表日后事项的非调整事项</w:t>
      </w:r>
    </w:p>
    <w:p>
      <w:pPr>
        <w:spacing w:line="240" w:lineRule="auto" w:before="5"/>
        <w:rPr>
          <w:rFonts w:ascii="黑体" w:hAnsi="黑体" w:cs="黑体" w:eastAsia="黑体" w:hint="default"/>
          <w:sz w:val="21"/>
          <w:szCs w:val="21"/>
        </w:rPr>
      </w:pPr>
    </w:p>
    <w:p>
      <w:pPr>
        <w:spacing w:before="0"/>
        <w:ind w:left="1198" w:right="0"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39"/>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16"/>
          <w:sz w:val="21"/>
          <w:szCs w:val="21"/>
        </w:rPr>
        <w:t> </w:t>
      </w:r>
      <w:r>
        <w:rPr>
          <w:rFonts w:ascii="宋体" w:hAnsi="宋体" w:cs="宋体" w:eastAsia="宋体" w:hint="default"/>
          <w:sz w:val="21"/>
          <w:szCs w:val="21"/>
        </w:rPr>
        <w:t>日第五届董事会第五次会议审议决定，公司拟实施股票期权激励计</w:t>
      </w:r>
    </w:p>
    <w:p>
      <w:pPr>
        <w:spacing w:before="118"/>
        <w:ind w:left="778" w:right="0" w:firstLine="0"/>
        <w:jc w:val="left"/>
        <w:rPr>
          <w:rFonts w:ascii="宋体" w:hAnsi="宋体" w:cs="宋体" w:eastAsia="宋体" w:hint="default"/>
          <w:sz w:val="21"/>
          <w:szCs w:val="21"/>
        </w:rPr>
      </w:pPr>
      <w:r>
        <w:rPr>
          <w:rFonts w:ascii="宋体" w:hAnsi="宋体" w:cs="宋体" w:eastAsia="宋体" w:hint="default"/>
          <w:sz w:val="21"/>
          <w:szCs w:val="21"/>
        </w:rPr>
        <w:t>划，向激励对象授予</w:t>
      </w:r>
      <w:r>
        <w:rPr>
          <w:rFonts w:ascii="宋体" w:hAnsi="宋体" w:cs="宋体" w:eastAsia="宋体" w:hint="default"/>
          <w:spacing w:val="-59"/>
          <w:sz w:val="21"/>
          <w:szCs w:val="21"/>
        </w:rPr>
        <w:t> </w:t>
      </w:r>
      <w:r>
        <w:rPr>
          <w:rFonts w:ascii="Arial Narrow" w:hAnsi="Arial Narrow" w:cs="Arial Narrow" w:eastAsia="Arial Narrow" w:hint="default"/>
          <w:sz w:val="21"/>
          <w:szCs w:val="21"/>
        </w:rPr>
        <w:t>1450</w:t>
      </w:r>
      <w:r>
        <w:rPr>
          <w:rFonts w:ascii="Arial Narrow" w:hAnsi="Arial Narrow" w:cs="Arial Narrow" w:eastAsia="Arial Narrow" w:hint="default"/>
          <w:spacing w:val="-3"/>
          <w:sz w:val="21"/>
          <w:szCs w:val="21"/>
        </w:rPr>
        <w:t> </w:t>
      </w:r>
      <w:r>
        <w:rPr>
          <w:rFonts w:ascii="宋体" w:hAnsi="宋体" w:cs="宋体" w:eastAsia="宋体" w:hint="default"/>
          <w:sz w:val="21"/>
          <w:szCs w:val="21"/>
        </w:rPr>
        <w:t>万份股票期权，其中首次授予股票期权</w:t>
      </w:r>
      <w:r>
        <w:rPr>
          <w:rFonts w:ascii="宋体" w:hAnsi="宋体" w:cs="宋体" w:eastAsia="宋体" w:hint="default"/>
          <w:spacing w:val="-59"/>
          <w:sz w:val="21"/>
          <w:szCs w:val="21"/>
        </w:rPr>
        <w:t> </w:t>
      </w:r>
      <w:r>
        <w:rPr>
          <w:rFonts w:ascii="Arial Narrow" w:hAnsi="Arial Narrow" w:cs="Arial Narrow" w:eastAsia="Arial Narrow" w:hint="default"/>
          <w:sz w:val="21"/>
          <w:szCs w:val="21"/>
        </w:rPr>
        <w:t>1350</w:t>
      </w:r>
      <w:r>
        <w:rPr>
          <w:rFonts w:ascii="Arial Narrow" w:hAnsi="Arial Narrow" w:cs="Arial Narrow" w:eastAsia="Arial Narrow" w:hint="default"/>
          <w:spacing w:val="-2"/>
          <w:sz w:val="21"/>
          <w:szCs w:val="21"/>
        </w:rPr>
        <w:t> </w:t>
      </w:r>
      <w:r>
        <w:rPr>
          <w:rFonts w:ascii="宋体" w:hAnsi="宋体" w:cs="宋体" w:eastAsia="宋体" w:hint="default"/>
          <w:sz w:val="21"/>
          <w:szCs w:val="21"/>
        </w:rPr>
        <w:t>万份，预留股票期权</w:t>
      </w:r>
    </w:p>
    <w:p>
      <w:pPr>
        <w:spacing w:before="118"/>
        <w:ind w:left="778"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6"/>
          <w:sz w:val="21"/>
          <w:szCs w:val="21"/>
        </w:rPr>
        <w:t> </w:t>
      </w:r>
      <w:r>
        <w:rPr>
          <w:rFonts w:ascii="宋体" w:hAnsi="宋体" w:cs="宋体" w:eastAsia="宋体" w:hint="default"/>
          <w:spacing w:val="-6"/>
          <w:sz w:val="21"/>
          <w:szCs w:val="21"/>
        </w:rPr>
        <w:t>万份，行权价格</w:t>
      </w:r>
      <w:r>
        <w:rPr>
          <w:rFonts w:ascii="宋体" w:hAnsi="宋体" w:cs="宋体" w:eastAsia="宋体" w:hint="default"/>
          <w:spacing w:val="-53"/>
          <w:sz w:val="21"/>
          <w:szCs w:val="21"/>
        </w:rPr>
        <w:t> </w:t>
      </w:r>
      <w:r>
        <w:rPr>
          <w:rFonts w:ascii="Arial Narrow" w:hAnsi="Arial Narrow" w:cs="Arial Narrow" w:eastAsia="Arial Narrow" w:hint="default"/>
          <w:sz w:val="21"/>
          <w:szCs w:val="21"/>
        </w:rPr>
        <w:t>15.36</w:t>
      </w:r>
      <w:r>
        <w:rPr>
          <w:rFonts w:ascii="Arial Narrow" w:hAnsi="Arial Narrow" w:cs="Arial Narrow" w:eastAsia="Arial Narrow" w:hint="default"/>
          <w:spacing w:val="4"/>
          <w:sz w:val="21"/>
          <w:szCs w:val="21"/>
        </w:rPr>
        <w:t> </w:t>
      </w:r>
      <w:r>
        <w:rPr>
          <w:rFonts w:ascii="宋体" w:hAnsi="宋体" w:cs="宋体" w:eastAsia="宋体" w:hint="default"/>
          <w:spacing w:val="-7"/>
          <w:sz w:val="21"/>
          <w:szCs w:val="21"/>
        </w:rPr>
        <w:t>元</w:t>
      </w:r>
      <w:r>
        <w:rPr>
          <w:rFonts w:ascii="Arial Narrow" w:hAnsi="Arial Narrow" w:cs="Arial Narrow" w:eastAsia="Arial Narrow" w:hint="default"/>
          <w:spacing w:val="-7"/>
          <w:sz w:val="21"/>
          <w:szCs w:val="21"/>
        </w:rPr>
        <w:t>/</w:t>
      </w:r>
      <w:r>
        <w:rPr>
          <w:rFonts w:ascii="宋体" w:hAnsi="宋体" w:cs="宋体" w:eastAsia="宋体" w:hint="default"/>
          <w:spacing w:val="-7"/>
          <w:sz w:val="21"/>
          <w:szCs w:val="21"/>
        </w:rPr>
        <w:t>股，约占</w:t>
      </w:r>
      <w:r>
        <w:rPr>
          <w:rFonts w:ascii="宋体" w:hAnsi="宋体" w:cs="宋体" w:eastAsia="宋体" w:hint="default"/>
          <w:spacing w:val="-51"/>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6"/>
          <w:sz w:val="21"/>
          <w:szCs w:val="21"/>
        </w:rPr>
        <w:t> </w:t>
      </w:r>
      <w:r>
        <w:rPr>
          <w:rFonts w:ascii="宋体" w:hAnsi="宋体" w:cs="宋体" w:eastAsia="宋体" w:hint="default"/>
          <w:sz w:val="21"/>
          <w:szCs w:val="21"/>
        </w:rPr>
        <w:t>年末公司股本总额</w:t>
      </w:r>
      <w:r>
        <w:rPr>
          <w:rFonts w:ascii="宋体" w:hAnsi="宋体" w:cs="宋体" w:eastAsia="宋体" w:hint="default"/>
          <w:spacing w:val="-51"/>
          <w:sz w:val="21"/>
          <w:szCs w:val="21"/>
        </w:rPr>
        <w:t> </w:t>
      </w:r>
      <w:r>
        <w:rPr>
          <w:rFonts w:ascii="Arial Narrow" w:hAnsi="Arial Narrow" w:cs="Arial Narrow" w:eastAsia="Arial Narrow" w:hint="default"/>
          <w:sz w:val="21"/>
          <w:szCs w:val="21"/>
        </w:rPr>
        <w:t>16500</w:t>
      </w:r>
      <w:r>
        <w:rPr>
          <w:rFonts w:ascii="Arial Narrow" w:hAnsi="Arial Narrow" w:cs="Arial Narrow" w:eastAsia="Arial Narrow" w:hint="default"/>
          <w:spacing w:val="6"/>
          <w:sz w:val="21"/>
          <w:szCs w:val="21"/>
        </w:rPr>
        <w:t> </w:t>
      </w:r>
      <w:r>
        <w:rPr>
          <w:rFonts w:ascii="宋体" w:hAnsi="宋体" w:cs="宋体" w:eastAsia="宋体" w:hint="default"/>
          <w:sz w:val="21"/>
          <w:szCs w:val="21"/>
        </w:rPr>
        <w:t>万股的</w:t>
      </w:r>
      <w:r>
        <w:rPr>
          <w:rFonts w:ascii="宋体" w:hAnsi="宋体" w:cs="宋体" w:eastAsia="宋体" w:hint="default"/>
          <w:spacing w:val="-51"/>
          <w:sz w:val="21"/>
          <w:szCs w:val="21"/>
        </w:rPr>
        <w:t> </w:t>
      </w:r>
      <w:r>
        <w:rPr>
          <w:rFonts w:ascii="Arial Narrow" w:hAnsi="Arial Narrow" w:cs="Arial Narrow" w:eastAsia="Arial Narrow" w:hint="default"/>
          <w:spacing w:val="-5"/>
          <w:sz w:val="21"/>
          <w:szCs w:val="21"/>
        </w:rPr>
        <w:t>8.79%</w:t>
      </w:r>
      <w:r>
        <w:rPr>
          <w:rFonts w:ascii="宋体" w:hAnsi="宋体" w:cs="宋体" w:eastAsia="宋体" w:hint="default"/>
          <w:spacing w:val="-5"/>
          <w:sz w:val="21"/>
          <w:szCs w:val="21"/>
        </w:rPr>
        <w:t>，激励计划</w:t>
      </w:r>
    </w:p>
    <w:p>
      <w:pPr>
        <w:spacing w:after="0"/>
        <w:jc w:val="left"/>
        <w:rPr>
          <w:rFonts w:ascii="宋体" w:hAnsi="宋体" w:cs="宋体" w:eastAsia="宋体" w:hint="default"/>
          <w:sz w:val="21"/>
          <w:szCs w:val="21"/>
        </w:rPr>
        <w:sectPr>
          <w:pgSz w:w="11910" w:h="16840"/>
          <w:pgMar w:header="816" w:footer="858" w:top="1160" w:bottom="1040" w:left="1020" w:right="1020"/>
        </w:sectPr>
      </w:pPr>
    </w:p>
    <w:p>
      <w:pPr>
        <w:spacing w:line="240" w:lineRule="auto" w:before="4"/>
        <w:rPr>
          <w:rFonts w:ascii="宋体" w:hAnsi="宋体" w:cs="宋体" w:eastAsia="宋体" w:hint="default"/>
          <w:sz w:val="14"/>
          <w:szCs w:val="14"/>
        </w:rPr>
      </w:pPr>
    </w:p>
    <w:p>
      <w:pPr>
        <w:spacing w:line="357" w:lineRule="auto" w:before="36"/>
        <w:ind w:left="47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的股票来源为公司向激励对象定向发行股票。上述决定尚待报中国证券监督管理委员会备案</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无异议后，提交股东大会批准实施。</w:t>
      </w:r>
    </w:p>
    <w:p>
      <w:pPr>
        <w:spacing w:before="150"/>
        <w:ind w:left="898" w:right="0"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38"/>
          <w:sz w:val="21"/>
          <w:szCs w:val="21"/>
        </w:rPr>
        <w:t>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Narrow" w:hAnsi="Arial Narrow" w:cs="Arial Narrow" w:eastAsia="Arial Narrow" w:hint="default"/>
          <w:sz w:val="21"/>
          <w:szCs w:val="21"/>
        </w:rPr>
        <w:t>29</w:t>
      </w:r>
      <w:r>
        <w:rPr>
          <w:rFonts w:ascii="Arial Narrow" w:hAnsi="Arial Narrow" w:cs="Arial Narrow" w:eastAsia="Arial Narrow" w:hint="default"/>
          <w:spacing w:val="17"/>
          <w:sz w:val="21"/>
          <w:szCs w:val="21"/>
        </w:rPr>
        <w:t> </w:t>
      </w:r>
      <w:r>
        <w:rPr>
          <w:rFonts w:ascii="宋体" w:hAnsi="宋体" w:cs="宋体" w:eastAsia="宋体" w:hint="default"/>
          <w:sz w:val="21"/>
          <w:szCs w:val="21"/>
        </w:rPr>
        <w:t>日第五届董事会第七次会议审议决定，以</w:t>
      </w:r>
      <w:r>
        <w:rPr>
          <w:rFonts w:ascii="宋体" w:hAnsi="宋体" w:cs="宋体" w:eastAsia="宋体" w:hint="default"/>
          <w:spacing w:val="-38"/>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6"/>
          <w:sz w:val="21"/>
          <w:szCs w:val="21"/>
        </w:rPr>
        <w:t> </w:t>
      </w:r>
      <w:r>
        <w:rPr>
          <w:rFonts w:ascii="宋体" w:hAnsi="宋体" w:cs="宋体" w:eastAsia="宋体" w:hint="default"/>
          <w:sz w:val="21"/>
          <w:szCs w:val="21"/>
        </w:rPr>
        <w:t>日总股本</w:t>
      </w:r>
    </w:p>
    <w:p>
      <w:pPr>
        <w:spacing w:before="118"/>
        <w:ind w:left="478" w:right="0" w:firstLine="0"/>
        <w:jc w:val="left"/>
        <w:rPr>
          <w:rFonts w:ascii="宋体" w:hAnsi="宋体" w:cs="宋体" w:eastAsia="宋体" w:hint="default"/>
          <w:sz w:val="21"/>
          <w:szCs w:val="21"/>
        </w:rPr>
      </w:pPr>
      <w:r>
        <w:rPr>
          <w:rFonts w:ascii="Arial Narrow" w:hAnsi="Arial Narrow" w:cs="Arial Narrow" w:eastAsia="Arial Narrow" w:hint="default"/>
          <w:spacing w:val="-1"/>
          <w:w w:val="100"/>
          <w:sz w:val="21"/>
          <w:szCs w:val="21"/>
        </w:rPr>
        <w:t>165,000,00</w:t>
      </w:r>
      <w:r>
        <w:rPr>
          <w:rFonts w:ascii="Arial Narrow" w:hAnsi="Arial Narrow" w:cs="Arial Narrow" w:eastAsia="Arial Narrow" w:hint="default"/>
          <w:w w:val="100"/>
          <w:sz w:val="21"/>
          <w:szCs w:val="21"/>
        </w:rPr>
        <w:t>0</w:t>
      </w:r>
      <w:r>
        <w:rPr>
          <w:rFonts w:ascii="Arial Narrow" w:hAnsi="Arial Narrow" w:cs="Arial Narrow" w:eastAsia="Arial Narrow" w:hint="default"/>
          <w:spacing w:val="2"/>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基数</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全体</w:t>
      </w:r>
      <w:r>
        <w:rPr>
          <w:rFonts w:ascii="宋体" w:hAnsi="宋体" w:cs="宋体" w:eastAsia="宋体" w:hint="default"/>
          <w:spacing w:val="-3"/>
          <w:w w:val="100"/>
          <w:sz w:val="21"/>
          <w:szCs w:val="21"/>
        </w:rPr>
        <w:t>股东</w:t>
      </w: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Arial Narrow" w:hAnsi="Arial Narrow" w:cs="Arial Narrow" w:eastAsia="Arial Narrow" w:hint="default"/>
          <w:spacing w:val="-1"/>
          <w:w w:val="100"/>
          <w:sz w:val="21"/>
          <w:szCs w:val="21"/>
        </w:rPr>
        <w:t>1</w:t>
      </w:r>
      <w:r>
        <w:rPr>
          <w:rFonts w:ascii="Arial Narrow" w:hAnsi="Arial Narrow" w:cs="Arial Narrow" w:eastAsia="Arial Narrow" w:hint="default"/>
          <w:w w:val="100"/>
          <w:sz w:val="21"/>
          <w:szCs w:val="21"/>
        </w:rPr>
        <w:t>0</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股利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Narrow" w:hAnsi="Arial Narrow" w:cs="Arial Narrow" w:eastAsia="Arial Narrow" w:hint="default"/>
          <w:spacing w:val="-1"/>
          <w:w w:val="100"/>
          <w:sz w:val="21"/>
          <w:szCs w:val="21"/>
        </w:rPr>
        <w:t>0.8</w:t>
      </w:r>
      <w:r>
        <w:rPr>
          <w:rFonts w:ascii="Arial Narrow" w:hAnsi="Arial Narrow" w:cs="Arial Narrow" w:eastAsia="Arial Narrow" w:hint="default"/>
          <w:w w:val="100"/>
          <w:sz w:val="21"/>
          <w:szCs w:val="21"/>
        </w:rPr>
        <w:t>0</w:t>
      </w:r>
      <w:r>
        <w:rPr>
          <w:rFonts w:ascii="Arial Narrow" w:hAnsi="Arial Narrow" w:cs="Arial Narrow" w:eastAsia="Arial Narrow" w:hint="default"/>
          <w:spacing w:val="2"/>
          <w:sz w:val="21"/>
          <w:szCs w:val="21"/>
        </w:rPr>
        <w:t> </w:t>
      </w:r>
      <w:r>
        <w:rPr>
          <w:rFonts w:ascii="宋体" w:hAnsi="宋体" w:cs="宋体" w:eastAsia="宋体" w:hint="default"/>
          <w:spacing w:val="-17"/>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p>
    <w:p>
      <w:pPr>
        <w:spacing w:line="436" w:lineRule="auto" w:before="121"/>
        <w:ind w:left="898" w:right="0" w:hanging="42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4"/>
          <w:sz w:val="21"/>
          <w:szCs w:val="21"/>
        </w:rPr>
        <w:t> </w:t>
      </w:r>
      <w:r>
        <w:rPr>
          <w:rFonts w:ascii="Arial Narrow" w:hAnsi="Arial Narrow" w:cs="Arial Narrow" w:eastAsia="Arial Narrow" w:hint="default"/>
          <w:sz w:val="21"/>
          <w:szCs w:val="21"/>
        </w:rPr>
        <w:t>13,200,000.00</w:t>
      </w:r>
      <w:r>
        <w:rPr>
          <w:rFonts w:ascii="Arial Narrow" w:hAnsi="Arial Narrow" w:cs="Arial Narrow" w:eastAsia="Arial Narrow" w:hint="default"/>
          <w:spacing w:val="3"/>
          <w:sz w:val="21"/>
          <w:szCs w:val="21"/>
        </w:rPr>
        <w:t> </w:t>
      </w:r>
      <w:r>
        <w:rPr>
          <w:rFonts w:ascii="宋体" w:hAnsi="宋体" w:cs="宋体" w:eastAsia="宋体" w:hint="default"/>
          <w:sz w:val="21"/>
          <w:szCs w:val="21"/>
        </w:rPr>
        <w:t>元。上述分红决定尚需经</w:t>
      </w:r>
      <w:r>
        <w:rPr>
          <w:rFonts w:ascii="宋体" w:hAnsi="宋体" w:cs="宋体" w:eastAsia="宋体" w:hint="default"/>
          <w:spacing w:val="-53"/>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1"/>
          <w:sz w:val="21"/>
          <w:szCs w:val="21"/>
        </w:rPr>
        <w:t> </w:t>
      </w:r>
      <w:r>
        <w:rPr>
          <w:rFonts w:ascii="宋体" w:hAnsi="宋体" w:cs="宋体" w:eastAsia="宋体" w:hint="default"/>
          <w:sz w:val="21"/>
          <w:szCs w:val="21"/>
        </w:rPr>
        <w:t>年股东大会批准实施。</w:t>
      </w:r>
      <w:r>
        <w:rPr>
          <w:rFonts w:ascii="宋体" w:hAnsi="宋体" w:cs="宋体" w:eastAsia="宋体" w:hint="default"/>
          <w:w w:val="100"/>
          <w:sz w:val="21"/>
          <w:szCs w:val="21"/>
        </w:rPr>
        <w:t> </w:t>
      </w:r>
      <w:r>
        <w:rPr>
          <w:rFonts w:ascii="宋体" w:hAnsi="宋体" w:cs="宋体" w:eastAsia="宋体" w:hint="default"/>
          <w:spacing w:val="-4"/>
          <w:sz w:val="21"/>
          <w:szCs w:val="21"/>
        </w:rPr>
        <w:t>除存在上述资产负债日后事项外，截止本财务报告日，本公司无其他应披露未披露的重</w:t>
      </w:r>
    </w:p>
    <w:p>
      <w:pPr>
        <w:spacing w:line="236" w:lineRule="exact" w:before="0"/>
        <w:ind w:left="478" w:right="0" w:firstLine="0"/>
        <w:jc w:val="left"/>
        <w:rPr>
          <w:rFonts w:ascii="宋体" w:hAnsi="宋体" w:cs="宋体" w:eastAsia="宋体" w:hint="default"/>
          <w:sz w:val="21"/>
          <w:szCs w:val="21"/>
        </w:rPr>
      </w:pPr>
      <w:r>
        <w:rPr>
          <w:rFonts w:ascii="宋体" w:hAnsi="宋体" w:cs="宋体" w:eastAsia="宋体" w:hint="default"/>
          <w:sz w:val="21"/>
          <w:szCs w:val="21"/>
        </w:rPr>
        <w:t>大资产负债表日后事项的非调整事项。</w:t>
      </w:r>
    </w:p>
    <w:p>
      <w:pPr>
        <w:spacing w:line="240" w:lineRule="auto" w:before="1"/>
        <w:rPr>
          <w:rFonts w:ascii="宋体" w:hAnsi="宋体" w:cs="宋体" w:eastAsia="宋体" w:hint="default"/>
          <w:sz w:val="28"/>
          <w:szCs w:val="28"/>
        </w:rPr>
      </w:pPr>
    </w:p>
    <w:p>
      <w:pPr>
        <w:pStyle w:val="BodyText"/>
        <w:spacing w:line="240" w:lineRule="auto" w:before="0"/>
        <w:ind w:left="838" w:right="0"/>
        <w:jc w:val="left"/>
        <w:rPr>
          <w:rFonts w:ascii="黑体" w:hAnsi="黑体" w:cs="黑体" w:eastAsia="黑体" w:hint="default"/>
        </w:rPr>
      </w:pPr>
      <w:r>
        <w:rPr>
          <w:rFonts w:ascii="黑体" w:hAnsi="黑体" w:cs="黑体" w:eastAsia="黑体" w:hint="default"/>
        </w:rPr>
        <w:t>十二、其他重要事项</w:t>
      </w:r>
    </w:p>
    <w:p>
      <w:pPr>
        <w:spacing w:line="240" w:lineRule="auto" w:before="4"/>
        <w:rPr>
          <w:rFonts w:ascii="黑体" w:hAnsi="黑体" w:cs="黑体" w:eastAsia="黑体" w:hint="default"/>
          <w:sz w:val="27"/>
          <w:szCs w:val="27"/>
        </w:rPr>
      </w:pPr>
    </w:p>
    <w:p>
      <w:pPr>
        <w:spacing w:before="0"/>
        <w:ind w:left="89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Narrow" w:hAnsi="Arial Narrow" w:cs="Arial Narrow" w:eastAsia="Arial Narrow" w:hint="default"/>
          <w:sz w:val="21"/>
          <w:szCs w:val="21"/>
        </w:rPr>
        <w:t>2010</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宋体" w:hAnsi="宋体" w:cs="宋体" w:eastAsia="宋体" w:hint="default"/>
          <w:sz w:val="21"/>
          <w:szCs w:val="21"/>
        </w:rPr>
        <w:t>日，本公司无应披露未披露的其他重要事项。</w:t>
      </w:r>
    </w:p>
    <w:p>
      <w:pPr>
        <w:spacing w:line="240" w:lineRule="auto" w:before="5"/>
        <w:rPr>
          <w:rFonts w:ascii="宋体" w:hAnsi="宋体" w:cs="宋体" w:eastAsia="宋体" w:hint="default"/>
          <w:sz w:val="17"/>
          <w:szCs w:val="17"/>
        </w:rPr>
      </w:pPr>
    </w:p>
    <w:p>
      <w:pPr>
        <w:pStyle w:val="BodyText"/>
        <w:spacing w:line="240" w:lineRule="auto" w:before="0"/>
        <w:ind w:left="838" w:right="0"/>
        <w:jc w:val="left"/>
        <w:rPr>
          <w:rFonts w:ascii="黑体" w:hAnsi="黑体" w:cs="黑体" w:eastAsia="黑体" w:hint="default"/>
        </w:rPr>
      </w:pPr>
      <w:r>
        <w:rPr>
          <w:rFonts w:ascii="黑体" w:hAnsi="黑体" w:cs="黑体" w:eastAsia="黑体" w:hint="default"/>
        </w:rPr>
        <w:t>十三、补充资料</w:t>
      </w:r>
    </w:p>
    <w:p>
      <w:pPr>
        <w:spacing w:line="240" w:lineRule="auto" w:before="5"/>
        <w:rPr>
          <w:rFonts w:ascii="黑体" w:hAnsi="黑体" w:cs="黑体" w:eastAsia="黑体" w:hint="default"/>
          <w:sz w:val="30"/>
          <w:szCs w:val="30"/>
        </w:rPr>
      </w:pPr>
    </w:p>
    <w:p>
      <w:pPr>
        <w:spacing w:line="410" w:lineRule="auto" w:before="0"/>
        <w:ind w:left="898" w:right="457" w:hanging="214"/>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0"/>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根据中国证监会《公开发行证券的公司信息披露解释性公告第 </w:t>
      </w:r>
      <w:r>
        <w:rPr>
          <w:rFonts w:ascii="Arial Narrow" w:hAnsi="Arial Narrow" w:cs="Arial Narrow" w:eastAsia="Arial Narrow" w:hint="default"/>
          <w:sz w:val="21"/>
          <w:szCs w:val="21"/>
        </w:rPr>
        <w:t>1 </w:t>
      </w:r>
      <w:r>
        <w:rPr>
          <w:rFonts w:ascii="Arial Narrow" w:hAnsi="Arial Narrow" w:cs="Arial Narrow" w:eastAsia="Arial Narrow" w:hint="default"/>
          <w:spacing w:val="34"/>
          <w:sz w:val="21"/>
          <w:szCs w:val="21"/>
        </w:rPr>
        <w:t> </w:t>
      </w:r>
      <w:r>
        <w:rPr>
          <w:rFonts w:ascii="宋体" w:hAnsi="宋体" w:cs="宋体" w:eastAsia="宋体" w:hint="default"/>
          <w:sz w:val="21"/>
          <w:szCs w:val="21"/>
        </w:rPr>
        <w:t>号——非经常性损益</w:t>
      </w:r>
    </w:p>
    <w:p>
      <w:pPr>
        <w:spacing w:line="239" w:lineRule="exact" w:before="0"/>
        <w:ind w:left="47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Arial Narrow" w:hAnsi="Arial Narrow" w:cs="Arial Narrow" w:eastAsia="Arial Narrow" w:hint="default"/>
          <w:spacing w:val="-1"/>
          <w:w w:val="100"/>
          <w:sz w:val="21"/>
          <w:szCs w:val="21"/>
        </w:rPr>
        <w:t>2008</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Narrow" w:hAnsi="Arial Narrow" w:cs="Arial Narrow" w:eastAsia="Arial Narrow" w:hint="default"/>
          <w:spacing w:val="-3"/>
          <w:w w:val="100"/>
          <w:sz w:val="21"/>
          <w:szCs w:val="21"/>
        </w:rPr>
        <w:t>[</w:t>
      </w:r>
      <w:r>
        <w:rPr>
          <w:rFonts w:ascii="Arial Narrow" w:hAnsi="Arial Narrow" w:cs="Arial Narrow" w:eastAsia="Arial Narrow" w:hint="default"/>
          <w:spacing w:val="-1"/>
          <w:w w:val="100"/>
          <w:sz w:val="21"/>
          <w:szCs w:val="21"/>
        </w:rPr>
        <w:t>2008]4</w:t>
      </w:r>
      <w:r>
        <w:rPr>
          <w:rFonts w:ascii="Arial Narrow" w:hAnsi="Arial Narrow" w:cs="Arial Narrow" w:eastAsia="Arial Narrow" w:hint="default"/>
          <w:w w:val="100"/>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pacing w:val="-3"/>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w:t>
      </w:r>
      <w:r>
        <w:rPr>
          <w:rFonts w:ascii="宋体" w:hAnsi="宋体" w:cs="宋体" w:eastAsia="宋体" w:hint="default"/>
          <w:spacing w:val="-3"/>
          <w:w w:val="100"/>
          <w:sz w:val="21"/>
          <w:szCs w:val="21"/>
        </w:rPr>
        <w:t>性</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如下：</w:t>
      </w:r>
    </w:p>
    <w:p>
      <w:pPr>
        <w:spacing w:line="240" w:lineRule="auto" w:before="9"/>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6757"/>
        <w:gridCol w:w="1445"/>
        <w:gridCol w:w="816"/>
      </w:tblGrid>
      <w:tr>
        <w:trPr>
          <w:trHeight w:val="362" w:hRule="exact"/>
        </w:trPr>
        <w:tc>
          <w:tcPr>
            <w:tcW w:w="67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8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8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8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77,564.51</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计入当期损益的政府补助（与公司正常经营业务密切相关，符合国家政</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策规定、按照一定标准定额或定量持续享受的政府补助除外）</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Arial Narrow" w:hAnsi="Arial Narrow" w:cs="Arial Narrow" w:eastAsia="Arial Narrow" w:hint="default"/>
                <w:sz w:val="21"/>
                <w:szCs w:val="21"/>
              </w:rPr>
            </w:pPr>
            <w:r>
              <w:rPr>
                <w:rFonts w:ascii="Arial Narrow"/>
                <w:spacing w:val="-1"/>
                <w:sz w:val="21"/>
              </w:rPr>
              <w:t>4,758,000.00</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企业取得子公司、联营企业及合营企业的投资成本小于取得投资时应享</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有被投资单位可辨认净资产公允价值产生的收益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830"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w:t>
            </w:r>
          </w:p>
          <w:p>
            <w:pPr>
              <w:pStyle w:val="TableParagraph"/>
              <w:spacing w:line="240" w:lineRule="auto"/>
              <w:ind w:left="122" w:right="96"/>
              <w:jc w:val="left"/>
              <w:rPr>
                <w:rFonts w:ascii="宋体" w:hAnsi="宋体" w:cs="宋体" w:eastAsia="宋体" w:hint="default"/>
                <w:sz w:val="21"/>
                <w:szCs w:val="21"/>
              </w:rPr>
            </w:pPr>
            <w:r>
              <w:rPr>
                <w:rFonts w:ascii="宋体" w:hAnsi="宋体" w:cs="宋体" w:eastAsia="宋体" w:hint="default"/>
                <w:spacing w:val="-1"/>
                <w:sz w:val="21"/>
                <w:szCs w:val="21"/>
              </w:rPr>
              <w:t>产、交易性金融负债产生的公允价值变动损益，以及处置交易性金融资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产、交易性金融负债和可供出售金融资产取得的投资收益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67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采用公允价值模式进行后续计量的投资性房地产公允价值变动产生的损</w:t>
            </w:r>
          </w:p>
        </w:tc>
        <w:tc>
          <w:tcPr>
            <w:tcW w:w="1445" w:type="dxa"/>
            <w:tcBorders>
              <w:top w:val="single" w:sz="6" w:space="0" w:color="000000"/>
              <w:left w:val="single" w:sz="6" w:space="0" w:color="000000"/>
              <w:bottom w:val="single" w:sz="12" w:space="0" w:color="000000"/>
              <w:right w:val="single" w:sz="6" w:space="0" w:color="000000"/>
            </w:tcBorders>
          </w:tcPr>
          <w:p>
            <w:pPr/>
          </w:p>
        </w:tc>
        <w:tc>
          <w:tcPr>
            <w:tcW w:w="816" w:type="dxa"/>
            <w:tcBorders>
              <w:top w:val="single" w:sz="6" w:space="0" w:color="000000"/>
              <w:left w:val="single" w:sz="6" w:space="0" w:color="000000"/>
              <w:bottom w:val="single" w:sz="12" w:space="0" w:color="000000"/>
              <w:right w:val="nil" w:sz="6" w:space="0" w:color="auto"/>
            </w:tcBorders>
          </w:tcPr>
          <w:p>
            <w:pPr/>
          </w:p>
        </w:tc>
      </w:tr>
    </w:tbl>
    <w:p>
      <w:pPr>
        <w:spacing w:after="0"/>
        <w:sectPr>
          <w:footerReference w:type="default" r:id="rId23"/>
          <w:pgSz w:w="11910" w:h="16840"/>
          <w:pgMar w:footer="858" w:header="816" w:top="1160" w:bottom="1040" w:left="1320" w:right="1320"/>
          <w:pgNumType w:start="120"/>
        </w:sectPr>
      </w:pPr>
    </w:p>
    <w:p>
      <w:pPr>
        <w:spacing w:line="240" w:lineRule="auto" w:before="9"/>
        <w:rPr>
          <w:rFonts w:ascii="宋体" w:hAnsi="宋体" w:cs="宋体" w:eastAsia="宋体" w:hint="default"/>
          <w:sz w:val="19"/>
          <w:szCs w:val="19"/>
        </w:rPr>
      </w:pPr>
    </w:p>
    <w:tbl>
      <w:tblPr>
        <w:tblW w:w="0" w:type="auto"/>
        <w:jc w:val="left"/>
        <w:tblInd w:w="483" w:type="dxa"/>
        <w:tblLayout w:type="fixed"/>
        <w:tblCellMar>
          <w:top w:w="0" w:type="dxa"/>
          <w:left w:w="0" w:type="dxa"/>
          <w:bottom w:w="0" w:type="dxa"/>
          <w:right w:w="0" w:type="dxa"/>
        </w:tblCellMar>
        <w:tblLook w:val="01E0"/>
      </w:tblPr>
      <w:tblGrid>
        <w:gridCol w:w="6757"/>
        <w:gridCol w:w="1445"/>
        <w:gridCol w:w="816"/>
      </w:tblGrid>
      <w:tr>
        <w:trPr>
          <w:trHeight w:val="363" w:hRule="exact"/>
        </w:trPr>
        <w:tc>
          <w:tcPr>
            <w:tcW w:w="675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81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根据税收、会计等法律、法规的要求对当期损益进行一次性调整对当期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损益的影响</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-254,816.00</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703"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4,580,748.51</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Narrow" w:hAnsi="Arial Narrow" w:cs="Arial Narrow" w:eastAsia="Arial Narrow" w:hint="default"/>
                <w:sz w:val="21"/>
                <w:szCs w:val="21"/>
              </w:rPr>
            </w:pPr>
            <w:r>
              <w:rPr>
                <w:rFonts w:ascii="Arial Narrow"/>
                <w:spacing w:val="-2"/>
                <w:sz w:val="21"/>
              </w:rPr>
              <w:t>687,112.28</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809"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3,893,636.23</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1445"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675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7"/>
              <w:jc w:val="right"/>
              <w:rPr>
                <w:rFonts w:ascii="Arial Narrow" w:hAnsi="Arial Narrow" w:cs="Arial Narrow" w:eastAsia="Arial Narrow" w:hint="default"/>
                <w:sz w:val="21"/>
                <w:szCs w:val="21"/>
              </w:rPr>
            </w:pPr>
            <w:r>
              <w:rPr>
                <w:rFonts w:ascii="Arial Narrow"/>
                <w:spacing w:val="-1"/>
                <w:sz w:val="21"/>
              </w:rPr>
              <w:t>3,893,636.23</w:t>
            </w:r>
            <w:r>
              <w:rPr>
                <w:rFonts w:ascii="Arial Narrow"/>
                <w:sz w:val="21"/>
              </w:rPr>
            </w:r>
          </w:p>
        </w:tc>
        <w:tc>
          <w:tcPr>
            <w:tcW w:w="816"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67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38,841,951.38</w:t>
            </w:r>
            <w:r>
              <w:rPr>
                <w:rFonts w:ascii="Arial Narrow"/>
                <w:sz w:val="21"/>
              </w:rPr>
            </w:r>
          </w:p>
        </w:tc>
        <w:tc>
          <w:tcPr>
            <w:tcW w:w="81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spacing w:line="408" w:lineRule="auto" w:before="36"/>
        <w:ind w:left="1278" w:right="863" w:hanging="214"/>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0"/>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5"/>
          <w:sz w:val="21"/>
          <w:szCs w:val="21"/>
        </w:rPr>
        <w:t>本公司按照中国证监会《公开发行证券的公司信息披露编报规则第 </w:t>
      </w:r>
      <w:r>
        <w:rPr>
          <w:rFonts w:ascii="Arial Narrow" w:hAnsi="Arial Narrow" w:cs="Arial Narrow" w:eastAsia="Arial Narrow" w:hint="default"/>
          <w:sz w:val="21"/>
          <w:szCs w:val="21"/>
        </w:rPr>
        <w:t>9</w:t>
      </w:r>
      <w:r>
        <w:rPr>
          <w:rFonts w:ascii="Arial Narrow" w:hAnsi="Arial Narrow" w:cs="Arial Narrow" w:eastAsia="Arial Narrow" w:hint="default"/>
          <w:spacing w:val="16"/>
          <w:sz w:val="21"/>
          <w:szCs w:val="21"/>
        </w:rPr>
        <w:t> </w:t>
      </w:r>
      <w:r>
        <w:rPr>
          <w:rFonts w:ascii="宋体" w:hAnsi="宋体" w:cs="宋体" w:eastAsia="宋体" w:hint="default"/>
          <w:sz w:val="21"/>
          <w:szCs w:val="21"/>
        </w:rPr>
        <w:t>号——净资产收益</w:t>
      </w:r>
    </w:p>
    <w:p>
      <w:pPr>
        <w:spacing w:line="242" w:lineRule="exact" w:before="0"/>
        <w:ind w:left="858" w:right="0" w:firstLine="0"/>
        <w:jc w:val="left"/>
        <w:rPr>
          <w:rFonts w:ascii="宋体" w:hAnsi="宋体" w:cs="宋体" w:eastAsia="宋体" w:hint="default"/>
          <w:sz w:val="21"/>
          <w:szCs w:val="21"/>
        </w:rPr>
      </w:pPr>
      <w:r>
        <w:rPr>
          <w:rFonts w:ascii="宋体" w:hAnsi="宋体" w:cs="宋体" w:eastAsia="宋体" w:hint="default"/>
          <w:w w:val="100"/>
          <w:sz w:val="21"/>
          <w:szCs w:val="21"/>
        </w:rPr>
        <w:t>率和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spacing w:val="-70"/>
          <w:w w:val="100"/>
          <w:sz w:val="21"/>
          <w:szCs w:val="21"/>
        </w:rPr>
        <w:t>露</w:t>
      </w:r>
      <w:r>
        <w:rPr>
          <w:rFonts w:ascii="宋体" w:hAnsi="宋体" w:cs="宋体" w:eastAsia="宋体" w:hint="default"/>
          <w:w w:val="100"/>
          <w:sz w:val="21"/>
          <w:szCs w:val="21"/>
        </w:rPr>
        <w:t>（</w:t>
      </w:r>
      <w:r>
        <w:rPr>
          <w:rFonts w:ascii="Arial Narrow" w:hAnsi="Arial Narrow" w:cs="Arial Narrow" w:eastAsia="Arial Narrow" w:hint="default"/>
          <w:spacing w:val="-1"/>
          <w:w w:val="100"/>
          <w:sz w:val="21"/>
          <w:szCs w:val="21"/>
        </w:rPr>
        <w:t>201</w:t>
      </w:r>
      <w:r>
        <w:rPr>
          <w:rFonts w:ascii="Arial Narrow" w:hAnsi="Arial Narrow" w:cs="Arial Narrow" w:eastAsia="Arial Narrow" w:hint="default"/>
          <w:w w:val="100"/>
          <w:sz w:val="21"/>
          <w:szCs w:val="21"/>
        </w:rPr>
        <w:t>0</w:t>
      </w:r>
      <w:r>
        <w:rPr>
          <w:rFonts w:ascii="Arial Narrow" w:hAnsi="Arial Narrow" w:cs="Arial Narrow" w:eastAsia="Arial Narrow"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76"/>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证券</w:t>
      </w:r>
      <w:r>
        <w:rPr>
          <w:rFonts w:ascii="宋体" w:hAnsi="宋体" w:cs="宋体" w:eastAsia="宋体" w:hint="default"/>
          <w:spacing w:val="-3"/>
          <w:w w:val="100"/>
          <w:sz w:val="21"/>
          <w:szCs w:val="21"/>
        </w:rPr>
        <w:t>监</w:t>
      </w:r>
      <w:r>
        <w:rPr>
          <w:rFonts w:ascii="宋体" w:hAnsi="宋体" w:cs="宋体" w:eastAsia="宋体" w:hint="default"/>
          <w:w w:val="100"/>
          <w:sz w:val="21"/>
          <w:szCs w:val="21"/>
        </w:rPr>
        <w:t>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Narrow" w:hAnsi="Arial Narrow" w:cs="Arial Narrow" w:eastAsia="Arial Narrow" w:hint="default"/>
          <w:spacing w:val="-3"/>
          <w:w w:val="100"/>
          <w:sz w:val="21"/>
          <w:szCs w:val="21"/>
        </w:rPr>
        <w:t>[2</w:t>
      </w:r>
      <w:r>
        <w:rPr>
          <w:rFonts w:ascii="Arial Narrow" w:hAnsi="Arial Narrow" w:cs="Arial Narrow" w:eastAsia="Arial Narrow" w:hint="default"/>
          <w:w w:val="100"/>
          <w:sz w:val="21"/>
          <w:szCs w:val="21"/>
        </w:rPr>
        <w:t>0</w:t>
      </w:r>
      <w:r>
        <w:rPr>
          <w:rFonts w:ascii="Arial Narrow" w:hAnsi="Arial Narrow" w:cs="Arial Narrow" w:eastAsia="Arial Narrow" w:hint="default"/>
          <w:spacing w:val="-1"/>
          <w:w w:val="100"/>
          <w:sz w:val="21"/>
          <w:szCs w:val="21"/>
        </w:rPr>
        <w:t>10]</w:t>
      </w:r>
      <w:r>
        <w:rPr>
          <w:rFonts w:ascii="Arial Narrow" w:hAnsi="Arial Narrow" w:cs="Arial Narrow" w:eastAsia="Arial Narrow" w:hint="default"/>
          <w:w w:val="100"/>
          <w:sz w:val="21"/>
          <w:szCs w:val="21"/>
        </w:rPr>
        <w:t>2</w:t>
      </w:r>
      <w:r>
        <w:rPr>
          <w:rFonts w:ascii="Arial Narrow" w:hAnsi="Arial Narrow" w:cs="Arial Narrow" w:eastAsia="Arial Narrow" w:hint="default"/>
          <w:spacing w:val="4"/>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spacing w:val="-176"/>
          <w:w w:val="100"/>
          <w:sz w:val="21"/>
          <w:szCs w:val="21"/>
        </w:rPr>
        <w:t>、</w:t>
      </w:r>
      <w:r>
        <w:rPr>
          <w:rFonts w:ascii="宋体" w:hAnsi="宋体" w:cs="宋体" w:eastAsia="宋体" w:hint="default"/>
          <w:w w:val="100"/>
          <w:sz w:val="21"/>
          <w:szCs w:val="21"/>
        </w:rPr>
        <w:t>《公</w:t>
      </w:r>
    </w:p>
    <w:p>
      <w:pPr>
        <w:spacing w:line="338" w:lineRule="auto" w:before="121"/>
        <w:ind w:left="858" w:right="866" w:firstLine="0"/>
        <w:jc w:val="left"/>
        <w:rPr>
          <w:rFonts w:ascii="宋体" w:hAnsi="宋体" w:cs="宋体" w:eastAsia="宋体" w:hint="default"/>
          <w:sz w:val="21"/>
          <w:szCs w:val="21"/>
        </w:rPr>
      </w:pPr>
      <w:r>
        <w:rPr>
          <w:rFonts w:ascii="宋体" w:hAnsi="宋体" w:cs="宋体" w:eastAsia="宋体" w:hint="default"/>
          <w:w w:val="100"/>
          <w:sz w:val="21"/>
          <w:szCs w:val="21"/>
        </w:rPr>
        <w:t>开发</w:t>
      </w:r>
      <w:r>
        <w:rPr>
          <w:rFonts w:ascii="宋体" w:hAnsi="宋体" w:cs="宋体" w:eastAsia="宋体" w:hint="default"/>
          <w:spacing w:val="-3"/>
          <w:w w:val="100"/>
          <w:sz w:val="21"/>
          <w:szCs w:val="21"/>
        </w:rPr>
        <w:t>行</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的</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露解</w:t>
      </w:r>
      <w:r>
        <w:rPr>
          <w:rFonts w:ascii="宋体" w:hAnsi="宋体" w:cs="宋体" w:eastAsia="宋体" w:hint="default"/>
          <w:spacing w:val="-3"/>
          <w:w w:val="100"/>
          <w:sz w:val="21"/>
          <w:szCs w:val="21"/>
        </w:rPr>
        <w:t>释</w:t>
      </w:r>
      <w:r>
        <w:rPr>
          <w:rFonts w:ascii="宋体" w:hAnsi="宋体" w:cs="宋体" w:eastAsia="宋体" w:hint="default"/>
          <w:w w:val="100"/>
          <w:sz w:val="21"/>
          <w:szCs w:val="21"/>
        </w:rPr>
        <w:t>性</w:t>
      </w:r>
      <w:r>
        <w:rPr>
          <w:rFonts w:ascii="宋体" w:hAnsi="宋体" w:cs="宋体" w:eastAsia="宋体" w:hint="default"/>
          <w:spacing w:val="-3"/>
          <w:w w:val="100"/>
          <w:sz w:val="21"/>
          <w:szCs w:val="21"/>
        </w:rPr>
        <w:t>公告</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Arial Narrow" w:hAnsi="Arial Narrow" w:cs="Arial Narrow" w:eastAsia="Arial Narrow" w:hint="default"/>
          <w:w w:val="100"/>
          <w:sz w:val="21"/>
          <w:szCs w:val="21"/>
        </w:rPr>
        <w:t>1</w:t>
      </w:r>
      <w:r>
        <w:rPr>
          <w:rFonts w:ascii="Arial Narrow" w:hAnsi="Arial Narrow" w:cs="Arial Narrow" w:eastAsia="Arial Narrow" w:hint="default"/>
          <w:spacing w:val="4"/>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非经</w:t>
      </w:r>
      <w:r>
        <w:rPr>
          <w:rFonts w:ascii="宋体" w:hAnsi="宋体" w:cs="宋体" w:eastAsia="宋体" w:hint="default"/>
          <w:spacing w:val="-3"/>
          <w:w w:val="100"/>
          <w:sz w:val="21"/>
          <w:szCs w:val="21"/>
        </w:rPr>
        <w:t>常</w:t>
      </w:r>
      <w:r>
        <w:rPr>
          <w:rFonts w:ascii="宋体" w:hAnsi="宋体" w:cs="宋体" w:eastAsia="宋体" w:hint="default"/>
          <w:w w:val="100"/>
          <w:sz w:val="21"/>
          <w:szCs w:val="21"/>
        </w:rPr>
        <w:t>性</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益</w:t>
      </w:r>
      <w:r>
        <w:rPr>
          <w:rFonts w:ascii="宋体" w:hAnsi="宋体" w:cs="宋体" w:eastAsia="宋体" w:hint="default"/>
          <w:spacing w:val="-18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证券</w:t>
      </w:r>
      <w:r>
        <w:rPr>
          <w:rFonts w:ascii="宋体" w:hAnsi="宋体" w:cs="宋体" w:eastAsia="宋体" w:hint="default"/>
          <w:w w:val="100"/>
          <w:sz w:val="21"/>
          <w:szCs w:val="21"/>
        </w:rPr>
        <w:t>监督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w w:val="100"/>
          <w:sz w:val="21"/>
          <w:szCs w:val="21"/>
        </w:rPr>
        <w:t> 会公</w:t>
      </w:r>
      <w:r>
        <w:rPr>
          <w:rFonts w:ascii="宋体" w:hAnsi="宋体" w:cs="宋体" w:eastAsia="宋体" w:hint="default"/>
          <w:spacing w:val="-3"/>
          <w:w w:val="100"/>
          <w:sz w:val="21"/>
          <w:szCs w:val="21"/>
        </w:rPr>
        <w:t>告</w:t>
      </w:r>
      <w:r>
        <w:rPr>
          <w:rFonts w:ascii="Arial Narrow" w:hAnsi="Arial Narrow" w:cs="Arial Narrow" w:eastAsia="Arial Narrow" w:hint="default"/>
          <w:spacing w:val="-1"/>
          <w:w w:val="100"/>
          <w:sz w:val="21"/>
          <w:szCs w:val="21"/>
        </w:rPr>
        <w:t>[2008]</w:t>
      </w:r>
      <w:r>
        <w:rPr>
          <w:rFonts w:ascii="Arial Narrow" w:hAnsi="Arial Narrow" w:cs="Arial Narrow" w:eastAsia="Arial Narrow" w:hint="default"/>
          <w:spacing w:val="-2"/>
          <w:w w:val="100"/>
          <w:sz w:val="21"/>
          <w:szCs w:val="21"/>
        </w:rPr>
        <w:t>4</w:t>
      </w:r>
      <w:r>
        <w:rPr>
          <w:rFonts w:ascii="Arial Narrow" w:hAnsi="Arial Narrow" w:cs="Arial Narrow" w:eastAsia="Arial Narrow" w:hint="default"/>
          <w:w w:val="100"/>
          <w:sz w:val="21"/>
          <w:szCs w:val="21"/>
        </w:rPr>
        <w:t>3</w:t>
      </w:r>
      <w:r>
        <w:rPr>
          <w:rFonts w:ascii="Arial Narrow" w:hAnsi="Arial Narrow" w:cs="Arial Narrow" w:eastAsia="Arial Narrow" w:hint="default"/>
          <w:spacing w:val="2"/>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要</w:t>
      </w:r>
      <w:r>
        <w:rPr>
          <w:rFonts w:ascii="宋体" w:hAnsi="宋体" w:cs="宋体" w:eastAsia="宋体" w:hint="default"/>
          <w:spacing w:val="-3"/>
          <w:w w:val="100"/>
          <w:sz w:val="21"/>
          <w:szCs w:val="21"/>
        </w:rPr>
        <w:t>求</w:t>
      </w:r>
      <w:r>
        <w:rPr>
          <w:rFonts w:ascii="宋体" w:hAnsi="宋体" w:cs="宋体" w:eastAsia="宋体" w:hint="default"/>
          <w:w w:val="100"/>
          <w:sz w:val="21"/>
          <w:szCs w:val="21"/>
        </w:rPr>
        <w:t>计算</w:t>
      </w:r>
      <w:r>
        <w:rPr>
          <w:rFonts w:ascii="宋体" w:hAnsi="宋体" w:cs="宋体" w:eastAsia="宋体" w:hint="default"/>
          <w:spacing w:val="-3"/>
          <w:w w:val="100"/>
          <w:sz w:val="21"/>
          <w:szCs w:val="21"/>
        </w:rPr>
        <w:t>的</w:t>
      </w:r>
      <w:r>
        <w:rPr>
          <w:rFonts w:ascii="宋体" w:hAnsi="宋体" w:cs="宋体" w:eastAsia="宋体" w:hint="default"/>
          <w:w w:val="100"/>
          <w:sz w:val="21"/>
          <w:szCs w:val="21"/>
        </w:rPr>
        <w:t>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率</w:t>
      </w:r>
      <w:r>
        <w:rPr>
          <w:rFonts w:ascii="宋体" w:hAnsi="宋体" w:cs="宋体" w:eastAsia="宋体" w:hint="default"/>
          <w:w w:val="100"/>
          <w:sz w:val="21"/>
          <w:szCs w:val="21"/>
        </w:rPr>
        <w:t>和</w:t>
      </w:r>
      <w:r>
        <w:rPr>
          <w:rFonts w:ascii="宋体" w:hAnsi="宋体" w:cs="宋体" w:eastAsia="宋体" w:hint="default"/>
          <w:spacing w:val="-3"/>
          <w:w w:val="100"/>
          <w:sz w:val="21"/>
          <w:szCs w:val="21"/>
        </w:rPr>
        <w:t>每</w:t>
      </w:r>
      <w:r>
        <w:rPr>
          <w:rFonts w:ascii="宋体" w:hAnsi="宋体" w:cs="宋体" w:eastAsia="宋体" w:hint="default"/>
          <w:w w:val="100"/>
          <w:sz w:val="21"/>
          <w:szCs w:val="21"/>
        </w:rPr>
        <w:t>股收</w:t>
      </w:r>
      <w:r>
        <w:rPr>
          <w:rFonts w:ascii="宋体" w:hAnsi="宋体" w:cs="宋体" w:eastAsia="宋体" w:hint="default"/>
          <w:spacing w:val="-2"/>
          <w:w w:val="100"/>
          <w:sz w:val="21"/>
          <w:szCs w:val="21"/>
        </w:rPr>
        <w:t>益</w:t>
      </w:r>
      <w:r>
        <w:rPr>
          <w:rFonts w:ascii="宋体" w:hAnsi="宋体" w:cs="宋体" w:eastAsia="宋体" w:hint="default"/>
          <w:w w:val="100"/>
          <w:sz w:val="21"/>
          <w:szCs w:val="21"/>
        </w:rPr>
        <w:t>如</w:t>
      </w:r>
      <w:r>
        <w:rPr>
          <w:rFonts w:ascii="宋体" w:hAnsi="宋体" w:cs="宋体" w:eastAsia="宋体" w:hint="default"/>
          <w:spacing w:val="-3"/>
          <w:w w:val="100"/>
          <w:sz w:val="21"/>
          <w:szCs w:val="21"/>
        </w:rPr>
        <w:t>下</w:t>
      </w:r>
      <w:r>
        <w:rPr>
          <w:rFonts w:ascii="宋体" w:hAnsi="宋体" w:cs="宋体" w:eastAsia="宋体" w:hint="default"/>
          <w:w w:val="100"/>
          <w:sz w:val="21"/>
          <w:szCs w:val="21"/>
        </w:rPr>
        <w:t>：</w:t>
      </w:r>
    </w:p>
    <w:p>
      <w:pPr>
        <w:spacing w:line="240" w:lineRule="auto" w:before="3"/>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5118"/>
        <w:gridCol w:w="1517"/>
        <w:gridCol w:w="1611"/>
        <w:gridCol w:w="1510"/>
      </w:tblGrid>
      <w:tr>
        <w:trPr>
          <w:trHeight w:val="362" w:hRule="exact"/>
        </w:trPr>
        <w:tc>
          <w:tcPr>
            <w:tcW w:w="511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63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0"/>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r>
      <w:tr>
        <w:trPr>
          <w:trHeight w:val="356" w:hRule="exact"/>
        </w:trPr>
        <w:tc>
          <w:tcPr>
            <w:tcW w:w="5118" w:type="dxa"/>
            <w:vMerge/>
            <w:tcBorders>
              <w:left w:val="nil" w:sz="6" w:space="0" w:color="auto"/>
              <w:right w:val="single" w:sz="6" w:space="0" w:color="000000"/>
            </w:tcBorders>
          </w:tcPr>
          <w:p>
            <w:pPr/>
          </w:p>
        </w:tc>
        <w:tc>
          <w:tcPr>
            <w:tcW w:w="1517" w:type="dxa"/>
            <w:vMerge w:val="restart"/>
            <w:tcBorders>
              <w:top w:val="single" w:sz="6" w:space="0" w:color="000000"/>
              <w:left w:val="single" w:sz="6" w:space="0" w:color="000000"/>
              <w:right w:val="single" w:sz="6" w:space="0" w:color="000000"/>
            </w:tcBorders>
          </w:tcPr>
          <w:p>
            <w:pPr>
              <w:pStyle w:val="TableParagraph"/>
              <w:spacing w:line="272" w:lineRule="exact" w:before="70"/>
              <w:ind w:left="329" w:right="117" w:hanging="209"/>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3121"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5" w:hRule="exact"/>
        </w:trPr>
        <w:tc>
          <w:tcPr>
            <w:tcW w:w="5118" w:type="dxa"/>
            <w:vMerge/>
            <w:tcBorders>
              <w:left w:val="nil" w:sz="6" w:space="0" w:color="auto"/>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55" w:hRule="exact"/>
        </w:trPr>
        <w:tc>
          <w:tcPr>
            <w:tcW w:w="511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2"/>
                <w:sz w:val="21"/>
              </w:rPr>
              <w:t>9.08%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0.2590</w:t>
            </w:r>
            <w:r>
              <w:rPr>
                <w:rFonts w:ascii="Arial Narrow"/>
                <w:sz w:val="21"/>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1"/>
              <w:jc w:val="right"/>
              <w:rPr>
                <w:rFonts w:ascii="Arial Narrow" w:hAnsi="Arial Narrow" w:cs="Arial Narrow" w:eastAsia="Arial Narrow" w:hint="default"/>
                <w:sz w:val="21"/>
                <w:szCs w:val="21"/>
              </w:rPr>
            </w:pPr>
            <w:r>
              <w:rPr>
                <w:rFonts w:ascii="Arial Narrow"/>
                <w:spacing w:val="-1"/>
                <w:sz w:val="21"/>
              </w:rPr>
              <w:t>0.2590</w:t>
            </w:r>
            <w:r>
              <w:rPr>
                <w:rFonts w:ascii="Arial Narrow"/>
                <w:sz w:val="21"/>
              </w:rPr>
            </w:r>
          </w:p>
        </w:tc>
      </w:tr>
      <w:tr>
        <w:trPr>
          <w:trHeight w:val="362" w:hRule="exact"/>
        </w:trPr>
        <w:tc>
          <w:tcPr>
            <w:tcW w:w="511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2"/>
                <w:sz w:val="21"/>
              </w:rPr>
              <w:t>8.25%</w:t>
            </w:r>
          </w:p>
        </w:tc>
        <w:tc>
          <w:tcPr>
            <w:tcW w:w="1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0.2354</w:t>
            </w:r>
            <w:r>
              <w:rPr>
                <w:rFonts w:ascii="Arial Narrow"/>
                <w:sz w:val="21"/>
              </w:rPr>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1"/>
              <w:jc w:val="right"/>
              <w:rPr>
                <w:rFonts w:ascii="Arial Narrow" w:hAnsi="Arial Narrow" w:cs="Arial Narrow" w:eastAsia="Arial Narrow" w:hint="default"/>
                <w:sz w:val="21"/>
                <w:szCs w:val="21"/>
              </w:rPr>
            </w:pPr>
            <w:r>
              <w:rPr>
                <w:rFonts w:ascii="Arial Narrow"/>
                <w:spacing w:val="-1"/>
                <w:sz w:val="21"/>
              </w:rPr>
              <w:t>0.2354</w:t>
            </w:r>
            <w:r>
              <w:rPr>
                <w:rFonts w:ascii="Arial Narrow"/>
                <w:sz w:val="21"/>
              </w:rPr>
            </w:r>
          </w:p>
        </w:tc>
      </w:tr>
    </w:tbl>
    <w:p>
      <w:pPr>
        <w:spacing w:line="240" w:lineRule="auto" w:before="7"/>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5139"/>
        <w:gridCol w:w="1469"/>
        <w:gridCol w:w="1611"/>
        <w:gridCol w:w="1565"/>
      </w:tblGrid>
      <w:tr>
        <w:trPr>
          <w:trHeight w:val="362" w:hRule="exact"/>
        </w:trPr>
        <w:tc>
          <w:tcPr>
            <w:tcW w:w="5139"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645"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355" w:hRule="exact"/>
        </w:trPr>
        <w:tc>
          <w:tcPr>
            <w:tcW w:w="5139" w:type="dxa"/>
            <w:vMerge/>
            <w:tcBorders>
              <w:left w:val="nil" w:sz="6" w:space="0" w:color="auto"/>
              <w:right w:val="single" w:sz="6" w:space="0" w:color="000000"/>
            </w:tcBorders>
          </w:tcPr>
          <w:p>
            <w:pPr/>
          </w:p>
        </w:tc>
        <w:tc>
          <w:tcPr>
            <w:tcW w:w="1469" w:type="dxa"/>
            <w:vMerge w:val="restart"/>
            <w:tcBorders>
              <w:top w:val="single" w:sz="6" w:space="0" w:color="000000"/>
              <w:left w:val="single" w:sz="6" w:space="0" w:color="000000"/>
              <w:right w:val="single" w:sz="6" w:space="0" w:color="000000"/>
            </w:tcBorders>
          </w:tcPr>
          <w:p>
            <w:pPr>
              <w:pStyle w:val="TableParagraph"/>
              <w:spacing w:line="240" w:lineRule="auto" w:before="40"/>
              <w:ind w:left="199" w:right="199"/>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3176"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5" w:hRule="exact"/>
        </w:trPr>
        <w:tc>
          <w:tcPr>
            <w:tcW w:w="5139" w:type="dxa"/>
            <w:vMerge/>
            <w:tcBorders>
              <w:left w:val="nil" w:sz="6" w:space="0" w:color="auto"/>
              <w:bottom w:val="single" w:sz="6" w:space="0" w:color="000000"/>
              <w:right w:val="single" w:sz="6" w:space="0" w:color="000000"/>
            </w:tcBorders>
          </w:tcPr>
          <w:p>
            <w:pPr/>
          </w:p>
        </w:tc>
        <w:tc>
          <w:tcPr>
            <w:tcW w:w="1469" w:type="dxa"/>
            <w:vMerge/>
            <w:tcBorders>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6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470" w:hRule="exact"/>
        </w:trPr>
        <w:tc>
          <w:tcPr>
            <w:tcW w:w="51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2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0"/>
              <w:jc w:val="right"/>
              <w:rPr>
                <w:rFonts w:ascii="Arial Narrow" w:hAnsi="Arial Narrow" w:cs="Arial Narrow" w:eastAsia="Arial Narrow" w:hint="default"/>
                <w:sz w:val="21"/>
                <w:szCs w:val="21"/>
              </w:rPr>
            </w:pPr>
            <w:r>
              <w:rPr>
                <w:rFonts w:ascii="Arial Narrow"/>
                <w:spacing w:val="-1"/>
                <w:sz w:val="21"/>
              </w:rPr>
              <w:t>14.99%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Arial Narrow" w:hAnsi="Arial Narrow" w:cs="Arial Narrow" w:eastAsia="Arial Narrow" w:hint="default"/>
                <w:sz w:val="21"/>
                <w:szCs w:val="21"/>
              </w:rPr>
            </w:pPr>
            <w:r>
              <w:rPr>
                <w:rFonts w:ascii="Arial Narrow"/>
                <w:spacing w:val="-1"/>
                <w:sz w:val="21"/>
              </w:rPr>
              <w:t>0.2845</w:t>
            </w:r>
            <w:r>
              <w:rPr>
                <w:rFonts w:ascii="Arial Narrow"/>
                <w:sz w:val="21"/>
              </w:rPr>
            </w:r>
          </w:p>
        </w:tc>
        <w:tc>
          <w:tcPr>
            <w:tcW w:w="1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05"/>
              <w:jc w:val="right"/>
              <w:rPr>
                <w:rFonts w:ascii="Arial Narrow" w:hAnsi="Arial Narrow" w:cs="Arial Narrow" w:eastAsia="Arial Narrow" w:hint="default"/>
                <w:sz w:val="21"/>
                <w:szCs w:val="21"/>
              </w:rPr>
            </w:pPr>
            <w:r>
              <w:rPr>
                <w:rFonts w:ascii="Arial Narrow"/>
                <w:spacing w:val="-1"/>
                <w:sz w:val="21"/>
              </w:rPr>
              <w:t>0.2845</w:t>
            </w:r>
          </w:p>
        </w:tc>
      </w:tr>
      <w:tr>
        <w:trPr>
          <w:trHeight w:val="365" w:hRule="exact"/>
        </w:trPr>
        <w:tc>
          <w:tcPr>
            <w:tcW w:w="513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14.32%</w:t>
            </w:r>
          </w:p>
        </w:tc>
        <w:tc>
          <w:tcPr>
            <w:tcW w:w="1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0.2718</w:t>
            </w:r>
            <w:r>
              <w:rPr>
                <w:rFonts w:ascii="Arial Narrow"/>
                <w:sz w:val="21"/>
              </w:rPr>
            </w:r>
          </w:p>
        </w:tc>
        <w:tc>
          <w:tcPr>
            <w:tcW w:w="15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6"/>
              <w:jc w:val="right"/>
              <w:rPr>
                <w:rFonts w:ascii="Arial Narrow" w:hAnsi="Arial Narrow" w:cs="Arial Narrow" w:eastAsia="Arial Narrow" w:hint="default"/>
                <w:sz w:val="21"/>
                <w:szCs w:val="21"/>
              </w:rPr>
            </w:pPr>
            <w:r>
              <w:rPr>
                <w:rFonts w:ascii="Arial Narrow"/>
                <w:spacing w:val="-1"/>
                <w:sz w:val="21"/>
              </w:rPr>
              <w:t>0.2718</w:t>
            </w:r>
            <w:r>
              <w:rPr>
                <w:rFonts w:ascii="Arial Narrow"/>
                <w:sz w:val="21"/>
              </w:rPr>
            </w:r>
          </w:p>
        </w:tc>
      </w:tr>
    </w:tbl>
    <w:p>
      <w:pPr>
        <w:spacing w:line="240" w:lineRule="auto" w:before="4"/>
        <w:rPr>
          <w:rFonts w:ascii="宋体" w:hAnsi="宋体" w:cs="宋体" w:eastAsia="宋体" w:hint="default"/>
          <w:sz w:val="13"/>
          <w:szCs w:val="13"/>
        </w:rPr>
      </w:pPr>
    </w:p>
    <w:p>
      <w:pPr>
        <w:pStyle w:val="BodyText"/>
        <w:spacing w:line="240" w:lineRule="auto" w:before="26"/>
        <w:ind w:left="1218" w:right="863"/>
        <w:jc w:val="left"/>
        <w:rPr>
          <w:rFonts w:ascii="黑体" w:hAnsi="黑体" w:cs="黑体" w:eastAsia="黑体" w:hint="default"/>
        </w:rPr>
      </w:pPr>
      <w:r>
        <w:rPr>
          <w:rFonts w:ascii="黑体" w:hAnsi="黑体" w:cs="黑体" w:eastAsia="黑体" w:hint="default"/>
        </w:rPr>
        <w:t>十四、财务报表的批准</w:t>
      </w:r>
    </w:p>
    <w:p>
      <w:pPr>
        <w:spacing w:line="240" w:lineRule="auto" w:before="3"/>
        <w:rPr>
          <w:rFonts w:ascii="黑体" w:hAnsi="黑体" w:cs="黑体" w:eastAsia="黑体" w:hint="default"/>
          <w:sz w:val="21"/>
          <w:szCs w:val="21"/>
        </w:rPr>
      </w:pPr>
    </w:p>
    <w:p>
      <w:pPr>
        <w:spacing w:line="331" w:lineRule="auto" w:before="0"/>
        <w:ind w:left="1278" w:right="863" w:firstLine="0"/>
        <w:jc w:val="left"/>
        <w:rPr>
          <w:rFonts w:ascii="宋体" w:hAnsi="宋体" w:cs="宋体" w:eastAsia="宋体" w:hint="default"/>
          <w:sz w:val="21"/>
          <w:szCs w:val="21"/>
        </w:rPr>
      </w:pPr>
      <w:r>
        <w:rPr>
          <w:rFonts w:ascii="宋体" w:hAnsi="宋体" w:cs="宋体" w:eastAsia="宋体" w:hint="default"/>
          <w:spacing w:val="-2"/>
          <w:sz w:val="21"/>
          <w:szCs w:val="21"/>
        </w:rPr>
        <w:t>本财务报表业经本公司董事会于</w:t>
      </w:r>
      <w:r>
        <w:rPr>
          <w:rFonts w:ascii="Arial Narrow" w:hAnsi="Arial Narrow" w:cs="Arial Narrow" w:eastAsia="Arial Narrow" w:hint="default"/>
          <w:spacing w:val="-2"/>
          <w:sz w:val="21"/>
          <w:szCs w:val="21"/>
        </w:rPr>
        <w:t>2011</w:t>
      </w:r>
      <w:r>
        <w:rPr>
          <w:rFonts w:ascii="宋体" w:hAnsi="宋体" w:cs="宋体" w:eastAsia="宋体" w:hint="default"/>
          <w:spacing w:val="-2"/>
          <w:sz w:val="21"/>
          <w:szCs w:val="21"/>
        </w:rPr>
        <w:t>年</w:t>
      </w:r>
      <w:r>
        <w:rPr>
          <w:rFonts w:ascii="Arial Narrow" w:hAnsi="Arial Narrow" w:cs="Arial Narrow" w:eastAsia="Arial Narrow" w:hint="default"/>
          <w:spacing w:val="-2"/>
          <w:sz w:val="21"/>
          <w:szCs w:val="21"/>
        </w:rPr>
        <w:t>3</w:t>
      </w:r>
      <w:r>
        <w:rPr>
          <w:rFonts w:ascii="宋体" w:hAnsi="宋体" w:cs="宋体" w:eastAsia="宋体" w:hint="default"/>
          <w:spacing w:val="-2"/>
          <w:sz w:val="21"/>
          <w:szCs w:val="21"/>
        </w:rPr>
        <w:t>月</w:t>
      </w:r>
      <w:r>
        <w:rPr>
          <w:rFonts w:ascii="Arial Narrow" w:hAnsi="Arial Narrow" w:cs="Arial Narrow" w:eastAsia="Arial Narrow" w:hint="default"/>
          <w:spacing w:val="-2"/>
          <w:sz w:val="21"/>
          <w:szCs w:val="21"/>
        </w:rPr>
        <w:t>29</w:t>
      </w:r>
      <w:r>
        <w:rPr>
          <w:rFonts w:ascii="宋体" w:hAnsi="宋体" w:cs="宋体" w:eastAsia="宋体" w:hint="default"/>
          <w:spacing w:val="-2"/>
          <w:sz w:val="21"/>
          <w:szCs w:val="21"/>
        </w:rPr>
        <w:t>日决议批准。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根据本公司章程，本财务报表将提交股东大会审议。</w:t>
      </w:r>
    </w:p>
    <w:p>
      <w:pPr>
        <w:spacing w:line="240" w:lineRule="auto" w:before="0"/>
        <w:rPr>
          <w:rFonts w:ascii="宋体" w:hAnsi="宋体" w:cs="宋体" w:eastAsia="宋体" w:hint="default"/>
          <w:sz w:val="20"/>
          <w:szCs w:val="20"/>
        </w:rPr>
      </w:pPr>
    </w:p>
    <w:p>
      <w:pPr>
        <w:tabs>
          <w:tab w:pos="3488" w:val="left" w:leader="none"/>
          <w:tab w:pos="7067" w:val="left" w:leader="none"/>
        </w:tabs>
        <w:spacing w:before="154"/>
        <w:ind w:left="8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法定代表人：束龙胜</w:t>
        <w:tab/>
        <w:t>主管会计工作的负责人：陶黎明</w:t>
        <w:tab/>
        <w:t>会计机构负责人：杨勇</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0" w:right="2002" w:firstLine="0"/>
        <w:jc w:val="right"/>
        <w:rPr>
          <w:rFonts w:ascii="宋体" w:hAnsi="宋体" w:cs="宋体" w:eastAsia="宋体" w:hint="default"/>
          <w:sz w:val="21"/>
          <w:szCs w:val="21"/>
        </w:rPr>
      </w:pPr>
      <w:r>
        <w:rPr>
          <w:rFonts w:ascii="Arial Narrow" w:hAnsi="Arial Narrow" w:cs="Arial Narrow" w:eastAsia="Arial Narrow" w:hint="default"/>
          <w:b/>
          <w:bCs/>
          <w:spacing w:val="-2"/>
          <w:sz w:val="21"/>
          <w:szCs w:val="21"/>
        </w:rPr>
        <w:t>2011</w:t>
      </w:r>
      <w:r>
        <w:rPr>
          <w:rFonts w:ascii="宋体" w:hAnsi="宋体" w:cs="宋体" w:eastAsia="宋体" w:hint="default"/>
          <w:b/>
          <w:bCs/>
          <w:spacing w:val="-2"/>
          <w:sz w:val="21"/>
          <w:szCs w:val="21"/>
        </w:rPr>
        <w:t>年</w:t>
      </w:r>
      <w:r>
        <w:rPr>
          <w:rFonts w:ascii="Arial Narrow" w:hAnsi="Arial Narrow" w:cs="Arial Narrow" w:eastAsia="Arial Narrow" w:hint="default"/>
          <w:b/>
          <w:bCs/>
          <w:spacing w:val="-2"/>
          <w:sz w:val="21"/>
          <w:szCs w:val="21"/>
        </w:rPr>
        <w:t>3</w:t>
      </w:r>
      <w:r>
        <w:rPr>
          <w:rFonts w:ascii="宋体" w:hAnsi="宋体" w:cs="宋体" w:eastAsia="宋体" w:hint="default"/>
          <w:b/>
          <w:bCs/>
          <w:spacing w:val="-2"/>
          <w:sz w:val="21"/>
          <w:szCs w:val="21"/>
        </w:rPr>
        <w:t>月</w:t>
      </w:r>
      <w:r>
        <w:rPr>
          <w:rFonts w:ascii="Arial Narrow" w:hAnsi="Arial Narrow" w:cs="Arial Narrow" w:eastAsia="Arial Narrow" w:hint="default"/>
          <w:b/>
          <w:bCs/>
          <w:spacing w:val="-2"/>
          <w:sz w:val="21"/>
          <w:szCs w:val="21"/>
        </w:rPr>
        <w:t>29</w:t>
      </w:r>
      <w:r>
        <w:rPr>
          <w:rFonts w:ascii="宋体" w:hAnsi="宋体" w:cs="宋体" w:eastAsia="宋体" w:hint="default"/>
          <w:b/>
          <w:bCs/>
          <w:spacing w:val="-2"/>
          <w:sz w:val="21"/>
          <w:szCs w:val="21"/>
        </w:rPr>
        <w:t>日</w:t>
      </w:r>
      <w:r>
        <w:rPr>
          <w:rFonts w:ascii="宋体" w:hAnsi="宋体" w:cs="宋体" w:eastAsia="宋体" w:hint="default"/>
          <w:spacing w:val="-2"/>
          <w:sz w:val="21"/>
          <w:szCs w:val="21"/>
        </w:rPr>
      </w:r>
    </w:p>
    <w:p>
      <w:pPr>
        <w:spacing w:after="0"/>
        <w:jc w:val="right"/>
        <w:rPr>
          <w:rFonts w:ascii="宋体" w:hAnsi="宋体" w:cs="宋体" w:eastAsia="宋体" w:hint="default"/>
          <w:sz w:val="21"/>
          <w:szCs w:val="21"/>
        </w:rPr>
        <w:sectPr>
          <w:pgSz w:w="11910" w:h="16840"/>
          <w:pgMar w:header="816" w:footer="858" w:top="1160" w:bottom="1040" w:left="940" w:right="920"/>
        </w:sectPr>
      </w:pPr>
    </w:p>
    <w:p>
      <w:pPr>
        <w:spacing w:line="240" w:lineRule="auto" w:before="8"/>
        <w:rPr>
          <w:rFonts w:ascii="宋体" w:hAnsi="宋体" w:cs="宋体" w:eastAsia="宋体" w:hint="default"/>
          <w:b/>
          <w:bCs/>
          <w:sz w:val="15"/>
          <w:szCs w:val="15"/>
        </w:rPr>
      </w:pPr>
    </w:p>
    <w:p>
      <w:pPr>
        <w:pStyle w:val="Heading1"/>
        <w:tabs>
          <w:tab w:pos="3846" w:val="left" w:leader="none"/>
        </w:tabs>
        <w:spacing w:line="240" w:lineRule="auto"/>
        <w:ind w:left="2241" w:right="0"/>
        <w:jc w:val="left"/>
        <w:rPr>
          <w:rFonts w:ascii="宋体" w:hAnsi="宋体" w:cs="宋体" w:eastAsia="宋体" w:hint="default"/>
          <w:b w:val="0"/>
          <w:bCs w:val="0"/>
        </w:rPr>
      </w:pPr>
      <w:bookmarkStart w:name="_TOC_250000" w:id="10"/>
      <w:r>
        <w:rPr>
          <w:rFonts w:ascii="宋体" w:hAnsi="宋体" w:cs="宋体" w:eastAsia="宋体" w:hint="default"/>
          <w:w w:val="95"/>
        </w:rPr>
        <w:t>第十一节</w:t>
        <w:tab/>
      </w:r>
      <w:r>
        <w:rPr>
          <w:rFonts w:ascii="宋体" w:hAnsi="宋体" w:cs="宋体" w:eastAsia="宋体" w:hint="default"/>
        </w:rPr>
        <w:t>备查文件目录</w:t>
      </w:r>
      <w:bookmarkEnd w:id="10"/>
      <w:r>
        <w:rPr>
          <w:rFonts w:ascii="宋体" w:hAnsi="宋体" w:cs="宋体" w:eastAsia="宋体" w:hint="default"/>
          <w:b w:val="0"/>
          <w:bCs w:val="0"/>
        </w:rPr>
      </w:r>
    </w:p>
    <w:p>
      <w:pPr>
        <w:spacing w:line="240" w:lineRule="auto" w:before="11"/>
        <w:rPr>
          <w:rFonts w:ascii="宋体" w:hAnsi="宋体" w:cs="宋体" w:eastAsia="宋体" w:hint="default"/>
          <w:b/>
          <w:bCs/>
          <w:sz w:val="28"/>
          <w:szCs w:val="28"/>
        </w:rPr>
      </w:pPr>
    </w:p>
    <w:p>
      <w:pPr>
        <w:pStyle w:val="Heading4"/>
        <w:spacing w:line="367" w:lineRule="auto" w:before="0"/>
        <w:ind w:right="144"/>
        <w:jc w:val="left"/>
      </w:pPr>
      <w:r>
        <w:rPr>
          <w:rFonts w:ascii="宋体" w:hAnsi="宋体" w:cs="宋体" w:eastAsia="宋体" w:hint="default"/>
          <w:spacing w:val="-5"/>
        </w:rPr>
        <w:t>1</w:t>
      </w:r>
      <w:r>
        <w:rPr>
          <w:spacing w:val="-5"/>
        </w:rPr>
        <w:t>、载有公司全体董事、高级管理人员签名确认的</w:t>
      </w:r>
      <w:r>
        <w:rPr>
          <w:spacing w:val="-64"/>
        </w:rPr>
        <w:t> </w:t>
      </w:r>
      <w:r>
        <w:rPr>
          <w:rFonts w:ascii="宋体" w:hAnsi="宋体" w:cs="宋体" w:eastAsia="宋体" w:hint="default"/>
        </w:rPr>
        <w:t>2010</w:t>
      </w:r>
      <w:r>
        <w:rPr>
          <w:rFonts w:ascii="宋体" w:hAnsi="宋体" w:cs="宋体" w:eastAsia="宋体" w:hint="default"/>
          <w:spacing w:val="-61"/>
        </w:rPr>
        <w:t> </w:t>
      </w:r>
      <w:r>
        <w:rPr/>
        <w:t>年度报告</w:t>
      </w:r>
      <w:r>
        <w:rPr>
          <w:w w:val="100"/>
        </w:rPr>
        <w:t> </w:t>
      </w:r>
      <w:r>
        <w:rPr/>
        <w:t>正本。</w:t>
      </w:r>
    </w:p>
    <w:p>
      <w:pPr>
        <w:pStyle w:val="Heading4"/>
        <w:spacing w:line="367" w:lineRule="auto"/>
        <w:ind w:right="0"/>
        <w:jc w:val="left"/>
      </w:pPr>
      <w:r>
        <w:rPr>
          <w:rFonts w:ascii="宋体" w:hAnsi="宋体" w:cs="宋体" w:eastAsia="宋体" w:hint="default"/>
        </w:rPr>
        <w:t>2</w:t>
      </w:r>
      <w:r>
        <w:rPr/>
        <w:t>、载有公司法定代表人束龙胜先生、公司财务负责人陶黎明先</w:t>
      </w:r>
      <w:r>
        <w:rPr>
          <w:w w:val="100"/>
        </w:rPr>
        <w:t> </w:t>
      </w:r>
      <w:r>
        <w:rPr/>
        <w:t>生及会计机构负责人杨勇先生签名并盖章的会计报表。</w:t>
      </w:r>
    </w:p>
    <w:p>
      <w:pPr>
        <w:pStyle w:val="Heading4"/>
        <w:spacing w:line="367" w:lineRule="auto" w:before="46"/>
        <w:ind w:right="0"/>
        <w:jc w:val="left"/>
      </w:pPr>
      <w:r>
        <w:rPr>
          <w:rFonts w:ascii="宋体" w:hAnsi="宋体" w:cs="宋体" w:eastAsia="宋体" w:hint="default"/>
        </w:rPr>
        <w:t>3</w:t>
      </w:r>
      <w:r>
        <w:rPr/>
        <w:t>、载有天健正信会计师事务所盖章、注册会计师吴琳、李静签</w:t>
      </w:r>
      <w:r>
        <w:rPr>
          <w:w w:val="100"/>
        </w:rPr>
        <w:t> </w:t>
      </w:r>
      <w:r>
        <w:rPr/>
        <w:t>名并盖章的公司</w:t>
      </w:r>
      <w:r>
        <w:rPr>
          <w:spacing w:val="-74"/>
        </w:rPr>
        <w:t> </w:t>
      </w:r>
      <w:r>
        <w:rPr>
          <w:rFonts w:ascii="宋体" w:hAnsi="宋体" w:cs="宋体" w:eastAsia="宋体" w:hint="default"/>
        </w:rPr>
        <w:t>2010</w:t>
      </w:r>
      <w:r>
        <w:rPr>
          <w:rFonts w:ascii="宋体" w:hAnsi="宋体" w:cs="宋体" w:eastAsia="宋体" w:hint="default"/>
          <w:spacing w:val="-71"/>
        </w:rPr>
        <w:t> </w:t>
      </w:r>
      <w:r>
        <w:rPr/>
        <w:t>年度审计报告原件。</w:t>
      </w:r>
    </w:p>
    <w:p>
      <w:pPr>
        <w:pStyle w:val="Heading4"/>
        <w:spacing w:line="367" w:lineRule="auto" w:before="45"/>
        <w:ind w:right="0"/>
        <w:jc w:val="left"/>
      </w:pPr>
      <w:r>
        <w:rPr>
          <w:rFonts w:ascii="宋体" w:hAnsi="宋体" w:cs="宋体" w:eastAsia="宋体" w:hint="default"/>
        </w:rPr>
        <w:t>4</w:t>
      </w:r>
      <w:r>
        <w:rPr/>
        <w:t>、报告期内在中国证监会指定报纸上公开披露过的所有公司文</w:t>
      </w:r>
      <w:r>
        <w:rPr>
          <w:w w:val="100"/>
        </w:rPr>
        <w:t> </w:t>
      </w:r>
      <w:r>
        <w:rPr/>
        <w:t>件的正本及公告的原稿。</w:t>
      </w:r>
    </w:p>
    <w:p>
      <w:pPr>
        <w:pStyle w:val="Heading4"/>
        <w:spacing w:line="240" w:lineRule="auto"/>
        <w:ind w:left="697" w:right="0" w:firstLine="0"/>
        <w:jc w:val="left"/>
      </w:pPr>
      <w:r>
        <w:rPr>
          <w:rFonts w:ascii="宋体" w:hAnsi="宋体" w:cs="宋体" w:eastAsia="宋体" w:hint="default"/>
        </w:rPr>
        <w:t>5</w:t>
      </w:r>
      <w:r>
        <w:rPr/>
        <w:t>、备查文件备置地点：董事会办公室。</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4"/>
        <w:spacing w:line="357" w:lineRule="auto" w:before="199"/>
        <w:ind w:left="4257" w:right="981" w:firstLine="223"/>
        <w:jc w:val="left"/>
      </w:pPr>
      <w:r>
        <w:rPr/>
        <w:t>法定代表人：束龙胜</w:t>
      </w:r>
      <w:r>
        <w:rPr>
          <w:w w:val="100"/>
        </w:rPr>
        <w:t> </w:t>
      </w:r>
      <w:r>
        <w:rPr>
          <w:spacing w:val="-1"/>
        </w:rPr>
        <w:t>安徽鑫龙电器股份有限公司</w:t>
      </w:r>
    </w:p>
    <w:p>
      <w:pPr>
        <w:pStyle w:val="Heading4"/>
        <w:spacing w:line="240" w:lineRule="auto" w:before="41"/>
        <w:ind w:left="4900" w:right="0" w:firstLine="0"/>
        <w:jc w:val="left"/>
      </w:pPr>
      <w:r>
        <w:rPr>
          <w:rFonts w:ascii="宋体" w:hAnsi="宋体" w:cs="宋体" w:eastAsia="宋体" w:hint="default"/>
        </w:rPr>
        <w:t>2011</w:t>
      </w:r>
      <w:r>
        <w:rPr>
          <w:rFonts w:ascii="宋体" w:hAnsi="宋体" w:cs="宋体" w:eastAsia="宋体" w:hint="default"/>
          <w:spacing w:val="-71"/>
        </w:rPr>
        <w:t> </w:t>
      </w:r>
      <w:r>
        <w:rPr/>
        <w:t>年</w:t>
      </w:r>
      <w:r>
        <w:rPr>
          <w:spacing w:val="-70"/>
        </w:rPr>
        <w:t> </w:t>
      </w:r>
      <w:r>
        <w:rPr>
          <w:rFonts w:ascii="宋体" w:hAnsi="宋体" w:cs="宋体" w:eastAsia="宋体" w:hint="default"/>
        </w:rPr>
        <w:t>3</w:t>
      </w:r>
      <w:r>
        <w:rPr>
          <w:rFonts w:ascii="宋体" w:hAnsi="宋体" w:cs="宋体" w:eastAsia="宋体" w:hint="default"/>
          <w:spacing w:val="-69"/>
        </w:rPr>
        <w:t> </w:t>
      </w:r>
      <w:r>
        <w:rPr/>
        <w:t>月</w:t>
      </w:r>
      <w:r>
        <w:rPr>
          <w:spacing w:val="-72"/>
        </w:rPr>
        <w:t> </w:t>
      </w:r>
      <w:r>
        <w:rPr>
          <w:rFonts w:ascii="宋体" w:hAnsi="宋体" w:cs="宋体" w:eastAsia="宋体" w:hint="default"/>
        </w:rPr>
        <w:t>29</w:t>
      </w:r>
      <w:r>
        <w:rPr>
          <w:rFonts w:ascii="宋体" w:hAnsi="宋体" w:cs="宋体" w:eastAsia="宋体" w:hint="default"/>
          <w:spacing w:val="-71"/>
        </w:rPr>
        <w:t> </w:t>
      </w:r>
      <w:r>
        <w:rPr/>
        <w:t>日</w:t>
      </w:r>
    </w:p>
    <w:sectPr>
      <w:pgSz w:w="11910" w:h="16840"/>
      <w:pgMar w:header="816" w:footer="858" w:top="1160" w:bottom="104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 w:name="华文楷体">
    <w:altName w:val="华文楷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08344" type="#_x0000_t75" stroked="false">
          <v:imagedata r:id="rId1" o:title=""/>
        </v:shape>
      </w:pict>
    </w:r>
    <w:r>
      <w:rPr/>
      <w:pict>
        <v:shapetype id="_x0000_t202" o:spt="202" coordsize="21600,21600" path="m,l,21600r21600,l21600,xe">
          <v:stroke joinstyle="miter"/>
          <v:path gradientshapeok="t" o:connecttype="rect"/>
        </v:shapetype>
        <v:shape style="position:absolute;margin-left:258.369995pt;margin-top:788.041626pt;width:78.7pt;height:11pt;mso-position-horizontal-relative:page;mso-position-vertical-relative:page;z-index:-608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122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08152" type="#_x0000_t75" stroked="false">
          <v:imagedata r:id="rId1" o:title=""/>
        </v:shape>
      </w:pict>
    </w:r>
    <w:r>
      <w:rPr/>
      <w:pict>
        <v:shape style="position:absolute;margin-left:370.450012pt;margin-top:541.44165pt;width:83.15pt;height:11pt;mso-position-horizontal-relative:page;mso-position-vertical-relative:page;z-index:-608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73</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122</w:t>
                </w:r>
                <w:r>
                  <w:rPr>
                    <w:rFonts w:ascii="宋体" w:hAnsi="宋体" w:cs="宋体" w:eastAsia="宋体"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29993pt;margin-top:788.041626pt;width:87.7pt;height:11pt;mso-position-horizontal-relative:page;mso-position-vertical-relative:page;z-index:-608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122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29993pt;margin-top:788.041626pt;width:87.7pt;height:11pt;mso-position-horizontal-relative:page;mso-position-vertical-relative:page;z-index:-608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110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122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29993pt;margin-top:788.041626pt;width:87.7pt;height:11pt;mso-position-horizontal-relative:page;mso-position-vertical-relative:page;z-index:-607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r>
                <w:r>
                  <w:rPr/>
                  <w:fldChar w:fldCharType="begin"/>
                </w:r>
                <w:r>
                  <w:rPr>
                    <w:rFonts w:ascii="宋体" w:hAnsi="宋体" w:cs="宋体" w:eastAsia="宋体" w:hint="default"/>
                    <w:sz w:val="18"/>
                    <w:szCs w:val="18"/>
                  </w:rPr>
                  <w:instrText> PAGE </w:instrText>
                </w:r>
                <w:r>
                  <w:rPr/>
                  <w:fldChar w:fldCharType="separate"/>
                </w:r>
                <w:r>
                  <w:rPr/>
                  <w:t>120</w:t>
                </w:r>
                <w:r>
                  <w:rPr/>
                  <w:fldChar w:fldCharType="end"/>
                </w:r>
                <w:r>
                  <w:rPr>
                    <w:rFonts w:ascii="宋体" w:hAnsi="宋体" w:cs="宋体" w:eastAsia="宋体" w:hint="default"/>
                    <w:sz w:val="18"/>
                    <w:szCs w:val="18"/>
                  </w:rPr>
                  <w:t> </w:t>
                </w:r>
                <w:r>
                  <w:rPr>
                    <w:rFonts w:ascii="宋体" w:hAnsi="宋体" w:cs="宋体" w:eastAsia="宋体" w:hint="default"/>
                    <w:sz w:val="18"/>
                    <w:szCs w:val="18"/>
                  </w:rPr>
                  <w:t>页 共 </w:t>
                </w:r>
                <w:r>
                  <w:rPr>
                    <w:rFonts w:ascii="宋体" w:hAnsi="宋体" w:cs="宋体" w:eastAsia="宋体" w:hint="default"/>
                    <w:sz w:val="18"/>
                    <w:szCs w:val="18"/>
                  </w:rPr>
                  <w:t>122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0.799984pt;width:419.25pt;height:17.3pt;mso-position-horizontal-relative:page;mso-position-vertical-relative:page;z-index:-608296" coordorigin="1762,816" coordsize="8385,346">
          <v:shape style="position:absolute;left:1797;top:816;width:541;height:345" type="#_x0000_t75" stroked="false">
            <v:imagedata r:id="rId1" o:title=""/>
          </v:shape>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group>
          <w10:wrap type="none"/>
        </v:group>
      </w:pict>
    </w:r>
    <w:r>
      <w:rPr/>
      <w:pict>
        <v:shape style="position:absolute;margin-left:111.459999pt;margin-top:42.865608pt;width:110pt;height:11pt;mso-position-horizontal-relative:page;mso-position-vertical-relative:page;z-index:-608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xbxContent>
          </v:textbox>
          <w10:wrap type="none"/>
        </v:shape>
      </w:pict>
    </w:r>
    <w:r>
      <w:rPr/>
      <w:pict>
        <v:shape style="position:absolute;margin-left:435.75pt;margin-top:42.865608pt;width:67.2pt;height:11.5pt;mso-position-horizontal-relative:page;mso-position-vertical-relative:page;z-index:-608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80002pt;margin-top:40.800007pt;width:665.9pt;height:17.3pt;mso-position-horizontal-relative:page;mso-position-vertical-relative:page;z-index:-608224" coordorigin="1762,816" coordsize="13318,346">
          <v:shape style="position:absolute;left:1797;top:816;width:541;height:345" type="#_x0000_t75" stroked="false">
            <v:imagedata r:id="rId1" o:title=""/>
          </v:shape>
          <v:group style="position:absolute;left:1769;top:1111;width:13303;height:2" coordorigin="1769,1111" coordsize="13303,2">
            <v:shape style="position:absolute;left:1769;top:1111;width:13303;height:2" coordorigin="1769,1111" coordsize="13303,0" path="m1769,1111l15072,1111e" filled="false" stroked="true" strokeweight=".72pt" strokecolor="#000000">
              <v:path arrowok="t"/>
            </v:shape>
          </v:group>
          <w10:wrap type="none"/>
        </v:group>
      </w:pict>
    </w:r>
    <w:r>
      <w:rPr/>
      <w:pict>
        <v:shape style="position:absolute;margin-left:111.459999pt;margin-top:42.865631pt;width:110pt;height:11pt;mso-position-horizontal-relative:page;mso-position-vertical-relative:page;z-index:-608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xbxContent>
          </v:textbox>
          <w10:wrap type="none"/>
        </v:shape>
      </w:pict>
    </w:r>
    <w:r>
      <w:rPr/>
      <w:pict>
        <v:shape style="position:absolute;margin-left:435.730011pt;margin-top:42.865631pt;width:67.2pt;height:11.5pt;mso-position-horizontal-relative:page;mso-position-vertical-relative:page;z-index:-608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03996pt;margin-top:40.799984pt;width:419.25pt;height:17.3pt;mso-position-horizontal-relative:page;mso-position-vertical-relative:page;z-index:-608104" coordorigin="1762,816" coordsize="8385,346">
          <v:shape style="position:absolute;left:1797;top:816;width:541;height:345" type="#_x0000_t75" stroked="false">
            <v:imagedata r:id="rId1" o:title=""/>
          </v:shape>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group>
          <w10:wrap type="none"/>
        </v:group>
      </w:pict>
    </w:r>
    <w:r>
      <w:rPr/>
      <w:pict>
        <v:shape style="position:absolute;margin-left:111.459999pt;margin-top:42.865608pt;width:110pt;height:11pt;mso-position-horizontal-relative:page;mso-position-vertical-relative:page;z-index:-608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安徽鑫龙电器股份有限公司</w:t>
                </w:r>
              </w:p>
            </w:txbxContent>
          </v:textbox>
          <w10:wrap type="none"/>
        </v:shape>
      </w:pict>
    </w:r>
    <w:r>
      <w:rPr/>
      <w:pict>
        <v:shape style="position:absolute;margin-left:422.190002pt;margin-top:42.865608pt;width:67.2pt;height:11.5pt;mso-position-horizontal-relative:page;mso-position-vertical-relative:page;z-index:-608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7"/>
      <w:ind w:left="138"/>
    </w:pPr>
    <w:rPr>
      <w:rFonts w:ascii="宋体" w:hAnsi="宋体" w:eastAsia="宋体"/>
      <w:sz w:val="28"/>
      <w:szCs w:val="28"/>
    </w:rPr>
  </w:style>
  <w:style w:styleId="BodyText" w:type="paragraph">
    <w:name w:val="Body Text"/>
    <w:basedOn w:val="Normal"/>
    <w:uiPriority w:val="1"/>
    <w:qFormat/>
    <w:pPr>
      <w:spacing w:before="34"/>
      <w:ind w:left="13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spacing w:before="7"/>
      <w:outlineLvl w:val="2"/>
    </w:pPr>
    <w:rPr>
      <w:rFonts w:ascii="宋体" w:hAnsi="宋体" w:eastAsia="宋体"/>
      <w:b/>
      <w:bCs/>
      <w:sz w:val="30"/>
      <w:szCs w:val="30"/>
    </w:rPr>
  </w:style>
  <w:style w:styleId="Heading3" w:type="paragraph">
    <w:name w:val="Heading 3"/>
    <w:basedOn w:val="Normal"/>
    <w:uiPriority w:val="1"/>
    <w:qFormat/>
    <w:pPr>
      <w:spacing w:before="14"/>
      <w:outlineLvl w:val="3"/>
    </w:pPr>
    <w:rPr>
      <w:rFonts w:ascii="宋体" w:hAnsi="宋体" w:eastAsia="宋体"/>
      <w:b/>
      <w:bCs/>
      <w:sz w:val="28"/>
      <w:szCs w:val="28"/>
    </w:rPr>
  </w:style>
  <w:style w:styleId="Heading4" w:type="paragraph">
    <w:name w:val="Heading 4"/>
    <w:basedOn w:val="Normal"/>
    <w:uiPriority w:val="1"/>
    <w:qFormat/>
    <w:pPr>
      <w:spacing w:before="44"/>
      <w:ind w:left="138" w:firstLine="559"/>
      <w:outlineLvl w:val="4"/>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hyperlink" Target="mailto:xinlongdsb@126.com" TargetMode="External"/><Relationship Id="rId13" Type="http://schemas.openxmlformats.org/officeDocument/2006/relationships/hyperlink" Target="mailto:zhuwen888@126.com" TargetMode="External"/><Relationship Id="rId14" Type="http://schemas.openxmlformats.org/officeDocument/2006/relationships/hyperlink" Target="http://www.ah-xinlong.com/" TargetMode="External"/><Relationship Id="rId15" Type="http://schemas.openxmlformats.org/officeDocument/2006/relationships/hyperlink" Target="http://www.cninfo.com.cn/" TargetMode="External"/><Relationship Id="rId16" Type="http://schemas.openxmlformats.org/officeDocument/2006/relationships/image" Target="media/image8.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1.jpeg"/><Relationship Id="rId22" Type="http://schemas.openxmlformats.org/officeDocument/2006/relationships/footer" Target="footer4.xml"/><Relationship Id="rId23"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2020-04-29T02:25:30Z</dcterms:created>
  <dcterms:modified xsi:type="dcterms:W3CDTF">2020-04-29T02:25:30Z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2011-03-30T00:00:00Z</vt:filetime>
  </property>
  <property fmtid="{D5CDD505-2E9C-101B-9397-08002B2CF9AE}" pid="3" name="Creator">
    <vt:lpwstr>Microsoft® Office Word 2007</vt:lpwstr>
  </property>
  <property fmtid="{D5CDD505-2E9C-101B-9397-08002B2CF9AE}" pid="4" name="LastSaved">
    <vt:filetime>2020-04-28T00:00:00Z</vt:filetime>
  </property>
</Properties>
</file>