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3.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4.xml" ContentType="application/vnd.openxmlformats-officedocument.wordprocessingml.header+xml"/>
  <Override PartName="/word/footer29.xml" ContentType="application/vnd.openxmlformats-officedocument.wordprocessingml.footer+xml"/>
  <Override PartName="/word/header15.xml" ContentType="application/vnd.openxmlformats-officedocument.wordprocessingml.header+xml"/>
  <Override PartName="/word/footer30.xml" ContentType="application/vnd.openxmlformats-officedocument.wordprocessingml.footer+xml"/>
  <Override PartName="/word/header16.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7.xml" ContentType="application/vnd.openxmlformats-officedocument.wordprocessingml.header+xml"/>
  <Override PartName="/word/footer34.xml" ContentType="application/vnd.openxmlformats-officedocument.wordprocessingml.footer+xml"/>
  <Override PartName="/word/header18.xml" ContentType="application/vnd.openxmlformats-officedocument.wordprocessingml.header+xml"/>
  <Override PartName="/word/footer35.xml" ContentType="application/vnd.openxmlformats-officedocument.wordprocessingml.footer+xml"/>
  <Override PartName="/word/header19.xml" ContentType="application/vnd.openxmlformats-officedocument.wordprocessingml.header+xml"/>
  <Override PartName="/word/footer36.xml" ContentType="application/vnd.openxmlformats-officedocument.wordprocessingml.footer+xml"/>
  <Override PartName="/word/header20.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2203" w:lineRule="exact"/>
        <w:ind w:left="34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913363" cy="1399031"/>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913363" cy="1399031"/>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141" w:right="1121" w:firstLine="0"/>
        <w:jc w:val="center"/>
        <w:rPr>
          <w:rFonts w:ascii="宋体" w:hAnsi="宋体" w:cs="宋体" w:eastAsia="宋体" w:hint="default"/>
          <w:sz w:val="36"/>
          <w:szCs w:val="36"/>
        </w:rPr>
      </w:pPr>
      <w:r>
        <w:rPr>
          <w:rFonts w:ascii="宋体" w:hAnsi="宋体" w:cs="宋体" w:eastAsia="宋体" w:hint="default"/>
          <w:b/>
          <w:bCs/>
          <w:sz w:val="36"/>
          <w:szCs w:val="36"/>
        </w:rPr>
        <w:t>安徽鑫龙电器股份有限公司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pStyle w:val="Heading1"/>
        <w:spacing w:line="240" w:lineRule="auto"/>
        <w:ind w:right="1117"/>
        <w:jc w:val="center"/>
        <w:rPr>
          <w:b w:val="0"/>
          <w:bCs w:val="0"/>
        </w:rPr>
      </w:pPr>
      <w:bookmarkStart w:name="_TOC_250000" w:id="1"/>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w:t>
      </w:r>
      <w:bookmarkEnd w:id="1"/>
      <w:r>
        <w:rPr>
          <w:b w:val="0"/>
          <w:bCs w:val="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8"/>
          <w:szCs w:val="48"/>
        </w:rPr>
      </w:pPr>
    </w:p>
    <w:p>
      <w:pPr>
        <w:spacing w:before="0"/>
        <w:ind w:left="141" w:right="111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340" w:top="1060" w:bottom="154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123"/>
        <w:jc w:val="left"/>
        <w:rPr>
          <w:b w:val="0"/>
          <w:bCs w:val="0"/>
        </w:rPr>
      </w:pP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公司负责人束龙胜、主管会计工作负责人陶黎明及会计机构负责人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杨勇声明：保证年度报告中财务报告的真实、准确、完整。</w:t>
      </w:r>
      <w:r>
        <w:rPr>
          <w:rFonts w:ascii="宋体" w:hAnsi="宋体" w:cs="宋体" w:eastAsia="宋体" w:hint="default"/>
          <w:sz w:val="28"/>
          <w:szCs w:val="28"/>
        </w:rPr>
      </w:r>
    </w:p>
    <w:p>
      <w:pPr>
        <w:spacing w:line="472" w:lineRule="auto" w:before="148"/>
        <w:ind w:left="714" w:right="112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2012 </w:t>
      </w:r>
      <w:r>
        <w:rPr>
          <w:rFonts w:ascii="宋体" w:hAnsi="宋体" w:cs="宋体" w:eastAsia="宋体" w:hint="default"/>
          <w:b/>
          <w:bCs/>
          <w:sz w:val="28"/>
          <w:szCs w:val="28"/>
        </w:rPr>
        <w:t>年</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2" w:right="0" w:firstLine="0"/>
        <w:jc w:val="left"/>
        <w:rPr>
          <w:rFonts w:ascii="Times New Roman" w:hAnsi="Times New Roman" w:cs="Times New Roman" w:eastAsia="Times New Roman" w:hint="default"/>
          <w:sz w:val="28"/>
          <w:szCs w:val="28"/>
        </w:rPr>
      </w:pPr>
      <w:r>
        <w:rPr>
          <w:rFonts w:ascii="宋体" w:hAnsi="宋体" w:cs="宋体" w:eastAsia="宋体" w:hint="default"/>
          <w:b/>
          <w:bCs/>
          <w:w w:val="99"/>
          <w:sz w:val="28"/>
          <w:szCs w:val="28"/>
        </w:rPr>
        <w:t>司总</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本为基数，向全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25"/>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6"/>
          <w:sz w:val="28"/>
          <w:szCs w:val="28"/>
        </w:rPr>
        <w:t> </w:t>
      </w:r>
      <w:r>
        <w:rPr>
          <w:rFonts w:ascii="宋体" w:hAnsi="宋体" w:cs="宋体" w:eastAsia="宋体" w:hint="default"/>
          <w:b/>
          <w:bCs/>
          <w:w w:val="99"/>
          <w:sz w:val="28"/>
          <w:szCs w:val="28"/>
        </w:rPr>
        <w:t>股派</w:t>
      </w:r>
      <w:r>
        <w:rPr>
          <w:rFonts w:ascii="宋体" w:hAnsi="宋体" w:cs="宋体" w:eastAsia="宋体" w:hint="default"/>
          <w:b/>
          <w:bCs/>
          <w:spacing w:val="2"/>
          <w:w w:val="99"/>
          <w:sz w:val="28"/>
          <w:szCs w:val="28"/>
        </w:rPr>
        <w:t>发</w:t>
      </w:r>
      <w:r>
        <w:rPr>
          <w:rFonts w:ascii="宋体" w:hAnsi="宋体" w:cs="宋体" w:eastAsia="宋体" w:hint="default"/>
          <w:b/>
          <w:bCs/>
          <w:w w:val="99"/>
          <w:sz w:val="28"/>
          <w:szCs w:val="28"/>
        </w:rPr>
        <w:t>现金红利</w:t>
      </w:r>
      <w:r>
        <w:rPr>
          <w:rFonts w:ascii="宋体" w:hAnsi="宋体" w:cs="宋体" w:eastAsia="宋体" w:hint="default"/>
          <w:b/>
          <w:bCs/>
          <w:spacing w:val="-26"/>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2</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2"/>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26"/>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w w:val="100"/>
          <w:sz w:val="28"/>
          <w:szCs w:val="28"/>
        </w:rPr>
      </w:r>
    </w:p>
    <w:p>
      <w:pPr>
        <w:spacing w:before="236"/>
        <w:ind w:left="152" w:right="1123" w:firstLine="0"/>
        <w:jc w:val="left"/>
        <w:rPr>
          <w:rFonts w:ascii="宋体" w:hAnsi="宋体" w:cs="宋体" w:eastAsia="宋体" w:hint="default"/>
          <w:sz w:val="28"/>
          <w:szCs w:val="28"/>
        </w:rPr>
      </w:pP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，不</w:t>
      </w:r>
      <w:r>
        <w:rPr>
          <w:rFonts w:ascii="宋体" w:hAnsi="宋体" w:cs="宋体" w:eastAsia="宋体" w:hint="default"/>
          <w:b/>
          <w:bCs/>
          <w:spacing w:val="2"/>
          <w:w w:val="99"/>
          <w:sz w:val="28"/>
          <w:szCs w:val="28"/>
        </w:rPr>
        <w:t>以</w:t>
      </w:r>
      <w:r>
        <w:rPr>
          <w:rFonts w:ascii="宋体" w:hAnsi="宋体" w:cs="宋体" w:eastAsia="宋体" w:hint="default"/>
          <w:b/>
          <w:bCs/>
          <w:w w:val="99"/>
          <w:sz w:val="28"/>
          <w:szCs w:val="28"/>
        </w:rPr>
        <w:t>公积金</w:t>
      </w:r>
      <w:r>
        <w:rPr>
          <w:rFonts w:ascii="宋体" w:hAnsi="宋体" w:cs="宋体" w:eastAsia="宋体" w:hint="default"/>
          <w:b/>
          <w:bCs/>
          <w:spacing w:val="2"/>
          <w:w w:val="99"/>
          <w:sz w:val="28"/>
          <w:szCs w:val="28"/>
        </w:rPr>
        <w:t>转</w:t>
      </w:r>
      <w:r>
        <w:rPr>
          <w:rFonts w:ascii="宋体" w:hAnsi="宋体" w:cs="宋体" w:eastAsia="宋体" w:hint="default"/>
          <w:b/>
          <w:bCs/>
          <w:w w:val="99"/>
          <w:sz w:val="28"/>
          <w:szCs w:val="28"/>
        </w:rPr>
        <w:t>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1340" w:header="745" w:top="1060" w:bottom="154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141" w:right="111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TOC_250000">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r>
            <w:rPr/>
            <w:t>一、重要提示、目录和释义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二、公司简介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三、会计数据和财务指标摘要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四、董事会报告</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五、重要事项</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六、股份变动及股东情况</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七、董事、监事、高级管理人员和员工情况</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r>
            <w:rPr/>
            <w:t>八、公司治理</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九、内部控制</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十、财务报告</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十一、备查文件目录</w:t>
          </w:r>
          <w:r>
            <w:rPr>
              <w:rFonts w:ascii="Times New Roman" w:hAnsi="Times New Roman" w:cs="Times New Roman" w:eastAsia="Times New Roman" w:hint="default"/>
            </w:rPr>
            <w:tab/>
            <w:t>133</w:t>
          </w:r>
          <w:r>
            <w:rPr>
              <w:rFonts w:ascii="Times New Roman" w:hAnsi="Times New Roman" w:cs="Times New Roman" w:eastAsia="Times New Roman" w:hint="default"/>
              <w:b w:val="0"/>
              <w:bCs w:val="0"/>
            </w:rPr>
          </w:r>
        </w:p>
      </w:sdtContent>
    </w:sdt>
    <w:p>
      <w:pPr>
        <w:spacing w:after="0" w:line="240" w:lineRule="auto"/>
        <w:jc w:val="left"/>
        <w:rPr>
          <w:rFonts w:ascii="Times New Roman" w:hAnsi="Times New Roman" w:cs="Times New Roman" w:eastAsia="Times New Roman" w:hint="default"/>
        </w:rPr>
        <w:sectPr>
          <w:pgSz w:w="11910" w:h="16840"/>
          <w:pgMar w:header="745" w:footer="1340" w:top="1060" w:bottom="1540" w:left="980" w:right="0"/>
        </w:sectPr>
      </w:pPr>
    </w:p>
    <w:p>
      <w:pPr>
        <w:pStyle w:val="Heading1"/>
        <w:spacing w:line="240" w:lineRule="auto" w:before="945"/>
        <w:ind w:right="1119"/>
        <w:jc w:val="center"/>
        <w:rPr>
          <w:b w:val="0"/>
          <w:bCs w:val="0"/>
        </w:rPr>
      </w:pP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本公司、公司、鑫龙电器、股份公司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《公司章程》或《章程》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《安徽鑫龙电器股份有限公司公司章程》</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安徽鑫龙电器股份有限公司股东大会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安徽鑫龙电器股份有限公司董事会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安徽鑫龙电器股份有限公司监事会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华林证券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华林证券有限责任公司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人民币万元</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141" w:right="1119"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30"/>
          <w:szCs w:val="30"/>
        </w:rPr>
      </w:pPr>
    </w:p>
    <w:p>
      <w:pPr>
        <w:spacing w:line="410" w:lineRule="auto" w:before="0"/>
        <w:ind w:left="152" w:right="1126"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、行业竞争风险</w:t>
      </w:r>
      <w:r>
        <w:rPr>
          <w:rFonts w:ascii="宋体" w:hAnsi="宋体" w:cs="宋体" w:eastAsia="宋体" w:hint="default"/>
          <w:spacing w:val="-5"/>
          <w:sz w:val="21"/>
          <w:szCs w:val="21"/>
        </w:rPr>
        <w:t> </w:t>
      </w:r>
      <w:r>
        <w:rPr>
          <w:rFonts w:ascii="宋体" w:hAnsi="宋体" w:cs="宋体" w:eastAsia="宋体" w:hint="default"/>
          <w:sz w:val="21"/>
          <w:szCs w:val="21"/>
        </w:rPr>
        <w:t>经过多年发展，我国输配电及控制设备制造业已形成了国有企业、民营企业和外资</w:t>
      </w:r>
      <w:r>
        <w:rPr>
          <w:rFonts w:ascii="宋体" w:hAnsi="宋体" w:cs="宋体" w:eastAsia="宋体" w:hint="default"/>
          <w:w w:val="100"/>
          <w:sz w:val="21"/>
          <w:szCs w:val="21"/>
        </w:rPr>
        <w:t> </w:t>
      </w:r>
      <w:r>
        <w:rPr>
          <w:rFonts w:ascii="宋体" w:hAnsi="宋体" w:cs="宋体" w:eastAsia="宋体" w:hint="default"/>
          <w:spacing w:val="-2"/>
          <w:sz w:val="21"/>
          <w:szCs w:val="21"/>
        </w:rPr>
        <w:t>企业并存的市场竞争格局。在高低压领域，输配电及控制设备产品的生产厂家众多，行业集中度较低，市</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场激烈竞争，产品的价格、质量、技术含量和售后服务受到越来越多的关注，因此当行业竞争加剧时，公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司的经营业绩将会受到一定程度的影响。</w:t>
      </w:r>
    </w:p>
    <w:p>
      <w:pPr>
        <w:spacing w:line="410" w:lineRule="auto" w:before="157"/>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、产品质量风险</w:t>
      </w:r>
      <w:r>
        <w:rPr>
          <w:rFonts w:ascii="宋体" w:hAnsi="宋体" w:cs="宋体" w:eastAsia="宋体" w:hint="default"/>
          <w:spacing w:val="-17"/>
          <w:sz w:val="21"/>
          <w:szCs w:val="21"/>
        </w:rPr>
        <w:t> </w:t>
      </w:r>
      <w:r>
        <w:rPr>
          <w:rFonts w:ascii="宋体" w:hAnsi="宋体" w:cs="宋体" w:eastAsia="宋体" w:hint="default"/>
          <w:sz w:val="21"/>
          <w:szCs w:val="21"/>
        </w:rPr>
        <w:t>公司的产品主要应用于输配电及控制系统，产品质量相当关键，一旦出现故障，有</w:t>
      </w:r>
      <w:r>
        <w:rPr>
          <w:rFonts w:ascii="宋体" w:hAnsi="宋体" w:cs="宋体" w:eastAsia="宋体" w:hint="default"/>
          <w:w w:val="100"/>
          <w:sz w:val="21"/>
          <w:szCs w:val="21"/>
        </w:rPr>
        <w:t> </w:t>
      </w:r>
      <w:r>
        <w:rPr>
          <w:rFonts w:ascii="宋体" w:hAnsi="宋体" w:cs="宋体" w:eastAsia="宋体" w:hint="default"/>
          <w:spacing w:val="-5"/>
          <w:sz w:val="21"/>
          <w:szCs w:val="21"/>
        </w:rPr>
        <w:t>可能造成用户电力系统严重事故，甚至危及电网的安全，给公司信誉带来重大损害，影响公司产品的销售； </w:t>
      </w:r>
      <w:r>
        <w:rPr>
          <w:rFonts w:ascii="宋体" w:hAnsi="宋体" w:cs="宋体" w:eastAsia="宋体" w:hint="default"/>
          <w:spacing w:val="-5"/>
          <w:sz w:val="21"/>
          <w:szCs w:val="21"/>
        </w:rPr>
        <w:t>同时，公司产品出厂后，如果在用户安装检验过程中发现质量问题，不能达到设计要求，无论返工或退货，</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都将会直接影响公司的经济效益，给公司带来产品质量的风险。</w:t>
      </w:r>
    </w:p>
    <w:p>
      <w:pPr>
        <w:spacing w:before="159"/>
        <w:ind w:left="678" w:right="0" w:firstLine="0"/>
        <w:jc w:val="left"/>
        <w:rPr>
          <w:rFonts w:ascii="宋体" w:hAnsi="宋体" w:cs="宋体" w:eastAsia="宋体" w:hint="default"/>
          <w:sz w:val="21"/>
          <w:szCs w:val="21"/>
        </w:rPr>
      </w:pP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13</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选</w:t>
      </w:r>
      <w:r>
        <w:rPr>
          <w:rFonts w:ascii="宋体" w:hAnsi="宋体" w:cs="宋体" w:eastAsia="宋体" w:hint="default"/>
          <w:w w:val="100"/>
          <w:sz w:val="21"/>
          <w:szCs w:val="21"/>
        </w:rPr>
        <w:t>定</w:t>
      </w:r>
      <w:r>
        <w:rPr>
          <w:rFonts w:ascii="宋体" w:hAnsi="宋体" w:cs="宋体" w:eastAsia="宋体" w:hint="default"/>
          <w:spacing w:val="-3"/>
          <w:w w:val="100"/>
          <w:sz w:val="21"/>
          <w:szCs w:val="21"/>
        </w:rPr>
        <w:t>的</w:t>
      </w:r>
      <w:r>
        <w:rPr>
          <w:rFonts w:ascii="宋体" w:hAnsi="宋体" w:cs="宋体" w:eastAsia="宋体" w:hint="default"/>
          <w:w w:val="100"/>
          <w:sz w:val="21"/>
          <w:szCs w:val="21"/>
        </w:rPr>
        <w:t>信息</w:t>
      </w:r>
      <w:r>
        <w:rPr>
          <w:rFonts w:ascii="宋体" w:hAnsi="宋体" w:cs="宋体" w:eastAsia="宋体" w:hint="default"/>
          <w:spacing w:val="-3"/>
          <w:w w:val="100"/>
          <w:sz w:val="21"/>
          <w:szCs w:val="21"/>
        </w:rPr>
        <w:t>披</w:t>
      </w:r>
      <w:r>
        <w:rPr>
          <w:rFonts w:ascii="宋体" w:hAnsi="宋体" w:cs="宋体" w:eastAsia="宋体" w:hint="default"/>
          <w:w w:val="100"/>
          <w:sz w:val="21"/>
          <w:szCs w:val="21"/>
        </w:rPr>
        <w:t>露</w:t>
      </w:r>
      <w:r>
        <w:rPr>
          <w:rFonts w:ascii="宋体" w:hAnsi="宋体" w:cs="宋体" w:eastAsia="宋体" w:hint="default"/>
          <w:spacing w:val="-3"/>
          <w:w w:val="100"/>
          <w:sz w:val="21"/>
          <w:szCs w:val="21"/>
        </w:rPr>
        <w:t>媒</w:t>
      </w:r>
      <w:r>
        <w:rPr>
          <w:rFonts w:ascii="宋体" w:hAnsi="宋体" w:cs="宋体" w:eastAsia="宋体" w:hint="default"/>
          <w:w w:val="100"/>
          <w:sz w:val="21"/>
          <w:szCs w:val="21"/>
        </w:rPr>
        <w:t>体</w:t>
      </w:r>
      <w:r>
        <w:rPr>
          <w:rFonts w:ascii="宋体" w:hAnsi="宋体" w:cs="宋体" w:eastAsia="宋体" w:hint="default"/>
          <w:spacing w:val="-8"/>
          <w:w w:val="100"/>
          <w:sz w:val="21"/>
          <w:szCs w:val="21"/>
        </w:rPr>
        <w:t>为</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国证</w:t>
      </w:r>
      <w:r>
        <w:rPr>
          <w:rFonts w:ascii="宋体" w:hAnsi="宋体" w:cs="宋体" w:eastAsia="宋体" w:hint="default"/>
          <w:w w:val="100"/>
          <w:sz w:val="21"/>
          <w:szCs w:val="21"/>
        </w:rPr>
        <w:t>券报</w:t>
      </w:r>
      <w:r>
        <w:rPr>
          <w:rFonts w:ascii="宋体" w:hAnsi="宋体" w:cs="宋体" w:eastAsia="宋体" w:hint="default"/>
          <w:spacing w:val="-106"/>
          <w:w w:val="100"/>
          <w:sz w:val="21"/>
          <w:szCs w:val="21"/>
        </w:rPr>
        <w:t>》</w:t>
      </w:r>
      <w:r>
        <w:rPr>
          <w:rFonts w:ascii="宋体" w:hAnsi="宋体" w:cs="宋体" w:eastAsia="宋体" w:hint="default"/>
          <w:spacing w:val="-11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时报</w:t>
      </w:r>
      <w:r>
        <w:rPr>
          <w:rFonts w:ascii="宋体" w:hAnsi="宋体" w:cs="宋体" w:eastAsia="宋体" w:hint="default"/>
          <w:spacing w:val="-108"/>
          <w:w w:val="100"/>
          <w:sz w:val="21"/>
          <w:szCs w:val="21"/>
        </w:rPr>
        <w:t>》</w:t>
      </w:r>
      <w:r>
        <w:rPr>
          <w:rFonts w:ascii="宋体" w:hAnsi="宋体" w:cs="宋体" w:eastAsia="宋体" w:hint="default"/>
          <w:spacing w:val="-11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海证</w:t>
      </w:r>
      <w:r>
        <w:rPr>
          <w:rFonts w:ascii="宋体" w:hAnsi="宋体" w:cs="宋体" w:eastAsia="宋体" w:hint="default"/>
          <w:spacing w:val="-3"/>
          <w:w w:val="100"/>
          <w:sz w:val="21"/>
          <w:szCs w:val="21"/>
        </w:rPr>
        <w:t>券报</w:t>
      </w:r>
      <w:r>
        <w:rPr>
          <w:rFonts w:ascii="宋体" w:hAnsi="宋体" w:cs="宋体" w:eastAsia="宋体" w:hint="default"/>
          <w:spacing w:val="-5"/>
          <w:w w:val="100"/>
          <w:sz w:val="21"/>
          <w:szCs w:val="21"/>
        </w:rPr>
        <w:t>》</w:t>
      </w:r>
      <w:r>
        <w:rPr>
          <w:rFonts w:ascii="宋体" w:hAnsi="宋体" w:cs="宋体" w:eastAsia="宋体" w:hint="default"/>
          <w:spacing w:val="-3"/>
          <w:w w:val="100"/>
          <w:sz w:val="21"/>
          <w:szCs w:val="21"/>
        </w:rPr>
        <w:t>和</w:t>
      </w:r>
      <w:r>
        <w:rPr>
          <w:rFonts w:ascii="宋体" w:hAnsi="宋体" w:cs="宋体" w:eastAsia="宋体" w:hint="default"/>
          <w:w w:val="100"/>
          <w:sz w:val="21"/>
          <w:szCs w:val="21"/>
        </w:rPr>
        <w:t>巨</w:t>
      </w:r>
      <w:r>
        <w:rPr>
          <w:rFonts w:ascii="宋体" w:hAnsi="宋体" w:cs="宋体" w:eastAsia="宋体" w:hint="default"/>
          <w:spacing w:val="-3"/>
          <w:w w:val="100"/>
          <w:sz w:val="21"/>
          <w:szCs w:val="21"/>
        </w:rPr>
        <w:t>潮</w:t>
      </w:r>
      <w:r>
        <w:rPr>
          <w:rFonts w:ascii="宋体" w:hAnsi="宋体" w:cs="宋体" w:eastAsia="宋体" w:hint="default"/>
          <w:w w:val="100"/>
          <w:sz w:val="21"/>
          <w:szCs w:val="21"/>
        </w:rPr>
        <w:t>资</w:t>
      </w:r>
      <w:r>
        <w:rPr>
          <w:rFonts w:ascii="宋体" w:hAnsi="宋体" w:cs="宋体" w:eastAsia="宋体" w:hint="default"/>
          <w:spacing w:val="-3"/>
          <w:w w:val="100"/>
          <w:sz w:val="21"/>
          <w:szCs w:val="21"/>
        </w:rPr>
        <w:t>讯</w:t>
      </w:r>
      <w:r>
        <w:rPr>
          <w:rFonts w:ascii="宋体" w:hAnsi="宋体" w:cs="宋体" w:eastAsia="宋体" w:hint="default"/>
          <w:w w:val="100"/>
          <w:sz w:val="21"/>
          <w:szCs w:val="21"/>
        </w:rPr>
        <w:t>网</w:t>
      </w:r>
    </w:p>
    <w:p>
      <w:pPr>
        <w:spacing w:before="187"/>
        <w:ind w:left="141" w:right="1182" w:firstLine="0"/>
        <w:jc w:val="center"/>
        <w:rPr>
          <w:rFonts w:ascii="宋体" w:hAnsi="宋体" w:cs="宋体" w:eastAsia="宋体" w:hint="default"/>
          <w:sz w:val="21"/>
          <w:szCs w:val="21"/>
        </w:rPr>
      </w:pPr>
      <w:r>
        <w:rPr>
          <w:rFonts w:ascii="宋体" w:hAnsi="宋体" w:cs="宋体" w:eastAsia="宋体" w:hint="default"/>
          <w:w w:val="100"/>
          <w:sz w:val="21"/>
          <w:szCs w:val="21"/>
        </w:rPr>
        <w:t>（</w:t>
      </w:r>
      <w:hyperlink r:id="rId9">
        <w:r>
          <w:rPr>
            <w:rFonts w:ascii="Times New Roman" w:hAnsi="Times New Roman" w:cs="Times New Roman" w:eastAsia="Times New Roman" w:hint="default"/>
            <w:spacing w:val="-2"/>
            <w:w w:val="100"/>
            <w:sz w:val="21"/>
            <w:szCs w:val="21"/>
          </w:rPr>
          <w:t>ww</w:t>
        </w:r>
        <w:r>
          <w:rPr>
            <w:rFonts w:ascii="Times New Roman" w:hAnsi="Times New Roman" w:cs="Times New Roman" w:eastAsia="Times New Roman" w:hint="default"/>
            <w:spacing w:val="-16"/>
            <w:w w:val="100"/>
            <w:sz w:val="21"/>
            <w:szCs w:val="21"/>
          </w:rPr>
          <w:t>w</w:t>
        </w:r>
        <w:r>
          <w:rPr>
            <w:rFonts w:ascii="Times New Roman" w:hAnsi="Times New Roman" w:cs="Times New Roman" w:eastAsia="Times New Roman" w:hint="default"/>
            <w:w w:val="100"/>
            <w:sz w:val="21"/>
            <w:szCs w:val="21"/>
          </w:rPr>
          <w:t>.cn</w:t>
        </w:r>
        <w:r>
          <w:rPr>
            <w:rFonts w:ascii="Times New Roman" w:hAnsi="Times New Roman" w:cs="Times New Roman" w:eastAsia="Times New Roman" w:hint="default"/>
            <w:spacing w:val="-2"/>
            <w:w w:val="100"/>
            <w:sz w:val="21"/>
            <w:szCs w:val="21"/>
          </w:rPr>
          <w:t>i</w:t>
        </w:r>
        <w:r>
          <w:rPr>
            <w:rFonts w:ascii="Times New Roman" w:hAnsi="Times New Roman" w:cs="Times New Roman" w:eastAsia="Times New Roman" w:hint="default"/>
            <w:w w:val="100"/>
            <w:sz w:val="21"/>
            <w:szCs w:val="21"/>
          </w:rPr>
          <w:t>n</w:t>
        </w:r>
        <w:r>
          <w:rPr>
            <w:rFonts w:ascii="Times New Roman" w:hAnsi="Times New Roman" w:cs="Times New Roman" w:eastAsia="Times New Roman" w:hint="default"/>
            <w:spacing w:val="-1"/>
            <w:w w:val="100"/>
            <w:sz w:val="21"/>
            <w:szCs w:val="21"/>
          </w:rPr>
          <w:t>f</w:t>
        </w:r>
        <w:r>
          <w:rPr>
            <w:rFonts w:ascii="Times New Roman" w:hAnsi="Times New Roman" w:cs="Times New Roman" w:eastAsia="Times New Roman" w:hint="default"/>
            <w:w w:val="100"/>
            <w:sz w:val="21"/>
            <w:szCs w:val="21"/>
          </w:rPr>
          <w:t>o.co</w:t>
        </w:r>
        <w:r>
          <w:rPr>
            <w:rFonts w:ascii="Times New Roman" w:hAnsi="Times New Roman" w:cs="Times New Roman" w:eastAsia="Times New Roman" w:hint="default"/>
            <w:spacing w:val="-4"/>
            <w:w w:val="100"/>
            <w:sz w:val="21"/>
            <w:szCs w:val="21"/>
          </w:rPr>
          <w:t>m</w:t>
        </w:r>
        <w:r>
          <w:rPr>
            <w:rFonts w:ascii="Times New Roman" w:hAnsi="Times New Roman" w:cs="Times New Roman" w:eastAsia="Times New Roman" w:hint="default"/>
            <w:w w:val="100"/>
            <w:sz w:val="21"/>
            <w:szCs w:val="21"/>
          </w:rPr>
          <w:t>.c</w:t>
        </w:r>
        <w:r>
          <w:rPr>
            <w:rFonts w:ascii="Times New Roman" w:hAnsi="Times New Roman" w:cs="Times New Roman" w:eastAsia="Times New Roman" w:hint="default"/>
            <w:spacing w:val="-1"/>
            <w:w w:val="100"/>
            <w:sz w:val="21"/>
            <w:szCs w:val="21"/>
          </w:rPr>
          <w:t>n</w:t>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司所</w:t>
      </w:r>
      <w:r>
        <w:rPr>
          <w:rFonts w:ascii="宋体" w:hAnsi="宋体" w:cs="宋体" w:eastAsia="宋体" w:hint="default"/>
          <w:spacing w:val="-3"/>
          <w:w w:val="100"/>
          <w:sz w:val="21"/>
          <w:szCs w:val="21"/>
        </w:rPr>
        <w:t>有</w:t>
      </w:r>
      <w:r>
        <w:rPr>
          <w:rFonts w:ascii="宋体" w:hAnsi="宋体" w:cs="宋体" w:eastAsia="宋体" w:hint="default"/>
          <w:w w:val="100"/>
          <w:sz w:val="21"/>
          <w:szCs w:val="21"/>
        </w:rPr>
        <w:t>信</w:t>
      </w:r>
      <w:r>
        <w:rPr>
          <w:rFonts w:ascii="宋体" w:hAnsi="宋体" w:cs="宋体" w:eastAsia="宋体" w:hint="default"/>
          <w:spacing w:val="-3"/>
          <w:w w:val="100"/>
          <w:sz w:val="21"/>
          <w:szCs w:val="21"/>
        </w:rPr>
        <w:t>息</w:t>
      </w:r>
      <w:r>
        <w:rPr>
          <w:rFonts w:ascii="宋体" w:hAnsi="宋体" w:cs="宋体" w:eastAsia="宋体" w:hint="default"/>
          <w:w w:val="100"/>
          <w:sz w:val="21"/>
          <w:szCs w:val="21"/>
        </w:rPr>
        <w:t>均</w:t>
      </w:r>
      <w:r>
        <w:rPr>
          <w:rFonts w:ascii="宋体" w:hAnsi="宋体" w:cs="宋体" w:eastAsia="宋体" w:hint="default"/>
          <w:spacing w:val="-3"/>
          <w:w w:val="100"/>
          <w:sz w:val="21"/>
          <w:szCs w:val="21"/>
        </w:rPr>
        <w:t>以</w:t>
      </w:r>
      <w:r>
        <w:rPr>
          <w:rFonts w:ascii="宋体" w:hAnsi="宋体" w:cs="宋体" w:eastAsia="宋体" w:hint="default"/>
          <w:w w:val="100"/>
          <w:sz w:val="21"/>
          <w:szCs w:val="21"/>
        </w:rPr>
        <w:t>在</w:t>
      </w:r>
      <w:r>
        <w:rPr>
          <w:rFonts w:ascii="宋体" w:hAnsi="宋体" w:cs="宋体" w:eastAsia="宋体" w:hint="default"/>
          <w:spacing w:val="-3"/>
          <w:w w:val="100"/>
          <w:sz w:val="21"/>
          <w:szCs w:val="21"/>
        </w:rPr>
        <w:t>上</w:t>
      </w:r>
      <w:r>
        <w:rPr>
          <w:rFonts w:ascii="宋体" w:hAnsi="宋体" w:cs="宋体" w:eastAsia="宋体" w:hint="default"/>
          <w:w w:val="100"/>
          <w:sz w:val="21"/>
          <w:szCs w:val="21"/>
        </w:rPr>
        <w:t>述</w:t>
      </w:r>
      <w:r>
        <w:rPr>
          <w:rFonts w:ascii="宋体" w:hAnsi="宋体" w:cs="宋体" w:eastAsia="宋体" w:hint="default"/>
          <w:spacing w:val="-3"/>
          <w:w w:val="100"/>
          <w:sz w:val="21"/>
          <w:szCs w:val="21"/>
        </w:rPr>
        <w:t>选</w:t>
      </w:r>
      <w:r>
        <w:rPr>
          <w:rFonts w:ascii="宋体" w:hAnsi="宋体" w:cs="宋体" w:eastAsia="宋体" w:hint="default"/>
          <w:w w:val="100"/>
          <w:sz w:val="21"/>
          <w:szCs w:val="21"/>
        </w:rPr>
        <w:t>定媒</w:t>
      </w:r>
      <w:r>
        <w:rPr>
          <w:rFonts w:ascii="宋体" w:hAnsi="宋体" w:cs="宋体" w:eastAsia="宋体" w:hint="default"/>
          <w:spacing w:val="-3"/>
          <w:w w:val="100"/>
          <w:sz w:val="21"/>
          <w:szCs w:val="21"/>
        </w:rPr>
        <w:t>体</w:t>
      </w:r>
      <w:r>
        <w:rPr>
          <w:rFonts w:ascii="宋体" w:hAnsi="宋体" w:cs="宋体" w:eastAsia="宋体" w:hint="default"/>
          <w:w w:val="100"/>
          <w:sz w:val="21"/>
          <w:szCs w:val="21"/>
        </w:rPr>
        <w:t>刊</w:t>
      </w:r>
      <w:r>
        <w:rPr>
          <w:rFonts w:ascii="宋体" w:hAnsi="宋体" w:cs="宋体" w:eastAsia="宋体" w:hint="default"/>
          <w:spacing w:val="-3"/>
          <w:w w:val="100"/>
          <w:sz w:val="21"/>
          <w:szCs w:val="21"/>
        </w:rPr>
        <w:t>登</w:t>
      </w:r>
      <w:r>
        <w:rPr>
          <w:rFonts w:ascii="宋体" w:hAnsi="宋体" w:cs="宋体" w:eastAsia="宋体" w:hint="default"/>
          <w:w w:val="100"/>
          <w:sz w:val="21"/>
          <w:szCs w:val="21"/>
        </w:rPr>
        <w:t>的</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为</w:t>
      </w:r>
      <w:r>
        <w:rPr>
          <w:rFonts w:ascii="宋体" w:hAnsi="宋体" w:cs="宋体" w:eastAsia="宋体" w:hint="default"/>
          <w:w w:val="100"/>
          <w:sz w:val="21"/>
          <w:szCs w:val="21"/>
        </w:rPr>
        <w:t>准</w:t>
      </w:r>
      <w:r>
        <w:rPr>
          <w:rFonts w:ascii="宋体" w:hAnsi="宋体" w:cs="宋体" w:eastAsia="宋体" w:hint="default"/>
          <w:spacing w:val="-3"/>
          <w:w w:val="100"/>
          <w:sz w:val="21"/>
          <w:szCs w:val="21"/>
        </w:rPr>
        <w:t>，</w:t>
      </w:r>
      <w:r>
        <w:rPr>
          <w:rFonts w:ascii="宋体" w:hAnsi="宋体" w:cs="宋体" w:eastAsia="宋体" w:hint="default"/>
          <w:w w:val="100"/>
          <w:sz w:val="21"/>
          <w:szCs w:val="21"/>
        </w:rPr>
        <w:t>敬请</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者</w:t>
      </w:r>
      <w:r>
        <w:rPr>
          <w:rFonts w:ascii="宋体" w:hAnsi="宋体" w:cs="宋体" w:eastAsia="宋体" w:hint="default"/>
          <w:w w:val="100"/>
          <w:sz w:val="21"/>
          <w:szCs w:val="21"/>
        </w:rPr>
        <w:t>注</w:t>
      </w:r>
      <w:r>
        <w:rPr>
          <w:rFonts w:ascii="宋体" w:hAnsi="宋体" w:cs="宋体" w:eastAsia="宋体" w:hint="default"/>
          <w:spacing w:val="-3"/>
          <w:w w:val="100"/>
          <w:sz w:val="21"/>
          <w:szCs w:val="21"/>
        </w:rPr>
        <w:t>意</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风</w:t>
      </w:r>
      <w:r>
        <w:rPr>
          <w:rFonts w:ascii="宋体" w:hAnsi="宋体" w:cs="宋体" w:eastAsia="宋体" w:hint="default"/>
          <w:spacing w:val="-3"/>
          <w:w w:val="100"/>
          <w:sz w:val="21"/>
          <w:szCs w:val="21"/>
        </w:rPr>
        <w:t>险</w:t>
      </w:r>
      <w:r>
        <w:rPr>
          <w:rFonts w:ascii="宋体" w:hAnsi="宋体" w:cs="宋体" w:eastAsia="宋体" w:hint="default"/>
          <w:w w:val="100"/>
          <w:sz w:val="21"/>
          <w:szCs w:val="21"/>
        </w:rPr>
        <w:t>。</w:t>
      </w:r>
    </w:p>
    <w:p>
      <w:pPr>
        <w:spacing w:after="0"/>
        <w:jc w:val="center"/>
        <w:rPr>
          <w:rFonts w:ascii="宋体" w:hAnsi="宋体" w:cs="宋体" w:eastAsia="宋体" w:hint="default"/>
          <w:sz w:val="21"/>
          <w:szCs w:val="21"/>
        </w:rPr>
        <w:sectPr>
          <w:pgSz w:w="11910" w:h="16840"/>
          <w:pgMar w:header="745" w:footer="1340" w:top="1060" w:bottom="1540" w:left="980" w:right="0"/>
        </w:sectPr>
      </w:pPr>
    </w:p>
    <w:p>
      <w:pPr>
        <w:spacing w:line="240" w:lineRule="auto" w:before="0"/>
        <w:rPr>
          <w:rFonts w:ascii="宋体" w:hAnsi="宋体" w:cs="宋体" w:eastAsia="宋体" w:hint="default"/>
          <w:sz w:val="20"/>
          <w:szCs w:val="20"/>
        </w:rPr>
      </w:pPr>
      <w:r>
        <w:rPr/>
        <w:pict>
          <v:shape style="position:absolute;margin-left:137.883011pt;margin-top:269.809998pt;width:396pt;height:19.6pt;mso-position-horizontal-relative:page;mso-position-vertical-relative:page;z-index:-830584" type="#_x0000_t202" filled="false" stroked="false">
            <v:textbox inset="0,0,0,0">
              <w:txbxContent>
                <w:p>
                  <w:pPr>
                    <w:pStyle w:val="BodyText"/>
                    <w:spacing w:line="240" w:lineRule="auto" w:before="49"/>
                    <w:ind w:left="0" w:right="0"/>
                    <w:jc w:val="left"/>
                  </w:pPr>
                  <w:r>
                    <w:rPr/>
                    <w:t>（如有）</w:t>
                  </w:r>
                </w:p>
              </w:txbxContent>
            </v:textbox>
            <w10:wrap type="none"/>
          </v:shape>
        </w:pict>
      </w:r>
      <w:r>
        <w:rPr/>
        <w:pict>
          <v:group style="position:absolute;margin-left:171.020004pt;margin-top:269.209991pt;width:362.85pt;height:20.8pt;mso-position-horizontal-relative:page;mso-position-vertical-relative:page;z-index:-830560" coordorigin="3420,5384" coordsize="7257,416">
            <v:group style="position:absolute;left:3432;top:5396;width:2;height:392" coordorigin="3432,5396" coordsize="2,392">
              <v:shape style="position:absolute;left:3432;top:5396;width:2;height:392" coordorigin="3432,5396" coordsize="0,392" path="m3432,5396l3432,5787e" filled="false" stroked="true" strokeweight="1.2pt" strokecolor="#ffffff">
                <v:path arrowok="t"/>
              </v:shape>
            </v:group>
            <v:group style="position:absolute;left:3444;top:5396;width:7233;height:392" coordorigin="3444,5396" coordsize="7233,392">
              <v:shape style="position:absolute;left:3444;top:5396;width:7233;height:392" coordorigin="3444,5396" coordsize="7233,392" path="m3444,5787l10677,5787,10677,5396,3444,5396,3444,5787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1"/>
        <w:spacing w:line="240" w:lineRule="auto"/>
        <w:ind w:right="1117"/>
        <w:jc w:val="center"/>
        <w:rPr>
          <w:b w:val="0"/>
          <w:bCs w:val="0"/>
        </w:rPr>
      </w:pPr>
      <w:r>
        <w:rPr/>
        <w:t>第二节</w:t>
      </w:r>
      <w:r>
        <w:rPr>
          <w:spacing w:val="-2"/>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5"/>
        <w:gridCol w:w="2188"/>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鑫龙电器</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002298</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鑫龙电器</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Anhui Xinlong Electrical</w:t>
            </w:r>
            <w:r>
              <w:rPr>
                <w:rFonts w:ascii="Times New Roman"/>
                <w:spacing w:val="-11"/>
                <w:sz w:val="18"/>
              </w:rPr>
              <w:t> </w:t>
            </w:r>
            <w:r>
              <w:rPr>
                <w:rFonts w:ascii="Times New Roman"/>
                <w:sz w:val="18"/>
              </w:rPr>
              <w:t>Co.,Ltd.</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Xinlong</w:t>
            </w:r>
            <w:r>
              <w:rPr>
                <w:rFonts w:ascii="Times New Roman"/>
                <w:spacing w:val="-5"/>
                <w:sz w:val="18"/>
              </w:rPr>
              <w:t> </w:t>
            </w:r>
            <w:r>
              <w:rPr>
                <w:rFonts w:ascii="Times New Roman"/>
                <w:sz w:val="18"/>
              </w:rPr>
              <w:t>Electrical</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束龙胜</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安徽省芜湖市经济技术开发区电器部件园（九华北路</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241008</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安徽省芜湖市经济技术开发区电器部件园（九华北路</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241008</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http</w:t>
            </w:r>
            <w:r>
              <w:rPr>
                <w:rFonts w:ascii="宋体" w:hAnsi="宋体" w:cs="宋体" w:eastAsia="宋体" w:hint="default"/>
                <w:sz w:val="18"/>
                <w:szCs w:val="18"/>
              </w:rPr>
              <w:t>：</w:t>
            </w:r>
            <w:r>
              <w:rPr>
                <w:rFonts w:ascii="Times New Roman" w:hAnsi="Times New Roman" w:cs="Times New Roman" w:eastAsia="Times New Roman" w:hint="default"/>
                <w:sz w:val="18"/>
                <w:szCs w:val="18"/>
              </w:rPr>
              <w:t>/</w:t>
            </w:r>
            <w:hyperlink r:id="rId10">
              <w:r>
                <w:rPr>
                  <w:rFonts w:ascii="Times New Roman" w:hAnsi="Times New Roman" w:cs="Times New Roman" w:eastAsia="Times New Roman" w:hint="default"/>
                  <w:sz w:val="18"/>
                  <w:szCs w:val="18"/>
                </w:rPr>
                <w:t>/www</w:t>
              </w:r>
            </w:hyperlink>
            <w:r>
              <w:rPr>
                <w:rFonts w:ascii="Times New Roman" w:hAnsi="Times New Roman" w:cs="Times New Roman" w:eastAsia="Times New Roman" w:hint="default"/>
                <w:sz w:val="18"/>
                <w:szCs w:val="18"/>
              </w:rPr>
              <w:t>.</w:t>
            </w:r>
            <w:hyperlink r:id="rId10">
              <w:r>
                <w:rPr>
                  <w:rFonts w:ascii="Times New Roman" w:hAnsi="Times New Roman" w:cs="Times New Roman" w:eastAsia="Times New Roman" w:hint="default"/>
                  <w:sz w:val="18"/>
                  <w:szCs w:val="18"/>
                </w:rPr>
                <w:t>ah-xinlong.com</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xinlongdsb@126.com</w:t>
              </w:r>
            </w:hyperlink>
          </w:p>
        </w:tc>
      </w:tr>
    </w:tbl>
    <w:p>
      <w:pPr>
        <w:spacing w:line="240" w:lineRule="auto" w:before="1"/>
        <w:rPr>
          <w:rFonts w:ascii="宋体" w:hAnsi="宋体" w:cs="宋体" w:eastAsia="宋体" w:hint="default"/>
          <w:b/>
          <w:bCs/>
          <w:sz w:val="18"/>
          <w:szCs w:val="18"/>
        </w:rPr>
      </w:pPr>
    </w:p>
    <w:p>
      <w:pPr>
        <w:spacing w:before="26"/>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朱文</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安徽省芜湖市经济技术开发区九华北路</w:t>
            </w:r>
          </w:p>
          <w:p>
            <w:pPr>
              <w:pStyle w:val="TableParagraph"/>
              <w:spacing w:line="240" w:lineRule="auto" w:before="76"/>
              <w:ind w:left="17"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安徽省芜湖市经济技术开发区九华北路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0553-5772627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0553-5772627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0553-5312688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0553-5772865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1">
              <w:r>
                <w:rPr>
                  <w:rFonts w:ascii="Times New Roman"/>
                  <w:sz w:val="18"/>
                </w:rPr>
                <w:t>xinlongdsb@126.com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zhuwen888@126.com</w:t>
              </w:r>
            </w:hyperlink>
          </w:p>
        </w:tc>
      </w:tr>
    </w:tbl>
    <w:p>
      <w:pPr>
        <w:spacing w:line="240" w:lineRule="auto" w:before="1"/>
        <w:rPr>
          <w:rFonts w:ascii="宋体" w:hAnsi="宋体" w:cs="宋体" w:eastAsia="宋体" w:hint="default"/>
          <w:b/>
          <w:bCs/>
          <w:sz w:val="18"/>
          <w:szCs w:val="18"/>
        </w:rPr>
      </w:pPr>
    </w:p>
    <w:p>
      <w:pPr>
        <w:spacing w:before="26"/>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w:t>
            </w:r>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8"/>
        <w:rPr>
          <w:rFonts w:ascii="宋体" w:hAnsi="宋体" w:cs="宋体" w:eastAsia="宋体" w:hint="default"/>
          <w:b/>
          <w:bCs/>
          <w:sz w:val="23"/>
          <w:szCs w:val="23"/>
        </w:rPr>
      </w:pPr>
    </w:p>
    <w:p>
      <w:pPr>
        <w:spacing w:before="26"/>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芜湖市工商行政管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3400002400030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340207149661982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14966198-2</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芜湖市工商行政管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340200000135548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340207149661982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14966198-2</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5"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主营业务未发生变化。</w:t>
            </w:r>
          </w:p>
        </w:tc>
      </w:tr>
      <w:tr>
        <w:trPr>
          <w:trHeight w:val="401"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控股股东未发生变更。</w:t>
            </w:r>
          </w:p>
        </w:tc>
      </w:tr>
    </w:tbl>
    <w:p>
      <w:pPr>
        <w:spacing w:line="240" w:lineRule="auto" w:before="1"/>
        <w:rPr>
          <w:rFonts w:ascii="宋体" w:hAnsi="宋体" w:cs="宋体" w:eastAsia="宋体" w:hint="default"/>
          <w:b/>
          <w:bCs/>
          <w:sz w:val="18"/>
          <w:szCs w:val="18"/>
        </w:rPr>
      </w:pPr>
    </w:p>
    <w:p>
      <w:pPr>
        <w:spacing w:before="26"/>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五、其他有关资料</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1123"/>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1101</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吕勇军、王海涛</w:t>
            </w:r>
          </w:p>
        </w:tc>
      </w:tr>
    </w:tbl>
    <w:p>
      <w:pPr>
        <w:pStyle w:val="BodyText"/>
        <w:spacing w:line="240" w:lineRule="auto" w:before="49"/>
        <w:ind w:right="1123"/>
        <w:jc w:val="left"/>
      </w:pPr>
      <w:r>
        <w:rPr/>
        <w:t>公司聘请的报告期内履行持续督导职责的保荐机构</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华林证券有限责任公司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深圳市福田区民田路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号华</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融大厦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龚寒汀、乔绪升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642" w:right="1123"/>
        <w:jc w:val="left"/>
        <w:rPr>
          <w:b w:val="0"/>
          <w:bCs w:val="0"/>
        </w:rPr>
      </w:pPr>
      <w:r>
        <w:rPr/>
        <w:t>第三节</w:t>
      </w:r>
      <w:r>
        <w:rPr>
          <w:spacing w:val="-2"/>
        </w:rPr>
        <w:t> </w:t>
      </w:r>
      <w:r>
        <w:rPr/>
        <w:t>会计数据和财务指标摘要</w:t>
      </w:r>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right="1123"/>
        <w:jc w:val="left"/>
        <w:rPr>
          <w:b w:val="0"/>
          <w:bCs w:val="0"/>
        </w:rPr>
      </w:pPr>
      <w:r>
        <w:rPr/>
        <w:t>一、主要会计数据和财务指标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3"/>
        <w:jc w:val="left"/>
      </w:pPr>
      <w:r>
        <w:rPr/>
        <w:t>公司是否因会计政策变更及会计差错更正等追溯调整或重述以前年度会计数据</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944,045,898.95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862,131,195.42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609,526,619.84</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95,341,859.82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72,702,903.49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42,735,587.61</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91,302,922.48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68,514,400.50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38,841,951.38</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46,176,494.69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10,708,541.39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-152,638,603.93</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0.2581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0.2203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0.1295</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0.2561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0.2203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0.1295</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2,031,181,429.05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1,462,131,475.18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1,157,978,344.72</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4"/>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6"/>
                <w:sz w:val="18"/>
                <w:szCs w:val="18"/>
              </w:rPr>
              <w:t>权益）（元）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1,163,542,768.83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551,487,971.50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110.98%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488,684,414.01</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二、非经常性损益项目及金额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-48,402.57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255,068.60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77,564.51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主要为固定资产处置 损失</w:t>
            </w: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4,955,148.00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4,703,451.00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4,758,000.00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计入当期损益的政府 补助详见财务报表附 注之政府补助明细</w:t>
            </w: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-37,847.28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-30,890.27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-254,816.00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766,960.81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739,126.34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687,112.28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4,038,937.34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4,188,502.99</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3,893,636.23</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607" w:right="1123"/>
        <w:jc w:val="left"/>
        <w:rPr>
          <w:b w:val="0"/>
          <w:bCs w:val="0"/>
        </w:rPr>
      </w:pP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129" w:firstLine="360"/>
        <w:jc w:val="both"/>
      </w:pPr>
      <w:r>
        <w:rPr>
          <w:rFonts w:ascii="Times New Roman" w:hAnsi="Times New Roman" w:cs="Times New Roman" w:eastAsia="Times New Roman" w:hint="default"/>
          <w:spacing w:val="-2"/>
        </w:rPr>
        <w:t>2012</w:t>
      </w:r>
      <w:r>
        <w:rPr>
          <w:spacing w:val="-2"/>
        </w:rPr>
        <w:t>年，全球经济复苏放缓，国内经济面临通货膨胀和经济增长缓慢的双重压力，在这样的宏观环境下，公司董事会和</w:t>
      </w:r>
      <w:r>
        <w:rPr/>
        <w:t> </w:t>
      </w:r>
      <w:r>
        <w:rPr>
          <w:spacing w:val="-2"/>
        </w:rPr>
        <w:t>管理层紧紧围绕公司战略发展规划，努力克服国内外环境复杂变化带来的不利因素，积极主动采取有效措施，不断强化公司</w:t>
      </w:r>
      <w:r>
        <w:rPr>
          <w:spacing w:val="-63"/>
        </w:rPr>
        <w:t> </w:t>
      </w:r>
      <w:r>
        <w:rPr>
          <w:spacing w:val="-63"/>
        </w:rPr>
      </w:r>
      <w:r>
        <w:rPr>
          <w:spacing w:val="-2"/>
        </w:rPr>
        <w:t>内部管理，加大产品研发和市场开拓力度，一年来公司整体发展形势良好，各项业务进展顺利，实现了经营业绩和管理水平</w:t>
      </w:r>
      <w:r>
        <w:rPr>
          <w:spacing w:val="-64"/>
        </w:rPr>
        <w:t> </w:t>
      </w:r>
      <w:r>
        <w:rPr>
          <w:spacing w:val="-64"/>
        </w:rPr>
      </w:r>
      <w:r>
        <w:rPr/>
        <w:t>的稳步提升。</w:t>
      </w:r>
    </w:p>
    <w:p>
      <w:pPr>
        <w:pStyle w:val="BodyText"/>
        <w:spacing w:line="300" w:lineRule="auto" w:before="22"/>
        <w:ind w:right="1040" w:firstLine="360"/>
        <w:jc w:val="both"/>
      </w:pPr>
      <w:r>
        <w:rPr>
          <w:spacing w:val="-3"/>
        </w:rPr>
        <w:t>公司</w:t>
      </w:r>
      <w:r>
        <w:rPr>
          <w:rFonts w:ascii="Times New Roman" w:hAnsi="Times New Roman" w:cs="Times New Roman" w:eastAsia="Times New Roman" w:hint="default"/>
          <w:spacing w:val="-3"/>
        </w:rPr>
        <w:t>2012</w:t>
      </w:r>
      <w:r>
        <w:rPr>
          <w:spacing w:val="-3"/>
        </w:rPr>
        <w:t>年实现营业收入</w:t>
      </w:r>
      <w:r>
        <w:rPr>
          <w:rFonts w:ascii="Times New Roman" w:hAnsi="Times New Roman" w:cs="Times New Roman" w:eastAsia="Times New Roman" w:hint="default"/>
          <w:spacing w:val="-3"/>
        </w:rPr>
        <w:t>944,045,898.95</w:t>
      </w:r>
      <w:r>
        <w:rPr>
          <w:spacing w:val="-3"/>
        </w:rPr>
        <w:t>元，比上年同期增长</w:t>
      </w:r>
      <w:r>
        <w:rPr>
          <w:rFonts w:ascii="Times New Roman" w:hAnsi="Times New Roman" w:cs="Times New Roman" w:eastAsia="Times New Roman" w:hint="default"/>
          <w:spacing w:val="-3"/>
        </w:rPr>
        <w:t>9.50%</w:t>
      </w:r>
      <w:r>
        <w:rPr>
          <w:spacing w:val="-3"/>
        </w:rPr>
        <w:t>；营业利润</w:t>
      </w:r>
      <w:r>
        <w:rPr>
          <w:rFonts w:ascii="Times New Roman" w:hAnsi="Times New Roman" w:cs="Times New Roman" w:eastAsia="Times New Roman" w:hint="default"/>
          <w:spacing w:val="-3"/>
        </w:rPr>
        <w:t>106,004,077.28</w:t>
      </w:r>
      <w:r>
        <w:rPr>
          <w:spacing w:val="-3"/>
        </w:rPr>
        <w:t>元，比上年同期增长</w:t>
      </w:r>
      <w:r>
        <w:rPr>
          <w:rFonts w:ascii="Times New Roman" w:hAnsi="Times New Roman" w:cs="Times New Roman" w:eastAsia="Times New Roman" w:hint="default"/>
          <w:spacing w:val="-3"/>
        </w:rPr>
        <w:t>29.78%</w:t>
      </w:r>
      <w:r>
        <w:rPr>
          <w:spacing w:val="-3"/>
        </w:rPr>
        <w:t>；</w:t>
      </w:r>
      <w:r>
        <w:rPr/>
        <w:t> </w:t>
      </w:r>
      <w:r>
        <w:rPr>
          <w:spacing w:val="-1"/>
        </w:rPr>
        <w:t>利润总额</w:t>
      </w:r>
      <w:r>
        <w:rPr>
          <w:rFonts w:ascii="Times New Roman" w:hAnsi="Times New Roman" w:cs="Times New Roman" w:eastAsia="Times New Roman" w:hint="default"/>
          <w:spacing w:val="-1"/>
        </w:rPr>
        <w:t>110,872,975.43</w:t>
      </w:r>
      <w:r>
        <w:rPr>
          <w:spacing w:val="-1"/>
        </w:rPr>
        <w:t>元，比上年同期增长</w:t>
      </w:r>
      <w:r>
        <w:rPr>
          <w:rFonts w:ascii="Times New Roman" w:hAnsi="Times New Roman" w:cs="Times New Roman" w:eastAsia="Times New Roman" w:hint="default"/>
          <w:spacing w:val="-1"/>
        </w:rPr>
        <w:t>28.02%</w:t>
      </w:r>
      <w:r>
        <w:rPr>
          <w:spacing w:val="-1"/>
        </w:rPr>
        <w:t>；归属上市公司股东的净利润</w:t>
      </w:r>
      <w:r>
        <w:rPr>
          <w:rFonts w:ascii="Times New Roman" w:hAnsi="Times New Roman" w:cs="Times New Roman" w:eastAsia="Times New Roman" w:hint="default"/>
          <w:spacing w:val="-1"/>
        </w:rPr>
        <w:t>95,341,859.82</w:t>
      </w:r>
      <w:r>
        <w:rPr>
          <w:spacing w:val="-1"/>
        </w:rPr>
        <w:t>元，比上年同期增长</w:t>
      </w:r>
      <w:r>
        <w:rPr>
          <w:rFonts w:ascii="Times New Roman" w:hAnsi="Times New Roman" w:cs="Times New Roman" w:eastAsia="Times New Roman" w:hint="default"/>
          <w:spacing w:val="-1"/>
        </w:rPr>
        <w:t>31.14%</w:t>
      </w:r>
      <w:r>
        <w:rPr>
          <w:spacing w:val="-1"/>
        </w:rPr>
        <w:t>。</w:t>
      </w:r>
      <w:r>
        <w:rPr>
          <w:spacing w:val="-49"/>
        </w:rPr>
        <w:t> </w:t>
      </w:r>
      <w:r>
        <w:rPr/>
        <w:t>报告期内，公司主要完成以下几方面工作：</w:t>
      </w:r>
    </w:p>
    <w:p>
      <w:pPr>
        <w:pStyle w:val="BodyText"/>
        <w:spacing w:line="240" w:lineRule="auto" w:before="32"/>
        <w:ind w:right="1123"/>
        <w:jc w:val="left"/>
      </w:pPr>
      <w:r>
        <w:rPr>
          <w:rFonts w:ascii="Times New Roman" w:hAnsi="Times New Roman" w:cs="Times New Roman" w:eastAsia="Times New Roman" w:hint="default"/>
        </w:rPr>
        <w:t>1</w:t>
      </w:r>
      <w:r>
        <w:rPr/>
        <w:t>、股权激励情况</w:t>
      </w:r>
    </w:p>
    <w:p>
      <w:pPr>
        <w:pStyle w:val="BodyText"/>
        <w:spacing w:line="300" w:lineRule="auto" w:before="63"/>
        <w:ind w:right="1131"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日，公司分别召开第五届董事会第二十一次会议和第五届监事会第十四次会议，审议通过《关于对</w:t>
      </w:r>
      <w:r>
        <w:rPr>
          <w:rFonts w:ascii="Times New Roman" w:hAnsi="Times New Roman" w:cs="Times New Roman" w:eastAsia="Times New Roman" w:hint="default"/>
        </w:rPr>
        <w:t>&lt;</w:t>
      </w:r>
      <w:r>
        <w:rPr/>
        <w:t>股票 期权激励计划</w:t>
      </w:r>
      <w:r>
        <w:rPr>
          <w:rFonts w:ascii="Times New Roman" w:hAnsi="Times New Roman" w:cs="Times New Roman" w:eastAsia="Times New Roman" w:hint="default"/>
        </w:rPr>
        <w:t>&gt;</w:t>
      </w:r>
      <w:r>
        <w:rPr/>
        <w:t>涉及的股票期权数量和行权价格进行调整的议案》，经过本次调整后，《股票期权激励计划（修订稿）》所 涉及股票期权总数为</w:t>
      </w:r>
      <w:r>
        <w:rPr>
          <w:rFonts w:ascii="Times New Roman" w:hAnsi="Times New Roman" w:cs="Times New Roman" w:eastAsia="Times New Roman" w:hint="default"/>
        </w:rPr>
        <w:t>2,840</w:t>
      </w:r>
      <w:r>
        <w:rPr/>
        <w:t>万份，行权价格为</w:t>
      </w:r>
      <w:r>
        <w:rPr>
          <w:rFonts w:ascii="Times New Roman" w:hAnsi="Times New Roman" w:cs="Times New Roman" w:eastAsia="Times New Roman" w:hint="default"/>
        </w:rPr>
        <w:t>7.63</w:t>
      </w:r>
      <w:r>
        <w:rPr/>
        <w:t>元，其中包含预留股票期权数量为</w:t>
      </w:r>
      <w:r>
        <w:rPr>
          <w:rFonts w:ascii="Times New Roman" w:hAnsi="Times New Roman" w:cs="Times New Roman" w:eastAsia="Times New Roman" w:hint="default"/>
        </w:rPr>
        <w:t>200</w:t>
      </w:r>
      <w:r>
        <w:rPr/>
        <w:t>万份。为进一步完善公司的法人治理</w:t>
      </w:r>
      <w:r>
        <w:rPr>
          <w:spacing w:val="-87"/>
        </w:rPr>
        <w:t> </w:t>
      </w:r>
      <w:r>
        <w:rPr>
          <w:spacing w:val="-87"/>
        </w:rPr>
      </w:r>
      <w:r>
        <w:rPr>
          <w:spacing w:val="-4"/>
        </w:rPr>
        <w:t>结构，充分调动公司高层管理人员及员工积极性，公司于</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28</w:t>
      </w:r>
      <w:r>
        <w:rPr>
          <w:spacing w:val="-4"/>
        </w:rPr>
        <w:t>日召开了第五届董事会第二十二次会议，审议通过《关</w:t>
      </w:r>
      <w:r>
        <w:rPr>
          <w:spacing w:val="-35"/>
        </w:rPr>
        <w:t> </w:t>
      </w:r>
      <w:r>
        <w:rPr>
          <w:spacing w:val="-35"/>
        </w:rPr>
      </w:r>
      <w:r>
        <w:rPr>
          <w:spacing w:val="-2"/>
        </w:rPr>
        <w:t>于公司首期股票期权激励计划预留期权授予事项的议案》，于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日向</w:t>
      </w:r>
      <w:r>
        <w:rPr>
          <w:rFonts w:ascii="Times New Roman" w:hAnsi="Times New Roman" w:cs="Times New Roman" w:eastAsia="Times New Roman" w:hint="default"/>
          <w:spacing w:val="-2"/>
        </w:rPr>
        <w:t>30</w:t>
      </w:r>
      <w:r>
        <w:rPr>
          <w:spacing w:val="-2"/>
        </w:rPr>
        <w:t>名激励对象授出</w:t>
      </w:r>
      <w:r>
        <w:rPr>
          <w:rFonts w:ascii="Times New Roman" w:hAnsi="Times New Roman" w:cs="Times New Roman" w:eastAsia="Times New Roman" w:hint="default"/>
          <w:spacing w:val="-2"/>
        </w:rPr>
        <w:t>200</w:t>
      </w:r>
      <w:r>
        <w:rPr>
          <w:spacing w:val="-2"/>
        </w:rPr>
        <w:t>万份预留期权，行权价</w:t>
      </w:r>
      <w:r>
        <w:rPr>
          <w:spacing w:val="-58"/>
        </w:rPr>
        <w:t> </w:t>
      </w:r>
      <w:r>
        <w:rPr>
          <w:spacing w:val="-58"/>
        </w:rPr>
      </w:r>
      <w:r>
        <w:rPr/>
        <w:t>格为</w:t>
      </w:r>
      <w:r>
        <w:rPr>
          <w:rFonts w:ascii="Times New Roman" w:hAnsi="Times New Roman" w:cs="Times New Roman" w:eastAsia="Times New Roman" w:hint="default"/>
        </w:rPr>
        <w:t>9.25</w:t>
      </w:r>
      <w:r>
        <w:rPr/>
        <w:t>元。</w:t>
      </w:r>
    </w:p>
    <w:p>
      <w:pPr>
        <w:pStyle w:val="BodyText"/>
        <w:spacing w:line="240" w:lineRule="auto" w:before="13"/>
        <w:ind w:right="1123"/>
        <w:jc w:val="left"/>
      </w:pPr>
      <w:r>
        <w:rPr>
          <w:rFonts w:ascii="Times New Roman" w:hAnsi="Times New Roman" w:cs="Times New Roman" w:eastAsia="Times New Roman" w:hint="default"/>
        </w:rPr>
        <w:t>2</w:t>
      </w:r>
      <w:r>
        <w:rPr/>
        <w:t>、成功完成非公开发行股票</w:t>
      </w:r>
    </w:p>
    <w:p>
      <w:pPr>
        <w:pStyle w:val="BodyText"/>
        <w:spacing w:line="300" w:lineRule="auto" w:before="63"/>
        <w:ind w:right="1130" w:firstLine="360"/>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17</w:t>
      </w:r>
      <w:r>
        <w:rPr>
          <w:spacing w:val="-1"/>
        </w:rPr>
        <w:t>日，公司获得中国证券监督管理委员会证监许可</w:t>
      </w:r>
      <w:r>
        <w:rPr>
          <w:rFonts w:ascii="Times New Roman" w:hAnsi="Times New Roman" w:cs="Times New Roman" w:eastAsia="Times New Roman" w:hint="default"/>
          <w:spacing w:val="-1"/>
        </w:rPr>
        <w:t>[2012]648</w:t>
      </w:r>
      <w:r>
        <w:rPr>
          <w:spacing w:val="-1"/>
        </w:rPr>
        <w:t>号核准文件。根据中国证券监督管理委员会《关</w:t>
      </w:r>
      <w:r>
        <w:rPr/>
        <w:t> 于核准安徽鑫龙电器股份有限公司非公开发行股票的批复》（证监许可</w:t>
      </w:r>
      <w:r>
        <w:rPr>
          <w:rFonts w:ascii="Times New Roman" w:hAnsi="Times New Roman" w:cs="Times New Roman" w:eastAsia="Times New Roman" w:hint="default"/>
        </w:rPr>
        <w:t>[2012]648</w:t>
      </w:r>
      <w:r>
        <w:rPr/>
        <w:t>号），核准公司非公开发行不超过</w:t>
      </w:r>
      <w:r>
        <w:rPr>
          <w:rFonts w:ascii="Times New Roman" w:hAnsi="Times New Roman" w:cs="Times New Roman" w:eastAsia="Times New Roman" w:hint="default"/>
        </w:rPr>
        <w:t>8,000</w:t>
      </w:r>
      <w:r>
        <w:rPr/>
        <w:t>万 </w:t>
      </w:r>
      <w:r>
        <w:rPr>
          <w:spacing w:val="-3"/>
        </w:rPr>
        <w:t>股新股。</w:t>
      </w:r>
      <w:r>
        <w:rPr>
          <w:rFonts w:ascii="Times New Roman" w:hAnsi="Times New Roman" w:cs="Times New Roman" w:eastAsia="Times New Roman" w:hint="default"/>
          <w:spacing w:val="-3"/>
        </w:rPr>
        <w:t>2012</w:t>
      </w:r>
      <w:r>
        <w:rPr>
          <w:spacing w:val="-3"/>
        </w:rPr>
        <w:t>年公司向特定对象非公开发行</w:t>
      </w:r>
      <w:r>
        <w:rPr>
          <w:rFonts w:ascii="Times New Roman" w:hAnsi="Times New Roman" w:cs="Times New Roman" w:eastAsia="Times New Roman" w:hint="default"/>
          <w:spacing w:val="-3"/>
        </w:rPr>
        <w:t>78,869,000</w:t>
      </w:r>
      <w:r>
        <w:rPr>
          <w:spacing w:val="-3"/>
        </w:rPr>
        <w:t>股人民币普通股，发行后公司总股本由</w:t>
      </w:r>
      <w:r>
        <w:rPr>
          <w:rFonts w:ascii="Times New Roman" w:hAnsi="Times New Roman" w:cs="Times New Roman" w:eastAsia="Times New Roman" w:hint="default"/>
          <w:spacing w:val="-3"/>
        </w:rPr>
        <w:t>330,000,000</w:t>
      </w:r>
      <w:r>
        <w:rPr>
          <w:spacing w:val="-3"/>
        </w:rPr>
        <w:t>股增加为</w:t>
      </w:r>
      <w:r>
        <w:rPr>
          <w:rFonts w:ascii="Times New Roman" w:hAnsi="Times New Roman" w:cs="Times New Roman" w:eastAsia="Times New Roman" w:hint="default"/>
          <w:spacing w:val="-3"/>
        </w:rPr>
        <w:t>408,869,000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股。并于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日在深圳证券交易所上市。</w:t>
      </w:r>
    </w:p>
    <w:p>
      <w:pPr>
        <w:pStyle w:val="BodyText"/>
        <w:spacing w:line="240" w:lineRule="auto" w:before="13"/>
        <w:ind w:right="1123"/>
        <w:jc w:val="left"/>
      </w:pPr>
      <w:r>
        <w:rPr>
          <w:rFonts w:ascii="Times New Roman" w:hAnsi="Times New Roman" w:cs="Times New Roman" w:eastAsia="Times New Roman" w:hint="default"/>
        </w:rPr>
        <w:t>3</w:t>
      </w:r>
      <w:r>
        <w:rPr/>
        <w:t>、发行集合票据</w:t>
      </w:r>
    </w:p>
    <w:p>
      <w:pPr>
        <w:pStyle w:val="BodyText"/>
        <w:spacing w:line="304" w:lineRule="auto" w:before="63"/>
        <w:ind w:right="1034" w:firstLine="420"/>
        <w:jc w:val="left"/>
      </w:pPr>
      <w:r>
        <w:rPr>
          <w:spacing w:val="-3"/>
        </w:rPr>
        <w:t>报告期内，公司于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11</w:t>
      </w:r>
      <w:r>
        <w:rPr>
          <w:spacing w:val="-3"/>
        </w:rPr>
        <w:t>日接到中国银行间市场交易商协会《接受注册通知书》（中市协注</w:t>
      </w:r>
      <w:r>
        <w:rPr>
          <w:rFonts w:ascii="Times New Roman" w:hAnsi="Times New Roman" w:cs="Times New Roman" w:eastAsia="Times New Roman" w:hint="default"/>
          <w:spacing w:val="-3"/>
        </w:rPr>
        <w:t>[2012]SMECN18</w:t>
      </w:r>
      <w:r>
        <w:rPr>
          <w:spacing w:val="-3"/>
        </w:rPr>
        <w:t>号），</w:t>
      </w:r>
      <w:r>
        <w:rPr>
          <w:w w:val="99"/>
        </w:rPr>
        <w:t> </w:t>
      </w:r>
      <w:r>
        <w:rPr/>
        <w:t>中国银行间市场交易商协会决定接受包括本公司在内的叁家企业的集合票据注册，此次集合票据总注册金额为人民币</w:t>
      </w:r>
      <w:r>
        <w:rPr>
          <w:rFonts w:ascii="Times New Roman" w:hAnsi="Times New Roman" w:cs="Times New Roman" w:eastAsia="Times New Roman" w:hint="default"/>
        </w:rPr>
        <w:t>4.5</w:t>
      </w:r>
      <w:r>
        <w:rPr/>
        <w:t>亿</w:t>
      </w:r>
      <w:r>
        <w:rPr>
          <w:spacing w:val="-38"/>
        </w:rPr>
        <w:t> </w:t>
      </w:r>
      <w:r>
        <w:rPr/>
        <w:t>元，其中本公司发行金额为</w:t>
      </w:r>
      <w:r>
        <w:rPr>
          <w:rFonts w:ascii="Times New Roman" w:hAnsi="Times New Roman" w:cs="Times New Roman" w:eastAsia="Times New Roman" w:hint="default"/>
        </w:rPr>
        <w:t>1.5</w:t>
      </w:r>
      <w:r>
        <w:rPr/>
        <w:t>亿元。本次集合票据由兴业银行股份有限公司主承销。公司与另外二家企业于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w:t>
      </w:r>
      <w:r>
        <w:rPr>
          <w:w w:val="99"/>
        </w:rPr>
        <w:t> </w:t>
      </w:r>
      <w:r>
        <w:rPr/>
        <w:t>发行芜湖市</w:t>
      </w:r>
      <w:r>
        <w:rPr>
          <w:rFonts w:ascii="Times New Roman" w:hAnsi="Times New Roman" w:cs="Times New Roman" w:eastAsia="Times New Roman" w:hint="default"/>
        </w:rPr>
        <w:t>2012</w:t>
      </w:r>
      <w:r>
        <w:rPr/>
        <w:t>年度第一期中小企业集合票据，集合票据期限为</w:t>
      </w:r>
      <w:r>
        <w:rPr>
          <w:rFonts w:ascii="Times New Roman" w:hAnsi="Times New Roman" w:cs="Times New Roman" w:eastAsia="Times New Roman" w:hint="default"/>
        </w:rPr>
        <w:t>3</w:t>
      </w:r>
      <w:r>
        <w:rPr/>
        <w:t>年，发行价格为</w:t>
      </w:r>
      <w:r>
        <w:rPr>
          <w:rFonts w:ascii="Times New Roman" w:hAnsi="Times New Roman" w:cs="Times New Roman" w:eastAsia="Times New Roman" w:hint="default"/>
        </w:rPr>
        <w:t>100 </w:t>
      </w:r>
      <w:r>
        <w:rPr/>
        <w:t>元</w:t>
      </w:r>
      <w:r>
        <w:rPr>
          <w:rFonts w:ascii="Times New Roman" w:hAnsi="Times New Roman" w:cs="Times New Roman" w:eastAsia="Times New Roman" w:hint="default"/>
        </w:rPr>
        <w:t>/</w:t>
      </w:r>
      <w:r>
        <w:rPr/>
        <w:t>百元面值。并于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日上</w:t>
      </w:r>
      <w:r>
        <w:rPr>
          <w:spacing w:val="-52"/>
        </w:rPr>
        <w:t> </w:t>
      </w:r>
      <w:r>
        <w:rPr/>
        <w:t>市流通。</w:t>
      </w:r>
      <w:r>
        <w:rPr>
          <w:w w:val="99"/>
        </w:rPr>
        <w:t>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日，公司与芜湖市鸠江区招商局签署的《安徽鑫龙电器股份有限公司技术研究中心和科技园项目投资合同》，</w:t>
      </w:r>
      <w:r>
        <w:rPr>
          <w:spacing w:val="-63"/>
        </w:rPr>
        <w:t> </w:t>
      </w:r>
      <w:r>
        <w:rPr>
          <w:spacing w:val="-63"/>
        </w:rPr>
      </w:r>
      <w:r>
        <w:rPr/>
        <w:t>拟在芜湖市鸠江经济开发区内投资建设</w:t>
      </w:r>
      <w:r>
        <w:rPr>
          <w:rFonts w:ascii="Times New Roman" w:hAnsi="Times New Roman" w:cs="Times New Roman" w:eastAsia="Times New Roman" w:hint="default"/>
        </w:rPr>
        <w:t>“</w:t>
      </w:r>
      <w:r>
        <w:rPr/>
        <w:t>安徽鑫龙电器股份有限公司技术研究中心和科技园</w:t>
      </w:r>
      <w:r>
        <w:rPr>
          <w:rFonts w:ascii="Times New Roman" w:hAnsi="Times New Roman" w:cs="Times New Roman" w:eastAsia="Times New Roman" w:hint="default"/>
        </w:rPr>
        <w:t>”</w:t>
      </w:r>
      <w:r>
        <w:rPr/>
        <w:t>项目。投资金额为</w:t>
      </w:r>
      <w:r>
        <w:rPr>
          <w:rFonts w:ascii="Times New Roman" w:hAnsi="Times New Roman" w:cs="Times New Roman" w:eastAsia="Times New Roman" w:hint="default"/>
        </w:rPr>
        <w:t>11</w:t>
      </w:r>
      <w:r>
        <w:rPr/>
        <w:t>亿元，总占 地约</w:t>
      </w:r>
      <w:r>
        <w:rPr>
          <w:rFonts w:ascii="Times New Roman" w:hAnsi="Times New Roman" w:cs="Times New Roman" w:eastAsia="Times New Roman" w:hint="default"/>
        </w:rPr>
        <w:t>200</w:t>
      </w:r>
      <w:r>
        <w:rPr/>
        <w:t>亩，总建筑面积约</w:t>
      </w:r>
      <w:r>
        <w:rPr>
          <w:rFonts w:ascii="Times New Roman" w:hAnsi="Times New Roman" w:cs="Times New Roman" w:eastAsia="Times New Roman" w:hint="default"/>
        </w:rPr>
        <w:t>17.5</w:t>
      </w:r>
      <w:r>
        <w:rPr/>
        <w:t>万平米。主要建设项目名称为：高、低压开关柜及元件技术研究中心项目；智能型高分断低</w:t>
      </w:r>
      <w:r>
        <w:rPr>
          <w:spacing w:val="-45"/>
        </w:rPr>
        <w:t> </w:t>
      </w:r>
      <w:r>
        <w:rPr>
          <w:spacing w:val="-45"/>
        </w:rPr>
      </w:r>
      <w:r>
        <w:rPr/>
        <w:t>压断路器生产线项目；年产</w:t>
      </w:r>
      <w:r>
        <w:rPr>
          <w:rFonts w:ascii="Times New Roman" w:hAnsi="Times New Roman" w:cs="Times New Roman" w:eastAsia="Times New Roman" w:hint="default"/>
        </w:rPr>
        <w:t>17</w:t>
      </w:r>
      <w:r>
        <w:rPr/>
        <w:t>万台智能型电力电器元件产品生产线项目；智能型断路器技术研发中心项目及产品孵化基地； 高压真空断路器触头在线测温装置生产线建设项目。 </w:t>
      </w:r>
      <w:r>
        <w:rPr>
          <w:rFonts w:ascii="Times New Roman" w:hAnsi="Times New Roman" w:cs="Times New Roman" w:eastAsia="Times New Roman" w:hint="default"/>
        </w:rPr>
        <w:t>5</w:t>
      </w:r>
      <w:r>
        <w:rPr/>
        <w:t>、报告期内，公司自然人股东束龙胜先生及两名法人股东合肥世纪创新投资有限公司（以下简称</w:t>
      </w:r>
      <w:r>
        <w:rPr>
          <w:rFonts w:ascii="Times New Roman" w:hAnsi="Times New Roman" w:cs="Times New Roman" w:eastAsia="Times New Roman" w:hint="default"/>
        </w:rPr>
        <w:t>“</w:t>
      </w:r>
      <w:r>
        <w:rPr/>
        <w:t>合肥创投</w:t>
      </w:r>
      <w:r>
        <w:rPr>
          <w:rFonts w:ascii="Times New Roman" w:hAnsi="Times New Roman" w:cs="Times New Roman" w:eastAsia="Times New Roman" w:hint="default"/>
        </w:rPr>
        <w:t>”</w:t>
      </w:r>
      <w:r>
        <w:rPr/>
        <w:t>）和芜湖市鑫</w:t>
      </w:r>
      <w:r>
        <w:rPr>
          <w:spacing w:val="-63"/>
        </w:rPr>
        <w:t> </w:t>
      </w:r>
      <w:r>
        <w:rPr>
          <w:spacing w:val="-63"/>
        </w:rPr>
      </w:r>
      <w:r>
        <w:rPr/>
        <w:t>诚科技投资有限公司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鑫诚科技</w:t>
      </w:r>
      <w:r>
        <w:rPr>
          <w:rFonts w:ascii="Times New Roman" w:hAnsi="Times New Roman" w:cs="Times New Roman" w:eastAsia="Times New Roman" w:hint="default"/>
        </w:rPr>
        <w:t>”)</w:t>
      </w:r>
      <w:r>
        <w:rPr/>
        <w:t>持有的有限售条件流通股己全部解禁，并于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日上市流通。</w:t>
      </w:r>
    </w:p>
    <w:p>
      <w:pPr>
        <w:spacing w:line="240" w:lineRule="auto" w:before="1"/>
        <w:rPr>
          <w:rFonts w:ascii="宋体" w:hAnsi="宋体" w:cs="宋体" w:eastAsia="宋体" w:hint="default"/>
          <w:sz w:val="20"/>
          <w:szCs w:val="20"/>
        </w:rPr>
      </w:pPr>
    </w:p>
    <w:p>
      <w:pPr>
        <w:pStyle w:val="Heading2"/>
        <w:spacing w:line="240" w:lineRule="auto"/>
        <w:ind w:right="112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73" w:right="1123" w:firstLine="120"/>
        <w:jc w:val="left"/>
      </w:pPr>
      <w:r>
        <w:rPr/>
        <w:t>公司主营业务为高低压成套开关设备、元器件和自动化产品的生产和销售。 报告期内，我公司实现营业总收入</w:t>
      </w:r>
      <w:r>
        <w:rPr>
          <w:rFonts w:ascii="Times New Roman" w:hAnsi="Times New Roman" w:cs="Times New Roman" w:eastAsia="Times New Roman" w:hint="default"/>
        </w:rPr>
        <w:t>944,045,898.95</w:t>
      </w:r>
      <w:r>
        <w:rPr/>
        <w:t>元，比上年同期增长</w:t>
      </w:r>
      <w:r>
        <w:rPr>
          <w:rFonts w:ascii="Times New Roman" w:hAnsi="Times New Roman" w:cs="Times New Roman" w:eastAsia="Times New Roman" w:hint="default"/>
        </w:rPr>
        <w:t>9.50%</w:t>
      </w:r>
      <w:r>
        <w:rPr/>
        <w:t>；实现利润总额</w:t>
      </w:r>
      <w:r>
        <w:rPr>
          <w:rFonts w:ascii="Times New Roman" w:hAnsi="Times New Roman" w:cs="Times New Roman" w:eastAsia="Times New Roman" w:hint="default"/>
        </w:rPr>
        <w:t>110,872,975.43</w:t>
      </w:r>
      <w:r>
        <w:rPr/>
        <w:t>元，比上年</w:t>
      </w:r>
    </w:p>
    <w:p>
      <w:pPr>
        <w:spacing w:after="0" w:line="316" w:lineRule="auto"/>
        <w:jc w:val="left"/>
        <w:sectPr>
          <w:pgSz w:w="11910" w:h="16840"/>
          <w:pgMar w:header="745" w:footer="1340" w:top="1060" w:bottom="1540" w:left="980" w:right="0"/>
        </w:sectPr>
      </w:pPr>
    </w:p>
    <w:p>
      <w:pPr>
        <w:spacing w:line="240" w:lineRule="auto" w:before="9"/>
        <w:rPr>
          <w:rFonts w:ascii="宋体" w:hAnsi="宋体" w:cs="宋体" w:eastAsia="宋体" w:hint="default"/>
          <w:sz w:val="25"/>
          <w:szCs w:val="25"/>
        </w:rPr>
      </w:pPr>
    </w:p>
    <w:p>
      <w:pPr>
        <w:pStyle w:val="BodyText"/>
        <w:spacing w:line="340" w:lineRule="auto" w:before="44"/>
        <w:ind w:right="3749"/>
        <w:jc w:val="left"/>
      </w:pPr>
      <w:r>
        <w:rPr/>
        <w:t>同期增长</w:t>
      </w:r>
      <w:r>
        <w:rPr>
          <w:rFonts w:ascii="Times New Roman" w:hAnsi="Times New Roman" w:cs="Times New Roman" w:eastAsia="Times New Roman" w:hint="default"/>
        </w:rPr>
        <w:t>28.02%</w:t>
      </w:r>
      <w:r>
        <w:rPr/>
        <w:t>；归属上市公司股东的净利润</w:t>
      </w:r>
      <w:r>
        <w:rPr>
          <w:rFonts w:ascii="Times New Roman" w:hAnsi="Times New Roman" w:cs="Times New Roman" w:eastAsia="Times New Roman" w:hint="default"/>
        </w:rPr>
        <w:t>95,341,859.82</w:t>
      </w:r>
      <w:r>
        <w:rPr/>
        <w:t>元，比上年同期增长</w:t>
      </w:r>
      <w:r>
        <w:rPr>
          <w:rFonts w:ascii="Times New Roman" w:hAnsi="Times New Roman" w:cs="Times New Roman" w:eastAsia="Times New Roman" w:hint="default"/>
        </w:rPr>
        <w:t>31.14%</w:t>
      </w:r>
      <w:r>
        <w:rPr/>
        <w:t>。 公司回顾总结前期披露的发展战略和经营计划在报告期内的进展情况</w:t>
      </w:r>
    </w:p>
    <w:p>
      <w:pPr>
        <w:pStyle w:val="BodyText"/>
        <w:spacing w:line="309" w:lineRule="auto" w:before="39"/>
        <w:ind w:right="1034" w:firstLine="360"/>
        <w:jc w:val="left"/>
      </w:pPr>
      <w:r>
        <w:rPr>
          <w:rFonts w:ascii="Times New Roman" w:hAnsi="Times New Roman" w:cs="Times New Roman" w:eastAsia="Times New Roman" w:hint="default"/>
        </w:rPr>
        <w:t>2012</w:t>
      </w:r>
      <w:r>
        <w:rPr/>
        <w:t>年，公司在董事会的领导下，围绕年度的经营目标和发展战略，努力克服各种不利因素，积极主动采取有效措施， </w:t>
      </w:r>
      <w:r>
        <w:rPr>
          <w:spacing w:val="-2"/>
        </w:rPr>
        <w:t>突出重点，狠抓落实，通过深化产品结构、品牌战略、市场结构调整，加强管理，开源节流，在管理层和全体职工的共同努</w:t>
      </w:r>
      <w:r>
        <w:rPr>
          <w:spacing w:val="-73"/>
        </w:rPr>
        <w:t> </w:t>
      </w:r>
      <w:r>
        <w:rPr>
          <w:spacing w:val="-73"/>
        </w:rPr>
      </w:r>
      <w:r>
        <w:rPr/>
        <w:t>力下，实现销售收入的平稳增长，较好完成了全年目标任务，为公司长远、健康、稳定发展奠定了坚实的基础。</w:t>
      </w:r>
    </w:p>
    <w:p>
      <w:pPr>
        <w:spacing w:line="240" w:lineRule="auto" w:before="3"/>
        <w:rPr>
          <w:rFonts w:ascii="宋体" w:hAnsi="宋体" w:cs="宋体" w:eastAsia="宋体" w:hint="default"/>
          <w:sz w:val="23"/>
          <w:szCs w:val="23"/>
        </w:rPr>
      </w:pPr>
    </w:p>
    <w:p>
      <w:pPr>
        <w:pStyle w:val="Heading4"/>
        <w:spacing w:line="240" w:lineRule="auto"/>
        <w:ind w:right="1123"/>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说明</w:t>
      </w:r>
    </w:p>
    <w:p>
      <w:pPr>
        <w:pStyle w:val="BodyText"/>
        <w:spacing w:line="300" w:lineRule="auto" w:before="117"/>
        <w:ind w:right="1123"/>
        <w:jc w:val="left"/>
      </w:pPr>
      <w:r>
        <w:rPr/>
        <w:t>本年销售收入为 </w:t>
      </w:r>
      <w:r>
        <w:rPr>
          <w:rFonts w:ascii="Times New Roman" w:hAnsi="Times New Roman" w:cs="Times New Roman" w:eastAsia="Times New Roman" w:hint="default"/>
        </w:rPr>
        <w:t>94,404.59 </w:t>
      </w:r>
      <w:r>
        <w:rPr/>
        <w:t>万元，上年销售收入为 </w:t>
      </w:r>
      <w:r>
        <w:rPr>
          <w:rFonts w:ascii="Times New Roman" w:hAnsi="Times New Roman" w:cs="Times New Roman" w:eastAsia="Times New Roman" w:hint="default"/>
        </w:rPr>
        <w:t>86,213.12 </w:t>
      </w:r>
      <w:r>
        <w:rPr/>
        <w:t>万元，本年比上年增长幅度为</w:t>
      </w:r>
      <w:r>
        <w:rPr>
          <w:spacing w:val="12"/>
        </w:rPr>
        <w:t> </w:t>
      </w:r>
      <w:r>
        <w:rPr>
          <w:rFonts w:ascii="Times New Roman" w:hAnsi="Times New Roman" w:cs="Times New Roman" w:eastAsia="Times New Roman" w:hint="default"/>
        </w:rPr>
        <w:t>9.50%</w:t>
      </w:r>
      <w:r>
        <w:rPr/>
        <w:t>。主要是加大市场开拓 力度，导致销售收入增加。</w:t>
      </w: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401"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电器机械及器材制造业</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57,837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w:t>
            </w:r>
          </w:p>
        </w:tc>
      </w:tr>
      <w:tr>
        <w:trPr>
          <w:trHeight w:val="401"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56,386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w:t>
            </w: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45,499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-8.53%</w:t>
            </w:r>
          </w:p>
        </w:tc>
      </w:tr>
    </w:tbl>
    <w:p>
      <w:pPr>
        <w:pStyle w:val="BodyText"/>
        <w:spacing w:line="240" w:lineRule="auto" w:before="72"/>
        <w:ind w:right="1123"/>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92,354,220.51</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w:t>
            </w:r>
          </w:p>
        </w:tc>
      </w:tr>
    </w:tbl>
    <w:p>
      <w:pPr>
        <w:pStyle w:val="BodyText"/>
        <w:spacing w:line="240" w:lineRule="auto" w:before="49"/>
        <w:ind w:right="112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28,085,126.50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17,967,521.37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17,302,649.57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14,686,729.91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14,312,193.16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92,354,220.51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3"/>
        <w:jc w:val="left"/>
      </w:pPr>
      <w:r>
        <w:rPr/>
        <w:t>行业分类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电器机械及器材 制造业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558,330,087.76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543,769,493.69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电器机械及器材 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509,774,180.90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498,890,401.31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91.75%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电器机械及器材 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人员工资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23,499,710.61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23,766,628.45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电器机械及器材 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13,001,678.76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8,809,082.71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电器机械及器材 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3,669,917.17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3,047,628.43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电器机械及器材 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8,384,600.32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9,255,752.79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w:t>
            </w:r>
          </w:p>
        </w:tc>
      </w:tr>
    </w:tbl>
    <w:p>
      <w:pPr>
        <w:pStyle w:val="BodyText"/>
        <w:spacing w:line="240" w:lineRule="auto" w:before="49"/>
        <w:ind w:right="1123"/>
        <w:jc w:val="left"/>
      </w:pPr>
      <w:r>
        <w:rPr/>
        <w:t>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高、低压成套开 关设备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416,856,208.93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436,510,885.81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高、低压成套开 关设备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377,579,831.40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401,756,414.33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高、低压成套开 关设备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人员工资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19,360,417.19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20,298,185.68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高、低压成套开 关设备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10,480,458.98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6,771,043.20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高、低压成套开 关设备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3,260,162.18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2,731,355.07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高、低压成套开 关设备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6,175,339.18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4,953,887.53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元器件</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100,690,940.76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78,923,918.12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元器件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92,346,175.56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69,365,487.23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元器件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人员工资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3,390,853.43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3,000,213.36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元器件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2,460,978.55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1,946,568.79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元器件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409,754.99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316,273.36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元器件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2,083,178.23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4,295,375.38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36,398,854.96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26,857,468.28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35,877,638.37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26,479,777.08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人员工资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392,096.969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356,383.61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101,506.92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4,472.00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1,268,802.00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1,058,000.58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1,201,059.42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94.66%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936,487.25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6.15%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人员工资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56,131.24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50,741.32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8,297.14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68,754.13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-5.85%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3,314.20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2,017.88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电力电子</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3,115,281.11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419,220.90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电力电子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2,769,476.15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352,235.42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4.88%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电力电子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人员工资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300,211.79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61,104.48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-4.94%</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电力电子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24,331.38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5,881.00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-0.62%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电力电子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电力电子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21,261.79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0.68%</w:t>
            </w:r>
          </w:p>
        </w:tc>
      </w:tr>
    </w:tbl>
    <w:p>
      <w:pPr>
        <w:pStyle w:val="BodyText"/>
        <w:spacing w:line="338" w:lineRule="auto" w:before="49"/>
        <w:ind w:right="1123"/>
        <w:jc w:val="left"/>
      </w:pPr>
      <w:r>
        <w:rPr/>
        <w:t>说明 </w:t>
      </w:r>
      <w:r>
        <w:rPr>
          <w:spacing w:val="-2"/>
        </w:rPr>
        <w:t>公司成本项目按构成项目进行对比列示，其他制造费用为折旧和动力（即用电）之外的制造费用。公司能耗占比较小，占成</w:t>
      </w:r>
      <w:r>
        <w:rPr>
          <w:spacing w:val="-67"/>
        </w:rPr>
        <w:t> </w:t>
      </w:r>
      <w:r>
        <w:rPr>
          <w:spacing w:val="-67"/>
        </w:rPr>
      </w:r>
      <w:r>
        <w:rPr/>
        <w:t>本总额的</w:t>
      </w:r>
      <w:r>
        <w:rPr>
          <w:rFonts w:ascii="Times New Roman" w:hAnsi="Times New Roman" w:cs="Times New Roman" w:eastAsia="Times New Roman" w:hint="default"/>
        </w:rPr>
        <w:t>1%</w:t>
      </w:r>
      <w:r>
        <w:rPr/>
        <w:t>左右。</w:t>
      </w:r>
    </w:p>
    <w:p>
      <w:pPr>
        <w:pStyle w:val="BodyText"/>
        <w:spacing w:line="240" w:lineRule="auto" w:before="22"/>
        <w:ind w:right="1123"/>
        <w:jc w:val="left"/>
      </w:pPr>
      <w:r>
        <w:rPr/>
        <w:t>公司主要供应商情况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117,590,062.90</w:t>
            </w:r>
          </w:p>
        </w:tc>
      </w:tr>
      <w:tr>
        <w:trPr>
          <w:trHeight w:val="403"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23.32%</w:t>
            </w:r>
          </w:p>
        </w:tc>
      </w:tr>
    </w:tbl>
    <w:p>
      <w:pPr>
        <w:pStyle w:val="BodyText"/>
        <w:spacing w:line="240" w:lineRule="auto" w:before="49"/>
        <w:ind w:right="1123"/>
        <w:jc w:val="left"/>
      </w:pPr>
      <w:r>
        <w:rPr/>
        <w:pict>
          <v:shape style="position:absolute;margin-left:263.570007pt;margin-top:-20.158297pt;width:270.2pt;height:19.7pt;mso-position-horizontal-relative:page;mso-position-vertical-relative:paragraph;z-index:-830536"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71.010010pt;margin-top:-20.158297pt;width:262.75pt;height:19.7pt;mso-position-horizontal-relative:page;mso-position-vertical-relative:paragraph;z-index:-830512" coordorigin="5420,-403" coordsize="5255,394">
            <v:shape style="position:absolute;left:5420;top:-403;width:5255;height:394" coordorigin="5420,-403" coordsize="5255,394" path="m5420,-10l10675,-10,10675,-403,5420,-403,5420,-10xe" filled="true" fillcolor="#ffffff" stroked="false">
              <v:path arrowok="t"/>
              <v:fill type="solid"/>
            </v:shape>
            <w10:wrap type="none"/>
          </v:group>
        </w:pict>
      </w: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41,579,752.76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24,043,320.64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22,052,333.39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18,065,158.96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11,849,497.15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117,590,062.90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23.32%</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10"/>
        <w:rPr>
          <w:rFonts w:ascii="宋体" w:hAnsi="宋体" w:cs="宋体" w:eastAsia="宋体" w:hint="default"/>
          <w:b/>
          <w:bCs/>
          <w:sz w:val="25"/>
          <w:szCs w:val="25"/>
        </w:rPr>
      </w:pPr>
    </w:p>
    <w:tbl>
      <w:tblPr>
        <w:tblW w:w="0" w:type="auto"/>
        <w:jc w:val="left"/>
        <w:tblInd w:w="128" w:type="dxa"/>
        <w:tblLayout w:type="fixed"/>
        <w:tblCellMar>
          <w:top w:w="0" w:type="dxa"/>
          <w:left w:w="0" w:type="dxa"/>
          <w:bottom w:w="0" w:type="dxa"/>
          <w:right w:w="0" w:type="dxa"/>
        </w:tblCellMar>
        <w:tblLook w:val="01E0"/>
      </w:tblPr>
      <w:tblGrid>
        <w:gridCol w:w="1556"/>
        <w:gridCol w:w="2101"/>
        <w:gridCol w:w="1899"/>
        <w:gridCol w:w="1841"/>
      </w:tblGrid>
      <w:tr>
        <w:trPr>
          <w:trHeight w:val="341" w:hRule="exact"/>
        </w:trPr>
        <w:tc>
          <w:tcPr>
            <w:tcW w:w="1556" w:type="dxa"/>
            <w:tcBorders>
              <w:top w:val="nil" w:sz="6" w:space="0" w:color="auto"/>
              <w:left w:val="nil" w:sz="6" w:space="0" w:color="auto"/>
              <w:bottom w:val="single" w:sz="8" w:space="0" w:color="000000"/>
              <w:right w:val="single" w:sz="8" w:space="0" w:color="000000"/>
            </w:tcBorders>
          </w:tcPr>
          <w:p>
            <w:pPr>
              <w:pStyle w:val="TableParagraph"/>
              <w:spacing w:line="276" w:lineRule="exact"/>
              <w:ind w:left="29"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101" w:type="dxa"/>
            <w:tcBorders>
              <w:top w:val="nil" w:sz="6" w:space="0" w:color="auto"/>
              <w:left w:val="single" w:sz="8" w:space="0" w:color="000000"/>
              <w:bottom w:val="single" w:sz="8" w:space="0" w:color="000000"/>
              <w:right w:val="single" w:sz="8"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sz w:val="22"/>
                <w:szCs w:val="22"/>
              </w:rPr>
              <w:t>本期发生额</w:t>
            </w:r>
          </w:p>
        </w:tc>
        <w:tc>
          <w:tcPr>
            <w:tcW w:w="1899" w:type="dxa"/>
            <w:tcBorders>
              <w:top w:val="nil" w:sz="6" w:space="0" w:color="auto"/>
              <w:left w:val="single" w:sz="8" w:space="0" w:color="000000"/>
              <w:bottom w:val="single" w:sz="8" w:space="0" w:color="000000"/>
              <w:right w:val="single" w:sz="8"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sz w:val="22"/>
                <w:szCs w:val="22"/>
              </w:rPr>
              <w:t>上期发生额</w:t>
            </w:r>
          </w:p>
        </w:tc>
        <w:tc>
          <w:tcPr>
            <w:tcW w:w="1841" w:type="dxa"/>
            <w:tcBorders>
              <w:top w:val="nil" w:sz="6" w:space="0" w:color="auto"/>
              <w:left w:val="single" w:sz="8" w:space="0" w:color="000000"/>
              <w:bottom w:val="single" w:sz="8" w:space="0" w:color="000000"/>
              <w:right w:val="single" w:sz="8" w:space="0" w:color="000000"/>
            </w:tcBorders>
          </w:tcPr>
          <w:p>
            <w:pPr>
              <w:pStyle w:val="TableParagraph"/>
              <w:spacing w:line="276" w:lineRule="exact"/>
              <w:ind w:left="2" w:right="0"/>
              <w:jc w:val="center"/>
              <w:rPr>
                <w:rFonts w:ascii="宋体" w:hAnsi="宋体" w:cs="宋体" w:eastAsia="宋体" w:hint="default"/>
                <w:sz w:val="22"/>
                <w:szCs w:val="22"/>
              </w:rPr>
            </w:pPr>
            <w:r>
              <w:rPr>
                <w:rFonts w:ascii="宋体" w:hAnsi="宋体" w:cs="宋体" w:eastAsia="宋体" w:hint="default"/>
                <w:sz w:val="22"/>
                <w:szCs w:val="22"/>
              </w:rPr>
              <w:t>增减幅度</w:t>
            </w:r>
          </w:p>
        </w:tc>
      </w:tr>
      <w:tr>
        <w:trPr>
          <w:trHeight w:val="341" w:hRule="exact"/>
        </w:trPr>
        <w:tc>
          <w:tcPr>
            <w:tcW w:w="1556" w:type="dxa"/>
            <w:tcBorders>
              <w:top w:val="single" w:sz="8" w:space="0" w:color="000000"/>
              <w:left w:val="nil" w:sz="6" w:space="0" w:color="auto"/>
              <w:bottom w:val="single" w:sz="8" w:space="0" w:color="000000"/>
              <w:right w:val="single" w:sz="8" w:space="0" w:color="000000"/>
            </w:tcBorders>
          </w:tcPr>
          <w:p>
            <w:pPr>
              <w:pStyle w:val="TableParagraph"/>
              <w:spacing w:line="266" w:lineRule="exact"/>
              <w:ind w:left="29" w:right="0"/>
              <w:jc w:val="center"/>
              <w:rPr>
                <w:rFonts w:ascii="宋体" w:hAnsi="宋体" w:cs="宋体" w:eastAsia="宋体" w:hint="default"/>
                <w:sz w:val="22"/>
                <w:szCs w:val="22"/>
              </w:rPr>
            </w:pPr>
            <w:r>
              <w:rPr>
                <w:rFonts w:ascii="宋体" w:hAnsi="宋体" w:cs="宋体" w:eastAsia="宋体" w:hint="default"/>
                <w:sz w:val="22"/>
                <w:szCs w:val="22"/>
              </w:rPr>
              <w:t>销售费用</w:t>
            </w:r>
          </w:p>
        </w:tc>
        <w:tc>
          <w:tcPr>
            <w:tcW w:w="21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1" w:right="0"/>
              <w:jc w:val="center"/>
              <w:rPr>
                <w:rFonts w:ascii="Times New Roman" w:hAnsi="Times New Roman" w:cs="Times New Roman" w:eastAsia="Times New Roman" w:hint="default"/>
                <w:sz w:val="22"/>
                <w:szCs w:val="22"/>
              </w:rPr>
            </w:pPr>
            <w:r>
              <w:rPr>
                <w:rFonts w:ascii="Times New Roman"/>
                <w:sz w:val="22"/>
              </w:rPr>
              <w:t>87,075,213.54</w:t>
            </w:r>
          </w:p>
        </w:tc>
        <w:tc>
          <w:tcPr>
            <w:tcW w:w="18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1" w:right="0"/>
              <w:jc w:val="center"/>
              <w:rPr>
                <w:rFonts w:ascii="Times New Roman" w:hAnsi="Times New Roman" w:cs="Times New Roman" w:eastAsia="Times New Roman" w:hint="default"/>
                <w:sz w:val="22"/>
                <w:szCs w:val="22"/>
              </w:rPr>
            </w:pPr>
            <w:r>
              <w:rPr>
                <w:rFonts w:ascii="Times New Roman"/>
                <w:sz w:val="22"/>
              </w:rPr>
              <w:t>77,843,237.12</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1" w:right="0"/>
              <w:jc w:val="center"/>
              <w:rPr>
                <w:rFonts w:ascii="Times New Roman" w:hAnsi="Times New Roman" w:cs="Times New Roman" w:eastAsia="Times New Roman" w:hint="default"/>
                <w:sz w:val="22"/>
                <w:szCs w:val="22"/>
              </w:rPr>
            </w:pPr>
            <w:r>
              <w:rPr>
                <w:rFonts w:ascii="Times New Roman"/>
                <w:sz w:val="22"/>
              </w:rPr>
              <w:t>11.86%</w:t>
            </w:r>
          </w:p>
        </w:tc>
      </w:tr>
      <w:tr>
        <w:trPr>
          <w:trHeight w:val="343" w:hRule="exact"/>
        </w:trPr>
        <w:tc>
          <w:tcPr>
            <w:tcW w:w="1556" w:type="dxa"/>
            <w:tcBorders>
              <w:top w:val="single" w:sz="8" w:space="0" w:color="000000"/>
              <w:left w:val="nil" w:sz="6" w:space="0" w:color="auto"/>
              <w:bottom w:val="single" w:sz="8" w:space="0" w:color="000000"/>
              <w:right w:val="single" w:sz="8" w:space="0" w:color="000000"/>
            </w:tcBorders>
          </w:tcPr>
          <w:p>
            <w:pPr>
              <w:pStyle w:val="TableParagraph"/>
              <w:spacing w:line="269" w:lineRule="exact"/>
              <w:ind w:left="29" w:right="0"/>
              <w:jc w:val="center"/>
              <w:rPr>
                <w:rFonts w:ascii="宋体" w:hAnsi="宋体" w:cs="宋体" w:eastAsia="宋体" w:hint="default"/>
                <w:sz w:val="22"/>
                <w:szCs w:val="22"/>
              </w:rPr>
            </w:pPr>
            <w:r>
              <w:rPr>
                <w:rFonts w:ascii="宋体" w:hAnsi="宋体" w:cs="宋体" w:eastAsia="宋体" w:hint="default"/>
                <w:sz w:val="22"/>
                <w:szCs w:val="22"/>
              </w:rPr>
              <w:t>管理费用</w:t>
            </w:r>
          </w:p>
        </w:tc>
        <w:tc>
          <w:tcPr>
            <w:tcW w:w="21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1" w:right="0"/>
              <w:jc w:val="center"/>
              <w:rPr>
                <w:rFonts w:ascii="Times New Roman" w:hAnsi="Times New Roman" w:cs="Times New Roman" w:eastAsia="Times New Roman" w:hint="default"/>
                <w:sz w:val="22"/>
                <w:szCs w:val="22"/>
              </w:rPr>
            </w:pPr>
            <w:r>
              <w:rPr>
                <w:rFonts w:ascii="Times New Roman"/>
                <w:sz w:val="22"/>
              </w:rPr>
              <w:t>113,696,107.73</w:t>
            </w:r>
          </w:p>
        </w:tc>
        <w:tc>
          <w:tcPr>
            <w:tcW w:w="18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1" w:right="0"/>
              <w:jc w:val="center"/>
              <w:rPr>
                <w:rFonts w:ascii="Times New Roman" w:hAnsi="Times New Roman" w:cs="Times New Roman" w:eastAsia="Times New Roman" w:hint="default"/>
                <w:sz w:val="22"/>
                <w:szCs w:val="22"/>
              </w:rPr>
            </w:pPr>
            <w:r>
              <w:rPr>
                <w:rFonts w:ascii="Times New Roman"/>
                <w:sz w:val="22"/>
              </w:rPr>
              <w:t>109,878,054.87</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1" w:right="0"/>
              <w:jc w:val="center"/>
              <w:rPr>
                <w:rFonts w:ascii="Times New Roman" w:hAnsi="Times New Roman" w:cs="Times New Roman" w:eastAsia="Times New Roman" w:hint="default"/>
                <w:sz w:val="22"/>
                <w:szCs w:val="22"/>
              </w:rPr>
            </w:pPr>
            <w:r>
              <w:rPr>
                <w:rFonts w:ascii="Times New Roman"/>
                <w:sz w:val="22"/>
              </w:rPr>
              <w:t>3.47%</w:t>
            </w:r>
          </w:p>
        </w:tc>
      </w:tr>
      <w:tr>
        <w:trPr>
          <w:trHeight w:val="341" w:hRule="exact"/>
        </w:trPr>
        <w:tc>
          <w:tcPr>
            <w:tcW w:w="1556" w:type="dxa"/>
            <w:tcBorders>
              <w:top w:val="single" w:sz="8" w:space="0" w:color="000000"/>
              <w:left w:val="nil" w:sz="6" w:space="0" w:color="auto"/>
              <w:bottom w:val="single" w:sz="8" w:space="0" w:color="000000"/>
              <w:right w:val="single" w:sz="8" w:space="0" w:color="000000"/>
            </w:tcBorders>
          </w:tcPr>
          <w:p>
            <w:pPr>
              <w:pStyle w:val="TableParagraph"/>
              <w:spacing w:line="266" w:lineRule="exact"/>
              <w:ind w:left="29" w:right="0"/>
              <w:jc w:val="center"/>
              <w:rPr>
                <w:rFonts w:ascii="宋体" w:hAnsi="宋体" w:cs="宋体" w:eastAsia="宋体" w:hint="default"/>
                <w:sz w:val="22"/>
                <w:szCs w:val="22"/>
              </w:rPr>
            </w:pPr>
            <w:r>
              <w:rPr>
                <w:rFonts w:ascii="宋体" w:hAnsi="宋体" w:cs="宋体" w:eastAsia="宋体" w:hint="default"/>
                <w:sz w:val="22"/>
                <w:szCs w:val="22"/>
              </w:rPr>
              <w:t>财务费用</w:t>
            </w:r>
          </w:p>
        </w:tc>
        <w:tc>
          <w:tcPr>
            <w:tcW w:w="21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1" w:right="0"/>
              <w:jc w:val="center"/>
              <w:rPr>
                <w:rFonts w:ascii="Times New Roman" w:hAnsi="Times New Roman" w:cs="Times New Roman" w:eastAsia="Times New Roman" w:hint="default"/>
                <w:sz w:val="22"/>
                <w:szCs w:val="22"/>
              </w:rPr>
            </w:pPr>
            <w:r>
              <w:rPr>
                <w:rFonts w:ascii="Times New Roman"/>
                <w:sz w:val="22"/>
              </w:rPr>
              <w:t>45,075,257.20</w:t>
            </w:r>
          </w:p>
        </w:tc>
        <w:tc>
          <w:tcPr>
            <w:tcW w:w="18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1" w:right="0"/>
              <w:jc w:val="center"/>
              <w:rPr>
                <w:rFonts w:ascii="Times New Roman" w:hAnsi="Times New Roman" w:cs="Times New Roman" w:eastAsia="Times New Roman" w:hint="default"/>
                <w:sz w:val="22"/>
                <w:szCs w:val="22"/>
              </w:rPr>
            </w:pPr>
            <w:r>
              <w:rPr>
                <w:rFonts w:ascii="Times New Roman"/>
                <w:sz w:val="22"/>
              </w:rPr>
              <w:t>30,802,209.03</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1" w:right="0"/>
              <w:jc w:val="center"/>
              <w:rPr>
                <w:rFonts w:ascii="Times New Roman" w:hAnsi="Times New Roman" w:cs="Times New Roman" w:eastAsia="Times New Roman" w:hint="default"/>
                <w:sz w:val="22"/>
                <w:szCs w:val="22"/>
              </w:rPr>
            </w:pPr>
            <w:r>
              <w:rPr>
                <w:rFonts w:ascii="Times New Roman"/>
                <w:sz w:val="22"/>
              </w:rPr>
              <w:t>46.34%</w:t>
            </w:r>
          </w:p>
        </w:tc>
      </w:tr>
      <w:tr>
        <w:trPr>
          <w:trHeight w:val="343" w:hRule="exact"/>
        </w:trPr>
        <w:tc>
          <w:tcPr>
            <w:tcW w:w="1556" w:type="dxa"/>
            <w:tcBorders>
              <w:top w:val="single" w:sz="8" w:space="0" w:color="000000"/>
              <w:left w:val="nil" w:sz="6" w:space="0" w:color="auto"/>
              <w:bottom w:val="single" w:sz="8" w:space="0" w:color="000000"/>
              <w:right w:val="single" w:sz="8" w:space="0" w:color="000000"/>
            </w:tcBorders>
          </w:tcPr>
          <w:p>
            <w:pPr>
              <w:pStyle w:val="TableParagraph"/>
              <w:spacing w:line="269" w:lineRule="exact"/>
              <w:ind w:left="26" w:right="0"/>
              <w:jc w:val="center"/>
              <w:rPr>
                <w:rFonts w:ascii="宋体" w:hAnsi="宋体" w:cs="宋体" w:eastAsia="宋体" w:hint="default"/>
                <w:sz w:val="22"/>
                <w:szCs w:val="22"/>
              </w:rPr>
            </w:pPr>
            <w:r>
              <w:rPr>
                <w:rFonts w:ascii="宋体" w:hAnsi="宋体" w:cs="宋体" w:eastAsia="宋体" w:hint="default"/>
                <w:sz w:val="22"/>
                <w:szCs w:val="22"/>
              </w:rPr>
              <w:t>所得税费用</w:t>
            </w:r>
          </w:p>
        </w:tc>
        <w:tc>
          <w:tcPr>
            <w:tcW w:w="21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1" w:right="0"/>
              <w:jc w:val="center"/>
              <w:rPr>
                <w:rFonts w:ascii="Times New Roman" w:hAnsi="Times New Roman" w:cs="Times New Roman" w:eastAsia="Times New Roman" w:hint="default"/>
                <w:sz w:val="22"/>
                <w:szCs w:val="22"/>
              </w:rPr>
            </w:pPr>
            <w:r>
              <w:rPr>
                <w:rFonts w:ascii="Times New Roman"/>
                <w:sz w:val="22"/>
              </w:rPr>
              <w:t>16,466,484.24</w:t>
            </w:r>
          </w:p>
        </w:tc>
        <w:tc>
          <w:tcPr>
            <w:tcW w:w="18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1" w:right="0"/>
              <w:jc w:val="center"/>
              <w:rPr>
                <w:rFonts w:ascii="Times New Roman" w:hAnsi="Times New Roman" w:cs="Times New Roman" w:eastAsia="Times New Roman" w:hint="default"/>
                <w:sz w:val="22"/>
                <w:szCs w:val="22"/>
              </w:rPr>
            </w:pPr>
            <w:r>
              <w:rPr>
                <w:rFonts w:ascii="Times New Roman"/>
                <w:sz w:val="22"/>
              </w:rPr>
              <w:t>12,771,601.15</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1" w:right="0"/>
              <w:jc w:val="center"/>
              <w:rPr>
                <w:rFonts w:ascii="Times New Roman" w:hAnsi="Times New Roman" w:cs="Times New Roman" w:eastAsia="Times New Roman" w:hint="default"/>
                <w:sz w:val="22"/>
                <w:szCs w:val="22"/>
              </w:rPr>
            </w:pPr>
            <w:r>
              <w:rPr>
                <w:rFonts w:ascii="Times New Roman"/>
                <w:sz w:val="22"/>
              </w:rPr>
              <w:t>28.93%</w:t>
            </w:r>
          </w:p>
        </w:tc>
      </w:tr>
    </w:tbl>
    <w:p>
      <w:pPr>
        <w:pStyle w:val="BodyText"/>
        <w:spacing w:line="240" w:lineRule="auto" w:before="8"/>
        <w:ind w:right="1123"/>
        <w:jc w:val="left"/>
      </w:pPr>
      <w:r>
        <w:rPr/>
        <w:t>财务费用比上年同期增加</w:t>
      </w:r>
      <w:r>
        <w:rPr>
          <w:rFonts w:ascii="Times New Roman" w:hAnsi="Times New Roman" w:cs="Times New Roman" w:eastAsia="Times New Roman" w:hint="default"/>
        </w:rPr>
        <w:t>1,427.30</w:t>
      </w:r>
      <w:r>
        <w:rPr/>
        <w:t>万元，增长</w:t>
      </w:r>
      <w:r>
        <w:rPr>
          <w:rFonts w:ascii="Times New Roman" w:hAnsi="Times New Roman" w:cs="Times New Roman" w:eastAsia="Times New Roman" w:hint="default"/>
        </w:rPr>
        <w:t>46.34%</w:t>
      </w:r>
      <w:r>
        <w:rPr/>
        <w:t>，主要原因系本期增加应付债券利息及短期借款利息所致。</w:t>
      </w:r>
    </w:p>
    <w:p>
      <w:pPr>
        <w:spacing w:after="0" w:line="240" w:lineRule="auto"/>
        <w:jc w:val="left"/>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154"/>
        <w:jc w:val="left"/>
      </w:pPr>
      <w:r>
        <w:rPr/>
        <w:t>报告期内，公司坚持自主创新，持续加大研发力度，全年研发项目总支出为</w:t>
      </w:r>
      <w:r>
        <w:rPr>
          <w:rFonts w:ascii="Times New Roman" w:hAnsi="Times New Roman" w:cs="Times New Roman" w:eastAsia="Times New Roman" w:hint="default"/>
        </w:rPr>
        <w:t>61,407,016.45</w:t>
      </w:r>
      <w:r>
        <w:rPr/>
        <w:t>元，占营业收入的</w:t>
      </w:r>
      <w:r>
        <w:rPr>
          <w:rFonts w:ascii="Times New Roman" w:hAnsi="Times New Roman" w:cs="Times New Roman" w:eastAsia="Times New Roman" w:hint="default"/>
        </w:rPr>
        <w:t>6.50%</w:t>
      </w:r>
      <w:r>
        <w:rPr/>
        <w:t>，较上年 增加</w:t>
      </w:r>
      <w:r>
        <w:rPr>
          <w:rFonts w:ascii="Times New Roman" w:hAnsi="Times New Roman" w:cs="Times New Roman" w:eastAsia="Times New Roman" w:hint="default"/>
        </w:rPr>
        <w:t>18.15%</w:t>
      </w:r>
      <w:r>
        <w:rPr/>
        <w:t>。本报告期研发支出占公司最近一期经审计净资产比例为</w:t>
      </w:r>
      <w:r>
        <w:rPr>
          <w:rFonts w:ascii="Times New Roman" w:hAnsi="Times New Roman" w:cs="Times New Roman" w:eastAsia="Times New Roman" w:hint="default"/>
        </w:rPr>
        <w:t>5.19%</w:t>
      </w:r>
      <w:r>
        <w:rPr/>
        <w:t>。</w:t>
      </w:r>
    </w:p>
    <w:p>
      <w:pPr>
        <w:spacing w:line="240" w:lineRule="auto" w:before="4"/>
        <w:rPr>
          <w:rFonts w:ascii="宋体" w:hAnsi="宋体" w:cs="宋体" w:eastAsia="宋体" w:hint="default"/>
          <w:sz w:val="22"/>
          <w:szCs w:val="22"/>
        </w:rPr>
      </w:pPr>
    </w:p>
    <w:p>
      <w:pPr>
        <w:pStyle w:val="Heading4"/>
        <w:spacing w:line="240" w:lineRule="auto"/>
        <w:ind w:right="1123"/>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901,185,042.59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766,665,834.59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17.55%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855,008,547.90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755,957,293.20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46,176,494.69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10,708,541.39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331.21%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267,502.42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343,044.57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-22.02%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60,310,821.47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154,407,258.24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-60.94%</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-60,043,319.05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-154,064,213.67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61.03%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1,208,686,255.55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551,713,406.20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119.08%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853,565,823.45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448,960,878.79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90.12%</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355,120,432.10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102,752,527.41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245.61%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341,253,607.74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-40,603,144.87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940.46%</w:t>
            </w:r>
          </w:p>
        </w:tc>
      </w:tr>
    </w:tbl>
    <w:p>
      <w:pPr>
        <w:pStyle w:val="BodyText"/>
        <w:spacing w:line="319" w:lineRule="auto" w:before="49"/>
        <w:ind w:right="1123"/>
        <w:jc w:val="left"/>
      </w:pPr>
      <w:r>
        <w:rPr/>
        <w:t>相关数据同比发生变动</w:t>
      </w:r>
      <w:r>
        <w:rPr>
          <w:spacing w:val="-44"/>
        </w:rPr>
        <w:t> </w:t>
      </w:r>
      <w:r>
        <w:rPr>
          <w:rFonts w:ascii="Times New Roman" w:hAnsi="Times New Roman" w:cs="Times New Roman" w:eastAsia="Times New Roman" w:hint="default"/>
        </w:rPr>
        <w:t>30%</w:t>
      </w:r>
      <w:r>
        <w:rPr/>
        <w:t>以上的原因说明 </w:t>
      </w:r>
      <w:r>
        <w:rPr>
          <w:rFonts w:ascii="Times New Roman" w:hAnsi="Times New Roman" w:cs="Times New Roman" w:eastAsia="Times New Roman" w:hint="default"/>
        </w:rPr>
        <w:t>1</w:t>
      </w:r>
      <w:r>
        <w:rPr/>
        <w:t>、经营活动产生的现金流量净额比上年同期增长</w:t>
      </w:r>
      <w:r>
        <w:rPr>
          <w:rFonts w:ascii="Times New Roman" w:hAnsi="Times New Roman" w:cs="Times New Roman" w:eastAsia="Times New Roman" w:hint="default"/>
        </w:rPr>
        <w:t>331.21%</w:t>
      </w:r>
      <w:r>
        <w:rPr/>
        <w:t>，主要系公司在报告期内加大了收款力度，经营性活动产生的净 现金流量增加所致；</w:t>
      </w:r>
    </w:p>
    <w:p>
      <w:pPr>
        <w:pStyle w:val="BodyText"/>
        <w:spacing w:line="300" w:lineRule="auto" w:before="17"/>
        <w:ind w:right="1123"/>
        <w:jc w:val="left"/>
      </w:pPr>
      <w:r>
        <w:rPr>
          <w:rFonts w:ascii="Times New Roman" w:hAnsi="Times New Roman" w:cs="Times New Roman" w:eastAsia="Times New Roman" w:hint="default"/>
          <w:spacing w:val="-1"/>
        </w:rPr>
        <w:t>2</w:t>
      </w:r>
      <w:r>
        <w:rPr>
          <w:spacing w:val="-1"/>
        </w:rPr>
        <w:t>、投资活动现金流出小计比上年同期下降</w:t>
      </w:r>
      <w:r>
        <w:rPr>
          <w:rFonts w:ascii="Times New Roman" w:hAnsi="Times New Roman" w:cs="Times New Roman" w:eastAsia="Times New Roman" w:hint="default"/>
          <w:spacing w:val="-1"/>
        </w:rPr>
        <w:t>60.94%</w:t>
      </w:r>
      <w:r>
        <w:rPr>
          <w:spacing w:val="-1"/>
        </w:rPr>
        <w:t>、投资活动产生的现金流量净额比上年同期增长</w:t>
      </w:r>
      <w:r>
        <w:rPr>
          <w:rFonts w:ascii="Times New Roman" w:hAnsi="Times New Roman" w:cs="Times New Roman" w:eastAsia="Times New Roman" w:hint="default"/>
          <w:spacing w:val="-1"/>
        </w:rPr>
        <w:t>61.03%</w:t>
      </w:r>
      <w:r>
        <w:rPr>
          <w:spacing w:val="-1"/>
        </w:rPr>
        <w:t>，主要系购建固定</w:t>
      </w:r>
      <w:r>
        <w:rPr>
          <w:spacing w:val="-55"/>
        </w:rPr>
        <w:t> </w:t>
      </w:r>
      <w:r>
        <w:rPr>
          <w:spacing w:val="-55"/>
        </w:rPr>
      </w:r>
      <w:r>
        <w:rPr/>
        <w:t>资产、无形资产和其他长期资产所支付的现金比上年同期减少</w:t>
      </w:r>
      <w:r>
        <w:rPr>
          <w:rFonts w:ascii="Times New Roman" w:hAnsi="Times New Roman" w:cs="Times New Roman" w:eastAsia="Times New Roman" w:hint="default"/>
        </w:rPr>
        <w:t>69.71%</w:t>
      </w:r>
      <w:r>
        <w:rPr/>
        <w:t>； </w:t>
      </w:r>
      <w:r>
        <w:rPr>
          <w:rFonts w:ascii="Times New Roman" w:hAnsi="Times New Roman" w:cs="Times New Roman" w:eastAsia="Times New Roman" w:hint="default"/>
        </w:rPr>
        <w:t>3</w:t>
      </w:r>
      <w:r>
        <w:rPr/>
        <w:t>、筹资活动现金流入小计比上年同期增长</w:t>
      </w:r>
      <w:r>
        <w:rPr>
          <w:rFonts w:ascii="Times New Roman" w:hAnsi="Times New Roman" w:cs="Times New Roman" w:eastAsia="Times New Roman" w:hint="default"/>
        </w:rPr>
        <w:t>119.08%</w:t>
      </w:r>
      <w:r>
        <w:rPr/>
        <w:t>，主要系</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月份增发所致；</w:t>
      </w:r>
    </w:p>
    <w:p>
      <w:pPr>
        <w:pStyle w:val="BodyText"/>
        <w:spacing w:line="240" w:lineRule="auto" w:before="13"/>
        <w:ind w:right="1123"/>
        <w:jc w:val="left"/>
      </w:pPr>
      <w:r>
        <w:rPr>
          <w:rFonts w:ascii="Times New Roman" w:hAnsi="Times New Roman" w:cs="Times New Roman" w:eastAsia="Times New Roman" w:hint="default"/>
        </w:rPr>
        <w:t>4</w:t>
      </w:r>
      <w:r>
        <w:rPr/>
        <w:t>、筹资活动现金流出小计比上年同期增长</w:t>
      </w:r>
      <w:r>
        <w:rPr>
          <w:rFonts w:ascii="Times New Roman" w:hAnsi="Times New Roman" w:cs="Times New Roman" w:eastAsia="Times New Roman" w:hint="default"/>
        </w:rPr>
        <w:t>90.12%</w:t>
      </w:r>
      <w:r>
        <w:rPr/>
        <w:t>，主要系公司偿还债务所支付的现金比上年同期增长</w:t>
      </w:r>
      <w:r>
        <w:rPr>
          <w:rFonts w:ascii="Times New Roman" w:hAnsi="Times New Roman" w:cs="Times New Roman" w:eastAsia="Times New Roman" w:hint="default"/>
        </w:rPr>
        <w:t>105.47%</w:t>
      </w:r>
      <w:r>
        <w:rPr/>
        <w:t>；</w:t>
      </w:r>
    </w:p>
    <w:p>
      <w:pPr>
        <w:pStyle w:val="BodyText"/>
        <w:spacing w:line="340" w:lineRule="auto" w:before="63"/>
        <w:ind w:right="3629"/>
        <w:jc w:val="left"/>
      </w:pPr>
      <w:r>
        <w:rPr>
          <w:rFonts w:ascii="Times New Roman" w:hAnsi="Times New Roman" w:cs="Times New Roman" w:eastAsia="Times New Roman" w:hint="default"/>
        </w:rPr>
        <w:t>5</w:t>
      </w:r>
      <w:r>
        <w:rPr/>
        <w:t>、筹资活动产生的现金流量净额比上年同期增长</w:t>
      </w:r>
      <w:r>
        <w:rPr>
          <w:rFonts w:ascii="Times New Roman" w:hAnsi="Times New Roman" w:cs="Times New Roman" w:eastAsia="Times New Roman" w:hint="default"/>
        </w:rPr>
        <w:t>245.61%</w:t>
      </w:r>
      <w:r>
        <w:rPr/>
        <w:t>，主要系</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月份增发所致。 报告期内公司经营活动的现金流量与本年度净利润存在重大差异的原因说明</w:t>
      </w:r>
    </w:p>
    <w:p>
      <w:pPr>
        <w:pStyle w:val="BodyText"/>
        <w:spacing w:line="309" w:lineRule="auto" w:before="40"/>
        <w:ind w:right="0" w:firstLine="144"/>
        <w:jc w:val="left"/>
      </w:pPr>
      <w:r>
        <w:rPr>
          <w:spacing w:val="-2"/>
        </w:rPr>
        <w:t>报告期内公司的经营活动的现金净流量为</w:t>
      </w:r>
      <w:r>
        <w:rPr>
          <w:rFonts w:ascii="Times New Roman" w:hAnsi="Times New Roman" w:cs="Times New Roman" w:eastAsia="Times New Roman" w:hint="default"/>
          <w:spacing w:val="-2"/>
        </w:rPr>
        <w:t>4,617.65</w:t>
      </w:r>
      <w:r>
        <w:rPr>
          <w:spacing w:val="-2"/>
        </w:rPr>
        <w:t>万元，同比增长</w:t>
      </w:r>
      <w:r>
        <w:rPr>
          <w:rFonts w:ascii="Times New Roman" w:hAnsi="Times New Roman" w:cs="Times New Roman" w:eastAsia="Times New Roman" w:hint="default"/>
          <w:spacing w:val="-2"/>
        </w:rPr>
        <w:t>331.21%</w:t>
      </w:r>
      <w:r>
        <w:rPr>
          <w:spacing w:val="-2"/>
        </w:rPr>
        <w:t>；公司净利润为</w:t>
      </w:r>
      <w:r>
        <w:rPr>
          <w:rFonts w:ascii="Times New Roman" w:hAnsi="Times New Roman" w:cs="Times New Roman" w:eastAsia="Times New Roman" w:hint="default"/>
          <w:spacing w:val="-2"/>
        </w:rPr>
        <w:t>9,440.65</w:t>
      </w:r>
      <w:r>
        <w:rPr>
          <w:spacing w:val="-2"/>
        </w:rPr>
        <w:t>万元，同比增长</w:t>
      </w:r>
      <w:r>
        <w:rPr>
          <w:rFonts w:ascii="Times New Roman" w:hAnsi="Times New Roman" w:cs="Times New Roman" w:eastAsia="Times New Roman" w:hint="default"/>
          <w:spacing w:val="-2"/>
        </w:rPr>
        <w:t>27.86%</w:t>
      </w:r>
      <w:r>
        <w:rPr>
          <w:spacing w:val="-2"/>
        </w:rPr>
        <w:t>。</w:t>
      </w:r>
      <w:r>
        <w:rPr/>
        <w:t> </w:t>
      </w:r>
      <w:r>
        <w:rPr>
          <w:spacing w:val="-2"/>
        </w:rPr>
        <w:t>经营活动的现金净流量与净利润存在重大差异的主要原因是：在收入增长的情况下，公司的收入确认原则以及客户分期付款</w:t>
      </w:r>
      <w:r>
        <w:rPr>
          <w:spacing w:val="-64"/>
        </w:rPr>
        <w:t> </w:t>
      </w:r>
      <w:r>
        <w:rPr>
          <w:spacing w:val="-64"/>
        </w:rPr>
      </w:r>
      <w:r>
        <w:rPr/>
        <w:t>的信用政策决定了现金流流入少于利润的实现。</w:t>
      </w:r>
    </w:p>
    <w:p>
      <w:pPr>
        <w:spacing w:line="240" w:lineRule="auto" w:before="3"/>
        <w:rPr>
          <w:rFonts w:ascii="宋体" w:hAnsi="宋体" w:cs="宋体" w:eastAsia="宋体" w:hint="default"/>
          <w:sz w:val="21"/>
          <w:szCs w:val="21"/>
        </w:rPr>
      </w:pPr>
    </w:p>
    <w:p>
      <w:pPr>
        <w:pStyle w:val="Heading2"/>
        <w:spacing w:line="240" w:lineRule="auto"/>
        <w:ind w:right="1123"/>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9"/>
        <w:gridCol w:w="1373"/>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5" w:right="50"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电器机械及器材 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934,394,633.96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558,330,087.76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高、低压成套开 关设备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656,978,747.66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416,856,208.93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3.11%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元器件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199,602,777.02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100,690,940.76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70,153,066.94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36,398,854.96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1,968,896.85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1,268,802.00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电力电子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5,691,145.49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3,115,281.11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670.5%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643.11%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2.02%</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335,995,290.53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194,976,463.23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496,364,859.26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304,473,899.00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7,318,816.23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4,316,329.08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24,264,786.55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13,911,255.03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30,391,464.24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17,498,538.91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8,975,924.80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5,346,563.40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31,083,492.35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17,807,039.11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713.81%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643.67%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3"/>
        <w:gridCol w:w="1064"/>
        <w:gridCol w:w="799"/>
        <w:gridCol w:w="2919"/>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3"/>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3"/>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506,001,074.9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24.91%</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164,176,029.17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11.23%</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13.68%</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本期非公开增发股票所致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pacing w:val="-1"/>
                <w:sz w:val="18"/>
              </w:rPr>
              <w:t>632,493,016.1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31.14%</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406,596,870.67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27.81%</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3.33%</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52"/>
              <w:ind w:left="23" w:right="183"/>
              <w:jc w:val="left"/>
              <w:rPr>
                <w:rFonts w:ascii="宋体" w:hAnsi="宋体" w:cs="宋体" w:eastAsia="宋体" w:hint="default"/>
                <w:sz w:val="18"/>
                <w:szCs w:val="18"/>
              </w:rPr>
            </w:pPr>
            <w:r>
              <w:rPr>
                <w:rFonts w:ascii="宋体" w:hAnsi="宋体" w:cs="宋体" w:eastAsia="宋体" w:hint="default"/>
                <w:sz w:val="18"/>
                <w:szCs w:val="18"/>
              </w:rPr>
              <w:t>本年度收入较上年度收入增加及铁 路部门应收账款回款速度较慢所致</w:t>
            </w:r>
          </w:p>
        </w:tc>
      </w:tr>
      <w:tr>
        <w:trPr>
          <w:trHeight w:val="392"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421,323,545.3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20.74%</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466,082,430.16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31.88%</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-11.14%</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39,467,709.45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25,854,558.57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9" w:right="0"/>
              <w:jc w:val="left"/>
              <w:rPr>
                <w:rFonts w:ascii="Times New Roman" w:hAnsi="Times New Roman" w:cs="Times New Roman" w:eastAsia="Times New Roman" w:hint="default"/>
                <w:sz w:val="18"/>
                <w:szCs w:val="18"/>
              </w:rPr>
            </w:pPr>
            <w:r>
              <w:rPr>
                <w:rFonts w:ascii="Times New Roman"/>
                <w:sz w:val="18"/>
              </w:rPr>
              <w:t>1.77%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主要系对联营企业增加投资所致</w:t>
            </w: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234,434,189.8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11.54%</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230,756,100.52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15.78%</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-4.24%</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13,522,191.15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0.67%</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3"/>
        <w:gridCol w:w="1064"/>
        <w:gridCol w:w="799"/>
        <w:gridCol w:w="2919"/>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4"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11.37%</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463,600,000.00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31.71%</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-20.34%</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主要系向银行借款减少所致</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7,700,000.00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0.38%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48,500,000.00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3.32%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2" w:right="0"/>
              <w:jc w:val="left"/>
              <w:rPr>
                <w:rFonts w:ascii="Times New Roman" w:hAnsi="Times New Roman" w:cs="Times New Roman" w:eastAsia="Times New Roman" w:hint="default"/>
                <w:sz w:val="18"/>
                <w:szCs w:val="18"/>
              </w:rPr>
            </w:pPr>
            <w:r>
              <w:rPr>
                <w:rFonts w:ascii="Times New Roman"/>
                <w:sz w:val="18"/>
              </w:rPr>
              <w:t>-2.94%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主要系向银行借款减少所致</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五、核心竞争力分析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123"/>
        <w:jc w:val="left"/>
      </w:pPr>
      <w:r>
        <w:rPr>
          <w:rFonts w:ascii="Times New Roman" w:hAnsi="Times New Roman" w:cs="Times New Roman" w:eastAsia="Times New Roman" w:hint="default"/>
        </w:rPr>
        <w:t>1</w:t>
      </w:r>
      <w:r>
        <w:rPr/>
        <w:t>、营销及渠道竞争力 </w:t>
      </w:r>
      <w:r>
        <w:rPr>
          <w:spacing w:val="-2"/>
        </w:rPr>
        <w:t>在营销中心的建设上，公司根据市场的地域分布，在重点市场北京地区建立了北京分公司，并设立</w:t>
      </w:r>
      <w:r>
        <w:rPr>
          <w:rFonts w:ascii="Times New Roman" w:hAnsi="Times New Roman" w:cs="Times New Roman" w:eastAsia="Times New Roman" w:hint="default"/>
          <w:spacing w:val="-2"/>
        </w:rPr>
        <w:t>16</w:t>
      </w:r>
      <w:r>
        <w:rPr>
          <w:spacing w:val="-2"/>
        </w:rPr>
        <w:t>个销售办事处，包</w:t>
      </w:r>
    </w:p>
    <w:p>
      <w:pPr>
        <w:pStyle w:val="BodyText"/>
        <w:spacing w:line="312" w:lineRule="auto" w:before="13"/>
        <w:ind w:right="1034"/>
        <w:jc w:val="left"/>
      </w:pPr>
      <w:r>
        <w:rPr>
          <w:spacing w:val="-4"/>
        </w:rPr>
        <w:t>括上海办事处、天津办事处、重庆办事处、南京办事处、西安办事处、武汉办事处、广州办事处、苏州办事处、合肥办事处、</w:t>
      </w:r>
      <w:r>
        <w:rPr>
          <w:spacing w:val="-46"/>
        </w:rPr>
        <w:t> </w:t>
      </w:r>
      <w:r>
        <w:rPr>
          <w:spacing w:val="-46"/>
        </w:rPr>
      </w:r>
      <w:r>
        <w:rPr>
          <w:spacing w:val="-2"/>
        </w:rPr>
        <w:t>芜湖办事处、皖北办事处、常州办事处、山东办事处、河南办事处、四川办事处、浙江办事处。分公司及这些办事处作为营</w:t>
      </w:r>
      <w:r>
        <w:rPr>
          <w:spacing w:val="-73"/>
        </w:rPr>
        <w:t> </w:t>
      </w:r>
      <w:r>
        <w:rPr>
          <w:spacing w:val="-73"/>
        </w:rPr>
      </w:r>
      <w:r>
        <w:rPr>
          <w:spacing w:val="-2"/>
        </w:rPr>
        <w:t>销中心的派出机构，是公司营销体系的延伸和拓展，担负着销售、工程技术支持、售后服务、市场资源管理等多项任务。在</w:t>
      </w:r>
      <w:r>
        <w:rPr>
          <w:spacing w:val="-70"/>
        </w:rPr>
        <w:t> </w:t>
      </w:r>
      <w:r>
        <w:rPr>
          <w:spacing w:val="-70"/>
        </w:rPr>
      </w:r>
      <w:r>
        <w:rPr/>
        <w:t>举世瞩目的北京奥运场馆建设中，公司产品成功运行于北京</w:t>
      </w:r>
      <w:r>
        <w:rPr>
          <w:rFonts w:ascii="Times New Roman" w:hAnsi="Times New Roman" w:cs="Times New Roman" w:eastAsia="Times New Roman" w:hint="default"/>
        </w:rPr>
        <w:t>2008</w:t>
      </w:r>
      <w:r>
        <w:rPr/>
        <w:t>奥运场馆、北京奥林匹克公园、中央电视台（</w:t>
      </w:r>
      <w:r>
        <w:rPr>
          <w:rFonts w:ascii="Times New Roman" w:hAnsi="Times New Roman" w:cs="Times New Roman" w:eastAsia="Times New Roman" w:hint="default"/>
        </w:rPr>
        <w:t>CCTV</w:t>
      </w:r>
      <w:r>
        <w:rPr/>
        <w:t>）新台 </w:t>
      </w:r>
      <w:r>
        <w:rPr>
          <w:spacing w:val="-4"/>
        </w:rPr>
        <w:t>址、北京地铁（</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10</w:t>
      </w:r>
      <w:r>
        <w:rPr>
          <w:spacing w:val="-4"/>
        </w:rPr>
        <w:t>号线）南京地铁、重庆地铁、中国国际展览中心、中国银行信息中心、首都机场、禄口机场、</w:t>
      </w:r>
      <w:r>
        <w:rPr>
          <w:spacing w:val="-40"/>
        </w:rPr>
        <w:t> </w:t>
      </w:r>
      <w:r>
        <w:rPr>
          <w:spacing w:val="-40"/>
        </w:rPr>
      </w:r>
      <w:r>
        <w:rPr>
          <w:spacing w:val="-2"/>
        </w:rPr>
        <w:t>昆明机场、虹桥机场、中国建材工业对外经济技术合作公司、北京大学体育馆、马钢股份有限公司、铜陵有色集团公司、奇</w:t>
      </w:r>
      <w:r>
        <w:rPr>
          <w:spacing w:val="-68"/>
        </w:rPr>
        <w:t> </w:t>
      </w:r>
      <w:r>
        <w:rPr>
          <w:spacing w:val="-68"/>
        </w:rPr>
      </w:r>
      <w:r>
        <w:rPr/>
        <w:t>瑞汽车等国家大型工程。近两三年间，公司产品己在北京城际铁路、天津城际铁路、上海城际铁路、西安城际铁路及石德、 </w:t>
      </w:r>
      <w:r>
        <w:rPr>
          <w:spacing w:val="-2"/>
        </w:rPr>
        <w:t>合宁、石太、武广、郑西、温福、甬台温、福厦、沪杭、广深港、海南东环、广珠、京沪、宁杭、京石武、向莆等高速铁路</w:t>
      </w:r>
      <w:r>
        <w:rPr>
          <w:spacing w:val="-70"/>
        </w:rPr>
        <w:t> </w:t>
      </w:r>
      <w:r>
        <w:rPr>
          <w:spacing w:val="-70"/>
        </w:rPr>
      </w:r>
      <w:r>
        <w:rPr>
          <w:spacing w:val="-1"/>
        </w:rPr>
        <w:t>客运专线提供轨道交通（铁路）远动高压</w:t>
      </w:r>
      <w:r>
        <w:rPr>
          <w:rFonts w:ascii="Times New Roman" w:hAnsi="Times New Roman" w:cs="Times New Roman" w:eastAsia="Times New Roman" w:hint="default"/>
          <w:spacing w:val="-1"/>
        </w:rPr>
        <w:t>/</w:t>
      </w:r>
      <w:r>
        <w:rPr>
          <w:spacing w:val="-1"/>
        </w:rPr>
        <w:t>低压预装式变电站和高、低压开关柜等国家大型工程、重点工程上得到广泛应用。</w:t>
      </w:r>
      <w:r>
        <w:rPr>
          <w:spacing w:val="-78"/>
        </w:rPr>
        <w:t> </w:t>
      </w:r>
      <w:r>
        <w:rPr>
          <w:spacing w:val="-78"/>
        </w:rPr>
      </w:r>
      <w:r>
        <w:rPr>
          <w:spacing w:val="-2"/>
        </w:rPr>
        <w:t>目前公司产品己销售至马来西亚、印尼、巴基斯坦、刚果、越南、苏丹、莫桑比克、摩洛哥等十多个国家和地区。此外，公</w:t>
      </w:r>
      <w:r>
        <w:rPr>
          <w:spacing w:val="-68"/>
        </w:rPr>
        <w:t> </w:t>
      </w:r>
      <w:r>
        <w:rPr>
          <w:spacing w:val="-68"/>
        </w:rPr>
      </w:r>
      <w:r>
        <w:rPr>
          <w:spacing w:val="-2"/>
        </w:rPr>
        <w:t>司还定期对销售、安装和售后维护人员进行专业技术培训、安装技能培训和产品运行维护培训，保证整个营销体系能持续满</w:t>
      </w:r>
      <w:r>
        <w:rPr>
          <w:spacing w:val="-63"/>
        </w:rPr>
        <w:t> </w:t>
      </w:r>
      <w:r>
        <w:rPr>
          <w:spacing w:val="-63"/>
        </w:rPr>
      </w:r>
      <w:r>
        <w:rPr/>
        <w:t>足用户在工程技术咨询、产品安装验收、运行、维护和升级等方面的需求。</w:t>
      </w:r>
    </w:p>
    <w:p>
      <w:pPr>
        <w:pStyle w:val="BodyText"/>
        <w:spacing w:line="300" w:lineRule="auto" w:before="22"/>
        <w:ind w:left="513" w:right="1123"/>
        <w:jc w:val="left"/>
      </w:pPr>
      <w:r>
        <w:rPr>
          <w:rFonts w:ascii="Times New Roman" w:hAnsi="Times New Roman" w:cs="Times New Roman" w:eastAsia="Times New Roman" w:hint="default"/>
        </w:rPr>
        <w:t>2</w:t>
      </w:r>
      <w:r>
        <w:rPr/>
        <w:t>、技术竞争力 公司目前取得了</w:t>
      </w:r>
      <w:r>
        <w:rPr>
          <w:rFonts w:ascii="Times New Roman" w:hAnsi="Times New Roman" w:cs="Times New Roman" w:eastAsia="Times New Roman" w:hint="default"/>
        </w:rPr>
        <w:t>315</w:t>
      </w:r>
      <w:r>
        <w:rPr/>
        <w:t>项专利，其中：</w:t>
      </w:r>
      <w:r>
        <w:rPr>
          <w:rFonts w:ascii="Times New Roman" w:hAnsi="Times New Roman" w:cs="Times New Roman" w:eastAsia="Times New Roman" w:hint="default"/>
        </w:rPr>
        <w:t>21</w:t>
      </w:r>
      <w:r>
        <w:rPr/>
        <w:t>项发明专利、</w:t>
      </w:r>
      <w:r>
        <w:rPr>
          <w:rFonts w:ascii="Times New Roman" w:hAnsi="Times New Roman" w:cs="Times New Roman" w:eastAsia="Times New Roman" w:hint="default"/>
        </w:rPr>
        <w:t>184</w:t>
      </w:r>
      <w:r>
        <w:rPr/>
        <w:t>项实用新型、</w:t>
      </w:r>
      <w:r>
        <w:rPr>
          <w:rFonts w:ascii="Times New Roman" w:hAnsi="Times New Roman" w:cs="Times New Roman" w:eastAsia="Times New Roman" w:hint="default"/>
        </w:rPr>
        <w:t>110</w:t>
      </w:r>
      <w:r>
        <w:rPr/>
        <w:t>件外观设计。近年来，公司自主研发的多项产</w:t>
      </w:r>
    </w:p>
    <w:p>
      <w:pPr>
        <w:pStyle w:val="BodyText"/>
        <w:spacing w:line="304" w:lineRule="auto" w:before="13"/>
        <w:ind w:right="0"/>
        <w:jc w:val="left"/>
      </w:pPr>
      <w:r>
        <w:rPr>
          <w:spacing w:val="-2"/>
        </w:rPr>
        <w:t>品，达到国际国内先进水平，多次获得国家重点新产品、安徽省高新技术产品等荣誉。公司作为国家火炬计划重点高新技术</w:t>
      </w:r>
      <w:r>
        <w:rPr>
          <w:spacing w:val="-64"/>
        </w:rPr>
        <w:t> </w:t>
      </w:r>
      <w:r>
        <w:rPr>
          <w:spacing w:val="-64"/>
        </w:rPr>
      </w:r>
      <w:r>
        <w:rPr/>
        <w:t>企业，建有省级企业技术中心、安徽省检测技术与节能装置实验室、安徽省电器设备电磁兼容（</w:t>
      </w:r>
      <w:r>
        <w:rPr>
          <w:rFonts w:ascii="Times New Roman" w:hAnsi="Times New Roman" w:cs="Times New Roman" w:eastAsia="Times New Roman" w:hint="default"/>
        </w:rPr>
        <w:t>EMC</w:t>
      </w:r>
      <w:r>
        <w:rPr/>
        <w:t>）实验室和博士后科</w:t>
      </w:r>
      <w:r>
        <w:rPr>
          <w:spacing w:val="-30"/>
        </w:rPr>
        <w:t> </w:t>
      </w:r>
      <w:r>
        <w:rPr>
          <w:spacing w:val="-30"/>
        </w:rPr>
      </w:r>
      <w:r>
        <w:rPr>
          <w:spacing w:val="-2"/>
        </w:rPr>
        <w:t>研工作站，</w:t>
      </w:r>
      <w:r>
        <w:rPr>
          <w:rFonts w:ascii="Times New Roman" w:hAnsi="Times New Roman" w:cs="Times New Roman" w:eastAsia="Times New Roman" w:hint="default"/>
          <w:spacing w:val="-2"/>
        </w:rPr>
        <w:t>2009</w:t>
      </w:r>
      <w:r>
        <w:rPr>
          <w:spacing w:val="-2"/>
        </w:rPr>
        <w:t>年确定为第四批全国知识产权试点单位，</w:t>
      </w:r>
      <w:r>
        <w:rPr>
          <w:rFonts w:ascii="Times New Roman" w:hAnsi="Times New Roman" w:cs="Times New Roman" w:eastAsia="Times New Roman" w:hint="default"/>
          <w:spacing w:val="-2"/>
        </w:rPr>
        <w:t>2010</w:t>
      </w:r>
      <w:r>
        <w:rPr>
          <w:spacing w:val="-2"/>
        </w:rPr>
        <w:t>年确定为第二批省创新型企业，</w:t>
      </w:r>
      <w:r>
        <w:rPr>
          <w:rFonts w:ascii="Times New Roman" w:hAnsi="Times New Roman" w:cs="Times New Roman" w:eastAsia="Times New Roman" w:hint="default"/>
          <w:spacing w:val="-2"/>
        </w:rPr>
        <w:t>2011</w:t>
      </w:r>
      <w:r>
        <w:rPr>
          <w:spacing w:val="-2"/>
        </w:rPr>
        <w:t>年确定为省知识产权优势</w:t>
      </w:r>
      <w:r>
        <w:rPr>
          <w:spacing w:val="-54"/>
        </w:rPr>
        <w:t> </w:t>
      </w:r>
      <w:r>
        <w:rPr>
          <w:spacing w:val="-54"/>
        </w:rPr>
      </w:r>
      <w:r>
        <w:rPr/>
        <w:t>培育优秀企业，</w:t>
      </w:r>
      <w:r>
        <w:rPr>
          <w:spacing w:val="-30"/>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月，公司被认定为第十九批享受优惠政策的国家级企业技术中心；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月，公司被确定为国</w:t>
      </w:r>
      <w:r>
        <w:rPr>
          <w:spacing w:val="-57"/>
        </w:rPr>
        <w:t> </w:t>
      </w:r>
      <w:r>
        <w:rPr>
          <w:spacing w:val="-57"/>
        </w:rPr>
      </w:r>
      <w:r>
        <w:rPr>
          <w:spacing w:val="-2"/>
        </w:rPr>
        <w:t>家创新型试点企业。自</w:t>
      </w:r>
      <w:r>
        <w:rPr>
          <w:rFonts w:ascii="Times New Roman" w:hAnsi="Times New Roman" w:cs="Times New Roman" w:eastAsia="Times New Roman" w:hint="default"/>
          <w:spacing w:val="-2"/>
        </w:rPr>
        <w:t>2001</w:t>
      </w:r>
      <w:r>
        <w:rPr>
          <w:spacing w:val="-2"/>
        </w:rPr>
        <w:t>年以来，公司相继与法国施耐德、美国</w:t>
      </w:r>
      <w:r>
        <w:rPr>
          <w:rFonts w:ascii="Times New Roman" w:hAnsi="Times New Roman" w:cs="Times New Roman" w:eastAsia="Times New Roman" w:hint="default"/>
          <w:spacing w:val="-2"/>
        </w:rPr>
        <w:t>GE</w:t>
      </w:r>
      <w:r>
        <w:rPr>
          <w:spacing w:val="-2"/>
        </w:rPr>
        <w:t>、德国西门子、瑞士</w:t>
      </w:r>
      <w:r>
        <w:rPr>
          <w:rFonts w:ascii="Times New Roman" w:hAnsi="Times New Roman" w:cs="Times New Roman" w:eastAsia="Times New Roman" w:hint="default"/>
          <w:spacing w:val="-2"/>
        </w:rPr>
        <w:t>ABB</w:t>
      </w:r>
      <w:r>
        <w:rPr>
          <w:spacing w:val="-2"/>
        </w:rPr>
        <w:t>等国际知名公司建立了技术、</w:t>
      </w:r>
      <w:r>
        <w:rPr>
          <w:spacing w:val="-43"/>
        </w:rPr>
        <w:t> </w:t>
      </w:r>
      <w:r>
        <w:rPr>
          <w:spacing w:val="-43"/>
        </w:rPr>
      </w:r>
      <w:r>
        <w:rPr/>
        <w:t>应用及商务合作伙伴关系。</w:t>
      </w:r>
    </w:p>
    <w:p>
      <w:pPr>
        <w:pStyle w:val="BodyText"/>
        <w:spacing w:line="300" w:lineRule="auto" w:before="28"/>
        <w:ind w:left="513" w:right="1123"/>
        <w:jc w:val="left"/>
      </w:pPr>
      <w:r>
        <w:rPr>
          <w:rFonts w:ascii="Times New Roman" w:hAnsi="Times New Roman" w:cs="Times New Roman" w:eastAsia="Times New Roman" w:hint="default"/>
        </w:rPr>
        <w:t>3</w:t>
      </w:r>
      <w:r>
        <w:rPr/>
        <w:t>、品牌竞争力 </w:t>
      </w:r>
      <w:r>
        <w:rPr>
          <w:spacing w:val="-2"/>
        </w:rPr>
        <w:t>由于输配电及控制设备对电网安全运行至关重要，客户对品牌和质量的认可往往决定了其购买行为，在建立信任关系后</w:t>
      </w:r>
    </w:p>
    <w:p>
      <w:pPr>
        <w:pStyle w:val="BodyText"/>
        <w:spacing w:line="300" w:lineRule="auto" w:before="31"/>
        <w:ind w:right="1126"/>
        <w:jc w:val="both"/>
      </w:pPr>
      <w:r>
        <w:rPr>
          <w:spacing w:val="-1"/>
        </w:rPr>
        <w:t>不易改变对品牌的忠诚度，因此公司一直将品牌建设列入企业战略目标，实行</w:t>
      </w:r>
      <w:r>
        <w:rPr>
          <w:rFonts w:ascii="Times New Roman" w:hAnsi="Times New Roman" w:cs="Times New Roman" w:eastAsia="Times New Roman" w:hint="default"/>
          <w:spacing w:val="-1"/>
        </w:rPr>
        <w:t>“</w:t>
      </w:r>
      <w:r>
        <w:rPr>
          <w:spacing w:val="-1"/>
        </w:rPr>
        <w:t>重质量、创品牌</w:t>
      </w:r>
      <w:r>
        <w:rPr>
          <w:rFonts w:ascii="Times New Roman" w:hAnsi="Times New Roman" w:cs="Times New Roman" w:eastAsia="Times New Roman" w:hint="default"/>
          <w:spacing w:val="-1"/>
        </w:rPr>
        <w:t>”</w:t>
      </w:r>
      <w:r>
        <w:rPr>
          <w:spacing w:val="-1"/>
        </w:rPr>
        <w:t>的经营方针。</w:t>
      </w:r>
      <w:r>
        <w:rPr>
          <w:rFonts w:ascii="Times New Roman" w:hAnsi="Times New Roman" w:cs="Times New Roman" w:eastAsia="Times New Roman" w:hint="default"/>
          <w:spacing w:val="-1"/>
        </w:rPr>
        <w:t>“</w:t>
      </w:r>
      <w:r>
        <w:rPr>
          <w:spacing w:val="-1"/>
        </w:rPr>
        <w:t>鑫龙牌</w:t>
      </w:r>
      <w:r>
        <w:rPr>
          <w:rFonts w:ascii="Times New Roman" w:hAnsi="Times New Roman" w:cs="Times New Roman" w:eastAsia="Times New Roman" w:hint="default"/>
          <w:spacing w:val="-1"/>
        </w:rPr>
        <w:t>”</w:t>
      </w:r>
      <w:r>
        <w:rPr>
          <w:spacing w:val="-1"/>
        </w:rPr>
        <w:t>图形</w:t>
      </w:r>
      <w:r>
        <w:rPr>
          <w:spacing w:val="-72"/>
        </w:rPr>
        <w:t> </w:t>
      </w:r>
      <w:r>
        <w:rPr>
          <w:spacing w:val="-1"/>
        </w:rPr>
        <w:t>商标于</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12</w:t>
      </w:r>
      <w:r>
        <w:rPr>
          <w:spacing w:val="-1"/>
        </w:rPr>
        <w:t>月被评定为安徽省著名商标，</w:t>
      </w:r>
      <w:r>
        <w:rPr>
          <w:rFonts w:ascii="Times New Roman" w:hAnsi="Times New Roman" w:cs="Times New Roman" w:eastAsia="Times New Roman" w:hint="default"/>
          <w:spacing w:val="-1"/>
        </w:rPr>
        <w:t>“</w:t>
      </w:r>
      <w:r>
        <w:rPr>
          <w:spacing w:val="-1"/>
        </w:rPr>
        <w:t>鑫龙牌</w:t>
      </w:r>
      <w:r>
        <w:rPr>
          <w:rFonts w:ascii="Times New Roman" w:hAnsi="Times New Roman" w:cs="Times New Roman" w:eastAsia="Times New Roman" w:hint="default"/>
          <w:spacing w:val="-1"/>
        </w:rPr>
        <w:t>”</w:t>
      </w:r>
      <w:r>
        <w:rPr>
          <w:spacing w:val="-1"/>
        </w:rPr>
        <w:t>高低压系列开关柜于</w:t>
      </w:r>
      <w:r>
        <w:rPr>
          <w:rFonts w:ascii="Times New Roman" w:hAnsi="Times New Roman" w:cs="Times New Roman" w:eastAsia="Times New Roman" w:hint="default"/>
          <w:spacing w:val="-1"/>
        </w:rPr>
        <w:t>2006</w:t>
      </w:r>
      <w:r>
        <w:rPr>
          <w:spacing w:val="-1"/>
        </w:rPr>
        <w:t>年荣获</w:t>
      </w:r>
      <w:r>
        <w:rPr>
          <w:rFonts w:ascii="Times New Roman" w:hAnsi="Times New Roman" w:cs="Times New Roman" w:eastAsia="Times New Roman" w:hint="default"/>
          <w:spacing w:val="-1"/>
        </w:rPr>
        <w:t>“</w:t>
      </w:r>
      <w:r>
        <w:rPr>
          <w:spacing w:val="-1"/>
        </w:rPr>
        <w:t>产品质量国家免检</w:t>
      </w:r>
      <w:r>
        <w:rPr>
          <w:rFonts w:ascii="Times New Roman" w:hAnsi="Times New Roman" w:cs="Times New Roman" w:eastAsia="Times New Roman" w:hint="default"/>
          <w:spacing w:val="-1"/>
        </w:rPr>
        <w:t>”</w:t>
      </w:r>
      <w:r>
        <w:rPr>
          <w:spacing w:val="-1"/>
        </w:rPr>
        <w:t>称号，并连续四</w:t>
      </w:r>
      <w:r>
        <w:rPr>
          <w:spacing w:val="-78"/>
        </w:rPr>
        <w:t> </w:t>
      </w:r>
      <w:r>
        <w:rPr>
          <w:spacing w:val="-78"/>
        </w:rPr>
      </w:r>
      <w:r>
        <w:rPr/>
        <w:t>届获安徽省名牌产品称号。</w:t>
      </w:r>
      <w:r>
        <w:rPr>
          <w:rFonts w:ascii="Times New Roman" w:hAnsi="Times New Roman" w:cs="Times New Roman" w:eastAsia="Times New Roman" w:hint="default"/>
        </w:rPr>
        <w:t>2012</w:t>
      </w:r>
      <w:r>
        <w:rPr/>
        <w:t>年，公司荣获</w:t>
      </w:r>
      <w:r>
        <w:rPr>
          <w:rFonts w:ascii="Times New Roman" w:hAnsi="Times New Roman" w:cs="Times New Roman" w:eastAsia="Times New Roman" w:hint="default"/>
        </w:rPr>
        <w:t>“</w:t>
      </w:r>
      <w:r>
        <w:rPr/>
        <w:t>安徽省劳动保障诚信示范单位</w:t>
      </w:r>
      <w:r>
        <w:rPr>
          <w:rFonts w:ascii="Times New Roman" w:hAnsi="Times New Roman" w:cs="Times New Roman" w:eastAsia="Times New Roman" w:hint="default"/>
        </w:rPr>
        <w:t>”</w:t>
      </w:r>
      <w:r>
        <w:rPr/>
        <w:t>称号。</w:t>
      </w:r>
    </w:p>
    <w:p>
      <w:pPr>
        <w:pStyle w:val="BodyText"/>
        <w:spacing w:line="300" w:lineRule="auto" w:before="13"/>
        <w:ind w:left="513" w:right="1123"/>
        <w:jc w:val="left"/>
      </w:pPr>
      <w:r>
        <w:rPr>
          <w:rFonts w:ascii="Times New Roman" w:hAnsi="Times New Roman" w:cs="Times New Roman" w:eastAsia="Times New Roman" w:hint="default"/>
        </w:rPr>
        <w:t>4</w:t>
      </w:r>
      <w:r>
        <w:rPr/>
        <w:t>、人才竞争力 </w:t>
      </w:r>
      <w:r>
        <w:rPr>
          <w:spacing w:val="-2"/>
        </w:rPr>
        <w:t>公司自成立以来，一直注重技术人才、管理人才和营销人才的选拔、培养和重用，坚持知识化、年轻化、科技化。公司</w:t>
      </w:r>
    </w:p>
    <w:p>
      <w:pPr>
        <w:pStyle w:val="BodyText"/>
        <w:spacing w:line="300" w:lineRule="auto" w:before="31"/>
        <w:ind w:right="1124"/>
        <w:jc w:val="left"/>
      </w:pPr>
      <w:r>
        <w:rPr/>
        <w:t>在长期从事高低压成套开关设备及元器件的生产过程中，积累了丰富的科研和实践经验，形成了以</w:t>
      </w:r>
      <w:r>
        <w:rPr>
          <w:rFonts w:ascii="Times New Roman" w:hAnsi="Times New Roman" w:cs="Times New Roman" w:eastAsia="Times New Roman" w:hint="default"/>
        </w:rPr>
        <w:t>1</w:t>
      </w:r>
      <w:r>
        <w:rPr/>
        <w:t>名享受国务院津贴的专</w:t>
      </w:r>
      <w:r>
        <w:rPr>
          <w:spacing w:val="-82"/>
        </w:rPr>
        <w:t> </w:t>
      </w:r>
      <w:r>
        <w:rPr/>
        <w:t>家、</w:t>
      </w:r>
      <w:r>
        <w:rPr>
          <w:rFonts w:ascii="Times New Roman" w:hAnsi="Times New Roman" w:cs="Times New Roman" w:eastAsia="Times New Roman" w:hint="default"/>
        </w:rPr>
        <w:t>1</w:t>
      </w:r>
      <w:r>
        <w:rPr/>
        <w:t>名机械工业青年科技专家和</w:t>
      </w:r>
      <w:r>
        <w:rPr>
          <w:rFonts w:ascii="Times New Roman" w:hAnsi="Times New Roman" w:cs="Times New Roman" w:eastAsia="Times New Roman" w:hint="default"/>
        </w:rPr>
        <w:t>24</w:t>
      </w:r>
      <w:r>
        <w:rPr/>
        <w:t>位高级职称专家以及</w:t>
      </w:r>
      <w:r>
        <w:rPr>
          <w:rFonts w:ascii="Times New Roman" w:hAnsi="Times New Roman" w:cs="Times New Roman" w:eastAsia="Times New Roman" w:hint="default"/>
        </w:rPr>
        <w:t>23</w:t>
      </w:r>
      <w:r>
        <w:rPr/>
        <w:t>位中级职称专家为核心的科研队伍，同时还聘请了行业知名专家</w:t>
      </w:r>
    </w:p>
    <w:p>
      <w:pPr>
        <w:spacing w:after="0" w:line="300" w:lineRule="auto"/>
        <w:jc w:val="left"/>
        <w:sectPr>
          <w:pgSz w:w="11910" w:h="16840"/>
          <w:pgMar w:header="745" w:footer="1340" w:top="1060" w:bottom="154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both"/>
      </w:pPr>
      <w:r>
        <w:rPr>
          <w:spacing w:val="-2"/>
        </w:rPr>
        <w:t>作为公司技术委员会成员。公司还一直吸引优秀的管理人才和营销人才加盟，管理层行业经验和企业管理经验丰富，营销人</w:t>
      </w:r>
      <w:r>
        <w:rPr>
          <w:spacing w:val="-62"/>
        </w:rPr>
        <w:t> </w:t>
      </w:r>
      <w:r>
        <w:rPr>
          <w:spacing w:val="-62"/>
        </w:rPr>
      </w:r>
      <w:r>
        <w:rPr>
          <w:spacing w:val="-2"/>
        </w:rPr>
        <w:t>员市场开拓意识较强。目前，公司已经形成了一支精通管理、熟悉行业、技术全面、结构合理、素质优秀的人才队伍，为公</w:t>
      </w:r>
      <w:r>
        <w:rPr>
          <w:spacing w:val="-73"/>
        </w:rPr>
        <w:t> </w:t>
      </w:r>
      <w:r>
        <w:rPr>
          <w:spacing w:val="-73"/>
        </w:rPr>
      </w:r>
      <w:r>
        <w:rPr/>
        <w:t>司迅速成长做出了突出的贡献。</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pacing w:val="-1"/>
                <w:sz w:val="18"/>
                <w:szCs w:val="18"/>
              </w:rPr>
              <w:t>上市公司占被投资公司权益比例（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133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安徽美能储能系统有限公司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设计、制造、销售先进的储能和电源控 制技术系列产品；将先进的储能和电源 控制技术系列产品与其它技术整合；产 品的开发、维修与服务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45.87%</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pict>
          <v:shape style="position:absolute;margin-left:146.179993pt;margin-top:51.163681pt;width:84.3pt;height:17.650pt;mso-position-horizontal-relative:page;mso-position-vertical-relative:paragraph;z-index:-830488" type="#_x0000_t202" filled="false" stroked="false">
            <v:textbox inset="0,0,0,0">
              <w:txbxContent>
                <w:p>
                  <w:pPr>
                    <w:pStyle w:val="BodyText"/>
                    <w:spacing w:line="240" w:lineRule="auto" w:before="8"/>
                    <w:ind w:left="0" w:right="0"/>
                    <w:jc w:val="left"/>
                  </w:pPr>
                  <w:r>
                    <w:rPr/>
                    <w:t>成本（元）</w:t>
                  </w:r>
                </w:p>
              </w:txbxContent>
            </v:textbox>
            <w10:wrap type="none"/>
          </v:shape>
        </w:pict>
      </w:r>
      <w:r>
        <w:rPr/>
        <w:pict>
          <v:shape style="position:absolute;margin-left:189.649994pt;margin-top:51.163681pt;width:84.15pt;height:17.650pt;mso-position-horizontal-relative:page;mso-position-vertical-relative:paragraph;z-index:-830464" type="#_x0000_t202" filled="false" stroked="false">
            <v:textbox inset="0,0,0,0">
              <w:txbxContent>
                <w:p>
                  <w:pPr>
                    <w:pStyle w:val="BodyText"/>
                    <w:spacing w:line="240" w:lineRule="auto" w:before="8"/>
                    <w:ind w:left="0" w:right="0"/>
                    <w:jc w:val="left"/>
                  </w:pPr>
                  <w:r>
                    <w:rPr/>
                    <w:t>数量（股）</w:t>
                  </w:r>
                </w:p>
              </w:txbxContent>
            </v:textbox>
            <w10:wrap type="none"/>
          </v:shape>
        </w:pict>
      </w:r>
      <w:r>
        <w:rPr/>
        <w:pict>
          <v:shape style="position:absolute;margin-left:276.649994pt;margin-top:51.163681pt;width:84.05pt;height:17.650pt;mso-position-horizontal-relative:page;mso-position-vertical-relative:paragraph;z-index:-830440" type="#_x0000_t202" filled="false" stroked="false">
            <v:textbox inset="0,0,0,0">
              <w:txbxContent>
                <w:p>
                  <w:pPr>
                    <w:pStyle w:val="BodyText"/>
                    <w:spacing w:line="240" w:lineRule="auto" w:before="8"/>
                    <w:ind w:left="0" w:right="0"/>
                    <w:jc w:val="left"/>
                  </w:pPr>
                  <w:r>
                    <w:rPr/>
                    <w:t>数量（股）</w:t>
                  </w:r>
                </w:p>
              </w:txbxContent>
            </v:textbox>
            <w10:wrap type="none"/>
          </v:shape>
        </w:pict>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81"/>
        <w:gridCol w:w="881"/>
        <w:gridCol w:w="869"/>
        <w:gridCol w:w="872"/>
        <w:gridCol w:w="866"/>
        <w:gridCol w:w="869"/>
        <w:gridCol w:w="869"/>
        <w:gridCol w:w="866"/>
        <w:gridCol w:w="869"/>
        <w:gridCol w:w="869"/>
        <w:gridCol w:w="854"/>
      </w:tblGrid>
      <w:tr>
        <w:trPr>
          <w:trHeight w:val="716" w:hRule="exact"/>
        </w:trPr>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公司类别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最初投资</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期初持股</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7"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期末持股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4"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5"/>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5"/>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9"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337"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芜湖扬子 农村商业 银行股份 有限公司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01"/>
              <w:jc w:val="center"/>
              <w:rPr>
                <w:rFonts w:ascii="宋体" w:hAnsi="宋体" w:cs="宋体" w:eastAsia="宋体" w:hint="default"/>
                <w:sz w:val="18"/>
                <w:szCs w:val="18"/>
              </w:rPr>
            </w:pPr>
            <w:r>
              <w:rPr>
                <w:rFonts w:ascii="宋体" w:hAnsi="宋体" w:cs="宋体" w:eastAsia="宋体" w:hint="default"/>
                <w:sz w:val="18"/>
                <w:szCs w:val="18"/>
              </w:rPr>
              <w:t>商业银行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0.15%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1,460,000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0.15%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241,336,07</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9.93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113"/>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现金购买</w:t>
            </w:r>
          </w:p>
        </w:tc>
      </w:tr>
      <w:tr>
        <w:trPr>
          <w:trHeight w:val="715" w:hRule="exact"/>
        </w:trPr>
        <w:tc>
          <w:tcPr>
            <w:tcW w:w="17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1,460,000</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1,460,000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241,336,07</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9.93</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spacing w:before="36"/>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99"/>
        <w:gridCol w:w="5471"/>
      </w:tblGrid>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51,551.06</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1,450.85</w:t>
            </w: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1,450.85</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340" w:top="1060" w:bottom="1540" w:left="980" w:right="0"/>
        </w:sectPr>
      </w:pPr>
    </w:p>
    <w:p>
      <w:pPr>
        <w:spacing w:line="240" w:lineRule="auto" w:before="0"/>
        <w:rPr>
          <w:rFonts w:ascii="宋体" w:hAnsi="宋体" w:cs="宋体" w:eastAsia="宋体" w:hint="default"/>
          <w:sz w:val="20"/>
          <w:szCs w:val="20"/>
        </w:rPr>
      </w:pPr>
      <w:r>
        <w:rPr/>
        <w:pict>
          <v:group style="position:absolute;margin-left:460.320007pt;margin-top:764.919983pt;width:135pt;height:77pt;mso-position-horizontal-relative:page;mso-position-vertical-relative:page;z-index:-830392"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17</w:t>
                    </w:r>
                  </w:p>
                </w:txbxContent>
              </v:textbox>
              <w10:wrap type="none"/>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44"/>
        <w:ind w:left="0" w:right="1142"/>
        <w:jc w:val="right"/>
      </w:pPr>
      <w:r>
        <w:rPr/>
        <w:pict>
          <v:shape style="position:absolute;margin-left:56.400002pt;margin-top:-76.588287pt;width:479.3pt;height:127.7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5481"/>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9"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53"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本次非公开发行募集资金分别使用于年产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VA-12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智能化固封极柱式高压真空断路器项目、年产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万台智能型</w:t>
                        </w:r>
                        <w:r>
                          <w:rPr>
                            <w:rFonts w:ascii="宋体" w:hAnsi="宋体" w:cs="宋体" w:eastAsia="宋体" w:hint="default"/>
                            <w:w w:val="99"/>
                            <w:sz w:val="18"/>
                            <w:szCs w:val="18"/>
                          </w:rPr>
                          <w:t> </w:t>
                        </w:r>
                        <w:r>
                          <w:rPr>
                            <w:rFonts w:ascii="宋体" w:hAnsi="宋体" w:cs="宋体" w:eastAsia="宋体" w:hint="default"/>
                            <w:spacing w:val="-3"/>
                            <w:sz w:val="18"/>
                            <w:szCs w:val="18"/>
                          </w:rPr>
                          <w:t>电力电器元件产品生产线项目、智能型高分断低压断路器生产线建设项目和高、低压开关柜及元件技术研究中心建设项目</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上述项目计划投资总额共计人民币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万元，公司实际募集资金净额为人民币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51,551.06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日，公司对募集资金项目累计投入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1,450.85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w:t>
      </w:r>
      <w:r>
        <w:rPr>
          <w:spacing w:val="-2"/>
        </w:rPr>
        <w:t> </w:t>
      </w:r>
      <w:r>
        <w:rPr/>
        <w:t>前次募集资金使用情况说明</w:t>
      </w:r>
      <w:r>
        <w:rPr>
          <w:b w:val="0"/>
          <w:bCs w:val="0"/>
        </w:rPr>
      </w:r>
    </w:p>
    <w:p>
      <w:pPr>
        <w:spacing w:line="240" w:lineRule="auto" w:before="10"/>
        <w:rPr>
          <w:rFonts w:ascii="宋体" w:hAnsi="宋体" w:cs="宋体" w:eastAsia="宋体" w:hint="default"/>
          <w:b/>
          <w:bCs/>
          <w:sz w:val="24"/>
          <w:szCs w:val="24"/>
        </w:rPr>
      </w:pPr>
    </w:p>
    <w:p>
      <w:pPr>
        <w:spacing w:line="256" w:lineRule="auto" w:before="0"/>
        <w:ind w:left="152" w:right="1128" w:firstLine="420"/>
        <w:jc w:val="both"/>
        <w:rPr>
          <w:rFonts w:ascii="宋体" w:hAnsi="宋体" w:cs="宋体" w:eastAsia="宋体" w:hint="default"/>
          <w:sz w:val="21"/>
          <w:szCs w:val="21"/>
        </w:rPr>
      </w:pPr>
      <w:r>
        <w:rPr>
          <w:rFonts w:ascii="宋体" w:hAnsi="宋体" w:cs="宋体" w:eastAsia="宋体" w:hint="default"/>
          <w:sz w:val="21"/>
          <w:szCs w:val="21"/>
        </w:rPr>
        <w:t>经中国证监会以证监许可</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0"/>
          <w:sz w:val="21"/>
          <w:szCs w:val="21"/>
        </w:rPr>
        <w:t> </w:t>
      </w:r>
      <w:r>
        <w:rPr>
          <w:rFonts w:ascii="Times New Roman" w:hAnsi="Times New Roman" w:cs="Times New Roman" w:eastAsia="Times New Roman" w:hint="default"/>
          <w:sz w:val="21"/>
          <w:szCs w:val="21"/>
        </w:rPr>
        <w:t>929</w:t>
      </w:r>
      <w:r>
        <w:rPr>
          <w:rFonts w:ascii="宋体" w:hAnsi="宋体" w:cs="宋体" w:eastAsia="宋体" w:hint="default"/>
          <w:sz w:val="21"/>
          <w:szCs w:val="21"/>
        </w:rPr>
        <w:t>号《关于核准安徽鑫龙电器股份有限公司首次公开发行股票的批</w:t>
      </w:r>
      <w:r>
        <w:rPr>
          <w:rFonts w:ascii="宋体" w:hAnsi="宋体" w:cs="宋体" w:eastAsia="宋体" w:hint="default"/>
          <w:w w:val="100"/>
          <w:sz w:val="21"/>
          <w:szCs w:val="21"/>
        </w:rPr>
        <w:t> </w:t>
      </w:r>
      <w:r>
        <w:rPr>
          <w:rFonts w:ascii="宋体" w:hAnsi="宋体" w:cs="宋体" w:eastAsia="宋体" w:hint="default"/>
          <w:sz w:val="21"/>
          <w:szCs w:val="21"/>
        </w:rPr>
        <w:t>复》文核准，并经深交所同意，发行人分别于</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日采用网下配售方式向询价对象公开发行人民</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1"/>
          <w:sz w:val="21"/>
          <w:szCs w:val="21"/>
        </w:rPr>
        <w:t>币普通股（</w:t>
      </w: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股）</w:t>
      </w:r>
      <w:r>
        <w:rPr>
          <w:rFonts w:ascii="Times New Roman" w:hAnsi="Times New Roman" w:cs="Times New Roman" w:eastAsia="Times New Roman" w:hint="default"/>
          <w:spacing w:val="-1"/>
          <w:sz w:val="21"/>
          <w:szCs w:val="21"/>
        </w:rPr>
        <w:t>560</w:t>
      </w:r>
      <w:r>
        <w:rPr>
          <w:rFonts w:ascii="宋体" w:hAnsi="宋体" w:cs="宋体" w:eastAsia="宋体" w:hint="default"/>
          <w:spacing w:val="-1"/>
          <w:sz w:val="21"/>
          <w:szCs w:val="21"/>
        </w:rPr>
        <w:t>万股，</w:t>
      </w:r>
      <w:r>
        <w:rPr>
          <w:rFonts w:ascii="Times New Roman" w:hAnsi="Times New Roman" w:cs="Times New Roman" w:eastAsia="Times New Roman" w:hint="default"/>
          <w:spacing w:val="-1"/>
          <w:sz w:val="21"/>
          <w:szCs w:val="21"/>
        </w:rPr>
        <w:t>2009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18</w:t>
      </w:r>
      <w:r>
        <w:rPr>
          <w:rFonts w:ascii="宋体" w:hAnsi="宋体" w:cs="宋体" w:eastAsia="宋体" w:hint="default"/>
          <w:spacing w:val="-1"/>
          <w:sz w:val="21"/>
          <w:szCs w:val="21"/>
        </w:rPr>
        <w:t>日采用网上定价方式公开发行人民币普通股（</w:t>
      </w: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股）</w:t>
      </w:r>
      <w:r>
        <w:rPr>
          <w:rFonts w:ascii="Times New Roman" w:hAnsi="Times New Roman" w:cs="Times New Roman" w:eastAsia="Times New Roman" w:hint="default"/>
          <w:spacing w:val="-1"/>
          <w:sz w:val="21"/>
          <w:szCs w:val="21"/>
        </w:rPr>
        <w:t>2,240</w:t>
      </w:r>
      <w:r>
        <w:rPr>
          <w:rFonts w:ascii="宋体" w:hAnsi="宋体" w:cs="宋体" w:eastAsia="宋体" w:hint="default"/>
          <w:spacing w:val="-1"/>
          <w:sz w:val="21"/>
          <w:szCs w:val="21"/>
        </w:rPr>
        <w:t>万股，</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1"/>
          <w:sz w:val="21"/>
          <w:szCs w:val="21"/>
        </w:rPr>
        <w:t>共计公开发行人民币普通股（</w:t>
      </w: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股）</w:t>
      </w:r>
      <w:r>
        <w:rPr>
          <w:rFonts w:ascii="Times New Roman" w:hAnsi="Times New Roman" w:cs="Times New Roman" w:eastAsia="Times New Roman" w:hint="default"/>
          <w:spacing w:val="-1"/>
          <w:sz w:val="21"/>
          <w:szCs w:val="21"/>
        </w:rPr>
        <w:t>2,800</w:t>
      </w:r>
      <w:r>
        <w:rPr>
          <w:rFonts w:ascii="宋体" w:hAnsi="宋体" w:cs="宋体" w:eastAsia="宋体" w:hint="default"/>
          <w:spacing w:val="-1"/>
          <w:sz w:val="21"/>
          <w:szCs w:val="21"/>
        </w:rPr>
        <w:t>万股，每股面值</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元，每股发行价格为</w:t>
      </w:r>
      <w:r>
        <w:rPr>
          <w:rFonts w:ascii="Times New Roman" w:hAnsi="Times New Roman" w:cs="Times New Roman" w:eastAsia="Times New Roman" w:hint="default"/>
          <w:spacing w:val="-1"/>
          <w:sz w:val="21"/>
          <w:szCs w:val="21"/>
        </w:rPr>
        <w:t>9.50</w:t>
      </w:r>
      <w:r>
        <w:rPr>
          <w:rFonts w:ascii="宋体" w:hAnsi="宋体" w:cs="宋体" w:eastAsia="宋体" w:hint="default"/>
          <w:spacing w:val="-1"/>
          <w:sz w:val="21"/>
          <w:szCs w:val="21"/>
        </w:rPr>
        <w:t>元。截至</w:t>
      </w:r>
      <w:r>
        <w:rPr>
          <w:rFonts w:ascii="Times New Roman" w:hAnsi="Times New Roman" w:cs="Times New Roman" w:eastAsia="Times New Roman" w:hint="default"/>
          <w:spacing w:val="-1"/>
          <w:sz w:val="21"/>
          <w:szCs w:val="21"/>
        </w:rPr>
        <w:t>2009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23</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日止，发行人收到社会公众股股东缴存的出资款为</w:t>
      </w:r>
      <w:r>
        <w:rPr>
          <w:rFonts w:ascii="Times New Roman" w:hAnsi="Times New Roman" w:cs="Times New Roman" w:eastAsia="Times New Roman" w:hint="default"/>
          <w:sz w:val="21"/>
          <w:szCs w:val="21"/>
        </w:rPr>
        <w:t>266,000,000.00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扣除发行费用后实际募集资金净额为</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Times New Roman" w:hAnsi="Times New Roman" w:cs="Times New Roman" w:eastAsia="Times New Roman" w:hint="default"/>
          <w:sz w:val="21"/>
          <w:szCs w:val="21"/>
        </w:rPr>
        <w:t>240,139,715.94</w:t>
      </w:r>
      <w:r>
        <w:rPr>
          <w:rFonts w:ascii="Times New Roman" w:hAnsi="Times New Roman" w:cs="Times New Roman" w:eastAsia="Times New Roman" w:hint="default"/>
          <w:spacing w:val="-9"/>
          <w:sz w:val="21"/>
          <w:szCs w:val="21"/>
        </w:rPr>
        <w:t> </w:t>
      </w:r>
      <w:r>
        <w:rPr>
          <w:rFonts w:ascii="宋体" w:hAnsi="宋体" w:cs="宋体" w:eastAsia="宋体" w:hint="default"/>
          <w:spacing w:val="10"/>
          <w:sz w:val="21"/>
          <w:szCs w:val="21"/>
        </w:rPr>
        <w:t>元，</w:t>
      </w:r>
      <w:r>
        <w:rPr>
          <w:rFonts w:ascii="宋体" w:hAnsi="宋体" w:cs="宋体" w:eastAsia="宋体" w:hint="default"/>
          <w:spacing w:val="-60"/>
          <w:sz w:val="21"/>
          <w:szCs w:val="21"/>
        </w:rPr>
        <w:t> </w:t>
      </w:r>
      <w:r>
        <w:rPr>
          <w:rFonts w:ascii="宋体" w:hAnsi="宋体" w:cs="宋体" w:eastAsia="宋体" w:hint="default"/>
          <w:spacing w:val="18"/>
          <w:sz w:val="21"/>
          <w:szCs w:val="21"/>
        </w:rPr>
        <w:t>超额部分经公司第四届董事会第十四次会议决议批准，</w:t>
      </w:r>
      <w:r>
        <w:rPr>
          <w:rFonts w:ascii="宋体" w:hAnsi="宋体" w:cs="宋体" w:eastAsia="宋体" w:hint="default"/>
          <w:spacing w:val="-60"/>
          <w:sz w:val="21"/>
          <w:szCs w:val="21"/>
        </w:rPr>
        <w:t> </w:t>
      </w:r>
      <w:r>
        <w:rPr>
          <w:rFonts w:ascii="宋体" w:hAnsi="宋体" w:cs="宋体" w:eastAsia="宋体" w:hint="default"/>
          <w:spacing w:val="17"/>
          <w:sz w:val="21"/>
          <w:szCs w:val="21"/>
        </w:rPr>
        <w:t>分别提前归还银行贷款</w:t>
      </w:r>
    </w:p>
    <w:p>
      <w:pPr>
        <w:spacing w:before="5"/>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29,900,000.00</w:t>
      </w:r>
      <w:r>
        <w:rPr>
          <w:rFonts w:ascii="宋体" w:hAnsi="宋体" w:cs="宋体" w:eastAsia="宋体" w:hint="default"/>
          <w:sz w:val="21"/>
          <w:szCs w:val="21"/>
        </w:rPr>
        <w:t>元和补充流动资金</w:t>
      </w:r>
      <w:r>
        <w:rPr>
          <w:rFonts w:ascii="Times New Roman" w:hAnsi="Times New Roman" w:cs="Times New Roman" w:eastAsia="Times New Roman" w:hint="default"/>
          <w:sz w:val="21"/>
          <w:szCs w:val="21"/>
        </w:rPr>
        <w:t>45,239,715.94</w:t>
      </w:r>
      <w:r>
        <w:rPr>
          <w:rFonts w:ascii="宋体" w:hAnsi="宋体" w:cs="宋体" w:eastAsia="宋体" w:hint="default"/>
          <w:sz w:val="21"/>
          <w:szCs w:val="21"/>
        </w:rPr>
        <w:t>元。</w:t>
      </w:r>
    </w:p>
    <w:p>
      <w:pPr>
        <w:spacing w:line="256" w:lineRule="auto" w:before="21"/>
        <w:ind w:left="152" w:right="1127" w:firstLine="420"/>
        <w:jc w:val="both"/>
        <w:rPr>
          <w:rFonts w:ascii="宋体" w:hAnsi="宋体" w:cs="宋体" w:eastAsia="宋体" w:hint="default"/>
          <w:sz w:val="21"/>
          <w:szCs w:val="21"/>
        </w:rPr>
      </w:pPr>
      <w:r>
        <w:rPr>
          <w:rFonts w:ascii="宋体" w:hAnsi="宋体" w:cs="宋体" w:eastAsia="宋体" w:hint="default"/>
          <w:sz w:val="21"/>
          <w:szCs w:val="21"/>
        </w:rPr>
        <w:t>募集资金专户开户时预存手续费</w:t>
      </w:r>
      <w:r>
        <w:rPr>
          <w:rFonts w:ascii="Times New Roman" w:hAnsi="Times New Roman" w:cs="Times New Roman" w:eastAsia="Times New Roman" w:hint="default"/>
          <w:sz w:val="21"/>
          <w:szCs w:val="21"/>
        </w:rPr>
        <w:t>200</w:t>
      </w:r>
      <w:r>
        <w:rPr>
          <w:rFonts w:ascii="宋体" w:hAnsi="宋体" w:cs="宋体" w:eastAsia="宋体" w:hint="default"/>
          <w:sz w:val="21"/>
          <w:szCs w:val="21"/>
        </w:rPr>
        <w:t>元，实际募集资金用于项目的净额为</w:t>
      </w:r>
      <w:r>
        <w:rPr>
          <w:rFonts w:ascii="Times New Roman" w:hAnsi="Times New Roman" w:cs="Times New Roman" w:eastAsia="Times New Roman" w:hint="default"/>
          <w:sz w:val="21"/>
          <w:szCs w:val="21"/>
        </w:rPr>
        <w:t>165,000,000</w:t>
      </w:r>
      <w:r>
        <w:rPr>
          <w:rFonts w:ascii="宋体" w:hAnsi="宋体" w:cs="宋体" w:eastAsia="宋体" w:hint="default"/>
          <w:sz w:val="21"/>
          <w:szCs w:val="21"/>
        </w:rPr>
        <w:t>元，其中：智能</w:t>
      </w:r>
      <w:r>
        <w:rPr>
          <w:rFonts w:ascii="宋体" w:hAnsi="宋体" w:cs="宋体" w:eastAsia="宋体" w:hint="default"/>
          <w:w w:val="100"/>
          <w:sz w:val="21"/>
          <w:szCs w:val="21"/>
        </w:rPr>
        <w:t> </w:t>
      </w:r>
      <w:r>
        <w:rPr>
          <w:rFonts w:ascii="宋体" w:hAnsi="宋体" w:cs="宋体" w:eastAsia="宋体" w:hint="default"/>
          <w:sz w:val="21"/>
          <w:szCs w:val="21"/>
        </w:rPr>
        <w:t>化电力供配电微机综合保护装置生产线项目</w:t>
      </w:r>
      <w:r>
        <w:rPr>
          <w:rFonts w:ascii="Times New Roman" w:hAnsi="Times New Roman" w:cs="Times New Roman" w:eastAsia="Times New Roman" w:hint="default"/>
          <w:sz w:val="21"/>
          <w:szCs w:val="21"/>
        </w:rPr>
        <w:t>4,500</w:t>
      </w:r>
      <w:r>
        <w:rPr>
          <w:rFonts w:ascii="宋体" w:hAnsi="宋体" w:cs="宋体" w:eastAsia="宋体" w:hint="default"/>
          <w:sz w:val="21"/>
          <w:szCs w:val="21"/>
        </w:rPr>
        <w:t>万元；智能化永磁真空断路器生产线技术改造项目</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31"/>
          <w:sz w:val="21"/>
          <w:szCs w:val="21"/>
        </w:rPr>
        <w:t> </w:t>
      </w:r>
      <w:r>
        <w:rPr>
          <w:rFonts w:ascii="Times New Roman" w:hAnsi="Times New Roman" w:cs="Times New Roman" w:eastAsia="Times New Roman" w:hint="default"/>
          <w:spacing w:val="31"/>
          <w:sz w:val="21"/>
          <w:szCs w:val="21"/>
        </w:rPr>
      </w:r>
      <w:r>
        <w:rPr>
          <w:rFonts w:ascii="宋体" w:hAnsi="宋体" w:cs="宋体" w:eastAsia="宋体" w:hint="default"/>
          <w:sz w:val="21"/>
          <w:szCs w:val="21"/>
        </w:rPr>
        <w:t>万元；智能化箱式变电站生产线技术改造项目</w:t>
      </w:r>
      <w:r>
        <w:rPr>
          <w:rFonts w:ascii="Times New Roman" w:hAnsi="Times New Roman" w:cs="Times New Roman" w:eastAsia="Times New Roman" w:hint="default"/>
          <w:sz w:val="21"/>
          <w:szCs w:val="21"/>
        </w:rPr>
        <w:t>7,000</w:t>
      </w:r>
      <w:r>
        <w:rPr>
          <w:rFonts w:ascii="宋体" w:hAnsi="宋体" w:cs="宋体" w:eastAsia="宋体" w:hint="default"/>
          <w:sz w:val="21"/>
          <w:szCs w:val="21"/>
        </w:rPr>
        <w:t>万元。</w:t>
      </w:r>
    </w:p>
    <w:p>
      <w:pPr>
        <w:spacing w:line="256" w:lineRule="auto" w:before="5"/>
        <w:ind w:left="152" w:right="1131" w:firstLine="430"/>
        <w:jc w:val="both"/>
        <w:rPr>
          <w:rFonts w:ascii="宋体" w:hAnsi="宋体" w:cs="宋体" w:eastAsia="宋体" w:hint="default"/>
          <w:sz w:val="21"/>
          <w:szCs w:val="21"/>
        </w:rPr>
      </w:pPr>
      <w:r>
        <w:rPr>
          <w:rFonts w:ascii="宋体" w:hAnsi="宋体" w:cs="宋体" w:eastAsia="宋体" w:hint="default"/>
          <w:sz w:val="21"/>
          <w:szCs w:val="21"/>
        </w:rPr>
        <w:t>截止本报告期，智能化电力供配电微机综合保护装置生产线项目累计投入</w:t>
      </w:r>
      <w:r>
        <w:rPr>
          <w:rFonts w:ascii="Times New Roman" w:hAnsi="Times New Roman" w:cs="Times New Roman" w:eastAsia="Times New Roman" w:hint="default"/>
          <w:sz w:val="21"/>
          <w:szCs w:val="21"/>
        </w:rPr>
        <w:t>45,239,906.94</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利息收入</w:t>
      </w:r>
      <w:r>
        <w:rPr>
          <w:rFonts w:ascii="宋体" w:hAnsi="宋体" w:cs="宋体" w:eastAsia="宋体" w:hint="default"/>
          <w:w w:val="100"/>
          <w:sz w:val="21"/>
          <w:szCs w:val="21"/>
        </w:rPr>
        <w:t> </w:t>
      </w:r>
      <w:r>
        <w:rPr>
          <w:rFonts w:ascii="Times New Roman" w:hAnsi="Times New Roman" w:cs="Times New Roman" w:eastAsia="Times New Roman" w:hint="default"/>
          <w:spacing w:val="-1"/>
          <w:sz w:val="21"/>
          <w:szCs w:val="21"/>
        </w:rPr>
        <w:t>241,033.87</w:t>
      </w:r>
      <w:r>
        <w:rPr>
          <w:rFonts w:ascii="宋体" w:hAnsi="宋体" w:cs="宋体" w:eastAsia="宋体" w:hint="default"/>
          <w:spacing w:val="-1"/>
          <w:sz w:val="21"/>
          <w:szCs w:val="21"/>
        </w:rPr>
        <w:t>元，开户预存手续费</w:t>
      </w:r>
      <w:r>
        <w:rPr>
          <w:rFonts w:ascii="Times New Roman" w:hAnsi="Times New Roman" w:cs="Times New Roman" w:eastAsia="Times New Roman" w:hint="default"/>
          <w:spacing w:val="-1"/>
          <w:sz w:val="21"/>
          <w:szCs w:val="21"/>
        </w:rPr>
        <w:t>100</w:t>
      </w:r>
      <w:r>
        <w:rPr>
          <w:rFonts w:ascii="宋体" w:hAnsi="宋体" w:cs="宋体" w:eastAsia="宋体" w:hint="default"/>
          <w:spacing w:val="-1"/>
          <w:sz w:val="21"/>
          <w:szCs w:val="21"/>
        </w:rPr>
        <w:t>元，手续费支出</w:t>
      </w:r>
      <w:r>
        <w:rPr>
          <w:rFonts w:ascii="Times New Roman" w:hAnsi="Times New Roman" w:cs="Times New Roman" w:eastAsia="Times New Roman" w:hint="default"/>
          <w:spacing w:val="-1"/>
          <w:sz w:val="21"/>
          <w:szCs w:val="21"/>
        </w:rPr>
        <w:t>1,214.83</w:t>
      </w:r>
      <w:r>
        <w:rPr>
          <w:rFonts w:ascii="宋体" w:hAnsi="宋体" w:cs="宋体" w:eastAsia="宋体" w:hint="default"/>
          <w:spacing w:val="-1"/>
          <w:sz w:val="21"/>
          <w:szCs w:val="21"/>
        </w:rPr>
        <w:t>元，剩余</w:t>
      </w:r>
      <w:r>
        <w:rPr>
          <w:rFonts w:ascii="Times New Roman" w:hAnsi="Times New Roman" w:cs="Times New Roman" w:eastAsia="Times New Roman" w:hint="default"/>
          <w:spacing w:val="-1"/>
          <w:sz w:val="21"/>
          <w:szCs w:val="21"/>
        </w:rPr>
        <w:t>12.10</w:t>
      </w:r>
      <w:r>
        <w:rPr>
          <w:rFonts w:ascii="宋体" w:hAnsi="宋体" w:cs="宋体" w:eastAsia="宋体" w:hint="default"/>
          <w:spacing w:val="-1"/>
          <w:sz w:val="21"/>
          <w:szCs w:val="21"/>
        </w:rPr>
        <w:t>元；智能化永磁真空断路器生产</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线技术改造项目累计投入</w:t>
      </w:r>
      <w:r>
        <w:rPr>
          <w:rFonts w:ascii="Times New Roman" w:hAnsi="Times New Roman" w:cs="Times New Roman" w:eastAsia="Times New Roman" w:hint="default"/>
          <w:sz w:val="21"/>
          <w:szCs w:val="21"/>
        </w:rPr>
        <w:t>50,264,681.60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利息收入</w:t>
      </w:r>
      <w:r>
        <w:rPr>
          <w:rFonts w:ascii="Times New Roman" w:hAnsi="Times New Roman" w:cs="Times New Roman" w:eastAsia="Times New Roman" w:hint="default"/>
          <w:sz w:val="21"/>
          <w:szCs w:val="21"/>
        </w:rPr>
        <w:t>265,752.75</w:t>
      </w:r>
      <w:r>
        <w:rPr>
          <w:rFonts w:ascii="宋体" w:hAnsi="宋体" w:cs="宋体" w:eastAsia="宋体" w:hint="default"/>
          <w:sz w:val="21"/>
          <w:szCs w:val="21"/>
        </w:rPr>
        <w:t>元，手续费支出</w:t>
      </w:r>
      <w:r>
        <w:rPr>
          <w:rFonts w:ascii="Times New Roman" w:hAnsi="Times New Roman" w:cs="Times New Roman" w:eastAsia="Times New Roman" w:hint="default"/>
          <w:sz w:val="21"/>
          <w:szCs w:val="21"/>
        </w:rPr>
        <w:t>1,071.15</w:t>
      </w:r>
      <w:r>
        <w:rPr>
          <w:rFonts w:ascii="宋体" w:hAnsi="宋体" w:cs="宋体" w:eastAsia="宋体" w:hint="default"/>
          <w:sz w:val="21"/>
          <w:szCs w:val="21"/>
        </w:rPr>
        <w:t>元，剩余</w:t>
      </w:r>
      <w:r>
        <w:rPr>
          <w:rFonts w:ascii="Times New Roman" w:hAnsi="Times New Roman" w:cs="Times New Roman" w:eastAsia="Times New Roman" w:hint="default"/>
          <w:sz w:val="21"/>
          <w:szCs w:val="21"/>
        </w:rPr>
        <w:t>0</w:t>
      </w:r>
      <w:r>
        <w:rPr>
          <w:rFonts w:ascii="宋体" w:hAnsi="宋体" w:cs="宋体" w:eastAsia="宋体" w:hint="default"/>
          <w:sz w:val="21"/>
          <w:szCs w:val="21"/>
        </w:rPr>
        <w:t>元；智能</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化箱式变电站生产线技术改造项目累计投入</w:t>
      </w:r>
      <w:r>
        <w:rPr>
          <w:rFonts w:ascii="Times New Roman" w:hAnsi="Times New Roman" w:cs="Times New Roman" w:eastAsia="Times New Roman" w:hint="default"/>
          <w:sz w:val="21"/>
          <w:szCs w:val="21"/>
        </w:rPr>
        <w:t>70,545,742.04</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利息收入</w:t>
      </w:r>
      <w:r>
        <w:rPr>
          <w:rFonts w:ascii="Times New Roman" w:hAnsi="Times New Roman" w:cs="Times New Roman" w:eastAsia="Times New Roman" w:hint="default"/>
          <w:sz w:val="21"/>
          <w:szCs w:val="21"/>
        </w:rPr>
        <w:t>550,547.83</w:t>
      </w:r>
      <w:r>
        <w:rPr>
          <w:rFonts w:ascii="宋体" w:hAnsi="宋体" w:cs="宋体" w:eastAsia="宋体" w:hint="default"/>
          <w:sz w:val="21"/>
          <w:szCs w:val="21"/>
        </w:rPr>
        <w:t>元，开户预存手续费</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元，手续费支出</w:t>
      </w:r>
      <w:r>
        <w:rPr>
          <w:rFonts w:ascii="Times New Roman" w:hAnsi="Times New Roman" w:cs="Times New Roman" w:eastAsia="Times New Roman" w:hint="default"/>
          <w:sz w:val="21"/>
          <w:szCs w:val="21"/>
        </w:rPr>
        <w:t>3,720.06</w:t>
      </w:r>
      <w:r>
        <w:rPr>
          <w:rFonts w:ascii="宋体" w:hAnsi="宋体" w:cs="宋体" w:eastAsia="宋体" w:hint="default"/>
          <w:sz w:val="21"/>
          <w:szCs w:val="21"/>
        </w:rPr>
        <w:t>元，剩余</w:t>
      </w:r>
      <w:r>
        <w:rPr>
          <w:rFonts w:ascii="Times New Roman" w:hAnsi="Times New Roman" w:cs="Times New Roman" w:eastAsia="Times New Roman" w:hint="default"/>
          <w:sz w:val="21"/>
          <w:szCs w:val="21"/>
        </w:rPr>
        <w:t>1,185.73</w:t>
      </w:r>
      <w:r>
        <w:rPr>
          <w:rFonts w:ascii="宋体" w:hAnsi="宋体" w:cs="宋体" w:eastAsia="宋体" w:hint="default"/>
          <w:sz w:val="21"/>
          <w:szCs w:val="21"/>
        </w:rPr>
        <w:t>元。上述首次公开发行股票募投项目剩余资金余额已与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月陆续从三个专户转入公司结算户，并于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月将募集资金专户全部销户。</w:t>
      </w:r>
    </w:p>
    <w:p>
      <w:pPr>
        <w:spacing w:line="240" w:lineRule="auto" w:before="4"/>
        <w:rPr>
          <w:rFonts w:ascii="宋体" w:hAnsi="宋体" w:cs="宋体" w:eastAsia="宋体" w:hint="default"/>
          <w:sz w:val="23"/>
          <w:szCs w:val="23"/>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hanging="1"/>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6"/>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VA-12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w:t>
            </w:r>
            <w:r>
              <w:rPr>
                <w:rFonts w:ascii="宋体" w:hAnsi="宋体" w:cs="宋体" w:eastAsia="宋体" w:hint="default"/>
                <w:w w:val="99"/>
                <w:sz w:val="18"/>
                <w:szCs w:val="18"/>
              </w:rPr>
              <w:t> </w:t>
            </w:r>
            <w:r>
              <w:rPr>
                <w:rFonts w:ascii="宋体" w:hAnsi="宋体" w:cs="宋体" w:eastAsia="宋体" w:hint="default"/>
                <w:sz w:val="18"/>
                <w:szCs w:val="18"/>
              </w:rPr>
              <w:t>能化固封极柱式高压</w:t>
            </w:r>
            <w:r>
              <w:rPr>
                <w:rFonts w:ascii="宋体" w:hAnsi="宋体" w:cs="宋体" w:eastAsia="宋体" w:hint="default"/>
                <w:w w:val="99"/>
                <w:sz w:val="18"/>
                <w:szCs w:val="18"/>
              </w:rPr>
              <w:t> </w:t>
            </w:r>
            <w:r>
              <w:rPr>
                <w:rFonts w:ascii="宋体" w:hAnsi="宋体" w:cs="宋体" w:eastAsia="宋体" w:hint="default"/>
                <w:sz w:val="18"/>
                <w:szCs w:val="18"/>
              </w:rPr>
              <w:t>真空断路器项目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万台智能型电 力电器元件产品生产 线项目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智能型高分断低压断</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1,302.95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1,302.95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headerReference w:type="default" r:id="rId13"/>
          <w:footerReference w:type="default" r:id="rId14"/>
          <w:pgSz w:w="11910" w:h="16840"/>
          <w:pgMar w:header="877" w:footer="0" w:top="1060" w:bottom="0" w:left="980" w:right="0"/>
        </w:sectPr>
      </w:pPr>
    </w:p>
    <w:p>
      <w:pPr>
        <w:spacing w:line="240" w:lineRule="auto" w:before="0"/>
        <w:rPr>
          <w:rFonts w:ascii="宋体" w:hAnsi="宋体" w:cs="宋体" w:eastAsia="宋体" w:hint="default"/>
          <w:sz w:val="20"/>
          <w:szCs w:val="20"/>
        </w:rPr>
      </w:pPr>
      <w:r>
        <w:rPr/>
        <w:pict>
          <v:shape style="position:absolute;margin-left:57pt;margin-top:71.999985pt;width:478.7pt;height:692.5pt;mso-position-horizontal-relative:page;mso-position-vertical-relative:page;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0"/>
                    <w:gridCol w:w="772"/>
                    <w:gridCol w:w="786"/>
                    <w:gridCol w:w="780"/>
                    <w:gridCol w:w="780"/>
                    <w:gridCol w:w="786"/>
                    <w:gridCol w:w="774"/>
                    <w:gridCol w:w="774"/>
                    <w:gridCol w:w="793"/>
                    <w:gridCol w:w="774"/>
                    <w:gridCol w:w="780"/>
                  </w:tblGrid>
                  <w:tr>
                    <w:trPr>
                      <w:trHeight w:val="363"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路器生产线建设项目</w:t>
                        </w:r>
                      </w:p>
                    </w:tc>
                    <w:tc>
                      <w:tcPr>
                        <w:tcW w:w="77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pacing w:val="-9"/>
                            <w:sz w:val="18"/>
                            <w:szCs w:val="18"/>
                          </w:rPr>
                          <w:t>高、低压开关柜及元件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技术研究中心建设项 目</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107.49</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1.68%</w:t>
                        </w:r>
                      </w:p>
                    </w:tc>
                    <w:tc>
                      <w:tcPr>
                        <w:tcW w:w="77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6"/>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1,450.85</w:t>
                        </w:r>
                      </w:p>
                    </w:tc>
                    <w:tc>
                      <w:tcPr>
                        <w:tcW w:w="78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1,450.85</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0" w:right="0"/>
                          <w:jc w:val="left"/>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10" w:space="0" w:color="D2D2D2"/>
                        </w:tcBorders>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955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8"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16"/>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20" w:right="0"/>
                          <w:jc w:val="left"/>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6"/>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1,450.85</w:t>
                        </w:r>
                      </w:p>
                    </w:tc>
                    <w:tc>
                      <w:tcPr>
                        <w:tcW w:w="78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1,450.85</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0" w:right="0"/>
                          <w:jc w:val="left"/>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8"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1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60"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60"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694" w:hRule="exact"/>
                    </w:trPr>
                    <w:tc>
                      <w:tcPr>
                        <w:tcW w:w="1760"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2" w:lineRule="auto" w:before="49"/>
                          <w:ind w:left="16" w:right="-3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、募投项目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年产</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万台智能型电力电器元件产品生产线项目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的实施地点，原实施地点为</w:t>
                        </w:r>
                        <w:r>
                          <w:rPr>
                            <w:rFonts w:ascii="Times New Roman" w:hAnsi="Times New Roman" w:cs="Times New Roman" w:eastAsia="Times New Roman" w:hint="default"/>
                            <w:sz w:val="18"/>
                            <w:szCs w:val="18"/>
                          </w:rPr>
                          <w:t>“</w:t>
                        </w:r>
                        <w:r>
                          <w:rPr>
                            <w:rFonts w:ascii="宋体" w:hAnsi="宋体" w:cs="宋体" w:eastAsia="宋体" w:hint="default"/>
                            <w:sz w:val="18"/>
                            <w:szCs w:val="18"/>
                          </w:rPr>
                          <w:t>安徽省 芜湖市经济技术开发区</w:t>
                        </w:r>
                        <w:r>
                          <w:rPr>
                            <w:rFonts w:ascii="Times New Roman" w:hAnsi="Times New Roman" w:cs="Times New Roman" w:eastAsia="Times New Roman" w:hint="default"/>
                            <w:sz w:val="18"/>
                            <w:szCs w:val="18"/>
                          </w:rPr>
                          <w:t>”</w:t>
                        </w:r>
                        <w:r>
                          <w:rPr>
                            <w:rFonts w:ascii="宋体" w:hAnsi="宋体" w:cs="宋体" w:eastAsia="宋体" w:hint="default"/>
                            <w:sz w:val="18"/>
                            <w:szCs w:val="18"/>
                          </w:rPr>
                          <w:t>，变更后该项目的实施地点为</w:t>
                        </w:r>
                        <w:r>
                          <w:rPr>
                            <w:rFonts w:ascii="Times New Roman" w:hAnsi="Times New Roman" w:cs="Times New Roman" w:eastAsia="Times New Roman" w:hint="default"/>
                            <w:sz w:val="18"/>
                            <w:szCs w:val="18"/>
                          </w:rPr>
                          <w:t>“</w:t>
                        </w:r>
                        <w:r>
                          <w:rPr>
                            <w:rFonts w:ascii="宋体" w:hAnsi="宋体" w:cs="宋体" w:eastAsia="宋体" w:hint="default"/>
                            <w:sz w:val="18"/>
                            <w:szCs w:val="18"/>
                          </w:rPr>
                          <w:t>芜湖市鸠江经济开发区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智能 型高分断低压断路器生产线建设项目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的实施地点，原实施地点为</w:t>
                        </w:r>
                        <w:r>
                          <w:rPr>
                            <w:rFonts w:ascii="Times New Roman" w:hAnsi="Times New Roman" w:cs="Times New Roman" w:eastAsia="Times New Roman" w:hint="default"/>
                            <w:sz w:val="18"/>
                            <w:szCs w:val="18"/>
                          </w:rPr>
                          <w:t>“</w:t>
                        </w:r>
                        <w:r>
                          <w:rPr>
                            <w:rFonts w:ascii="宋体" w:hAnsi="宋体" w:cs="宋体" w:eastAsia="宋体" w:hint="default"/>
                            <w:sz w:val="18"/>
                            <w:szCs w:val="18"/>
                          </w:rPr>
                          <w:t>安徽省芜湖市经济技术开发区</w:t>
                        </w:r>
                        <w:r>
                          <w:rPr>
                            <w:rFonts w:ascii="Times New Roman" w:hAnsi="Times New Roman" w:cs="Times New Roman" w:eastAsia="Times New Roman" w:hint="default"/>
                            <w:sz w:val="18"/>
                            <w:szCs w:val="18"/>
                          </w:rPr>
                          <w:t>”</w:t>
                        </w:r>
                        <w:r>
                          <w:rPr>
                            <w:rFonts w:ascii="宋体" w:hAnsi="宋体" w:cs="宋体" w:eastAsia="宋体" w:hint="default"/>
                            <w:sz w:val="18"/>
                            <w:szCs w:val="18"/>
                          </w:rPr>
                          <w:t>， 变更后该项目的实施地点为</w:t>
                        </w:r>
                        <w:r>
                          <w:rPr>
                            <w:rFonts w:ascii="Times New Roman" w:hAnsi="Times New Roman" w:cs="Times New Roman" w:eastAsia="Times New Roman" w:hint="default"/>
                            <w:sz w:val="18"/>
                            <w:szCs w:val="18"/>
                          </w:rPr>
                          <w:t>“</w:t>
                        </w:r>
                        <w:r>
                          <w:rPr>
                            <w:rFonts w:ascii="宋体" w:hAnsi="宋体" w:cs="宋体" w:eastAsia="宋体" w:hint="default"/>
                            <w:sz w:val="18"/>
                            <w:szCs w:val="18"/>
                          </w:rPr>
                          <w:t>芜湖市鸠江经济开发区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高、低压开关柜及元件技术研 </w:t>
                        </w:r>
                        <w:r>
                          <w:rPr>
                            <w:rFonts w:ascii="宋体" w:hAnsi="宋体" w:cs="宋体" w:eastAsia="宋体" w:hint="default"/>
                            <w:spacing w:val="-2"/>
                            <w:sz w:val="18"/>
                            <w:szCs w:val="18"/>
                          </w:rPr>
                          <w:t>究中心建设项目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的实施地点，原实施地点为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安徽省芜湖市经济技术开发区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，变更后该项目的实施</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地点为</w:t>
                        </w:r>
                        <w:r>
                          <w:rPr>
                            <w:rFonts w:ascii="Times New Roman" w:hAnsi="Times New Roman" w:cs="Times New Roman" w:eastAsia="Times New Roman" w:hint="default"/>
                            <w:sz w:val="18"/>
                            <w:szCs w:val="18"/>
                          </w:rPr>
                          <w:t>“</w:t>
                        </w:r>
                        <w:r>
                          <w:rPr>
                            <w:rFonts w:ascii="宋体" w:hAnsi="宋体" w:cs="宋体" w:eastAsia="宋体" w:hint="default"/>
                            <w:sz w:val="18"/>
                            <w:szCs w:val="18"/>
                          </w:rPr>
                          <w:t>芜湖市鸠江经济开发区</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。本次变更部分募集资金投资项目实施地点事项已经鑫龙电器第五 </w:t>
                        </w:r>
                        <w:r>
                          <w:rPr>
                            <w:rFonts w:ascii="宋体" w:hAnsi="宋体" w:cs="宋体" w:eastAsia="宋体" w:hint="default"/>
                            <w:spacing w:val="-5"/>
                            <w:sz w:val="18"/>
                            <w:szCs w:val="18"/>
                          </w:rPr>
                          <w:t>届董事会第二十四次会议和第五届监事会第十七次会议审议通过。《关于变更部分非公开发行股票募</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集资金投资项目实施地点的公告》详见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日指定信息披露媒体《证券时报》、《中国证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w w:val="99"/>
                            <w:sz w:val="18"/>
                            <w:szCs w:val="18"/>
                          </w:rPr>
                          <w:t>券报》、《上海证券报》和巨潮资讯网（</w:t>
                        </w:r>
                        <w:hyperlink r:id="rId9">
                          <w:r>
                            <w:rPr>
                              <w:rFonts w:ascii="Times New Roman" w:hAnsi="Times New Roman" w:cs="Times New Roman" w:eastAsia="Times New Roman" w:hint="default"/>
                              <w:spacing w:val="-11"/>
                              <w:w w:val="99"/>
                              <w:sz w:val="18"/>
                              <w:szCs w:val="18"/>
                            </w:rPr>
                            <w:t>www.cninfo.com.cn</w:t>
                          </w:r>
                        </w:hyperlink>
                        <w:r>
                          <w:rPr>
                            <w:rFonts w:ascii="宋体" w:hAnsi="宋体" w:cs="宋体" w:eastAsia="宋体" w:hint="default"/>
                            <w:spacing w:val="-11"/>
                            <w:w w:val="99"/>
                            <w:sz w:val="18"/>
                            <w:szCs w:val="18"/>
                          </w:rPr>
                          <w:t>）。</w:t>
                        </w:r>
                        <w:r>
                          <w:rPr>
                            <w:rFonts w:ascii="宋体" w:hAnsi="宋体" w:cs="宋体" w:eastAsia="宋体" w:hint="default"/>
                            <w:w w:val="99"/>
                            <w:sz w:val="18"/>
                            <w:szCs w:val="18"/>
                          </w:rPr>
                        </w:r>
                      </w:p>
                    </w:tc>
                  </w:tr>
                  <w:tr>
                    <w:trPr>
                      <w:trHeight w:val="706" w:hRule="exact"/>
                    </w:trPr>
                    <w:tc>
                      <w:tcPr>
                        <w:tcW w:w="17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vMerge/>
                        <w:tcBorders>
                          <w:left w:val="single" w:sz="10" w:space="0" w:color="D2D2D2"/>
                          <w:right w:val="single" w:sz="4" w:space="0" w:color="000000"/>
                        </w:tcBorders>
                      </w:tcPr>
                      <w:p>
                        <w:pPr/>
                      </w:p>
                    </w:tc>
                  </w:tr>
                  <w:tr>
                    <w:trPr>
                      <w:trHeight w:val="1498"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5"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5" w:hRule="exact"/>
                    </w:trPr>
                    <w:tc>
                      <w:tcPr>
                        <w:tcW w:w="17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8"/>
                          <w:ind w:left="1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w:t>
                        </w:r>
                        <w:r>
                          <w:rPr>
                            <w:rFonts w:ascii="宋体" w:hAnsi="宋体" w:cs="宋体" w:eastAsia="宋体" w:hint="default"/>
                            <w:spacing w:val="-3"/>
                            <w:sz w:val="18"/>
                            <w:szCs w:val="18"/>
                          </w:rPr>
                          <w:t>大</w:t>
                        </w:r>
                        <w:r>
                          <w:rPr>
                            <w:rFonts w:ascii="宋体" w:hAnsi="宋体" w:cs="宋体" w:eastAsia="宋体" w:hint="default"/>
                            <w:sz w:val="18"/>
                            <w:szCs w:val="18"/>
                          </w:rPr>
                          <w:t>会审议通过</w:t>
                        </w:r>
                        <w:r>
                          <w:rPr>
                            <w:rFonts w:ascii="宋体" w:hAnsi="宋体" w:cs="宋体" w:eastAsia="宋体" w:hint="default"/>
                            <w:spacing w:val="-89"/>
                            <w:sz w:val="18"/>
                            <w:szCs w:val="18"/>
                          </w:rPr>
                          <w:t>了</w:t>
                        </w:r>
                        <w:r>
                          <w:rPr>
                            <w:rFonts w:ascii="宋体" w:hAnsi="宋体" w:cs="宋体" w:eastAsia="宋体" w:hint="default"/>
                            <w:sz w:val="18"/>
                            <w:szCs w:val="18"/>
                          </w:rPr>
                          <w:t>《关于用非公开发行股票部分闲置募集资金暂时补充流</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动资金的议案</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同意使用不</w:t>
                        </w:r>
                        <w:r>
                          <w:rPr>
                            <w:rFonts w:ascii="宋体" w:hAnsi="宋体" w:cs="宋体" w:eastAsia="宋体" w:hint="default"/>
                            <w:spacing w:val="2"/>
                            <w:sz w:val="18"/>
                            <w:szCs w:val="18"/>
                          </w:rPr>
                          <w:t>超</w:t>
                        </w:r>
                        <w:r>
                          <w:rPr>
                            <w:rFonts w:ascii="宋体" w:hAnsi="宋体" w:cs="宋体" w:eastAsia="宋体" w:hint="default"/>
                            <w:sz w:val="18"/>
                            <w:szCs w:val="18"/>
                          </w:rPr>
                          <w:t>过人民币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万元的闲置</w:t>
                        </w:r>
                        <w:r>
                          <w:rPr>
                            <w:rFonts w:ascii="宋体" w:hAnsi="宋体" w:cs="宋体" w:eastAsia="宋体" w:hint="default"/>
                            <w:spacing w:val="-3"/>
                            <w:sz w:val="18"/>
                            <w:szCs w:val="18"/>
                          </w:rPr>
                          <w:t>募</w:t>
                        </w:r>
                        <w:r>
                          <w:rPr>
                            <w:rFonts w:ascii="宋体" w:hAnsi="宋体" w:cs="宋体" w:eastAsia="宋体" w:hint="default"/>
                            <w:sz w:val="18"/>
                            <w:szCs w:val="18"/>
                          </w:rPr>
                          <w:t>集资金补充流动资</w:t>
                        </w:r>
                        <w:r>
                          <w:rPr>
                            <w:rFonts w:ascii="宋体" w:hAnsi="宋体" w:cs="宋体" w:eastAsia="宋体" w:hint="default"/>
                            <w:spacing w:val="-22"/>
                            <w:sz w:val="18"/>
                            <w:szCs w:val="18"/>
                          </w:rPr>
                          <w:t>金</w:t>
                        </w:r>
                        <w:r>
                          <w:rPr>
                            <w:rFonts w:ascii="宋体" w:hAnsi="宋体" w:cs="宋体" w:eastAsia="宋体" w:hint="default"/>
                            <w:sz w:val="18"/>
                            <w:szCs w:val="18"/>
                          </w:rPr>
                          <w:t>（自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日至</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日止</w:t>
                        </w:r>
                        <w:r>
                          <w:rPr>
                            <w:rFonts w:ascii="宋体" w:hAnsi="宋体" w:cs="宋体" w:eastAsia="宋体" w:hint="default"/>
                            <w:spacing w:val="-92"/>
                            <w:sz w:val="18"/>
                            <w:szCs w:val="18"/>
                          </w:rPr>
                          <w:t>），</w:t>
                        </w:r>
                        <w:r>
                          <w:rPr>
                            <w:rFonts w:ascii="宋体" w:hAnsi="宋体" w:cs="宋体" w:eastAsia="宋体" w:hint="default"/>
                            <w:sz w:val="18"/>
                            <w:szCs w:val="18"/>
                          </w:rPr>
                          <w:t>上述资金已于</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3  </w:t>
                        </w:r>
                        <w:r>
                          <w:rPr>
                            <w:rFonts w:ascii="宋体" w:hAnsi="宋体" w:cs="宋体" w:eastAsia="宋体" w:hint="default"/>
                            <w:sz w:val="18"/>
                            <w:szCs w:val="18"/>
                          </w:rPr>
                          <w:t>日全部归还并转入募集资金专用账户</w:t>
                        </w:r>
                      </w:p>
                    </w:tc>
                  </w:tr>
                  <w:tr>
                    <w:trPr>
                      <w:trHeight w:val="360"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5"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存放于募集资金专户余额为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18,468,842.43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元、募集资金定期存单余额为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233,000,000.00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tc>
                  </w:tr>
                  <w:tr>
                    <w:trPr>
                      <w:trHeight w:val="40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before="44"/>
        <w:ind w:left="0" w:right="1136"/>
        <w:jc w:val="right"/>
      </w:pPr>
      <w:r>
        <w:rPr/>
        <w:t>。</w:t>
      </w:r>
    </w:p>
    <w:p>
      <w:pPr>
        <w:spacing w:after="0" w:line="240" w:lineRule="auto"/>
        <w:jc w:val="right"/>
        <w:sectPr>
          <w:footerReference w:type="default" r:id="rId16"/>
          <w:pgSz w:w="11910" w:h="16840"/>
          <w:pgMar w:footer="1340" w:header="877" w:top="1060" w:bottom="1560" w:left="980" w:right="0"/>
          <w:pgNumType w:start="18"/>
        </w:sectPr>
      </w:pPr>
    </w:p>
    <w:p>
      <w:pPr>
        <w:spacing w:line="240" w:lineRule="auto" w:before="2"/>
        <w:rPr>
          <w:rFonts w:ascii="宋体" w:hAnsi="宋体" w:cs="宋体" w:eastAsia="宋体" w:hint="default"/>
          <w:sz w:val="28"/>
          <w:szCs w:val="28"/>
        </w:rPr>
      </w:pPr>
    </w:p>
    <w:p>
      <w:pPr>
        <w:spacing w:line="694" w:lineRule="exact"/>
        <w:ind w:left="148"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9.05pt;height:34.7pt;mso-position-horizontal-relative:char;mso-position-vertical-relative:line" coordorigin="0,0" coordsize="9581,694">
            <v:group style="position:absolute;left:23;top:14;width:2;height:666" coordorigin="23,14" coordsize="2,666">
              <v:shape style="position:absolute;left:23;top:14;width:2;height:666" coordorigin="23,14" coordsize="0,666" path="m23,14l23,680e" filled="false" stroked="true" strokeweight="1.08pt" strokecolor="#d2d2d2">
                <v:path arrowok="t"/>
              </v:shape>
            </v:group>
            <v:group style="position:absolute;left:1760;top:14;width:2;height:666" coordorigin="1760,14" coordsize="2,666">
              <v:shape style="position:absolute;left:1760;top:14;width:2;height:666" coordorigin="1760,14" coordsize="0,666" path="m1760,14l1760,680e" filled="false" stroked="true" strokeweight="1.2pt" strokecolor="#d2d2d2">
                <v:path arrowok="t"/>
              </v:shape>
            </v:group>
            <v:group style="position:absolute;left:34;top:14;width:1715;height:312" coordorigin="34,14" coordsize="1715,312">
              <v:shape style="position:absolute;left:34;top:14;width:1715;height:312" coordorigin="34,14" coordsize="1715,312" path="m34,326l1748,326,1748,14,34,14,34,326xe" filled="true" fillcolor="#d2d2d2" stroked="false">
                <v:path arrowok="t"/>
                <v:fill type="solid"/>
              </v:shape>
            </v:group>
            <v:group style="position:absolute;left:34;top:326;width:1715;height:354" coordorigin="34,326" coordsize="1715,354">
              <v:shape style="position:absolute;left:34;top:326;width:1715;height:354" coordorigin="34,326" coordsize="1715,354" path="m34,680l1748,680,1748,326,34,326,34,680xe" filled="true" fillcolor="#d2d2d2" stroked="false">
                <v:path arrowok="t"/>
                <v:fill type="solid"/>
              </v:shape>
            </v:group>
            <v:group style="position:absolute;left:10;top:10;width:1763;height:2" coordorigin="10,10" coordsize="1763,2">
              <v:shape style="position:absolute;left:10;top:10;width:1763;height:2" coordorigin="10,10" coordsize="1763,0" path="m10,10l1772,10e" filled="false" stroked="true" strokeweight=".48pt" strokecolor="#000000">
                <v:path arrowok="t"/>
              </v:shape>
            </v:group>
            <v:group style="position:absolute;left:1781;top:10;width:7790;height:2" coordorigin="1781,10" coordsize="7790,2">
              <v:shape style="position:absolute;left:1781;top:10;width:7790;height:2" coordorigin="1781,10" coordsize="7790,0" path="m1781,10l9571,10e" filled="false" stroked="true" strokeweight=".48pt" strokecolor="#000000">
                <v:path arrowok="t"/>
              </v:shape>
            </v:group>
            <v:group style="position:absolute;left:5;top:5;width:2;height:685" coordorigin="5,5" coordsize="2,685">
              <v:shape style="position:absolute;left:5;top:5;width:2;height:685" coordorigin="5,5" coordsize="0,685" path="m5,5l5,689e" filled="false" stroked="true" strokeweight=".48pt" strokecolor="#000000">
                <v:path arrowok="t"/>
              </v:shape>
            </v:group>
            <v:group style="position:absolute;left:10;top:684;width:1763;height:2" coordorigin="10,684" coordsize="1763,2">
              <v:shape style="position:absolute;left:10;top:684;width:1763;height:2" coordorigin="10,684" coordsize="1763,0" path="m10,684l1772,684e" filled="false" stroked="true" strokeweight=".48pt" strokecolor="#000000">
                <v:path arrowok="t"/>
              </v:shape>
            </v:group>
            <v:group style="position:absolute;left:1776;top:5;width:2;height:685" coordorigin="1776,5" coordsize="2,685">
              <v:shape style="position:absolute;left:1776;top:5;width:2;height:685" coordorigin="1776,5" coordsize="0,685" path="m1776,5l1776,689e" filled="false" stroked="true" strokeweight=".48pt" strokecolor="#000000">
                <v:path arrowok="t"/>
              </v:shape>
            </v:group>
            <v:group style="position:absolute;left:1781;top:684;width:7790;height:2" coordorigin="1781,684" coordsize="7790,2">
              <v:shape style="position:absolute;left:1781;top:684;width:7790;height:2" coordorigin="1781,684" coordsize="7790,0" path="m1781,684l9571,684e" filled="false" stroked="true" strokeweight=".48pt" strokecolor="#000000">
                <v:path arrowok="t"/>
              </v:shape>
            </v:group>
            <v:group style="position:absolute;left:9576;top:5;width:2;height:685" coordorigin="9576,5" coordsize="2,685">
              <v:shape style="position:absolute;left:9576;top:5;width:2;height:685" coordorigin="9576,5" coordsize="0,685" path="m9576,5l9576,689e" filled="false" stroked="true" strokeweight=".48pt" strokecolor="#000000">
                <v:path arrowok="t"/>
              </v:shape>
              <v:shape style="position:absolute;left:6;top:10;width:1771;height:675" type="#_x0000_t202" filled="false" stroked="false">
                <v:textbox inset="0,0,0,0">
                  <w:txbxContent>
                    <w:p>
                      <w:pPr>
                        <w:spacing w:line="319" w:lineRule="auto" w:before="13"/>
                        <w:ind w:left="27" w:right="120" w:firstLine="0"/>
                        <w:jc w:val="left"/>
                        <w:rPr>
                          <w:rFonts w:ascii="宋体" w:hAnsi="宋体" w:cs="宋体" w:eastAsia="宋体" w:hint="default"/>
                          <w:sz w:val="18"/>
                          <w:szCs w:val="18"/>
                        </w:rPr>
                      </w:pPr>
                      <w:r>
                        <w:rPr>
                          <w:rFonts w:ascii="宋体" w:hAnsi="宋体" w:cs="宋体" w:eastAsia="宋体" w:hint="default"/>
                          <w:sz w:val="18"/>
                          <w:szCs w:val="18"/>
                        </w:rPr>
                        <w:t>中存在的问题或其他 情况</w:t>
                      </w:r>
                    </w:p>
                  </w:txbxContent>
                </v:textbox>
                <w10:wrap type="none"/>
              </v:shape>
            </v:group>
          </v:group>
        </w:pict>
      </w:r>
      <w:r>
        <w:rPr>
          <w:rFonts w:ascii="宋体" w:hAnsi="宋体" w:cs="宋体" w:eastAsia="宋体" w:hint="default"/>
          <w:position w:val="-13"/>
          <w:sz w:val="20"/>
          <w:szCs w:val="20"/>
        </w:rPr>
      </w:r>
    </w:p>
    <w:p>
      <w:pPr>
        <w:spacing w:line="240" w:lineRule="auto" w:before="11"/>
        <w:rPr>
          <w:rFonts w:ascii="宋体" w:hAnsi="宋体" w:cs="宋体" w:eastAsia="宋体" w:hint="default"/>
          <w:sz w:val="18"/>
          <w:szCs w:val="18"/>
        </w:rPr>
      </w:pPr>
    </w:p>
    <w:p>
      <w:pPr>
        <w:pStyle w:val="Heading4"/>
        <w:spacing w:line="240" w:lineRule="auto" w:before="36"/>
        <w:ind w:right="1123"/>
        <w:jc w:val="left"/>
        <w:rPr>
          <w:b w:val="0"/>
          <w:bCs w:val="0"/>
        </w:rPr>
      </w:pPr>
      <w:r>
        <w:rPr>
          <w:rFonts w:ascii="Times New Roman" w:hAnsi="Times New Roman" w:cs="Times New Roman" w:eastAsia="Times New Roman" w:hint="default"/>
        </w:rPr>
        <w:t>3</w:t>
      </w:r>
      <w:r>
        <w:rPr/>
        <w:t>、主要子公司、参股公司分析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主要子公司、参股公司情况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715"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3" w:hanging="89"/>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39"/>
              <w:jc w:val="center"/>
              <w:rPr>
                <w:rFonts w:ascii="宋体" w:hAnsi="宋体" w:cs="宋体" w:eastAsia="宋体" w:hint="default"/>
                <w:sz w:val="18"/>
                <w:szCs w:val="18"/>
              </w:rPr>
            </w:pPr>
            <w:r>
              <w:rPr>
                <w:rFonts w:ascii="宋体" w:hAnsi="宋体" w:cs="宋体" w:eastAsia="宋体" w:hint="default"/>
                <w:sz w:val="18"/>
                <w:szCs w:val="18"/>
              </w:rPr>
              <w:t>净利润（元）</w:t>
            </w:r>
          </w:p>
        </w:tc>
      </w:tr>
      <w:tr>
        <w:trPr>
          <w:trHeight w:val="164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89"/>
              <w:jc w:val="both"/>
              <w:rPr>
                <w:rFonts w:ascii="宋体" w:hAnsi="宋体" w:cs="宋体" w:eastAsia="宋体" w:hint="default"/>
                <w:sz w:val="18"/>
                <w:szCs w:val="18"/>
              </w:rPr>
            </w:pPr>
            <w:r>
              <w:rPr>
                <w:rFonts w:ascii="宋体" w:hAnsi="宋体" w:cs="宋体" w:eastAsia="宋体" w:hint="default"/>
                <w:sz w:val="18"/>
                <w:szCs w:val="18"/>
              </w:rPr>
              <w:t>安徽森源 电器有限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88"/>
              <w:jc w:val="both"/>
              <w:rPr>
                <w:rFonts w:ascii="宋体" w:hAnsi="宋体" w:cs="宋体" w:eastAsia="宋体" w:hint="default"/>
                <w:sz w:val="18"/>
                <w:szCs w:val="18"/>
              </w:rPr>
            </w:pPr>
            <w:r>
              <w:rPr>
                <w:rFonts w:ascii="宋体" w:hAnsi="宋体" w:cs="宋体" w:eastAsia="宋体" w:hint="default"/>
                <w:sz w:val="18"/>
                <w:szCs w:val="18"/>
              </w:rPr>
              <w:t>输配电及 控制设备 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
              <w:jc w:val="left"/>
              <w:rPr>
                <w:rFonts w:ascii="宋体" w:hAnsi="宋体" w:cs="宋体" w:eastAsia="宋体" w:hint="default"/>
                <w:sz w:val="18"/>
                <w:szCs w:val="18"/>
              </w:rPr>
            </w:pPr>
            <w:r>
              <w:rPr>
                <w:rFonts w:ascii="宋体" w:hAnsi="宋体" w:cs="宋体" w:eastAsia="宋体" w:hint="default"/>
                <w:spacing w:val="-3"/>
                <w:sz w:val="18"/>
                <w:szCs w:val="18"/>
              </w:rPr>
              <w:t>主营高、低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压电器元 </w:t>
            </w:r>
            <w:r>
              <w:rPr>
                <w:rFonts w:ascii="宋体" w:hAnsi="宋体" w:cs="宋体" w:eastAsia="宋体" w:hint="default"/>
                <w:spacing w:val="-3"/>
                <w:sz w:val="18"/>
                <w:szCs w:val="18"/>
              </w:rPr>
              <w:t>器件，开关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配件设计、 </w:t>
            </w:r>
            <w:r>
              <w:rPr>
                <w:rFonts w:ascii="宋体" w:hAnsi="宋体" w:cs="宋体" w:eastAsia="宋体" w:hint="default"/>
                <w:spacing w:val="-3"/>
                <w:sz w:val="18"/>
                <w:szCs w:val="18"/>
              </w:rPr>
              <w:t>制造、销售</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27,560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361,913,10</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4.97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328,278,82</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2.71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132,920,75</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0.37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7,220,223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6,670,014.27</w:t>
            </w:r>
          </w:p>
        </w:tc>
      </w:tr>
      <w:tr>
        <w:trPr>
          <w:trHeight w:val="165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90"/>
              <w:jc w:val="both"/>
              <w:rPr>
                <w:rFonts w:ascii="宋体" w:hAnsi="宋体" w:cs="宋体" w:eastAsia="宋体" w:hint="default"/>
                <w:sz w:val="18"/>
                <w:szCs w:val="18"/>
              </w:rPr>
            </w:pPr>
            <w:r>
              <w:rPr>
                <w:rFonts w:ascii="宋体" w:hAnsi="宋体" w:cs="宋体" w:eastAsia="宋体" w:hint="default"/>
                <w:sz w:val="18"/>
                <w:szCs w:val="18"/>
              </w:rPr>
              <w:t>安徽鑫龙 低压电器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88"/>
              <w:jc w:val="both"/>
              <w:rPr>
                <w:rFonts w:ascii="宋体" w:hAnsi="宋体" w:cs="宋体" w:eastAsia="宋体" w:hint="default"/>
                <w:sz w:val="18"/>
                <w:szCs w:val="18"/>
              </w:rPr>
            </w:pPr>
            <w:r>
              <w:rPr>
                <w:rFonts w:ascii="宋体" w:hAnsi="宋体" w:cs="宋体" w:eastAsia="宋体" w:hint="default"/>
                <w:sz w:val="18"/>
                <w:szCs w:val="18"/>
              </w:rPr>
              <w:t>输配电及 控制设备 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主营低压 电器设备， 元件及附 件的设计、 </w:t>
            </w:r>
            <w:r>
              <w:rPr>
                <w:rFonts w:ascii="宋体" w:hAnsi="宋体" w:cs="宋体" w:eastAsia="宋体" w:hint="default"/>
                <w:spacing w:val="-3"/>
                <w:sz w:val="18"/>
                <w:szCs w:val="18"/>
              </w:rPr>
              <w:t>制造、销售</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67"/>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68,062,553.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63,479,548.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38,215,709.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7,327,702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6,195,194.67</w:t>
            </w:r>
          </w:p>
        </w:tc>
      </w:tr>
      <w:tr>
        <w:trPr>
          <w:trHeight w:val="785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190"/>
              <w:jc w:val="both"/>
              <w:rPr>
                <w:rFonts w:ascii="宋体" w:hAnsi="宋体" w:cs="宋体" w:eastAsia="宋体" w:hint="default"/>
                <w:sz w:val="18"/>
                <w:szCs w:val="18"/>
              </w:rPr>
            </w:pPr>
            <w:r>
              <w:rPr>
                <w:rFonts w:ascii="宋体" w:hAnsi="宋体" w:cs="宋体" w:eastAsia="宋体" w:hint="default"/>
                <w:sz w:val="18"/>
                <w:szCs w:val="18"/>
              </w:rPr>
              <w:t>安徽鑫龙 自动化有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188"/>
              <w:jc w:val="both"/>
              <w:rPr>
                <w:rFonts w:ascii="宋体" w:hAnsi="宋体" w:cs="宋体" w:eastAsia="宋体" w:hint="default"/>
                <w:sz w:val="18"/>
                <w:szCs w:val="18"/>
              </w:rPr>
            </w:pPr>
            <w:r>
              <w:rPr>
                <w:rFonts w:ascii="宋体" w:hAnsi="宋体" w:cs="宋体" w:eastAsia="宋体" w:hint="default"/>
                <w:sz w:val="18"/>
                <w:szCs w:val="18"/>
              </w:rPr>
              <w:t>输配电及 控制设备 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
              <w:jc w:val="left"/>
              <w:rPr>
                <w:rFonts w:ascii="Times New Roman" w:hAnsi="Times New Roman" w:cs="Times New Roman" w:eastAsia="Times New Roman" w:hint="default"/>
                <w:sz w:val="18"/>
                <w:szCs w:val="18"/>
              </w:rPr>
            </w:pPr>
            <w:r>
              <w:rPr>
                <w:rFonts w:ascii="宋体" w:hAnsi="宋体" w:cs="宋体" w:eastAsia="宋体" w:hint="default"/>
                <w:sz w:val="18"/>
                <w:szCs w:val="18"/>
              </w:rPr>
              <w:t>主营变电 站微机综 合自动化 </w:t>
            </w:r>
            <w:r>
              <w:rPr>
                <w:rFonts w:ascii="宋体" w:hAnsi="宋体" w:cs="宋体" w:eastAsia="宋体" w:hint="default"/>
                <w:spacing w:val="-3"/>
                <w:sz w:val="18"/>
                <w:szCs w:val="18"/>
              </w:rPr>
              <w:t>系统，数控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直流电源 柜及部件， 全数字软 启动器及 </w:t>
            </w:r>
            <w:r>
              <w:rPr>
                <w:rFonts w:ascii="宋体" w:hAnsi="宋体" w:cs="宋体" w:eastAsia="宋体" w:hint="default"/>
                <w:spacing w:val="-3"/>
                <w:sz w:val="18"/>
                <w:szCs w:val="18"/>
              </w:rPr>
              <w:t>装置，智能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型全数字 晶闸调功 </w:t>
            </w:r>
            <w:r>
              <w:rPr>
                <w:rFonts w:ascii="宋体" w:hAnsi="宋体" w:cs="宋体" w:eastAsia="宋体" w:hint="default"/>
                <w:spacing w:val="-3"/>
                <w:sz w:val="18"/>
                <w:szCs w:val="18"/>
              </w:rPr>
              <w:t>器，全数字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交直流供 调速系统 </w:t>
            </w:r>
            <w:r>
              <w:rPr>
                <w:rFonts w:ascii="宋体" w:hAnsi="宋体" w:cs="宋体" w:eastAsia="宋体" w:hint="default"/>
                <w:spacing w:val="-3"/>
                <w:sz w:val="18"/>
                <w:szCs w:val="18"/>
              </w:rPr>
              <w:t>及装置，工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业生产过 程自动化 控制系统， </w:t>
            </w:r>
            <w:r>
              <w:rPr>
                <w:rFonts w:ascii="Times New Roman" w:hAnsi="Times New Roman" w:cs="Times New Roman" w:eastAsia="Times New Roman" w:hint="default"/>
                <w:sz w:val="18"/>
                <w:szCs w:val="18"/>
              </w:rPr>
              <w:t>DCS</w:t>
            </w:r>
            <w:r>
              <w:rPr>
                <w:rFonts w:ascii="宋体" w:hAnsi="宋体" w:cs="宋体" w:eastAsia="宋体" w:hint="default"/>
                <w:sz w:val="18"/>
                <w:szCs w:val="18"/>
              </w:rPr>
              <w:t>、</w:t>
            </w:r>
            <w:r>
              <w:rPr>
                <w:rFonts w:ascii="Times New Roman" w:hAnsi="Times New Roman" w:cs="Times New Roman" w:eastAsia="Times New Roman" w:hint="default"/>
                <w:sz w:val="18"/>
                <w:szCs w:val="18"/>
              </w:rPr>
              <w:t>PLC</w:t>
            </w: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3"/>
                <w:sz w:val="18"/>
                <w:szCs w:val="18"/>
              </w:rPr>
              <w:t>控，智能化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数字仪表 设计、生 </w:t>
            </w:r>
            <w:r>
              <w:rPr>
                <w:rFonts w:ascii="宋体" w:hAnsi="宋体" w:cs="宋体" w:eastAsia="宋体" w:hint="default"/>
                <w:spacing w:val="-3"/>
                <w:sz w:val="18"/>
                <w:szCs w:val="18"/>
              </w:rPr>
              <w:t>产，安全防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范技术工 </w:t>
            </w:r>
            <w:r>
              <w:rPr>
                <w:rFonts w:ascii="宋体" w:hAnsi="宋体" w:cs="宋体" w:eastAsia="宋体" w:hint="default"/>
                <w:spacing w:val="-3"/>
                <w:sz w:val="18"/>
                <w:szCs w:val="18"/>
              </w:rPr>
              <w:t>程设计、施</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67"/>
              <w:jc w:val="center"/>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83,902,225.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56,211,057.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79,915,945.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8,008,471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6,828,868.18</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40" w:top="1060" w:bottom="15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363"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工、维修</w:t>
            </w:r>
          </w:p>
        </w:tc>
        <w:tc>
          <w:tcPr>
            <w:tcW w:w="94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14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189"/>
              <w:jc w:val="both"/>
              <w:rPr>
                <w:rFonts w:ascii="宋体" w:hAnsi="宋体" w:cs="宋体" w:eastAsia="宋体" w:hint="default"/>
                <w:sz w:val="18"/>
                <w:szCs w:val="18"/>
              </w:rPr>
            </w:pPr>
            <w:r>
              <w:rPr>
                <w:rFonts w:ascii="宋体" w:hAnsi="宋体" w:cs="宋体" w:eastAsia="宋体" w:hint="default"/>
                <w:sz w:val="18"/>
                <w:szCs w:val="18"/>
              </w:rPr>
              <w:t>安徽鑫龙 变压器有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88"/>
              <w:jc w:val="both"/>
              <w:rPr>
                <w:rFonts w:ascii="宋体" w:hAnsi="宋体" w:cs="宋体" w:eastAsia="宋体" w:hint="default"/>
                <w:sz w:val="18"/>
                <w:szCs w:val="18"/>
              </w:rPr>
            </w:pPr>
            <w:r>
              <w:rPr>
                <w:rFonts w:ascii="宋体" w:hAnsi="宋体" w:cs="宋体" w:eastAsia="宋体" w:hint="default"/>
                <w:sz w:val="18"/>
                <w:szCs w:val="18"/>
              </w:rPr>
              <w:t>输配电及 控制设备 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主营油浸 式变压器 和干式变 压器生产、 销售和维 </w:t>
            </w:r>
            <w:r>
              <w:rPr>
                <w:rFonts w:ascii="宋体" w:hAnsi="宋体" w:cs="宋体" w:eastAsia="宋体" w:hint="default"/>
                <w:spacing w:val="-3"/>
                <w:sz w:val="18"/>
                <w:szCs w:val="18"/>
              </w:rPr>
              <w:t>修（涉及国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家有关审 </w:t>
            </w:r>
            <w:r>
              <w:rPr>
                <w:rFonts w:ascii="宋体" w:hAnsi="宋体" w:cs="宋体" w:eastAsia="宋体" w:hint="default"/>
                <w:spacing w:val="-3"/>
                <w:sz w:val="18"/>
                <w:szCs w:val="18"/>
              </w:rPr>
              <w:t>批项目，按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国家有关 规定办 </w:t>
            </w:r>
            <w:r>
              <w:rPr>
                <w:rFonts w:ascii="宋体" w:hAnsi="宋体" w:cs="宋体" w:eastAsia="宋体" w:hint="default"/>
                <w:spacing w:val="-19"/>
                <w:sz w:val="18"/>
                <w:szCs w:val="18"/>
              </w:rPr>
              <w:t>理），预装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式变电站 的设计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8,901,941.8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6,396,931.9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6,497,240.8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w w:val="95"/>
                <w:sz w:val="18"/>
              </w:rPr>
              <w:t>114,408.0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99,842.75</w:t>
            </w:r>
          </w:p>
        </w:tc>
      </w:tr>
      <w:tr>
        <w:trPr>
          <w:trHeight w:val="758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190"/>
              <w:jc w:val="both"/>
              <w:rPr>
                <w:rFonts w:ascii="宋体" w:hAnsi="宋体" w:cs="宋体" w:eastAsia="宋体" w:hint="default"/>
                <w:sz w:val="18"/>
                <w:szCs w:val="18"/>
              </w:rPr>
            </w:pPr>
            <w:r>
              <w:rPr>
                <w:rFonts w:ascii="宋体" w:hAnsi="宋体" w:cs="宋体" w:eastAsia="宋体" w:hint="default"/>
                <w:sz w:val="18"/>
                <w:szCs w:val="18"/>
              </w:rPr>
              <w:t>安徽鑫龙 电力工程 安装有限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3" w:right="188"/>
              <w:jc w:val="both"/>
              <w:rPr>
                <w:rFonts w:ascii="宋体" w:hAnsi="宋体" w:cs="宋体" w:eastAsia="宋体" w:hint="default"/>
                <w:sz w:val="18"/>
                <w:szCs w:val="18"/>
              </w:rPr>
            </w:pPr>
            <w:r>
              <w:rPr>
                <w:rFonts w:ascii="宋体" w:hAnsi="宋体" w:cs="宋体" w:eastAsia="宋体" w:hint="default"/>
                <w:sz w:val="18"/>
                <w:szCs w:val="18"/>
              </w:rPr>
              <w:t>输配电及 控制设备 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主营电气 </w:t>
            </w:r>
            <w:r>
              <w:rPr>
                <w:rFonts w:ascii="宋体" w:hAnsi="宋体" w:cs="宋体" w:eastAsia="宋体" w:hint="default"/>
                <w:spacing w:val="-3"/>
                <w:sz w:val="18"/>
                <w:szCs w:val="18"/>
              </w:rPr>
              <w:t>设备（含发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电、输电、 </w:t>
            </w:r>
            <w:r>
              <w:rPr>
                <w:rFonts w:ascii="宋体" w:hAnsi="宋体" w:cs="宋体" w:eastAsia="宋体" w:hint="default"/>
                <w:spacing w:val="-3"/>
                <w:sz w:val="18"/>
                <w:szCs w:val="18"/>
              </w:rPr>
              <w:t>配电、电气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传动、自动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化仪表、通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讯工业电 </w:t>
            </w:r>
            <w:r>
              <w:rPr>
                <w:rFonts w:ascii="宋体" w:hAnsi="宋体" w:cs="宋体" w:eastAsia="宋体" w:hint="default"/>
                <w:spacing w:val="-19"/>
                <w:sz w:val="18"/>
                <w:szCs w:val="18"/>
              </w:rPr>
              <w:t>视），工业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过程控制 及监控系 </w:t>
            </w:r>
            <w:r>
              <w:rPr>
                <w:rFonts w:ascii="宋体" w:hAnsi="宋体" w:cs="宋体" w:eastAsia="宋体" w:hint="default"/>
                <w:spacing w:val="-3"/>
                <w:sz w:val="18"/>
                <w:szCs w:val="18"/>
              </w:rPr>
              <w:t>统，计算机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应用服务 与综合信 息网络工 </w:t>
            </w:r>
            <w:r>
              <w:rPr>
                <w:rFonts w:ascii="宋体" w:hAnsi="宋体" w:cs="宋体" w:eastAsia="宋体" w:hint="default"/>
                <w:spacing w:val="-3"/>
                <w:sz w:val="18"/>
                <w:szCs w:val="18"/>
              </w:rPr>
              <w:t>程，电子声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像工程，职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能化系统 和技术防 范工程安 装、调试、 </w:t>
            </w:r>
            <w:r>
              <w:rPr>
                <w:rFonts w:ascii="宋体" w:hAnsi="宋体" w:cs="宋体" w:eastAsia="宋体" w:hint="default"/>
                <w:spacing w:val="-3"/>
                <w:sz w:val="18"/>
                <w:szCs w:val="18"/>
              </w:rPr>
              <w:t>维护（凡涉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及专项审 批的凭许 可证经营）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31,974,301.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30,420,707.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1,968,896.8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16,440.09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-22,260.30</w:t>
            </w:r>
          </w:p>
        </w:tc>
      </w:tr>
      <w:tr>
        <w:trPr>
          <w:trHeight w:val="161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4" w:right="189"/>
              <w:jc w:val="both"/>
              <w:rPr>
                <w:rFonts w:ascii="宋体" w:hAnsi="宋体" w:cs="宋体" w:eastAsia="宋体" w:hint="default"/>
                <w:sz w:val="18"/>
                <w:szCs w:val="18"/>
              </w:rPr>
            </w:pPr>
            <w:r>
              <w:rPr>
                <w:rFonts w:ascii="宋体" w:hAnsi="宋体" w:cs="宋体" w:eastAsia="宋体" w:hint="default"/>
                <w:sz w:val="18"/>
                <w:szCs w:val="18"/>
              </w:rPr>
              <w:t>安徽鑫龙 电器元件 销售有限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188"/>
              <w:jc w:val="both"/>
              <w:rPr>
                <w:rFonts w:ascii="宋体" w:hAnsi="宋体" w:cs="宋体" w:eastAsia="宋体" w:hint="default"/>
                <w:sz w:val="18"/>
                <w:szCs w:val="18"/>
              </w:rPr>
            </w:pPr>
            <w:r>
              <w:rPr>
                <w:rFonts w:ascii="宋体" w:hAnsi="宋体" w:cs="宋体" w:eastAsia="宋体" w:hint="default"/>
                <w:sz w:val="18"/>
                <w:szCs w:val="18"/>
              </w:rPr>
              <w:t>输配电及 控制设备 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主营高低 压元器元 </w:t>
            </w:r>
            <w:r>
              <w:rPr>
                <w:rFonts w:ascii="宋体" w:hAnsi="宋体" w:cs="宋体" w:eastAsia="宋体" w:hint="default"/>
                <w:spacing w:val="-3"/>
                <w:sz w:val="18"/>
                <w:szCs w:val="18"/>
              </w:rPr>
              <w:t>件、工控元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器件、智能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化仪器仪</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10,674,557.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7,071,387.2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2,899,631.6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2,767.44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70,010.73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987"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表、变压 </w:t>
            </w:r>
            <w:r>
              <w:rPr>
                <w:rFonts w:ascii="宋体" w:hAnsi="宋体" w:cs="宋体" w:eastAsia="宋体" w:hint="default"/>
                <w:spacing w:val="-3"/>
                <w:sz w:val="18"/>
                <w:szCs w:val="18"/>
              </w:rPr>
              <w:t>器、电线电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缆销售</w:t>
            </w:r>
          </w:p>
        </w:tc>
        <w:tc>
          <w:tcPr>
            <w:tcW w:w="94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76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4" w:right="190"/>
              <w:jc w:val="both"/>
              <w:rPr>
                <w:rFonts w:ascii="宋体" w:hAnsi="宋体" w:cs="宋体" w:eastAsia="宋体" w:hint="default"/>
                <w:sz w:val="18"/>
                <w:szCs w:val="18"/>
              </w:rPr>
            </w:pPr>
            <w:r>
              <w:rPr>
                <w:rFonts w:ascii="宋体" w:hAnsi="宋体" w:cs="宋体" w:eastAsia="宋体" w:hint="default"/>
                <w:sz w:val="18"/>
                <w:szCs w:val="18"/>
              </w:rPr>
              <w:t>安徽佑赛 科技有限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88"/>
              <w:jc w:val="both"/>
              <w:rPr>
                <w:rFonts w:ascii="宋体" w:hAnsi="宋体" w:cs="宋体" w:eastAsia="宋体" w:hint="default"/>
                <w:sz w:val="18"/>
                <w:szCs w:val="18"/>
              </w:rPr>
            </w:pPr>
            <w:r>
              <w:rPr>
                <w:rFonts w:ascii="宋体" w:hAnsi="宋体" w:cs="宋体" w:eastAsia="宋体" w:hint="default"/>
                <w:sz w:val="18"/>
                <w:szCs w:val="18"/>
              </w:rPr>
              <w:t>输配电及 控制设备 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电能质量 治理设备、 电力节能 </w:t>
            </w:r>
            <w:r>
              <w:rPr>
                <w:rFonts w:ascii="宋体" w:hAnsi="宋体" w:cs="宋体" w:eastAsia="宋体" w:hint="default"/>
                <w:spacing w:val="-3"/>
                <w:sz w:val="18"/>
                <w:szCs w:val="18"/>
              </w:rPr>
              <w:t>设备、电网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监测系统、 新能源系 统和装置 </w:t>
            </w:r>
            <w:r>
              <w:rPr>
                <w:rFonts w:ascii="宋体" w:hAnsi="宋体" w:cs="宋体" w:eastAsia="宋体" w:hint="default"/>
                <w:spacing w:val="-3"/>
                <w:sz w:val="18"/>
                <w:szCs w:val="18"/>
              </w:rPr>
              <w:t>的研发、制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造和销售</w:t>
            </w:r>
          </w:p>
          <w:p>
            <w:pPr>
              <w:pStyle w:val="TableParagraph"/>
              <w:spacing w:line="316" w:lineRule="auto" w:before="19"/>
              <w:ind w:left="24" w:right="19"/>
              <w:jc w:val="left"/>
              <w:rPr>
                <w:rFonts w:ascii="宋体" w:hAnsi="宋体" w:cs="宋体" w:eastAsia="宋体" w:hint="default"/>
                <w:sz w:val="18"/>
                <w:szCs w:val="18"/>
              </w:rPr>
            </w:pPr>
            <w:r>
              <w:rPr>
                <w:rFonts w:ascii="宋体" w:hAnsi="宋体" w:cs="宋体" w:eastAsia="宋体" w:hint="default"/>
                <w:sz w:val="18"/>
                <w:szCs w:val="18"/>
              </w:rPr>
              <w:t>（上述经 营范围涉 及许可资 </w:t>
            </w:r>
            <w:r>
              <w:rPr>
                <w:rFonts w:ascii="宋体" w:hAnsi="宋体" w:cs="宋体" w:eastAsia="宋体" w:hint="default"/>
                <w:spacing w:val="-3"/>
                <w:sz w:val="18"/>
                <w:szCs w:val="18"/>
              </w:rPr>
              <w:t>质的，凭许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可资质经 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33,033,665.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30,206,715.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17,159,900.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-1,312,01</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3.07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-1,119,235.32</w:t>
            </w: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89"/>
              <w:jc w:val="both"/>
              <w:rPr>
                <w:rFonts w:ascii="宋体" w:hAnsi="宋体" w:cs="宋体" w:eastAsia="宋体" w:hint="default"/>
                <w:sz w:val="18"/>
                <w:szCs w:val="18"/>
              </w:rPr>
            </w:pPr>
            <w:r>
              <w:rPr>
                <w:rFonts w:ascii="宋体" w:hAnsi="宋体" w:cs="宋体" w:eastAsia="宋体" w:hint="default"/>
                <w:sz w:val="18"/>
                <w:szCs w:val="18"/>
              </w:rPr>
              <w:t>安徽鑫东 投资管理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88"/>
              <w:jc w:val="left"/>
              <w:rPr>
                <w:rFonts w:ascii="宋体" w:hAnsi="宋体" w:cs="宋体" w:eastAsia="宋体" w:hint="default"/>
                <w:sz w:val="18"/>
                <w:szCs w:val="18"/>
              </w:rPr>
            </w:pPr>
            <w:r>
              <w:rPr>
                <w:rFonts w:ascii="宋体" w:hAnsi="宋体" w:cs="宋体" w:eastAsia="宋体" w:hint="default"/>
                <w:sz w:val="18"/>
                <w:szCs w:val="18"/>
              </w:rPr>
              <w:t>投资管理 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科技项目 投资及实 </w:t>
            </w:r>
            <w:r>
              <w:rPr>
                <w:rFonts w:ascii="宋体" w:hAnsi="宋体" w:cs="宋体" w:eastAsia="宋体" w:hint="default"/>
                <w:spacing w:val="-3"/>
                <w:sz w:val="18"/>
                <w:szCs w:val="18"/>
              </w:rPr>
              <w:t>业投资、管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33,938,344.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33,923,360.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-5,932,22</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2.35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6" w:right="0"/>
              <w:jc w:val="center"/>
              <w:rPr>
                <w:rFonts w:ascii="Times New Roman" w:hAnsi="Times New Roman" w:cs="Times New Roman" w:eastAsia="Times New Roman" w:hint="default"/>
                <w:sz w:val="18"/>
                <w:szCs w:val="18"/>
              </w:rPr>
            </w:pPr>
            <w:r>
              <w:rPr>
                <w:rFonts w:ascii="Times New Roman"/>
                <w:sz w:val="18"/>
              </w:rPr>
              <w:t>-5,948,473.33</w:t>
            </w:r>
          </w:p>
        </w:tc>
      </w:tr>
    </w:tbl>
    <w:p>
      <w:pPr>
        <w:pStyle w:val="BodyText"/>
        <w:spacing w:line="240" w:lineRule="auto" w:before="49"/>
        <w:ind w:right="0"/>
        <w:jc w:val="both"/>
      </w:pPr>
      <w:r>
        <w:rPr/>
        <w:t>主要子公司、参股公司情况说明</w:t>
      </w:r>
    </w:p>
    <w:p>
      <w:pPr>
        <w:pStyle w:val="BodyText"/>
        <w:spacing w:line="300" w:lineRule="auto" w:before="115"/>
        <w:ind w:right="1139"/>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日，公司第五届董事会第二十三次会议审议通过了《关于使用募集资金对全资子公司安徽森源电器有限公司增 资的公告》，</w:t>
      </w:r>
      <w:r>
        <w:rPr>
          <w:color w:val="333333"/>
        </w:rPr>
        <w:t>公司使用募集资金</w:t>
      </w:r>
      <w:r>
        <w:rPr>
          <w:rFonts w:ascii="Times New Roman" w:hAnsi="Times New Roman" w:cs="Times New Roman" w:eastAsia="Times New Roman" w:hint="default"/>
          <w:color w:val="333333"/>
        </w:rPr>
        <w:t>20,000</w:t>
      </w:r>
      <w:r>
        <w:rPr>
          <w:color w:val="333333"/>
        </w:rPr>
        <w:t>万元对全资子公司安徽森源电器有限公司进行增资，增加其注册资本</w:t>
      </w:r>
      <w:r>
        <w:rPr>
          <w:rFonts w:ascii="Times New Roman" w:hAnsi="Times New Roman" w:cs="Times New Roman" w:eastAsia="Times New Roman" w:hint="default"/>
          <w:color w:val="333333"/>
        </w:rPr>
        <w:t>20,000</w:t>
      </w:r>
      <w:r>
        <w:rPr>
          <w:color w:val="333333"/>
        </w:rPr>
        <w:t>万元。完 成工商登记，即注册资本为</w:t>
      </w:r>
      <w:r>
        <w:rPr>
          <w:rFonts w:ascii="Times New Roman" w:hAnsi="Times New Roman" w:cs="Times New Roman" w:eastAsia="Times New Roman" w:hint="default"/>
          <w:color w:val="333333"/>
        </w:rPr>
        <w:t>27,560</w:t>
      </w:r>
      <w:r>
        <w:rPr>
          <w:color w:val="333333"/>
        </w:rPr>
        <w:t>万元。</w:t>
      </w:r>
      <w:r>
        <w:rPr/>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七、公司控制的特殊目的主体情况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公司无控制的特殊目的主体。</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八、公司未来发展的展望</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（一）公司所处行业的发展趋势</w:t>
      </w:r>
    </w:p>
    <w:p>
      <w:pPr>
        <w:pStyle w:val="BodyText"/>
        <w:spacing w:line="314" w:lineRule="auto" w:before="77"/>
        <w:ind w:right="1130" w:firstLine="271"/>
        <w:jc w:val="both"/>
      </w:pPr>
      <w:r>
        <w:rPr>
          <w:rFonts w:ascii="Times New Roman" w:hAnsi="Times New Roman" w:cs="Times New Roman" w:eastAsia="Times New Roman" w:hint="default"/>
        </w:rPr>
        <w:t>2013</w:t>
      </w:r>
      <w:r>
        <w:rPr/>
        <w:t>年，是全面深入贯彻落实党的十八大精神的开局之年，是实施</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规划的关键之年，电力行业所处经济环境有 </w:t>
      </w:r>
      <w:r>
        <w:rPr>
          <w:spacing w:val="-2"/>
        </w:rPr>
        <w:t>望持续改善。电力是现代工业的命脉，国民经济的发展和人民生活的改善均离不开电力工业的发展，故发展电力工业一直是</w:t>
      </w:r>
      <w:r>
        <w:rPr>
          <w:spacing w:val="-63"/>
        </w:rPr>
        <w:t> </w:t>
      </w:r>
      <w:r>
        <w:rPr>
          <w:spacing w:val="-63"/>
        </w:rPr>
      </w:r>
      <w:r>
        <w:rPr>
          <w:spacing w:val="-2"/>
        </w:rPr>
        <w:t>我国的长期发展战略；而输配电及控制设备制造业承担着电能传输、变换、分配的重任，是实现国民经济可持续发展的重要</w:t>
      </w:r>
      <w:r>
        <w:rPr>
          <w:spacing w:val="-65"/>
        </w:rPr>
        <w:t> </w:t>
      </w:r>
      <w:r>
        <w:rPr>
          <w:spacing w:val="-65"/>
        </w:rPr>
      </w:r>
      <w:r>
        <w:rPr>
          <w:spacing w:val="-2"/>
        </w:rPr>
        <w:t>保障手段。目前，我国输配电及控制设备制造业的行业集中度不高，且随着电压等级的降低，这种特征体现得更为明显。随</w:t>
      </w:r>
      <w:r>
        <w:rPr>
          <w:spacing w:val="-67"/>
        </w:rPr>
        <w:t> </w:t>
      </w:r>
      <w:r>
        <w:rPr>
          <w:spacing w:val="-67"/>
        </w:rPr>
      </w:r>
      <w:r>
        <w:rPr>
          <w:spacing w:val="-2"/>
        </w:rPr>
        <w:t>着社会的进步和技术的发展，提高输配电及控制设备产品的安全性和稳定性，成为行业发展的关键，故行业内的优秀企业将</w:t>
      </w:r>
      <w:r>
        <w:rPr>
          <w:spacing w:val="-63"/>
        </w:rPr>
        <w:t> </w:t>
      </w:r>
      <w:r>
        <w:rPr>
          <w:spacing w:val="-63"/>
        </w:rPr>
      </w:r>
      <w:r>
        <w:rPr>
          <w:spacing w:val="-2"/>
        </w:rPr>
        <w:t>利用其较高的技术研发能力和专业的设备资源为客户提供高技术附加值的产品从而引导市场需求和抢占市场份额，并获得更</w:t>
      </w:r>
      <w:r>
        <w:rPr>
          <w:spacing w:val="-64"/>
        </w:rPr>
        <w:t> </w:t>
      </w:r>
      <w:r>
        <w:rPr>
          <w:spacing w:val="-64"/>
        </w:rPr>
      </w:r>
      <w:r>
        <w:rPr/>
        <w:t>高的盈利空间。</w:t>
      </w:r>
    </w:p>
    <w:p>
      <w:pPr>
        <w:pStyle w:val="BodyText"/>
        <w:spacing w:line="316" w:lineRule="auto" w:before="20"/>
        <w:ind w:left="513" w:right="1123" w:hanging="361"/>
        <w:jc w:val="left"/>
      </w:pPr>
      <w:r>
        <w:rPr/>
        <w:t>（二）公司发展战略及规划 </w:t>
      </w:r>
      <w:r>
        <w:rPr>
          <w:spacing w:val="-2"/>
        </w:rPr>
        <w:t>电力行业作为国家经济发展的支柱行业，随着国内和国外经济形势的发展，电力工业进入快速发展期。输配电及控制设</w:t>
      </w:r>
    </w:p>
    <w:p>
      <w:pPr>
        <w:spacing w:after="0" w:line="316"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30"/>
        <w:jc w:val="both"/>
      </w:pPr>
      <w:r>
        <w:rPr>
          <w:spacing w:val="-2"/>
        </w:rPr>
        <w:t>备作为电力工业发电和用电之间的桥梁，其重要性毋庸置疑。公司必须抓住机遇，理顺总体发展思路，以市场为导向，以科</w:t>
      </w:r>
      <w:r>
        <w:rPr>
          <w:spacing w:val="-67"/>
        </w:rPr>
        <w:t> </w:t>
      </w:r>
      <w:r>
        <w:rPr>
          <w:spacing w:val="-67"/>
        </w:rPr>
      </w:r>
      <w:r>
        <w:rPr>
          <w:spacing w:val="-2"/>
        </w:rPr>
        <w:t>技为依托，以发展为主题，以调整结构为主线，以新型工业化为目标，以创新为动力，以经济效益为中心，实现资本多元化</w:t>
      </w:r>
      <w:r>
        <w:rPr>
          <w:spacing w:val="-68"/>
        </w:rPr>
        <w:t> </w:t>
      </w:r>
      <w:r>
        <w:rPr>
          <w:spacing w:val="-68"/>
        </w:rPr>
      </w:r>
      <w:r>
        <w:rPr>
          <w:spacing w:val="-2"/>
        </w:rPr>
        <w:t>和经营专业化，深挖企业内部潜能和市场潜力，加大企业管理和技术创新力度，提高技术含量，从而满足用户现实的和潜在</w:t>
      </w:r>
      <w:r>
        <w:rPr>
          <w:spacing w:val="-65"/>
        </w:rPr>
        <w:t> </w:t>
      </w:r>
      <w:r>
        <w:rPr>
          <w:spacing w:val="-65"/>
        </w:rPr>
      </w:r>
      <w:r>
        <w:rPr>
          <w:spacing w:val="-2"/>
        </w:rPr>
        <w:t>的需求，引领市场和行业发展，同时优化整个产业链，继续做大、做精、做强主导产业，以高低压成套电器为平台，实现以</w:t>
      </w:r>
      <w:r>
        <w:rPr>
          <w:spacing w:val="-73"/>
        </w:rPr>
        <w:t> </w:t>
      </w:r>
      <w:r>
        <w:rPr>
          <w:spacing w:val="-73"/>
        </w:rPr>
      </w:r>
      <w:r>
        <w:rPr>
          <w:spacing w:val="-2"/>
        </w:rPr>
        <w:t>高、低压元器件和自动化元器件为核心，以新能源和电力电子产品为两翼，带动公司整体腾飞。此外，公司还着重优化工业</w:t>
      </w:r>
      <w:r>
        <w:rPr>
          <w:spacing w:val="-66"/>
        </w:rPr>
        <w:t> </w:t>
      </w:r>
      <w:r>
        <w:rPr>
          <w:spacing w:val="-66"/>
        </w:rPr>
      </w:r>
      <w:r>
        <w:rPr>
          <w:spacing w:val="-2"/>
        </w:rPr>
        <w:t>装备、产品和企业组织结构，集中资源培植和发展主导产业，向科技型、专业化方向挺进，上规模、上水平、上档次，增强</w:t>
      </w:r>
      <w:r>
        <w:rPr>
          <w:spacing w:val="-65"/>
        </w:rPr>
        <w:t> </w:t>
      </w:r>
      <w:r>
        <w:rPr>
          <w:spacing w:val="-65"/>
        </w:rPr>
      </w:r>
      <w:r>
        <w:rPr/>
        <w:t>产业积聚效应和企业核心竞争力，实现企业跨越式发展。</w:t>
      </w:r>
    </w:p>
    <w:p>
      <w:pPr>
        <w:pStyle w:val="BodyText"/>
        <w:spacing w:line="240" w:lineRule="auto" w:before="19"/>
        <w:ind w:right="0"/>
        <w:jc w:val="both"/>
      </w:pPr>
      <w:r>
        <w:rPr/>
        <w:t>（三）</w:t>
      </w:r>
      <w:r>
        <w:rPr>
          <w:rFonts w:ascii="Times New Roman" w:hAnsi="Times New Roman" w:cs="Times New Roman" w:eastAsia="Times New Roman" w:hint="default"/>
        </w:rPr>
        <w:t>2013</w:t>
      </w:r>
      <w:r>
        <w:rPr/>
        <w:t>年公司经营计划</w:t>
      </w:r>
    </w:p>
    <w:p>
      <w:pPr>
        <w:pStyle w:val="BodyText"/>
        <w:spacing w:line="300" w:lineRule="auto" w:before="111"/>
        <w:ind w:right="1130" w:firstLine="360"/>
        <w:jc w:val="both"/>
      </w:pPr>
      <w:r>
        <w:rPr>
          <w:rFonts w:ascii="Times New Roman" w:hAnsi="Times New Roman" w:cs="Times New Roman" w:eastAsia="Times New Roman" w:hint="default"/>
          <w:spacing w:val="-2"/>
        </w:rPr>
        <w:t>2013</w:t>
      </w:r>
      <w:r>
        <w:rPr>
          <w:spacing w:val="-2"/>
        </w:rPr>
        <w:t>年，公司将继续抓住行业和市场发展的重大机遇，充分借助逐步积累的品牌和资本效应，努力探求出一条内涵式增</w:t>
      </w:r>
      <w:r>
        <w:rPr/>
        <w:t> 长与外延式扩张相结合的发展道路来，实现生产和经营规模的迅速扩大。</w:t>
      </w:r>
      <w:r>
        <w:rPr>
          <w:rFonts w:ascii="Times New Roman" w:hAnsi="Times New Roman" w:cs="Times New Roman" w:eastAsia="Times New Roman" w:hint="default"/>
        </w:rPr>
        <w:t>2013</w:t>
      </w:r>
      <w:r>
        <w:rPr/>
        <w:t>年，将重点做好以下工作：</w:t>
      </w:r>
    </w:p>
    <w:p>
      <w:pPr>
        <w:pStyle w:val="BodyText"/>
        <w:spacing w:line="319" w:lineRule="auto" w:before="61"/>
        <w:ind w:right="0" w:firstLine="360"/>
        <w:jc w:val="left"/>
      </w:pPr>
      <w:r>
        <w:rPr>
          <w:spacing w:val="-2"/>
        </w:rPr>
        <w:t>一是继续加大研发投入，提升公司研发创新水平。公司将继续以技术持续创新为基础，以技术适宜应用为重点，优化研</w:t>
      </w:r>
      <w:r>
        <w:rPr/>
        <w:t> </w:t>
      </w:r>
      <w:r>
        <w:rPr>
          <w:spacing w:val="-2"/>
        </w:rPr>
        <w:t>发资源配置，进一步实行资源管理制与项目管理制相结合的管理模式，加快各种研发项目的推进速度；完善研发人员的考核</w:t>
      </w:r>
      <w:r>
        <w:rPr>
          <w:spacing w:val="-63"/>
        </w:rPr>
        <w:t> </w:t>
      </w:r>
      <w:r>
        <w:rPr>
          <w:spacing w:val="-63"/>
        </w:rPr>
      </w:r>
      <w:r>
        <w:rPr>
          <w:spacing w:val="-2"/>
        </w:rPr>
        <w:t>机制，调整研发团队的梯队结构，激发研发人员的创新活力；进一步提升新产品的质量，提高开发产品的一次成功率，通过</w:t>
      </w:r>
      <w:r>
        <w:rPr>
          <w:spacing w:val="-67"/>
        </w:rPr>
        <w:t> </w:t>
      </w:r>
      <w:r>
        <w:rPr>
          <w:spacing w:val="-67"/>
        </w:rPr>
      </w:r>
      <w:r>
        <w:rPr>
          <w:spacing w:val="-4"/>
        </w:rPr>
        <w:t>研发和设计的深化实现现有产品的升级换代，加强可靠性和降低成本工作，建立梯次化的产品体系，形成差异化的竞争优势，</w:t>
      </w:r>
      <w:r>
        <w:rPr>
          <w:spacing w:val="-44"/>
        </w:rPr>
        <w:t> </w:t>
      </w:r>
      <w:r>
        <w:rPr>
          <w:spacing w:val="-44"/>
        </w:rPr>
      </w:r>
      <w:r>
        <w:rPr/>
        <w:t>为发展其他延伸产品打下坚实的基础。</w:t>
      </w:r>
    </w:p>
    <w:p>
      <w:pPr>
        <w:pStyle w:val="BodyText"/>
        <w:spacing w:line="316" w:lineRule="auto" w:before="65"/>
        <w:ind w:right="1130" w:firstLine="360"/>
        <w:jc w:val="both"/>
      </w:pPr>
      <w:r>
        <w:rPr>
          <w:spacing w:val="-2"/>
        </w:rPr>
        <w:t>二是加强内控建设管理，公司继续完善治理结构和内控管理体系，全面提高公司规范运作水平，从生产经营、财务、人</w:t>
      </w:r>
      <w:r>
        <w:rPr/>
        <w:t> </w:t>
      </w:r>
      <w:r>
        <w:rPr>
          <w:spacing w:val="-2"/>
        </w:rPr>
        <w:t>力资源等多方面齐抓共管，统一管理，通过透明化管理来提高企业综合管理水平，控制企业决策风险，提升企业运作效率和</w:t>
      </w:r>
      <w:r>
        <w:rPr>
          <w:spacing w:val="-64"/>
        </w:rPr>
        <w:t> </w:t>
      </w:r>
      <w:r>
        <w:rPr>
          <w:spacing w:val="-64"/>
        </w:rPr>
      </w:r>
      <w:r>
        <w:rPr/>
        <w:t>管理水平，实现持久的全体股东利益最大化。</w:t>
      </w:r>
    </w:p>
    <w:p>
      <w:pPr>
        <w:pStyle w:val="BodyText"/>
        <w:spacing w:line="316" w:lineRule="auto" w:before="67"/>
        <w:ind w:right="1130" w:firstLine="360"/>
        <w:jc w:val="both"/>
      </w:pPr>
      <w:r>
        <w:rPr>
          <w:spacing w:val="-2"/>
        </w:rPr>
        <w:t>三是切实加强募集资金项目管理。公司将积极推动募投项目的进展，加强募集资金项目的管理工作。继续加强销售网络</w:t>
      </w:r>
      <w:r>
        <w:rPr/>
        <w:t> 建设，提高市场推广和服务能力。</w:t>
      </w:r>
    </w:p>
    <w:p>
      <w:pPr>
        <w:pStyle w:val="BodyText"/>
        <w:spacing w:line="316" w:lineRule="auto" w:before="67"/>
        <w:ind w:right="1131" w:firstLine="360"/>
        <w:jc w:val="both"/>
      </w:pPr>
      <w:r>
        <w:rPr>
          <w:spacing w:val="-2"/>
        </w:rPr>
        <w:t>四是市场开发规划。公司将继续加大营销及品牌推广力度，同时将进一步补充、完善高素质的销售团队，建立符合公司</w:t>
      </w:r>
      <w:r>
        <w:rPr/>
        <w:t> </w:t>
      </w:r>
      <w:r>
        <w:rPr>
          <w:spacing w:val="-2"/>
        </w:rPr>
        <w:t>高速发展的、符合技术营销和品牌营销理念的销售管理制度和激励机制；公司将完善现有的营销渠道，配合销售的需要，加</w:t>
      </w:r>
      <w:r>
        <w:rPr>
          <w:spacing w:val="-64"/>
        </w:rPr>
        <w:t> </w:t>
      </w:r>
      <w:r>
        <w:rPr>
          <w:spacing w:val="-64"/>
        </w:rPr>
      </w:r>
      <w:r>
        <w:rPr/>
        <w:t>大推广力度，建立起既能推动现阶段产品销售、又能树立品牌长期形象的品牌推广策略。</w:t>
      </w:r>
    </w:p>
    <w:p>
      <w:pPr>
        <w:pStyle w:val="BodyText"/>
        <w:spacing w:line="312" w:lineRule="auto" w:before="67"/>
        <w:ind w:right="1129" w:firstLine="360"/>
        <w:jc w:val="both"/>
      </w:pPr>
      <w:r>
        <w:rPr>
          <w:spacing w:val="-2"/>
        </w:rPr>
        <w:t>五是人力资源发展计划。人才战略是公司保持可持续发展的源泉。公司在</w:t>
      </w:r>
      <w:r>
        <w:rPr>
          <w:rFonts w:ascii="Times New Roman" w:hAnsi="Times New Roman" w:cs="Times New Roman" w:eastAsia="Times New Roman" w:hint="default"/>
          <w:spacing w:val="-2"/>
        </w:rPr>
        <w:t>2012</w:t>
      </w:r>
      <w:r>
        <w:rPr>
          <w:spacing w:val="-2"/>
        </w:rPr>
        <w:t>年建立以市场为龙头的流程性组织图，岗</w:t>
      </w:r>
      <w:r>
        <w:rPr/>
        <w:t> </w:t>
      </w:r>
      <w:r>
        <w:rPr>
          <w:spacing w:val="-2"/>
        </w:rPr>
        <w:t>位设立明确，人才的选聘机制也具有灵活性，除了吸收外部高素质的技术人才、营销人才和管理人才外，还加强内部人才竞</w:t>
      </w:r>
      <w:r>
        <w:rPr>
          <w:spacing w:val="-65"/>
        </w:rPr>
        <w:t> </w:t>
      </w:r>
      <w:r>
        <w:rPr>
          <w:spacing w:val="-65"/>
        </w:rPr>
      </w:r>
      <w:r>
        <w:rPr>
          <w:spacing w:val="-2"/>
        </w:rPr>
        <w:t>选上岗制，以及内部员工推荐制度。同时，公司秉承人才阶梯战略，完善公司内部人力资源体系的建设，强化员工的培训与</w:t>
      </w:r>
      <w:r>
        <w:rPr>
          <w:spacing w:val="-67"/>
        </w:rPr>
        <w:t> </w:t>
      </w:r>
      <w:r>
        <w:rPr>
          <w:spacing w:val="-67"/>
        </w:rPr>
      </w:r>
      <w:r>
        <w:rPr/>
        <w:t>提升，形成内部人才的机制，使员工成为企业的核心竞争力。</w:t>
      </w:r>
    </w:p>
    <w:p>
      <w:pPr>
        <w:pStyle w:val="BodyText"/>
        <w:spacing w:line="316" w:lineRule="auto" w:before="70"/>
        <w:ind w:right="1133" w:firstLine="360"/>
        <w:jc w:val="both"/>
      </w:pPr>
      <w:r>
        <w:rPr>
          <w:spacing w:val="-2"/>
        </w:rPr>
        <w:t>六是加强财务管理核心地位，围绕增收节支、提高效率、降低成本的目标，合理规划资金的使用，充分利用企业的现金</w:t>
      </w:r>
      <w:r>
        <w:rPr/>
        <w:t> 流，理财增效。</w:t>
      </w:r>
    </w:p>
    <w:p>
      <w:pPr>
        <w:pStyle w:val="BodyText"/>
        <w:spacing w:line="240" w:lineRule="auto" w:before="19"/>
        <w:ind w:right="0"/>
        <w:jc w:val="both"/>
      </w:pPr>
      <w:r>
        <w:rPr/>
        <w:t>（四）可能面对的风险因素</w:t>
      </w:r>
    </w:p>
    <w:p>
      <w:pPr>
        <w:pStyle w:val="BodyText"/>
        <w:spacing w:line="300" w:lineRule="auto" w:before="76"/>
        <w:ind w:left="506" w:right="1123" w:hanging="354"/>
        <w:jc w:val="left"/>
      </w:pPr>
      <w:r>
        <w:rPr>
          <w:rFonts w:ascii="Times New Roman" w:hAnsi="Times New Roman" w:cs="Times New Roman" w:eastAsia="Times New Roman" w:hint="default"/>
        </w:rPr>
        <w:t>1</w:t>
      </w:r>
      <w:r>
        <w:rPr/>
        <w:t>、行业竞争风险 </w:t>
      </w:r>
      <w:r>
        <w:rPr>
          <w:spacing w:val="-2"/>
        </w:rPr>
        <w:t>经过多年发展，我国输配电及控制设备制造业已形成了国有企业、民营企业和外资企业并存的市场竞争格局。在高低压</w:t>
      </w:r>
    </w:p>
    <w:p>
      <w:pPr>
        <w:pStyle w:val="BodyText"/>
        <w:spacing w:line="309" w:lineRule="auto" w:before="31"/>
        <w:ind w:right="1132"/>
        <w:jc w:val="both"/>
      </w:pPr>
      <w:r>
        <w:rPr>
          <w:spacing w:val="-2"/>
        </w:rPr>
        <w:t>领域，输配电及控制设备产品的生产厂家众多，行业集中度较低，市场激烈竞争，产品的价格、质量、技术含量和售后服务</w:t>
      </w:r>
      <w:r>
        <w:rPr>
          <w:spacing w:val="-68"/>
        </w:rPr>
        <w:t> </w:t>
      </w:r>
      <w:r>
        <w:rPr>
          <w:spacing w:val="-68"/>
        </w:rPr>
      </w:r>
      <w:r>
        <w:rPr>
          <w:spacing w:val="-2"/>
        </w:rPr>
        <w:t>受到越来越多的关注。虽然公司主导产品已在</w:t>
      </w:r>
      <w:r>
        <w:rPr>
          <w:rFonts w:ascii="Times New Roman" w:hAnsi="Times New Roman" w:cs="Times New Roman" w:eastAsia="Times New Roman" w:hint="default"/>
          <w:spacing w:val="-2"/>
        </w:rPr>
        <w:t>12</w:t>
      </w:r>
      <w:r>
        <w:rPr>
          <w:spacing w:val="-2"/>
        </w:rPr>
        <w:t>～</w:t>
      </w:r>
      <w:r>
        <w:rPr>
          <w:rFonts w:ascii="Times New Roman" w:hAnsi="Times New Roman" w:cs="Times New Roman" w:eastAsia="Times New Roman" w:hint="default"/>
          <w:spacing w:val="-2"/>
        </w:rPr>
        <w:t>40.5kV</w:t>
      </w:r>
      <w:r>
        <w:rPr>
          <w:spacing w:val="-2"/>
        </w:rPr>
        <w:t>高低压成套开关设备及元器件市场初步建立了自己的竞争优势，但</w:t>
      </w:r>
      <w:r>
        <w:rPr>
          <w:spacing w:val="-55"/>
        </w:rPr>
        <w:t> </w:t>
      </w:r>
      <w:r>
        <w:rPr>
          <w:spacing w:val="-55"/>
        </w:rPr>
      </w:r>
      <w:r>
        <w:rPr/>
        <w:t>公司仍将在各产品线面临着来自国内外知名企业持续的市场竞争。</w:t>
      </w:r>
    </w:p>
    <w:p>
      <w:pPr>
        <w:pStyle w:val="BodyText"/>
        <w:spacing w:line="316" w:lineRule="auto" w:before="24"/>
        <w:ind w:right="1129" w:firstLine="353"/>
        <w:jc w:val="both"/>
      </w:pPr>
      <w:r>
        <w:rPr>
          <w:spacing w:val="-2"/>
        </w:rPr>
        <w:t>应对措施：一是加快规划项目的建设，占领行业规模制高点；二是稳定并大力开拓终端客户，保证市场的稳定；三是进</w:t>
      </w:r>
      <w:r>
        <w:rPr/>
        <w:t> 一步加强精细化管理，有效降低采购成本、物料消耗和期间费用等。</w:t>
      </w:r>
    </w:p>
    <w:p>
      <w:pPr>
        <w:pStyle w:val="BodyText"/>
        <w:spacing w:line="300" w:lineRule="auto" w:before="19"/>
        <w:ind w:left="453" w:right="1123" w:hanging="301"/>
        <w:jc w:val="left"/>
      </w:pPr>
      <w:r>
        <w:rPr>
          <w:rFonts w:ascii="Times New Roman" w:hAnsi="Times New Roman" w:cs="Times New Roman" w:eastAsia="Times New Roman" w:hint="default"/>
        </w:rPr>
        <w:t>2</w:t>
      </w:r>
      <w:r>
        <w:rPr/>
        <w:t>、产品质量风险 </w:t>
      </w:r>
      <w:r>
        <w:rPr>
          <w:spacing w:val="-1"/>
        </w:rPr>
        <w:t>公司的产品主要应用于输配电及控制系统，产品质量相当关键，一旦出现故障，有可能造成用户电力系统严重事故，甚</w:t>
      </w:r>
    </w:p>
    <w:p>
      <w:pPr>
        <w:pStyle w:val="BodyText"/>
        <w:spacing w:line="316" w:lineRule="auto" w:before="31"/>
        <w:ind w:right="1135"/>
        <w:jc w:val="both"/>
      </w:pPr>
      <w:r>
        <w:rPr>
          <w:spacing w:val="-2"/>
        </w:rPr>
        <w:t>至危及电网的安全，给公司信誉带来重大损害，影响公司产品的销售；同时，公司产品出厂后，如果在用户安装检验过程中</w:t>
      </w:r>
      <w:r>
        <w:rPr>
          <w:spacing w:val="-67"/>
        </w:rPr>
        <w:t> </w:t>
      </w:r>
      <w:r>
        <w:rPr>
          <w:spacing w:val="-67"/>
        </w:rPr>
      </w:r>
      <w:r>
        <w:rPr/>
        <w:t>发现质量问题，不能达到设计要求，无论返工或退货，都将会直接影响公司的经济效益。</w:t>
      </w:r>
    </w:p>
    <w:p>
      <w:pPr>
        <w:pStyle w:val="BodyText"/>
        <w:spacing w:line="300" w:lineRule="auto" w:before="19"/>
        <w:ind w:right="1131" w:firstLine="300"/>
        <w:jc w:val="both"/>
      </w:pPr>
      <w:r>
        <w:rPr/>
        <w:t>应对措施：公司继续坚持</w:t>
      </w:r>
      <w:r>
        <w:rPr>
          <w:rFonts w:ascii="Times New Roman" w:hAnsi="Times New Roman" w:cs="Times New Roman" w:eastAsia="Times New Roman" w:hint="default"/>
        </w:rPr>
        <w:t>“</w:t>
      </w:r>
      <w:r>
        <w:rPr/>
        <w:t>以质取胜</w:t>
      </w:r>
      <w:r>
        <w:rPr>
          <w:rFonts w:ascii="Times New Roman" w:hAnsi="Times New Roman" w:cs="Times New Roman" w:eastAsia="Times New Roman" w:hint="default"/>
        </w:rPr>
        <w:t>”</w:t>
      </w:r>
      <w:r>
        <w:rPr/>
        <w:t>，在保证质量的前提下完成及时交付。公司积极提倡合理资源调配，合理安排原材 </w:t>
      </w:r>
      <w:r>
        <w:rPr>
          <w:spacing w:val="-2"/>
        </w:rPr>
        <w:t>料供应及采购成本管理，在保障材料成本及供应及时性的前提下，着重关注品质，在降低成本的条件下有效的保证原材料的</w:t>
      </w:r>
    </w:p>
    <w:p>
      <w:pPr>
        <w:spacing w:after="0" w:line="300" w:lineRule="auto"/>
        <w:jc w:val="both"/>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3"/>
        <w:jc w:val="left"/>
      </w:pPr>
      <w:r>
        <w:rPr/>
        <w:t>供给。质量管理部门严格按照</w:t>
      </w:r>
      <w:r>
        <w:rPr>
          <w:rFonts w:ascii="Times New Roman" w:hAnsi="Times New Roman" w:cs="Times New Roman" w:eastAsia="Times New Roman" w:hint="default"/>
        </w:rPr>
        <w:t>ISO</w:t>
      </w:r>
      <w:r>
        <w:rPr/>
        <w:t>质量管理体系的标准对产品进行把关，保证所有出厂产品的合格率。</w:t>
      </w:r>
    </w:p>
    <w:p>
      <w:pPr>
        <w:pStyle w:val="BodyText"/>
        <w:spacing w:line="300" w:lineRule="auto" w:before="63"/>
        <w:ind w:left="513" w:right="1123" w:hanging="361"/>
        <w:jc w:val="left"/>
      </w:pPr>
      <w:r>
        <w:rPr>
          <w:rFonts w:ascii="Times New Roman" w:hAnsi="Times New Roman" w:cs="Times New Roman" w:eastAsia="Times New Roman" w:hint="default"/>
        </w:rPr>
        <w:t>3</w:t>
      </w:r>
      <w:r>
        <w:rPr/>
        <w:t>、募集资金投资项目无法产生预期收益的风险 </w:t>
      </w:r>
      <w:r>
        <w:rPr>
          <w:spacing w:val="-2"/>
        </w:rPr>
        <w:t>公司本次发行募集资金投资项目的可行性分析是基于当前市场环境、技术发展趋势等因素做出的，投资项目虽然经过了</w:t>
      </w:r>
    </w:p>
    <w:p>
      <w:pPr>
        <w:pStyle w:val="BodyText"/>
        <w:spacing w:line="316" w:lineRule="auto" w:before="31"/>
        <w:ind w:right="1129"/>
        <w:jc w:val="both"/>
      </w:pPr>
      <w:r>
        <w:rPr>
          <w:spacing w:val="-2"/>
        </w:rPr>
        <w:t>慎重、充分的可行性研究论证，但仍存在因市场环境发生较大变化、项目实施过程中发生不可预见因素等导致项目延期或无</w:t>
      </w:r>
      <w:r>
        <w:rPr>
          <w:spacing w:val="-63"/>
        </w:rPr>
        <w:t> </w:t>
      </w:r>
      <w:r>
        <w:rPr>
          <w:spacing w:val="-63"/>
        </w:rPr>
      </w:r>
      <w:r>
        <w:rPr>
          <w:spacing w:val="-2"/>
        </w:rPr>
        <w:t>法实施，或者导致投资项目不能产生预期收益的可能性。按照募集资金使用计划，本次募集资金投资总额中投入的固定资产</w:t>
      </w:r>
      <w:r>
        <w:rPr>
          <w:spacing w:val="-62"/>
        </w:rPr>
        <w:t> </w:t>
      </w:r>
      <w:r>
        <w:rPr>
          <w:spacing w:val="-62"/>
        </w:rPr>
      </w:r>
      <w:r>
        <w:rPr/>
        <w:t>将在一定期限内计提折旧或摊销。如投资项目不能产生预期收益，上述期间费用的发生将对公司经营业绩构成较大压力。</w:t>
      </w:r>
    </w:p>
    <w:p>
      <w:pPr>
        <w:pStyle w:val="BodyText"/>
        <w:spacing w:line="316" w:lineRule="auto" w:before="19"/>
        <w:ind w:right="1123" w:firstLine="360"/>
        <w:jc w:val="left"/>
      </w:pPr>
      <w:r>
        <w:rPr>
          <w:spacing w:val="-2"/>
        </w:rPr>
        <w:t>应对措施：公司将积极推动募投项目的进展，加强募集资金项目的管理工作。继续加强销售网络建设，提高市场推广和</w:t>
      </w:r>
      <w:r>
        <w:rPr/>
        <w:t> 服务能力。</w:t>
      </w:r>
    </w:p>
    <w:p>
      <w:pPr>
        <w:spacing w:line="240" w:lineRule="auto" w:before="11"/>
        <w:rPr>
          <w:rFonts w:ascii="宋体" w:hAnsi="宋体" w:cs="宋体" w:eastAsia="宋体" w:hint="default"/>
          <w:sz w:val="20"/>
          <w:szCs w:val="20"/>
        </w:rPr>
      </w:pPr>
    </w:p>
    <w:p>
      <w:pPr>
        <w:pStyle w:val="Heading2"/>
        <w:spacing w:line="240" w:lineRule="auto"/>
        <w:ind w:right="1123"/>
        <w:jc w:val="left"/>
        <w:rPr>
          <w:b w:val="0"/>
          <w:bCs w:val="0"/>
        </w:rPr>
      </w:pPr>
      <w:r>
        <w:rPr/>
        <w:t>九、董事会对会计师事务所本报告期“非标准审计报告”的说明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3"/>
        <w:jc w:val="left"/>
      </w:pPr>
      <w:r>
        <w:rPr/>
        <w:t>报告期内，会计师事务所所出具的审计报告为</w:t>
      </w:r>
      <w:r>
        <w:rPr>
          <w:rFonts w:ascii="Times New Roman" w:hAnsi="Times New Roman" w:cs="Times New Roman" w:eastAsia="Times New Roman" w:hint="default"/>
        </w:rPr>
        <w:t>“</w:t>
      </w:r>
      <w:r>
        <w:rPr/>
        <w:t>标准无保留意见的审计报告</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r>
        <w:rPr/>
        <w:t>十、与上年度财务报告相比，会计政策、会计估计和核算方法发生变化的情况说明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报告期内，公司与上年度财务报告相比，未发生会计政策、会计估计和核算方法发生变化的情况。</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十一、报告期内发生重大会计差错更正需追溯重述的情况说明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3"/>
        <w:jc w:val="left"/>
      </w:pPr>
      <w:r>
        <w:rPr/>
        <w:t>报告期内，未发生重大会计差错更正事项。</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十二、与上年度财务报告相比，合并报表范围发生变化的情况说明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本报告期公司合并报表范围未发生变动。</w:t>
      </w:r>
    </w:p>
    <w:p>
      <w:pPr>
        <w:spacing w:line="240" w:lineRule="auto" w:before="4"/>
        <w:rPr>
          <w:rFonts w:ascii="宋体" w:hAnsi="宋体" w:cs="宋体" w:eastAsia="宋体" w:hint="default"/>
          <w:sz w:val="25"/>
          <w:szCs w:val="25"/>
        </w:rPr>
      </w:pPr>
    </w:p>
    <w:p>
      <w:pPr>
        <w:pStyle w:val="Heading2"/>
        <w:spacing w:line="240" w:lineRule="auto"/>
        <w:ind w:right="1123"/>
        <w:jc w:val="left"/>
        <w:rPr>
          <w:b w:val="0"/>
          <w:bCs w:val="0"/>
        </w:rPr>
      </w:pPr>
      <w:r>
        <w:rPr/>
        <w:t>十三、公司利润分配及分红派息情况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44" w:right="1182" w:hanging="392"/>
        <w:jc w:val="left"/>
      </w:pPr>
      <w:r>
        <w:rPr/>
        <w:t>报告期内利润分配政策特别是现金分红政策的制定、执行或调整情况 报告期内，根据中国证监会、深交所和安徽证监局的有关规定，公司对《公司章程》中关于利润分配政策的部分条款</w:t>
      </w:r>
    </w:p>
    <w:p>
      <w:pPr>
        <w:pStyle w:val="BodyText"/>
        <w:spacing w:line="237" w:lineRule="exact"/>
        <w:ind w:right="1123"/>
        <w:jc w:val="left"/>
      </w:pPr>
      <w:r>
        <w:rPr/>
        <w:t>作出修改，对现金分红政策进行了进一步的细化，并制定了《未来三年〈</w:t>
      </w:r>
      <w:r>
        <w:rPr>
          <w:rFonts w:ascii="Times New Roman" w:hAnsi="Times New Roman" w:cs="Times New Roman" w:eastAsia="Times New Roman" w:hint="default"/>
        </w:rPr>
        <w:t>2012-2014</w:t>
      </w:r>
      <w:r>
        <w:rPr/>
        <w:t>年〉股东回报规则》。公司章程的修改</w:t>
      </w:r>
    </w:p>
    <w:p>
      <w:pPr>
        <w:pStyle w:val="BodyText"/>
        <w:spacing w:line="309" w:lineRule="auto" w:before="63"/>
        <w:ind w:right="1034"/>
        <w:jc w:val="left"/>
      </w:pPr>
      <w:r>
        <w:rPr>
          <w:spacing w:val="-2"/>
        </w:rPr>
        <w:t>及相关制度规划的建立己提交公司第五届董事会第二十三次会议和</w:t>
      </w:r>
      <w:r>
        <w:rPr>
          <w:rFonts w:ascii="Times New Roman" w:hAnsi="Times New Roman" w:cs="Times New Roman" w:eastAsia="Times New Roman" w:hint="default"/>
          <w:spacing w:val="-2"/>
        </w:rPr>
        <w:t>2012</w:t>
      </w:r>
      <w:r>
        <w:rPr>
          <w:spacing w:val="-2"/>
        </w:rPr>
        <w:t>年第一次临时股东大会审议通过。新制定的分红政策</w:t>
      </w:r>
      <w:r>
        <w:rPr>
          <w:spacing w:val="-61"/>
        </w:rPr>
        <w:t> </w:t>
      </w:r>
      <w:r>
        <w:rPr>
          <w:spacing w:val="-61"/>
        </w:rPr>
      </w:r>
      <w:r>
        <w:rPr/>
        <w:t>明确规定了利润分配的程序和形式、实施现金分红和股票分红的条件，现金分红的比例、现金分红政策的决策程序和机制。 公司独立董事对分红政策进行了详细论证，同时充分听取中小股东的意见和诉求，维护中小股东的合法权益。</w:t>
      </w:r>
    </w:p>
    <w:p>
      <w:pPr>
        <w:pStyle w:val="BodyText"/>
        <w:spacing w:line="240" w:lineRule="auto" w:before="65"/>
        <w:ind w:right="1123"/>
        <w:jc w:val="left"/>
      </w:pPr>
      <w:r>
        <w:rPr/>
        <w:t>本年度利润分配及资本公积金转增股本预案</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408,869,000.00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8,177,380.00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161,570,829.79</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362"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公司拟定的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年度利润分配方案为：以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日的总股本为基数，向全体股东每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股分派现金股利</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11"/>
        <w:rPr>
          <w:rFonts w:ascii="宋体" w:hAnsi="宋体" w:cs="宋体" w:eastAsia="宋体" w:hint="default"/>
          <w:sz w:val="28"/>
          <w:szCs w:val="28"/>
        </w:rPr>
      </w:pPr>
    </w:p>
    <w:p>
      <w:pPr>
        <w:spacing w:line="362" w:lineRule="exact"/>
        <w:ind w:left="152"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55pt;height:18.150pt;mso-position-horizontal-relative:char;mso-position-vertical-relative:line" type="#_x0000_t202" filled="false" stroked="true" strokeweight=".48pt" strokecolor="#000000">
            <w10:anchorlock/>
            <v:textbox inset="0,0,0,0">
              <w:txbxContent>
                <w:p>
                  <w:pPr>
                    <w:pStyle w:val="BodyText"/>
                    <w:spacing w:line="240" w:lineRule="auto" w:before="8"/>
                    <w:ind w:left="23" w:right="0"/>
                    <w:jc w:val="left"/>
                  </w:pPr>
                  <w:r>
                    <w:rPr/>
                    <w:t>元（含税</w:t>
                  </w:r>
                  <w:r>
                    <w:rPr>
                      <w:spacing w:val="-92"/>
                    </w:rPr>
                    <w:t>）</w:t>
                  </w:r>
                  <w:r>
                    <w:rPr/>
                    <w:t>，合计分派现金</w:t>
                  </w:r>
                  <w:r>
                    <w:rPr>
                      <w:spacing w:val="2"/>
                    </w:rPr>
                    <w:t>股</w:t>
                  </w:r>
                  <w:r>
                    <w:rPr/>
                    <w:t>利</w:t>
                  </w:r>
                  <w:r>
                    <w:rPr>
                      <w:spacing w:val="-44"/>
                    </w:rPr>
                    <w:t> </w:t>
                  </w:r>
                  <w:r>
                    <w:rPr>
                      <w:rFonts w:ascii="Times New Roman" w:hAnsi="Times New Roman" w:cs="Times New Roman" w:eastAsia="Times New Roman" w:hint="default"/>
                      <w:spacing w:val="1"/>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8</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元，不送红股，</w:t>
                  </w:r>
                  <w:r>
                    <w:rPr>
                      <w:spacing w:val="-3"/>
                    </w:rPr>
                    <w:t>不</w:t>
                  </w:r>
                  <w:r>
                    <w:rPr/>
                    <w:t>以公积金转增股本。</w:t>
                  </w:r>
                </w:p>
              </w:txbxContent>
            </v:textbox>
          </v:shape>
        </w:pict>
      </w:r>
      <w:r>
        <w:rPr>
          <w:rFonts w:ascii="宋体" w:hAnsi="宋体" w:cs="宋体" w:eastAsia="宋体" w:hint="default"/>
          <w:position w:val="-6"/>
          <w:sz w:val="20"/>
          <w:szCs w:val="20"/>
        </w:rPr>
      </w:r>
    </w:p>
    <w:p>
      <w:pPr>
        <w:pStyle w:val="BodyText"/>
        <w:spacing w:line="240" w:lineRule="auto" w:before="54"/>
        <w:ind w:right="1123"/>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240" w:lineRule="auto" w:before="101"/>
        <w:ind w:left="575" w:right="0"/>
        <w:jc w:val="left"/>
        <w:rPr>
          <w:rFonts w:ascii="Times New Roman" w:hAnsi="Times New Roman" w:cs="Times New Roman" w:eastAsia="Times New Roman" w:hint="default"/>
        </w:rPr>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w:t>
      </w:r>
      <w:r>
        <w:rPr>
          <w:rFonts w:ascii="Times New Roman" w:hAnsi="Times New Roman" w:cs="Times New Roman" w:eastAsia="Times New Roman" w:hint="default"/>
        </w:rPr>
        <w:t>2010</w:t>
      </w:r>
      <w:r>
        <w:rPr/>
        <w:t>年度股东大会审议通过了《</w:t>
      </w:r>
      <w:r>
        <w:rPr>
          <w:rFonts w:ascii="Times New Roman" w:hAnsi="Times New Roman" w:cs="Times New Roman" w:eastAsia="Times New Roman" w:hint="default"/>
        </w:rPr>
        <w:t>2010</w:t>
      </w:r>
      <w:r>
        <w:rPr/>
        <w:t>年度利润分配的预案》</w:t>
      </w:r>
      <w:r>
        <w:rPr>
          <w:rFonts w:ascii="Times New Roman" w:hAnsi="Times New Roman" w:cs="Times New Roman" w:eastAsia="Times New Roman" w:hint="default"/>
        </w:rPr>
        <w:t>,</w:t>
      </w:r>
      <w:r>
        <w:rPr/>
        <w:t>经天健正信会计师事务所审计，</w:t>
      </w:r>
      <w:r>
        <w:rPr>
          <w:rFonts w:ascii="Times New Roman" w:hAnsi="Times New Roman" w:cs="Times New Roman" w:eastAsia="Times New Roman" w:hint="default"/>
        </w:rPr>
        <w:t>2010</w:t>
      </w:r>
    </w:p>
    <w:p>
      <w:pPr>
        <w:pStyle w:val="BodyText"/>
        <w:spacing w:line="240" w:lineRule="auto" w:before="63"/>
        <w:ind w:right="0"/>
        <w:jc w:val="left"/>
      </w:pPr>
      <w:r>
        <w:rPr/>
        <w:t>年度公司实现合并报表归属母公司净利润</w:t>
      </w:r>
      <w:r>
        <w:rPr>
          <w:rFonts w:ascii="Times New Roman" w:hAnsi="Times New Roman" w:cs="Times New Roman" w:eastAsia="Times New Roman" w:hint="default"/>
        </w:rPr>
        <w:t>42,735,587.61</w:t>
      </w:r>
      <w:r>
        <w:rPr/>
        <w:t>元，母公司实现税后利润</w:t>
      </w:r>
      <w:r>
        <w:rPr>
          <w:rFonts w:ascii="Times New Roman" w:hAnsi="Times New Roman" w:cs="Times New Roman" w:eastAsia="Times New Roman" w:hint="default"/>
        </w:rPr>
        <w:t>32,468,564.03</w:t>
      </w:r>
      <w:r>
        <w:rPr/>
        <w:t>元，根据国家有关法律、法规、</w:t>
      </w:r>
    </w:p>
    <w:p>
      <w:pPr>
        <w:pStyle w:val="BodyText"/>
        <w:spacing w:line="300" w:lineRule="auto" w:before="63"/>
        <w:ind w:right="1123"/>
        <w:jc w:val="left"/>
      </w:pPr>
      <w:r>
        <w:rPr/>
        <w:t>《公司法》和《公司章程》有关规定，公司按法定顺序进行分配，方案如下：</w:t>
      </w:r>
      <w:r>
        <w:rPr>
          <w:rFonts w:ascii="Times New Roman" w:hAnsi="Times New Roman" w:cs="Times New Roman" w:eastAsia="Times New Roman" w:hint="default"/>
        </w:rPr>
        <w:t>1</w:t>
      </w:r>
      <w:r>
        <w:rPr/>
        <w:t>、提取法定盈余公积：按</w:t>
      </w:r>
      <w:r>
        <w:rPr>
          <w:rFonts w:ascii="Times New Roman" w:hAnsi="Times New Roman" w:cs="Times New Roman" w:eastAsia="Times New Roman" w:hint="default"/>
        </w:rPr>
        <w:t>10%</w:t>
      </w:r>
      <w:r>
        <w:rPr/>
        <w:t>提取法定公积 </w:t>
      </w:r>
      <w:r>
        <w:rPr>
          <w:spacing w:val="-2"/>
        </w:rPr>
        <w:t>金</w:t>
      </w:r>
      <w:r>
        <w:rPr>
          <w:rFonts w:ascii="Times New Roman" w:hAnsi="Times New Roman" w:cs="Times New Roman" w:eastAsia="Times New Roman" w:hint="default"/>
          <w:spacing w:val="-2"/>
        </w:rPr>
        <w:t>3,246,856.40</w:t>
      </w:r>
      <w:r>
        <w:rPr>
          <w:spacing w:val="-2"/>
        </w:rPr>
        <w:t>元。</w:t>
      </w:r>
      <w:r>
        <w:rPr>
          <w:rFonts w:ascii="Times New Roman" w:hAnsi="Times New Roman" w:cs="Times New Roman" w:eastAsia="Times New Roman" w:hint="default"/>
          <w:spacing w:val="-2"/>
        </w:rPr>
        <w:t>2</w:t>
      </w:r>
      <w:r>
        <w:rPr>
          <w:spacing w:val="-2"/>
        </w:rPr>
        <w:t>、提取盈余公积金后，公司本年可供股东分配的利润为</w:t>
      </w:r>
      <w:r>
        <w:rPr>
          <w:rFonts w:ascii="Times New Roman" w:hAnsi="Times New Roman" w:cs="Times New Roman" w:eastAsia="Times New Roman" w:hint="default"/>
          <w:spacing w:val="-2"/>
        </w:rPr>
        <w:t>29,221,707.63</w:t>
      </w:r>
      <w:r>
        <w:rPr>
          <w:spacing w:val="-2"/>
        </w:rPr>
        <w:t>元，加年初末分配利润</w:t>
      </w:r>
      <w:r>
        <w:rPr>
          <w:rFonts w:ascii="Times New Roman" w:hAnsi="Times New Roman" w:cs="Times New Roman" w:eastAsia="Times New Roman" w:hint="default"/>
          <w:spacing w:val="-2"/>
        </w:rPr>
        <w:t>69,641,878.12</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spacing w:val="-1"/>
        </w:rPr>
        <w:t>元，减公司</w:t>
      </w:r>
      <w:r>
        <w:rPr>
          <w:rFonts w:ascii="Times New Roman" w:hAnsi="Times New Roman" w:cs="Times New Roman" w:eastAsia="Times New Roman" w:hint="default"/>
          <w:spacing w:val="-1"/>
        </w:rPr>
        <w:t>2010</w:t>
      </w:r>
      <w:r>
        <w:rPr>
          <w:spacing w:val="-1"/>
        </w:rPr>
        <w:t>年支付</w:t>
      </w:r>
      <w:r>
        <w:rPr>
          <w:rFonts w:ascii="Times New Roman" w:hAnsi="Times New Roman" w:cs="Times New Roman" w:eastAsia="Times New Roman" w:hint="default"/>
          <w:spacing w:val="-1"/>
        </w:rPr>
        <w:t>2009</w:t>
      </w:r>
      <w:r>
        <w:rPr>
          <w:spacing w:val="-1"/>
        </w:rPr>
        <w:t>年度利润分配现金股利</w:t>
      </w:r>
      <w:r>
        <w:rPr>
          <w:rFonts w:ascii="Times New Roman" w:hAnsi="Times New Roman" w:cs="Times New Roman" w:eastAsia="Times New Roman" w:hint="default"/>
          <w:spacing w:val="-1"/>
        </w:rPr>
        <w:t>6,600,000</w:t>
      </w:r>
      <w:r>
        <w:rPr>
          <w:spacing w:val="-1"/>
        </w:rPr>
        <w:t>元，合计未分配利润为</w:t>
      </w:r>
      <w:r>
        <w:rPr>
          <w:rFonts w:ascii="Times New Roman" w:hAnsi="Times New Roman" w:cs="Times New Roman" w:eastAsia="Times New Roman" w:hint="default"/>
          <w:spacing w:val="-1"/>
        </w:rPr>
        <w:t>92,263,585.75</w:t>
      </w:r>
      <w:r>
        <w:rPr>
          <w:spacing w:val="-1"/>
        </w:rPr>
        <w:t>元。公司</w:t>
      </w:r>
      <w:r>
        <w:rPr>
          <w:rFonts w:ascii="Times New Roman" w:hAnsi="Times New Roman" w:cs="Times New Roman" w:eastAsia="Times New Roman" w:hint="default"/>
          <w:spacing w:val="-1"/>
        </w:rPr>
        <w:t>2010</w:t>
      </w:r>
      <w:r>
        <w:rPr>
          <w:spacing w:val="-1"/>
        </w:rPr>
        <w:t>年度利润分配</w:t>
      </w:r>
      <w:r>
        <w:rPr>
          <w:spacing w:val="-69"/>
        </w:rPr>
        <w:t> </w:t>
      </w:r>
      <w:r>
        <w:rPr>
          <w:spacing w:val="-69"/>
        </w:rPr>
      </w:r>
      <w:r>
        <w:rPr/>
        <w:t>方案为：</w:t>
      </w:r>
      <w:r>
        <w:rPr>
          <w:rFonts w:ascii="Times New Roman" w:hAnsi="Times New Roman" w:cs="Times New Roman" w:eastAsia="Times New Roman" w:hint="default"/>
        </w:rPr>
        <w:t>“</w:t>
      </w:r>
      <w:r>
        <w:rPr/>
        <w:t>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165,000,000</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0.80</w:t>
      </w:r>
      <w:r>
        <w:rPr/>
        <w:t>元（含税），共计派 发现金</w:t>
      </w:r>
      <w:r>
        <w:rPr>
          <w:rFonts w:ascii="Times New Roman" w:hAnsi="Times New Roman" w:cs="Times New Roman" w:eastAsia="Times New Roman" w:hint="default"/>
        </w:rPr>
        <w:t>13,200,000</w:t>
      </w:r>
      <w:r>
        <w:rPr/>
        <w:t>元。剩余未分配利润</w:t>
      </w:r>
      <w:r>
        <w:rPr>
          <w:rFonts w:ascii="Times New Roman" w:hAnsi="Times New Roman" w:cs="Times New Roman" w:eastAsia="Times New Roman" w:hint="default"/>
        </w:rPr>
        <w:t>79,063,585.75</w:t>
      </w:r>
      <w:r>
        <w:rPr/>
        <w:t>元结转以后年度使用。</w:t>
      </w:r>
      <w:r>
        <w:rPr>
          <w:rFonts w:ascii="Times New Roman" w:hAnsi="Times New Roman" w:cs="Times New Roman" w:eastAsia="Times New Roman" w:hint="default"/>
        </w:rPr>
        <w:t>2010</w:t>
      </w:r>
      <w:r>
        <w:rPr/>
        <w:t>年度公司不送红股也不进行资本公积金转增 股本</w:t>
      </w:r>
      <w:r>
        <w:rPr>
          <w:rFonts w:ascii="Times New Roman" w:hAnsi="Times New Roman" w:cs="Times New Roman" w:eastAsia="Times New Roman" w:hint="default"/>
        </w:rPr>
        <w:t>”</w:t>
      </w:r>
      <w:r>
        <w:rPr/>
        <w:t>。</w:t>
      </w:r>
    </w:p>
    <w:p>
      <w:pPr>
        <w:pStyle w:val="BodyText"/>
        <w:spacing w:line="300" w:lineRule="auto" w:before="13"/>
        <w:ind w:right="1114" w:firstLine="422"/>
        <w:jc w:val="both"/>
      </w:pP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8</w:t>
      </w:r>
      <w:r>
        <w:rPr>
          <w:spacing w:val="-5"/>
        </w:rPr>
        <w:t>日，公司</w:t>
      </w:r>
      <w:r>
        <w:rPr>
          <w:rFonts w:ascii="Times New Roman" w:hAnsi="Times New Roman" w:cs="Times New Roman" w:eastAsia="Times New Roman" w:hint="default"/>
          <w:spacing w:val="-5"/>
        </w:rPr>
        <w:t>2011</w:t>
      </w:r>
      <w:r>
        <w:rPr>
          <w:spacing w:val="-5"/>
        </w:rPr>
        <w:t>年度股东大会审议通过了《</w:t>
      </w:r>
      <w:r>
        <w:rPr>
          <w:rFonts w:ascii="Times New Roman" w:hAnsi="Times New Roman" w:cs="Times New Roman" w:eastAsia="Times New Roman" w:hint="default"/>
          <w:spacing w:val="-5"/>
        </w:rPr>
        <w:t>2011</w:t>
      </w:r>
      <w:r>
        <w:rPr>
          <w:spacing w:val="-5"/>
        </w:rPr>
        <w:t>年度利润分配的预案》</w:t>
      </w:r>
      <w:r>
        <w:rPr>
          <w:rFonts w:ascii="Times New Roman" w:hAnsi="Times New Roman" w:cs="Times New Roman" w:eastAsia="Times New Roman" w:hint="default"/>
          <w:spacing w:val="-5"/>
        </w:rPr>
        <w:t>,</w:t>
      </w:r>
      <w:r>
        <w:rPr>
          <w:spacing w:val="-5"/>
        </w:rPr>
        <w:t>公司</w:t>
      </w:r>
      <w:r>
        <w:rPr>
          <w:rFonts w:ascii="Times New Roman" w:hAnsi="Times New Roman" w:cs="Times New Roman" w:eastAsia="Times New Roman" w:hint="default"/>
          <w:spacing w:val="-5"/>
        </w:rPr>
        <w:t>2011</w:t>
      </w:r>
      <w:r>
        <w:rPr>
          <w:spacing w:val="-5"/>
        </w:rPr>
        <w:t>年度利润分配方案为：</w:t>
      </w:r>
      <w:r>
        <w:rPr>
          <w:rFonts w:ascii="Times New Roman" w:hAnsi="Times New Roman" w:cs="Times New Roman" w:eastAsia="Times New Roman" w:hint="default"/>
          <w:spacing w:val="-5"/>
        </w:rPr>
        <w:t>“</w:t>
      </w:r>
      <w:r>
        <w:rPr>
          <w:spacing w:val="-5"/>
        </w:rPr>
        <w:t>以</w:t>
      </w:r>
      <w:r>
        <w:rPr>
          <w:rFonts w:ascii="Times New Roman" w:hAnsi="Times New Roman" w:cs="Times New Roman" w:eastAsia="Times New Roman" w:hint="default"/>
          <w:spacing w:val="-5"/>
        </w:rPr>
        <w:t>2011</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spacing w:val="-22"/>
        </w:rPr>
        <w:t> </w:t>
      </w:r>
      <w:r>
        <w:rPr>
          <w:rFonts w:ascii="Times New Roman" w:hAnsi="Times New Roman" w:cs="Times New Roman" w:eastAsia="Times New Roman" w:hint="default"/>
        </w:rPr>
        <w:t>165,000,000</w:t>
      </w:r>
      <w:r>
        <w:rPr/>
        <w:t>股为基数，向全体股东每</w:t>
      </w:r>
      <w:r>
        <w:rPr>
          <w:rFonts w:ascii="Times New Roman" w:hAnsi="Times New Roman" w:cs="Times New Roman" w:eastAsia="Times New Roman" w:hint="default"/>
        </w:rPr>
        <w:t>10</w:t>
      </w:r>
      <w:r>
        <w:rPr/>
        <w:t>股派送红股</w:t>
      </w:r>
      <w:r>
        <w:rPr>
          <w:rFonts w:ascii="Times New Roman" w:hAnsi="Times New Roman" w:cs="Times New Roman" w:eastAsia="Times New Roman" w:hint="default"/>
        </w:rPr>
        <w:t>2</w:t>
      </w:r>
      <w:r>
        <w:rPr/>
        <w:t>股，共计增加</w:t>
      </w:r>
      <w:r>
        <w:rPr>
          <w:rFonts w:ascii="Times New Roman" w:hAnsi="Times New Roman" w:cs="Times New Roman" w:eastAsia="Times New Roman" w:hint="default"/>
        </w:rPr>
        <w:t>33,000,000</w:t>
      </w:r>
      <w:r>
        <w:rPr/>
        <w:t>股，每</w:t>
      </w:r>
      <w:r>
        <w:rPr>
          <w:rFonts w:ascii="Times New Roman" w:hAnsi="Times New Roman" w:cs="Times New Roman" w:eastAsia="Times New Roman" w:hint="default"/>
        </w:rPr>
        <w:t>10</w:t>
      </w:r>
      <w:r>
        <w:rPr/>
        <w:t>股派发现金股利人 民币</w:t>
      </w:r>
      <w:r>
        <w:rPr>
          <w:rFonts w:ascii="Times New Roman" w:hAnsi="Times New Roman" w:cs="Times New Roman" w:eastAsia="Times New Roman" w:hint="default"/>
        </w:rPr>
        <w:t>0.25</w:t>
      </w:r>
      <w:r>
        <w:rPr/>
        <w:t>元（含税），共计派发现金 </w:t>
      </w:r>
      <w:r>
        <w:rPr>
          <w:rFonts w:ascii="Times New Roman" w:hAnsi="Times New Roman" w:cs="Times New Roman" w:eastAsia="Times New Roman" w:hint="default"/>
        </w:rPr>
        <w:t>4,125,000</w:t>
      </w:r>
      <w:r>
        <w:rPr/>
        <w:t>元。以资本公积金向全体股东每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8 </w:t>
      </w:r>
      <w:r>
        <w:rPr/>
        <w:t>股，共计增加</w:t>
      </w:r>
      <w:r>
        <w:rPr>
          <w:spacing w:val="-31"/>
        </w:rPr>
        <w:t> </w:t>
      </w:r>
      <w:r>
        <w:rPr>
          <w:rFonts w:ascii="Times New Roman" w:hAnsi="Times New Roman" w:cs="Times New Roman" w:eastAsia="Times New Roman" w:hint="default"/>
        </w:rPr>
        <w:t>132,000,000</w:t>
      </w:r>
      <w:r>
        <w:rPr/>
        <w:t>股。</w:t>
      </w:r>
      <w:r>
        <w:rPr>
          <w:spacing w:val="-3"/>
        </w:rPr>
        <w:t> </w:t>
      </w:r>
      <w:r>
        <w:rPr/>
        <w:t>本次送转后，公司总股本将增加至</w:t>
      </w:r>
      <w:r>
        <w:rPr>
          <w:spacing w:val="-19"/>
        </w:rPr>
        <w:t> </w:t>
      </w:r>
      <w:r>
        <w:rPr>
          <w:rFonts w:ascii="Times New Roman" w:hAnsi="Times New Roman" w:cs="Times New Roman" w:eastAsia="Times New Roman" w:hint="default"/>
        </w:rPr>
        <w:t>330,000,000</w:t>
      </w:r>
      <w:r>
        <w:rPr/>
        <w:t>股</w:t>
      </w:r>
      <w:r>
        <w:rPr>
          <w:rFonts w:ascii="Times New Roman" w:hAnsi="Times New Roman" w:cs="Times New Roman" w:eastAsia="Times New Roman" w:hint="default"/>
        </w:rPr>
        <w:t>”</w:t>
      </w:r>
      <w:r>
        <w:rPr/>
        <w:t>。</w:t>
      </w:r>
    </w:p>
    <w:p>
      <w:pPr>
        <w:pStyle w:val="BodyText"/>
        <w:spacing w:line="319" w:lineRule="auto" w:before="13"/>
        <w:ind w:right="0" w:firstLine="288"/>
        <w:jc w:val="left"/>
      </w:pPr>
      <w:r>
        <w:rPr>
          <w:spacing w:val="-6"/>
        </w:rPr>
        <w:t>公司拟定的</w:t>
      </w:r>
      <w:r>
        <w:rPr>
          <w:rFonts w:ascii="Times New Roman" w:hAnsi="Times New Roman" w:cs="Times New Roman" w:eastAsia="Times New Roman" w:hint="default"/>
          <w:spacing w:val="-6"/>
        </w:rPr>
        <w:t>2012</w:t>
      </w:r>
      <w:r>
        <w:rPr>
          <w:spacing w:val="-6"/>
        </w:rPr>
        <w:t>年度利润分配方案为：以</w:t>
      </w:r>
      <w:r>
        <w:rPr>
          <w:rFonts w:ascii="Times New Roman" w:hAnsi="Times New Roman" w:cs="Times New Roman" w:eastAsia="Times New Roman" w:hint="default"/>
          <w:spacing w:val="-6"/>
        </w:rPr>
        <w:t>2012</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日的总股本为基数，向全体股东每</w:t>
      </w:r>
      <w:r>
        <w:rPr>
          <w:rFonts w:ascii="Times New Roman" w:hAnsi="Times New Roman" w:cs="Times New Roman" w:eastAsia="Times New Roman" w:hint="default"/>
          <w:spacing w:val="-6"/>
        </w:rPr>
        <w:t>10</w:t>
      </w:r>
      <w:r>
        <w:rPr>
          <w:spacing w:val="-6"/>
        </w:rPr>
        <w:t>股分派现金股利</w:t>
      </w:r>
      <w:r>
        <w:rPr>
          <w:rFonts w:ascii="Times New Roman" w:hAnsi="Times New Roman" w:cs="Times New Roman" w:eastAsia="Times New Roman" w:hint="default"/>
          <w:spacing w:val="-6"/>
        </w:rPr>
        <w:t>0.2</w:t>
      </w:r>
      <w:r>
        <w:rPr>
          <w:spacing w:val="-6"/>
        </w:rPr>
        <w:t>元（含税），</w:t>
      </w:r>
      <w:r>
        <w:rPr/>
        <w:t> 合计分派现金股利</w:t>
      </w:r>
      <w:r>
        <w:rPr>
          <w:rFonts w:ascii="Times New Roman" w:hAnsi="Times New Roman" w:cs="Times New Roman" w:eastAsia="Times New Roman" w:hint="default"/>
        </w:rPr>
        <w:t>8,177,380</w:t>
      </w:r>
      <w:r>
        <w:rPr/>
        <w:t>元，不送红股，不以公积金转增股本。（该议案尚需提交公司</w:t>
      </w:r>
      <w:r>
        <w:rPr>
          <w:rFonts w:ascii="Times New Roman" w:hAnsi="Times New Roman" w:cs="Times New Roman" w:eastAsia="Times New Roman" w:hint="default"/>
        </w:rPr>
        <w:t>2012</w:t>
      </w:r>
      <w:r>
        <w:rPr/>
        <w:t>年度股东大会审议） 公司近三年现金分红情况表</w:t>
      </w:r>
    </w:p>
    <w:p>
      <w:pPr>
        <w:pStyle w:val="BodyText"/>
        <w:spacing w:line="240" w:lineRule="auto" w:before="58"/>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8,177,380.00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95,341,859.82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72,702,903.49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42,735,587.61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30.89%</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十四、社会责任情况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0"/>
        <w:jc w:val="left"/>
      </w:pPr>
      <w:r>
        <w:rPr>
          <w:spacing w:val="-4"/>
        </w:rPr>
        <w:t>报告期内，公司切实做到了保护广大投资者，尤其是中小投资者的权利。公司按照中国证监会关于现金分红相关事宜的要求，</w:t>
      </w:r>
      <w:r>
        <w:rPr>
          <w:spacing w:val="-44"/>
        </w:rPr>
        <w:t> </w:t>
      </w:r>
      <w:r>
        <w:rPr>
          <w:spacing w:val="-44"/>
        </w:rPr>
      </w:r>
      <w:r>
        <w:rPr/>
        <w:t>修订了《公司章程》中现金分红条款事宜，制订了《股东分红回报规划（</w:t>
      </w:r>
      <w:r>
        <w:rPr>
          <w:rFonts w:ascii="Times New Roman" w:hAnsi="Times New Roman" w:cs="Times New Roman" w:eastAsia="Times New Roman" w:hint="default"/>
        </w:rPr>
        <w:t>2012~2014</w:t>
      </w:r>
      <w:r>
        <w:rPr/>
        <w:t>）》，同时，不断完善公司治理结构， </w:t>
      </w:r>
      <w:r>
        <w:rPr>
          <w:spacing w:val="-4"/>
        </w:rPr>
        <w:t>建立了较为完善的内控体系，形成了以股东大会、董事会和监事会为主体结构的科学性决策，切实保护了广大投资者的权益。</w:t>
      </w:r>
    </w:p>
    <w:p>
      <w:pPr>
        <w:spacing w:line="240" w:lineRule="auto" w:before="3"/>
        <w:rPr>
          <w:rFonts w:ascii="宋体" w:hAnsi="宋体" w:cs="宋体" w:eastAsia="宋体" w:hint="default"/>
          <w:sz w:val="21"/>
          <w:szCs w:val="21"/>
        </w:rPr>
      </w:pPr>
    </w:p>
    <w:p>
      <w:pPr>
        <w:pStyle w:val="Heading2"/>
        <w:spacing w:line="240" w:lineRule="auto"/>
        <w:ind w:right="1123"/>
        <w:jc w:val="left"/>
        <w:rPr>
          <w:b w:val="0"/>
          <w:bCs w:val="0"/>
        </w:rPr>
      </w:pPr>
      <w:r>
        <w:rPr/>
        <w:t>十五、报告期内接待调研、沟通、采访等活动登记表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pStyle w:val="BodyText"/>
        <w:spacing w:line="240" w:lineRule="auto" w:before="44"/>
        <w:ind w:left="0" w:right="1136"/>
        <w:jc w:val="right"/>
      </w:pPr>
      <w:r>
        <w:rPr/>
        <w:pict>
          <v:shape style="position:absolute;margin-left:56.400002pt;margin-top:-51.998276pt;width:479.3pt;height:154.3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33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江苏高科技投资、 江苏恒道投资管 理、江苏汇鸿国际 集团中锦控股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8"/>
                          <w:jc w:val="left"/>
                          <w:rPr>
                            <w:rFonts w:ascii="宋体" w:hAnsi="宋体" w:cs="宋体" w:eastAsia="宋体" w:hint="default"/>
                            <w:sz w:val="18"/>
                            <w:szCs w:val="18"/>
                          </w:rPr>
                        </w:pPr>
                        <w:r>
                          <w:rPr>
                            <w:rFonts w:ascii="宋体" w:hAnsi="宋体" w:cs="宋体" w:eastAsia="宋体" w:hint="default"/>
                            <w:spacing w:val="-4"/>
                            <w:sz w:val="18"/>
                            <w:szCs w:val="18"/>
                          </w:rPr>
                          <w:t>公司基本情况、发展趋势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行业状况等</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浙商证券、国信证 券、泰信基金、申 万菱信基金等</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08"/>
                          <w:jc w:val="left"/>
                          <w:rPr>
                            <w:rFonts w:ascii="宋体" w:hAnsi="宋体" w:cs="宋体" w:eastAsia="宋体" w:hint="default"/>
                            <w:sz w:val="18"/>
                            <w:szCs w:val="18"/>
                          </w:rPr>
                        </w:pPr>
                        <w:r>
                          <w:rPr>
                            <w:rFonts w:ascii="宋体" w:hAnsi="宋体" w:cs="宋体" w:eastAsia="宋体" w:hint="default"/>
                            <w:spacing w:val="-4"/>
                            <w:sz w:val="18"/>
                            <w:szCs w:val="18"/>
                          </w:rPr>
                          <w:t>公司基本情况、发展趋势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行业状况等</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BodyText"/>
        <w:spacing w:line="240" w:lineRule="auto" w:before="44"/>
        <w:ind w:left="0" w:right="1136"/>
        <w:jc w:val="right"/>
      </w:pPr>
      <w:r>
        <w:rPr/>
        <w:t>、</w:t>
      </w:r>
    </w:p>
    <w:p>
      <w:pPr>
        <w:spacing w:after="0" w:line="240" w:lineRule="auto"/>
        <w:jc w:val="right"/>
        <w:sectPr>
          <w:pgSz w:w="11910" w:h="16840"/>
          <w:pgMar w:header="877" w:footer="1340" w:top="1060" w:bottom="1540" w:left="980" w:right="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77" w:footer="1340" w:top="1060" w:bottom="1540" w:left="980" w:right="0"/>
        </w:sectPr>
      </w:pPr>
    </w:p>
    <w:p>
      <w:pPr>
        <w:spacing w:line="240" w:lineRule="auto" w:before="5"/>
        <w:rPr>
          <w:rFonts w:ascii="宋体" w:hAnsi="宋体" w:cs="宋体" w:eastAsia="宋体" w:hint="default"/>
          <w:sz w:val="15"/>
          <w:szCs w:val="15"/>
        </w:rPr>
      </w:pPr>
    </w:p>
    <w:p>
      <w:pPr>
        <w:pStyle w:val="BodyText"/>
        <w:tabs>
          <w:tab w:pos="3172" w:val="left" w:leader="none"/>
          <w:tab w:pos="4670" w:val="left" w:leader="none"/>
          <w:tab w:pos="6168" w:val="left" w:leader="none"/>
        </w:tabs>
        <w:spacing w:line="240" w:lineRule="auto"/>
        <w:ind w:left="181" w:right="-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58"/>
        </w:rPr>
        <w:t> </w:t>
      </w:r>
      <w:r>
        <w:rPr>
          <w:rFonts w:ascii="Times New Roman" w:hAnsi="Times New Roman" w:cs="Times New Roman" w:eastAsia="Times New Roman" w:hint="default"/>
        </w:rPr>
        <w:t>03</w:t>
      </w:r>
      <w:r>
        <w:rPr>
          <w:rFonts w:ascii="Times New Roman" w:hAnsi="Times New Roman" w:cs="Times New Roman" w:eastAsia="Times New Roman" w:hint="default"/>
          <w:spacing w:val="-12"/>
        </w:rPr>
        <w:t> </w:t>
      </w:r>
      <w:r>
        <w:rPr/>
        <w:t>月</w:t>
      </w:r>
      <w:r>
        <w:rPr>
          <w:spacing w:val="-56"/>
        </w:rPr>
        <w:t> </w:t>
      </w:r>
      <w:r>
        <w:rPr>
          <w:rFonts w:ascii="Times New Roman" w:hAnsi="Times New Roman" w:cs="Times New Roman" w:eastAsia="Times New Roman" w:hint="default"/>
        </w:rPr>
        <w:t>02</w:t>
      </w:r>
      <w:r>
        <w:rPr>
          <w:rFonts w:ascii="Times New Roman" w:hAnsi="Times New Roman" w:cs="Times New Roman" w:eastAsia="Times New Roman" w:hint="default"/>
          <w:spacing w:val="-9"/>
        </w:rPr>
        <w:t> </w:t>
      </w:r>
      <w:r>
        <w:rPr/>
        <w:t>日</w:t>
      </w:r>
      <w:r>
        <w:rPr>
          <w:spacing w:val="-36"/>
        </w:rPr>
        <w:t> </w:t>
      </w:r>
      <w:r>
        <w:rPr/>
        <w:t>公司会议室</w:t>
        <w:tab/>
        <w:t>实地调研</w:t>
        <w:tab/>
        <w:t>机构</w:t>
        <w:tab/>
        <w:t>光大证券</w:t>
      </w:r>
    </w:p>
    <w:p>
      <w:pPr>
        <w:pStyle w:val="BodyText"/>
        <w:spacing w:line="319" w:lineRule="auto" w:before="44"/>
        <w:ind w:left="181" w:right="1128"/>
        <w:jc w:val="left"/>
      </w:pPr>
      <w:r>
        <w:rPr>
          <w:spacing w:val="-4"/>
        </w:rPr>
        <w:br w:type="column"/>
      </w:r>
      <w:r>
        <w:rPr>
          <w:spacing w:val="-4"/>
        </w:rPr>
        <w:t>公司基本情况、发展趋势、</w:t>
      </w:r>
      <w:r>
        <w:rPr>
          <w:spacing w:val="-81"/>
        </w:rPr>
        <w:t> </w:t>
      </w:r>
      <w:r>
        <w:rPr>
          <w:spacing w:val="-81"/>
        </w:rPr>
      </w:r>
      <w:r>
        <w:rPr/>
        <w:t>行业状况等</w:t>
      </w:r>
    </w:p>
    <w:p>
      <w:pPr>
        <w:spacing w:after="0" w:line="319" w:lineRule="auto"/>
        <w:jc w:val="left"/>
        <w:sectPr>
          <w:type w:val="continuous"/>
          <w:pgSz w:w="11910" w:h="16840"/>
          <w:pgMar w:top="1060" w:bottom="1540" w:left="980" w:right="0"/>
          <w:cols w:num="2" w:equalWidth="0">
            <w:col w:w="6889" w:space="595"/>
            <w:col w:w="3446"/>
          </w:cols>
        </w:sectPr>
      </w:pPr>
    </w:p>
    <w:p>
      <w:pPr>
        <w:spacing w:line="240" w:lineRule="auto" w:before="3"/>
        <w:rPr>
          <w:rFonts w:ascii="宋体" w:hAnsi="宋体" w:cs="宋体" w:eastAsia="宋体" w:hint="default"/>
          <w:sz w:val="20"/>
          <w:szCs w:val="20"/>
        </w:rPr>
      </w:pPr>
    </w:p>
    <w:p>
      <w:pPr>
        <w:pStyle w:val="BodyText"/>
        <w:tabs>
          <w:tab w:pos="3172" w:val="left" w:leader="none"/>
          <w:tab w:pos="4670" w:val="left" w:leader="none"/>
        </w:tabs>
        <w:spacing w:line="209" w:lineRule="exact"/>
        <w:ind w:left="181" w:right="-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58"/>
        </w:rPr>
        <w:t> </w:t>
      </w:r>
      <w:r>
        <w:rPr>
          <w:rFonts w:ascii="Times New Roman" w:hAnsi="Times New Roman" w:cs="Times New Roman" w:eastAsia="Times New Roman" w:hint="default"/>
        </w:rPr>
        <w:t>03</w:t>
      </w:r>
      <w:r>
        <w:rPr>
          <w:rFonts w:ascii="Times New Roman" w:hAnsi="Times New Roman" w:cs="Times New Roman" w:eastAsia="Times New Roman" w:hint="default"/>
          <w:spacing w:val="-12"/>
        </w:rPr>
        <w:t> </w:t>
      </w:r>
      <w:r>
        <w:rPr/>
        <w:t>月</w:t>
      </w:r>
      <w:r>
        <w:rPr>
          <w:spacing w:val="-56"/>
        </w:rPr>
        <w:t> </w:t>
      </w:r>
      <w:r>
        <w:rPr>
          <w:rFonts w:ascii="Times New Roman" w:hAnsi="Times New Roman" w:cs="Times New Roman" w:eastAsia="Times New Roman" w:hint="default"/>
        </w:rPr>
        <w:t>09</w:t>
      </w:r>
      <w:r>
        <w:rPr>
          <w:rFonts w:ascii="Times New Roman" w:hAnsi="Times New Roman" w:cs="Times New Roman" w:eastAsia="Times New Roman" w:hint="default"/>
          <w:spacing w:val="-9"/>
        </w:rPr>
        <w:t> </w:t>
      </w:r>
      <w:r>
        <w:rPr/>
        <w:t>日</w:t>
      </w:r>
      <w:r>
        <w:rPr>
          <w:spacing w:val="-36"/>
        </w:rPr>
        <w:t> </w:t>
      </w:r>
      <w:r>
        <w:rPr/>
        <w:t>公司会议室</w:t>
        <w:tab/>
        <w:t>实地调研</w:t>
        <w:tab/>
        <w:t>机构</w:t>
      </w:r>
    </w:p>
    <w:p>
      <w:pPr>
        <w:pStyle w:val="BodyText"/>
        <w:spacing w:line="240" w:lineRule="auto" w:before="108"/>
        <w:ind w:left="181" w:right="0"/>
        <w:jc w:val="left"/>
      </w:pPr>
      <w:r>
        <w:rPr/>
        <w:br w:type="column"/>
      </w:r>
      <w:r>
        <w:rPr/>
        <w:t>华泰联合、通用技</w:t>
      </w:r>
      <w:r>
        <w:rPr>
          <w:spacing w:val="-24"/>
        </w:rPr>
        <w:t> </w:t>
      </w:r>
      <w:r>
        <w:rPr>
          <w:spacing w:val="-4"/>
        </w:rPr>
        <w:t>公司基本情况、发展趋势、</w:t>
      </w:r>
    </w:p>
    <w:p>
      <w:pPr>
        <w:spacing w:after="0" w:line="240" w:lineRule="auto"/>
        <w:jc w:val="left"/>
        <w:sectPr>
          <w:type w:val="continuous"/>
          <w:pgSz w:w="11910" w:h="16840"/>
          <w:pgMar w:top="1060" w:bottom="1540" w:left="980" w:right="0"/>
          <w:cols w:num="2" w:equalWidth="0">
            <w:col w:w="5031" w:space="956"/>
            <w:col w:w="4943"/>
          </w:cols>
        </w:sectPr>
      </w:pPr>
    </w:p>
    <w:p>
      <w:pPr>
        <w:pStyle w:val="BodyText"/>
        <w:tabs>
          <w:tab w:pos="7666" w:val="left" w:leader="none"/>
        </w:tabs>
        <w:spacing w:line="180" w:lineRule="exact"/>
        <w:ind w:left="6168" w:right="1123"/>
        <w:jc w:val="left"/>
      </w:pPr>
      <w:r>
        <w:rPr/>
        <w:t>术集团等</w:t>
        <w:tab/>
        <w:t>行业状况等</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540" w:left="980" w:right="0"/>
        </w:sectPr>
      </w:pPr>
    </w:p>
    <w:p>
      <w:pPr>
        <w:spacing w:line="240" w:lineRule="auto" w:before="4"/>
        <w:rPr>
          <w:rFonts w:ascii="宋体" w:hAnsi="宋体" w:cs="宋体" w:eastAsia="宋体" w:hint="default"/>
          <w:sz w:val="15"/>
          <w:szCs w:val="15"/>
        </w:rPr>
      </w:pPr>
    </w:p>
    <w:p>
      <w:pPr>
        <w:pStyle w:val="BodyText"/>
        <w:tabs>
          <w:tab w:pos="3172" w:val="left" w:leader="none"/>
          <w:tab w:pos="4670" w:val="left" w:leader="none"/>
          <w:tab w:pos="6168" w:val="left" w:leader="none"/>
        </w:tabs>
        <w:spacing w:line="240" w:lineRule="auto"/>
        <w:ind w:left="181" w:right="-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58"/>
        </w:rPr>
        <w:t> </w:t>
      </w:r>
      <w:r>
        <w:rPr>
          <w:rFonts w:ascii="Times New Roman" w:hAnsi="Times New Roman" w:cs="Times New Roman" w:eastAsia="Times New Roman" w:hint="default"/>
        </w:rPr>
        <w:t>05</w:t>
      </w:r>
      <w:r>
        <w:rPr>
          <w:rFonts w:ascii="Times New Roman" w:hAnsi="Times New Roman" w:cs="Times New Roman" w:eastAsia="Times New Roman" w:hint="default"/>
          <w:spacing w:val="-1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w:t>
      </w:r>
      <w:r>
        <w:rPr>
          <w:spacing w:val="-36"/>
        </w:rPr>
        <w:t> </w:t>
      </w:r>
      <w:r>
        <w:rPr/>
        <w:t>公司会议室</w:t>
        <w:tab/>
        <w:t>实地调研</w:t>
        <w:tab/>
        <w:t>机构</w:t>
        <w:tab/>
        <w:t>华夏基金</w:t>
      </w:r>
    </w:p>
    <w:p>
      <w:pPr>
        <w:pStyle w:val="BodyText"/>
        <w:spacing w:line="316" w:lineRule="auto" w:before="44"/>
        <w:ind w:left="181" w:right="1128"/>
        <w:jc w:val="left"/>
      </w:pPr>
      <w:r>
        <w:rPr>
          <w:spacing w:val="-4"/>
        </w:rPr>
        <w:br w:type="column"/>
      </w:r>
      <w:r>
        <w:rPr>
          <w:spacing w:val="-4"/>
        </w:rPr>
        <w:t>公司基本情况、发展趋势、</w:t>
      </w:r>
      <w:r>
        <w:rPr>
          <w:spacing w:val="-81"/>
        </w:rPr>
        <w:t> </w:t>
      </w:r>
      <w:r>
        <w:rPr>
          <w:spacing w:val="-81"/>
        </w:rPr>
      </w:r>
      <w:r>
        <w:rPr/>
        <w:t>行业状况等</w:t>
      </w:r>
    </w:p>
    <w:p>
      <w:pPr>
        <w:spacing w:after="0" w:line="316" w:lineRule="auto"/>
        <w:jc w:val="left"/>
        <w:sectPr>
          <w:type w:val="continuous"/>
          <w:pgSz w:w="11910" w:h="16840"/>
          <w:pgMar w:top="1060" w:bottom="1540" w:left="980" w:right="0"/>
          <w:cols w:num="2" w:equalWidth="0">
            <w:col w:w="6889" w:space="595"/>
            <w:col w:w="3446"/>
          </w:cols>
        </w:sectPr>
      </w:pPr>
    </w:p>
    <w:p>
      <w:pPr>
        <w:spacing w:line="240" w:lineRule="auto" w:before="4"/>
        <w:rPr>
          <w:rFonts w:ascii="宋体" w:hAnsi="宋体" w:cs="宋体" w:eastAsia="宋体" w:hint="default"/>
          <w:sz w:val="20"/>
          <w:szCs w:val="20"/>
        </w:rPr>
      </w:pPr>
    </w:p>
    <w:p>
      <w:pPr>
        <w:pStyle w:val="BodyText"/>
        <w:tabs>
          <w:tab w:pos="3172" w:val="left" w:leader="none"/>
          <w:tab w:pos="4670" w:val="left" w:leader="none"/>
        </w:tabs>
        <w:spacing w:line="209" w:lineRule="exact"/>
        <w:ind w:left="181" w:right="-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58"/>
        </w:rPr>
        <w:t> </w:t>
      </w:r>
      <w:r>
        <w:rPr>
          <w:rFonts w:ascii="Times New Roman" w:hAnsi="Times New Roman" w:cs="Times New Roman" w:eastAsia="Times New Roman" w:hint="default"/>
        </w:rPr>
        <w:t>06</w:t>
      </w:r>
      <w:r>
        <w:rPr>
          <w:rFonts w:ascii="Times New Roman" w:hAnsi="Times New Roman" w:cs="Times New Roman" w:eastAsia="Times New Roman" w:hint="default"/>
          <w:spacing w:val="-12"/>
        </w:rPr>
        <w:t> </w:t>
      </w:r>
      <w:r>
        <w:rPr/>
        <w:t>月</w:t>
      </w:r>
      <w:r>
        <w:rPr>
          <w:spacing w:val="-56"/>
        </w:rPr>
        <w:t> </w:t>
      </w:r>
      <w:r>
        <w:rPr>
          <w:rFonts w:ascii="Times New Roman" w:hAnsi="Times New Roman" w:cs="Times New Roman" w:eastAsia="Times New Roman" w:hint="default"/>
        </w:rPr>
        <w:t>01</w:t>
      </w:r>
      <w:r>
        <w:rPr>
          <w:rFonts w:ascii="Times New Roman" w:hAnsi="Times New Roman" w:cs="Times New Roman" w:eastAsia="Times New Roman" w:hint="default"/>
          <w:spacing w:val="-9"/>
        </w:rPr>
        <w:t> </w:t>
      </w:r>
      <w:r>
        <w:rPr/>
        <w:t>日</w:t>
      </w:r>
      <w:r>
        <w:rPr>
          <w:spacing w:val="-36"/>
        </w:rPr>
        <w:t> </w:t>
      </w:r>
      <w:r>
        <w:rPr/>
        <w:t>公司会议室</w:t>
        <w:tab/>
        <w:t>实地调研</w:t>
        <w:tab/>
        <w:t>机构</w:t>
      </w:r>
    </w:p>
    <w:p>
      <w:pPr>
        <w:pStyle w:val="BodyText"/>
        <w:spacing w:line="240" w:lineRule="auto" w:before="110"/>
        <w:ind w:left="181" w:right="0"/>
        <w:jc w:val="left"/>
      </w:pPr>
      <w:r>
        <w:rPr/>
        <w:br w:type="column"/>
      </w:r>
      <w:r>
        <w:rPr/>
        <w:t>上海凯石股权投资</w:t>
      </w:r>
      <w:r>
        <w:rPr>
          <w:spacing w:val="-24"/>
        </w:rPr>
        <w:t> </w:t>
      </w:r>
      <w:r>
        <w:rPr>
          <w:spacing w:val="-4"/>
        </w:rPr>
        <w:t>公司基本情况、发展趋势、</w:t>
      </w:r>
    </w:p>
    <w:p>
      <w:pPr>
        <w:spacing w:after="0" w:line="240" w:lineRule="auto"/>
        <w:jc w:val="left"/>
        <w:sectPr>
          <w:type w:val="continuous"/>
          <w:pgSz w:w="11910" w:h="16840"/>
          <w:pgMar w:top="1060" w:bottom="1540" w:left="980" w:right="0"/>
          <w:cols w:num="2" w:equalWidth="0">
            <w:col w:w="5031" w:space="956"/>
            <w:col w:w="4943"/>
          </w:cols>
        </w:sectPr>
      </w:pPr>
    </w:p>
    <w:p>
      <w:pPr>
        <w:pStyle w:val="BodyText"/>
        <w:tabs>
          <w:tab w:pos="7666" w:val="left" w:leader="none"/>
        </w:tabs>
        <w:spacing w:line="180" w:lineRule="exact"/>
        <w:ind w:left="6168" w:right="1123"/>
        <w:jc w:val="left"/>
      </w:pPr>
      <w:r>
        <w:rPr/>
        <w:t>管理中心</w:t>
        <w:tab/>
        <w:t>行业状况等</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540" w:left="980" w:right="0"/>
        </w:sectPr>
      </w:pPr>
    </w:p>
    <w:p>
      <w:pPr>
        <w:spacing w:line="240" w:lineRule="auto" w:before="4"/>
        <w:rPr>
          <w:rFonts w:ascii="宋体" w:hAnsi="宋体" w:cs="宋体" w:eastAsia="宋体" w:hint="default"/>
          <w:sz w:val="15"/>
          <w:szCs w:val="15"/>
        </w:rPr>
      </w:pPr>
    </w:p>
    <w:p>
      <w:pPr>
        <w:pStyle w:val="BodyText"/>
        <w:tabs>
          <w:tab w:pos="3172" w:val="left" w:leader="none"/>
          <w:tab w:pos="4670" w:val="left" w:leader="none"/>
        </w:tabs>
        <w:spacing w:line="212" w:lineRule="exact"/>
        <w:ind w:left="181" w:right="-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58"/>
        </w:rPr>
        <w:t> </w:t>
      </w:r>
      <w:r>
        <w:rPr>
          <w:rFonts w:ascii="Times New Roman" w:hAnsi="Times New Roman" w:cs="Times New Roman" w:eastAsia="Times New Roman" w:hint="default"/>
        </w:rPr>
        <w:t>06</w:t>
      </w:r>
      <w:r>
        <w:rPr>
          <w:rFonts w:ascii="Times New Roman" w:hAnsi="Times New Roman" w:cs="Times New Roman" w:eastAsia="Times New Roman" w:hint="default"/>
          <w:spacing w:val="-12"/>
        </w:rPr>
        <w:t> </w:t>
      </w:r>
      <w:r>
        <w:rPr/>
        <w:t>月</w:t>
      </w:r>
      <w:r>
        <w:rPr>
          <w:spacing w:val="-56"/>
        </w:rPr>
        <w:t> </w:t>
      </w:r>
      <w:r>
        <w:rPr>
          <w:rFonts w:ascii="Times New Roman" w:hAnsi="Times New Roman" w:cs="Times New Roman" w:eastAsia="Times New Roman" w:hint="default"/>
        </w:rPr>
        <w:t>07</w:t>
      </w:r>
      <w:r>
        <w:rPr>
          <w:rFonts w:ascii="Times New Roman" w:hAnsi="Times New Roman" w:cs="Times New Roman" w:eastAsia="Times New Roman" w:hint="default"/>
          <w:spacing w:val="-9"/>
        </w:rPr>
        <w:t> </w:t>
      </w:r>
      <w:r>
        <w:rPr/>
        <w:t>日</w:t>
      </w:r>
      <w:r>
        <w:rPr>
          <w:spacing w:val="-36"/>
        </w:rPr>
        <w:t> </w:t>
      </w:r>
      <w:r>
        <w:rPr/>
        <w:t>公司会议室</w:t>
        <w:tab/>
        <w:t>实地调研</w:t>
        <w:tab/>
        <w:t>机构</w:t>
      </w:r>
    </w:p>
    <w:p>
      <w:pPr>
        <w:pStyle w:val="BodyText"/>
        <w:spacing w:line="240" w:lineRule="auto" w:before="44"/>
        <w:ind w:left="181" w:right="0"/>
        <w:jc w:val="left"/>
      </w:pPr>
      <w:r>
        <w:rPr/>
        <w:br w:type="column"/>
      </w:r>
      <w:r>
        <w:rPr/>
        <w:t>浙江天堂硅谷股权</w:t>
      </w:r>
      <w:r>
        <w:rPr>
          <w:spacing w:val="-24"/>
        </w:rPr>
        <w:t> </w:t>
      </w:r>
      <w:r>
        <w:rPr>
          <w:spacing w:val="-4"/>
        </w:rPr>
        <w:t>公司基本情况、发展趋势、</w:t>
      </w:r>
    </w:p>
    <w:p>
      <w:pPr>
        <w:spacing w:after="0" w:line="240" w:lineRule="auto"/>
        <w:jc w:val="left"/>
        <w:sectPr>
          <w:type w:val="continuous"/>
          <w:pgSz w:w="11910" w:h="16840"/>
          <w:pgMar w:top="1060" w:bottom="1540" w:left="980" w:right="0"/>
          <w:cols w:num="2" w:equalWidth="0">
            <w:col w:w="5031" w:space="956"/>
            <w:col w:w="4943"/>
          </w:cols>
        </w:sectPr>
      </w:pPr>
    </w:p>
    <w:p>
      <w:pPr>
        <w:pStyle w:val="BodyText"/>
        <w:tabs>
          <w:tab w:pos="7666" w:val="left" w:leader="none"/>
        </w:tabs>
        <w:spacing w:line="180" w:lineRule="exact"/>
        <w:ind w:left="6168" w:right="1123"/>
        <w:jc w:val="left"/>
      </w:pPr>
      <w:r>
        <w:rPr/>
        <w:t>投资管理集团</w:t>
        <w:tab/>
        <w:t>行业状况等</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540" w:left="980" w:right="0"/>
        </w:sectPr>
      </w:pPr>
    </w:p>
    <w:p>
      <w:pPr>
        <w:spacing w:line="240" w:lineRule="auto" w:before="5"/>
        <w:rPr>
          <w:rFonts w:ascii="宋体" w:hAnsi="宋体" w:cs="宋体" w:eastAsia="宋体" w:hint="default"/>
          <w:sz w:val="15"/>
          <w:szCs w:val="15"/>
        </w:rPr>
      </w:pPr>
    </w:p>
    <w:p>
      <w:pPr>
        <w:pStyle w:val="BodyText"/>
        <w:tabs>
          <w:tab w:pos="3172" w:val="left" w:leader="none"/>
          <w:tab w:pos="4670" w:val="left" w:leader="none"/>
        </w:tabs>
        <w:spacing w:line="209" w:lineRule="exact"/>
        <w:ind w:left="181" w:right="-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58"/>
        </w:rPr>
        <w:t> </w:t>
      </w:r>
      <w:r>
        <w:rPr>
          <w:rFonts w:ascii="Times New Roman" w:hAnsi="Times New Roman" w:cs="Times New Roman" w:eastAsia="Times New Roman" w:hint="default"/>
        </w:rPr>
        <w:t>06</w:t>
      </w:r>
      <w:r>
        <w:rPr>
          <w:rFonts w:ascii="Times New Roman" w:hAnsi="Times New Roman" w:cs="Times New Roman" w:eastAsia="Times New Roman" w:hint="default"/>
          <w:spacing w:val="-12"/>
        </w:rPr>
        <w:t> </w:t>
      </w:r>
      <w:r>
        <w:rPr/>
        <w:t>月</w:t>
      </w:r>
      <w:r>
        <w:rPr>
          <w:spacing w:val="-56"/>
        </w:rPr>
        <w:t> </w:t>
      </w:r>
      <w:r>
        <w:rPr>
          <w:rFonts w:ascii="Times New Roman" w:hAnsi="Times New Roman" w:cs="Times New Roman" w:eastAsia="Times New Roman" w:hint="default"/>
        </w:rPr>
        <w:t>13</w:t>
      </w:r>
      <w:r>
        <w:rPr>
          <w:rFonts w:ascii="Times New Roman" w:hAnsi="Times New Roman" w:cs="Times New Roman" w:eastAsia="Times New Roman" w:hint="default"/>
          <w:spacing w:val="-9"/>
        </w:rPr>
        <w:t> </w:t>
      </w:r>
      <w:r>
        <w:rPr/>
        <w:t>日</w:t>
      </w:r>
      <w:r>
        <w:rPr>
          <w:spacing w:val="-36"/>
        </w:rPr>
        <w:t> </w:t>
      </w:r>
      <w:r>
        <w:rPr/>
        <w:t>公司会议室</w:t>
        <w:tab/>
        <w:t>实地调研</w:t>
        <w:tab/>
        <w:t>机构</w:t>
      </w:r>
    </w:p>
    <w:p>
      <w:pPr>
        <w:pStyle w:val="BodyText"/>
        <w:spacing w:line="240" w:lineRule="auto" w:before="44"/>
        <w:ind w:left="181" w:right="0"/>
        <w:jc w:val="left"/>
      </w:pPr>
      <w:r>
        <w:rPr/>
        <w:br w:type="column"/>
      </w:r>
      <w:r>
        <w:rPr/>
        <w:t>东方证券、浙商证</w:t>
      </w:r>
      <w:r>
        <w:rPr>
          <w:spacing w:val="-24"/>
        </w:rPr>
        <w:t> </w:t>
      </w:r>
      <w:r>
        <w:rPr>
          <w:spacing w:val="-4"/>
        </w:rPr>
        <w:t>公司基本情况、发展趋势、</w:t>
      </w:r>
    </w:p>
    <w:p>
      <w:pPr>
        <w:spacing w:after="0" w:line="240" w:lineRule="auto"/>
        <w:jc w:val="left"/>
        <w:sectPr>
          <w:type w:val="continuous"/>
          <w:pgSz w:w="11910" w:h="16840"/>
          <w:pgMar w:top="1060" w:bottom="1540" w:left="980" w:right="0"/>
          <w:cols w:num="2" w:equalWidth="0">
            <w:col w:w="5031" w:space="956"/>
            <w:col w:w="4943"/>
          </w:cols>
        </w:sectPr>
      </w:pPr>
    </w:p>
    <w:p>
      <w:pPr>
        <w:pStyle w:val="BodyText"/>
        <w:tabs>
          <w:tab w:pos="7666" w:val="left" w:leader="none"/>
        </w:tabs>
        <w:spacing w:line="180" w:lineRule="exact"/>
        <w:ind w:left="6168" w:right="1123"/>
        <w:jc w:val="left"/>
      </w:pPr>
      <w:r>
        <w:rPr/>
        <w:t>券等机构</w:t>
        <w:tab/>
        <w:t>行业状况等</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540" w:left="980" w:right="0"/>
        </w:sectPr>
      </w:pPr>
    </w:p>
    <w:p>
      <w:pPr>
        <w:spacing w:line="240" w:lineRule="auto" w:before="4"/>
        <w:rPr>
          <w:rFonts w:ascii="宋体" w:hAnsi="宋体" w:cs="宋体" w:eastAsia="宋体" w:hint="default"/>
          <w:sz w:val="15"/>
          <w:szCs w:val="15"/>
        </w:rPr>
      </w:pPr>
    </w:p>
    <w:p>
      <w:pPr>
        <w:pStyle w:val="BodyText"/>
        <w:tabs>
          <w:tab w:pos="3172" w:val="left" w:leader="none"/>
          <w:tab w:pos="4670" w:val="left" w:leader="none"/>
          <w:tab w:pos="6168" w:val="left" w:leader="none"/>
        </w:tabs>
        <w:spacing w:line="240" w:lineRule="auto"/>
        <w:ind w:left="181" w:right="-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58"/>
        </w:rPr>
        <w:t> </w:t>
      </w:r>
      <w:r>
        <w:rPr>
          <w:rFonts w:ascii="Times New Roman" w:hAnsi="Times New Roman" w:cs="Times New Roman" w:eastAsia="Times New Roman" w:hint="default"/>
        </w:rPr>
        <w:t>08</w:t>
      </w:r>
      <w:r>
        <w:rPr>
          <w:rFonts w:ascii="Times New Roman" w:hAnsi="Times New Roman" w:cs="Times New Roman" w:eastAsia="Times New Roman" w:hint="default"/>
          <w:spacing w:val="-12"/>
        </w:rPr>
        <w:t> </w:t>
      </w:r>
      <w:r>
        <w:rPr/>
        <w:t>月</w:t>
      </w:r>
      <w:r>
        <w:rPr>
          <w:spacing w:val="-56"/>
        </w:rPr>
        <w:t> </w:t>
      </w:r>
      <w:r>
        <w:rPr>
          <w:rFonts w:ascii="Times New Roman" w:hAnsi="Times New Roman" w:cs="Times New Roman" w:eastAsia="Times New Roman" w:hint="default"/>
        </w:rPr>
        <w:t>01</w:t>
      </w:r>
      <w:r>
        <w:rPr>
          <w:rFonts w:ascii="Times New Roman" w:hAnsi="Times New Roman" w:cs="Times New Roman" w:eastAsia="Times New Roman" w:hint="default"/>
          <w:spacing w:val="-9"/>
        </w:rPr>
        <w:t> </w:t>
      </w:r>
      <w:r>
        <w:rPr/>
        <w:t>日</w:t>
      </w:r>
      <w:r>
        <w:rPr>
          <w:spacing w:val="-36"/>
        </w:rPr>
        <w:t> </w:t>
      </w:r>
      <w:r>
        <w:rPr/>
        <w:t>公司会议室</w:t>
        <w:tab/>
        <w:t>实地调研</w:t>
        <w:tab/>
        <w:t>机构</w:t>
        <w:tab/>
        <w:t>海通证券</w:t>
      </w:r>
    </w:p>
    <w:p>
      <w:pPr>
        <w:pStyle w:val="BodyText"/>
        <w:spacing w:line="316" w:lineRule="auto" w:before="44"/>
        <w:ind w:left="181" w:right="1128"/>
        <w:jc w:val="left"/>
      </w:pPr>
      <w:r>
        <w:rPr>
          <w:spacing w:val="-4"/>
        </w:rPr>
        <w:br w:type="column"/>
      </w:r>
      <w:r>
        <w:rPr>
          <w:spacing w:val="-4"/>
        </w:rPr>
        <w:t>公司基本情况、发展趋势、</w:t>
      </w:r>
      <w:r>
        <w:rPr>
          <w:spacing w:val="-81"/>
        </w:rPr>
        <w:t> </w:t>
      </w:r>
      <w:r>
        <w:rPr>
          <w:spacing w:val="-81"/>
        </w:rPr>
      </w:r>
      <w:r>
        <w:rPr/>
        <w:t>行业状况等</w:t>
      </w:r>
    </w:p>
    <w:p>
      <w:pPr>
        <w:spacing w:after="0" w:line="316" w:lineRule="auto"/>
        <w:jc w:val="left"/>
        <w:sectPr>
          <w:type w:val="continuous"/>
          <w:pgSz w:w="11910" w:h="16840"/>
          <w:pgMar w:top="1060" w:bottom="1540" w:left="980" w:right="0"/>
          <w:cols w:num="2" w:equalWidth="0">
            <w:col w:w="6889" w:space="595"/>
            <w:col w:w="3446"/>
          </w:cols>
        </w:sect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tabs>
          <w:tab w:pos="3172" w:val="left" w:leader="none"/>
          <w:tab w:pos="4670" w:val="left" w:leader="none"/>
        </w:tabs>
        <w:spacing w:line="240" w:lineRule="auto"/>
        <w:ind w:left="181" w:right="-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58"/>
        </w:rPr>
        <w:t> </w:t>
      </w:r>
      <w:r>
        <w:rPr>
          <w:rFonts w:ascii="Times New Roman" w:hAnsi="Times New Roman" w:cs="Times New Roman" w:eastAsia="Times New Roman" w:hint="default"/>
        </w:rPr>
        <w:t>08</w:t>
      </w:r>
      <w:r>
        <w:rPr>
          <w:rFonts w:ascii="Times New Roman" w:hAnsi="Times New Roman" w:cs="Times New Roman" w:eastAsia="Times New Roman" w:hint="default"/>
          <w:spacing w:val="-12"/>
        </w:rPr>
        <w:t> </w:t>
      </w:r>
      <w:r>
        <w:rPr/>
        <w:t>月</w:t>
      </w:r>
      <w:r>
        <w:rPr>
          <w:spacing w:val="-56"/>
        </w:rPr>
        <w:t> </w:t>
      </w:r>
      <w:r>
        <w:rPr>
          <w:rFonts w:ascii="Times New Roman" w:hAnsi="Times New Roman" w:cs="Times New Roman" w:eastAsia="Times New Roman" w:hint="default"/>
        </w:rPr>
        <w:t>21</w:t>
      </w:r>
      <w:r>
        <w:rPr>
          <w:rFonts w:ascii="Times New Roman" w:hAnsi="Times New Roman" w:cs="Times New Roman" w:eastAsia="Times New Roman" w:hint="default"/>
          <w:spacing w:val="-9"/>
        </w:rPr>
        <w:t> </w:t>
      </w:r>
      <w:r>
        <w:rPr/>
        <w:t>日</w:t>
      </w:r>
      <w:r>
        <w:rPr>
          <w:spacing w:val="-36"/>
        </w:rPr>
        <w:t> </w:t>
      </w:r>
      <w:r>
        <w:rPr/>
        <w:t>公司会议室</w:t>
        <w:tab/>
        <w:t>实地调研</w:t>
        <w:tab/>
        <w:t>机构</w:t>
      </w:r>
    </w:p>
    <w:p>
      <w:pPr>
        <w:pStyle w:val="BodyText"/>
        <w:spacing w:line="316" w:lineRule="auto" w:before="110"/>
        <w:ind w:left="181" w:right="0"/>
        <w:jc w:val="both"/>
      </w:pPr>
      <w:r>
        <w:rPr/>
        <w:br w:type="column"/>
      </w:r>
      <w:r>
        <w:rPr/>
        <w:t>广州金骏投资、中 广核财务有限责任 公司、长城证券</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314" w:lineRule="auto"/>
        <w:ind w:left="17" w:right="1128"/>
        <w:jc w:val="left"/>
      </w:pPr>
      <w:r>
        <w:rPr>
          <w:spacing w:val="-4"/>
        </w:rPr>
        <w:t>公司基本情况、发展趋势、</w:t>
      </w:r>
      <w:r>
        <w:rPr>
          <w:spacing w:val="-81"/>
        </w:rPr>
        <w:t> </w:t>
      </w:r>
      <w:r>
        <w:rPr>
          <w:spacing w:val="-81"/>
        </w:rPr>
      </w:r>
      <w:r>
        <w:rPr/>
        <w:t>行业状况等</w:t>
      </w:r>
    </w:p>
    <w:p>
      <w:pPr>
        <w:spacing w:after="0" w:line="314" w:lineRule="auto"/>
        <w:jc w:val="left"/>
        <w:sectPr>
          <w:type w:val="continuous"/>
          <w:pgSz w:w="11910" w:h="16840"/>
          <w:pgMar w:top="1060" w:bottom="1540" w:left="980" w:right="0"/>
          <w:cols w:num="3" w:equalWidth="0">
            <w:col w:w="5031" w:space="956"/>
            <w:col w:w="1622" w:space="40"/>
            <w:col w:w="3281"/>
          </w:cols>
        </w:sectPr>
      </w:pPr>
    </w:p>
    <w:p>
      <w:pPr>
        <w:spacing w:line="240" w:lineRule="auto" w:before="4"/>
        <w:rPr>
          <w:rFonts w:ascii="宋体" w:hAnsi="宋体" w:cs="宋体" w:eastAsia="宋体" w:hint="default"/>
          <w:sz w:val="20"/>
          <w:szCs w:val="20"/>
        </w:rPr>
      </w:pPr>
    </w:p>
    <w:p>
      <w:pPr>
        <w:pStyle w:val="BodyText"/>
        <w:tabs>
          <w:tab w:pos="3172" w:val="left" w:leader="none"/>
          <w:tab w:pos="4670" w:val="left" w:leader="none"/>
          <w:tab w:pos="6168" w:val="left" w:leader="none"/>
        </w:tabs>
        <w:spacing w:line="240" w:lineRule="auto"/>
        <w:ind w:left="181" w:right="-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58"/>
        </w:rPr>
        <w:t> </w:t>
      </w:r>
      <w:r>
        <w:rPr>
          <w:rFonts w:ascii="Times New Roman" w:hAnsi="Times New Roman" w:cs="Times New Roman" w:eastAsia="Times New Roman" w:hint="default"/>
        </w:rPr>
        <w:t>09</w:t>
      </w:r>
      <w:r>
        <w:rPr>
          <w:rFonts w:ascii="Times New Roman" w:hAnsi="Times New Roman" w:cs="Times New Roman" w:eastAsia="Times New Roman" w:hint="default"/>
          <w:spacing w:val="-12"/>
        </w:rPr>
        <w:t> </w:t>
      </w:r>
      <w:r>
        <w:rPr/>
        <w:t>月</w:t>
      </w:r>
      <w:r>
        <w:rPr>
          <w:spacing w:val="-56"/>
        </w:rPr>
        <w:t> </w:t>
      </w:r>
      <w:r>
        <w:rPr>
          <w:rFonts w:ascii="Times New Roman" w:hAnsi="Times New Roman" w:cs="Times New Roman" w:eastAsia="Times New Roman" w:hint="default"/>
        </w:rPr>
        <w:t>06</w:t>
      </w:r>
      <w:r>
        <w:rPr>
          <w:rFonts w:ascii="Times New Roman" w:hAnsi="Times New Roman" w:cs="Times New Roman" w:eastAsia="Times New Roman" w:hint="default"/>
          <w:spacing w:val="-9"/>
        </w:rPr>
        <w:t> </w:t>
      </w:r>
      <w:r>
        <w:rPr/>
        <w:t>日</w:t>
      </w:r>
      <w:r>
        <w:rPr>
          <w:spacing w:val="-36"/>
        </w:rPr>
        <w:t> </w:t>
      </w:r>
      <w:r>
        <w:rPr/>
        <w:t>公司会议室</w:t>
        <w:tab/>
        <w:t>实地调研</w:t>
        <w:tab/>
        <w:t>机构</w:t>
        <w:tab/>
        <w:t>广发证券</w:t>
      </w:r>
    </w:p>
    <w:p>
      <w:pPr>
        <w:pStyle w:val="BodyText"/>
        <w:spacing w:line="316" w:lineRule="auto" w:before="110"/>
        <w:ind w:left="181" w:right="1128"/>
        <w:jc w:val="left"/>
      </w:pPr>
      <w:r>
        <w:rPr>
          <w:spacing w:val="-4"/>
        </w:rPr>
        <w:br w:type="column"/>
      </w:r>
      <w:r>
        <w:rPr>
          <w:spacing w:val="-4"/>
        </w:rPr>
        <w:t>公司基本情况、发展趋势、</w:t>
      </w:r>
      <w:r>
        <w:rPr>
          <w:spacing w:val="-81"/>
        </w:rPr>
        <w:t> </w:t>
      </w:r>
      <w:r>
        <w:rPr>
          <w:spacing w:val="-81"/>
        </w:rPr>
      </w:r>
      <w:r>
        <w:rPr/>
        <w:t>行业状况等</w:t>
      </w:r>
    </w:p>
    <w:p>
      <w:pPr>
        <w:spacing w:after="0" w:line="316" w:lineRule="auto"/>
        <w:jc w:val="left"/>
        <w:sectPr>
          <w:type w:val="continuous"/>
          <w:pgSz w:w="11910" w:h="16840"/>
          <w:pgMar w:top="1060" w:bottom="1540" w:left="980" w:right="0"/>
          <w:cols w:num="2" w:equalWidth="0">
            <w:col w:w="6889" w:space="595"/>
            <w:col w:w="3446"/>
          </w:cols>
        </w:sectPr>
      </w:pPr>
    </w:p>
    <w:p>
      <w:pPr>
        <w:spacing w:line="240" w:lineRule="auto" w:before="4"/>
        <w:rPr>
          <w:rFonts w:ascii="宋体" w:hAnsi="宋体" w:cs="宋体" w:eastAsia="宋体" w:hint="default"/>
          <w:sz w:val="20"/>
          <w:szCs w:val="20"/>
        </w:rPr>
      </w:pPr>
      <w:r>
        <w:rPr/>
        <w:pict>
          <v:group style="position:absolute;margin-left:56.400002pt;margin-top:71.759979pt;width:479.05pt;height:373.65pt;mso-position-horizontal-relative:page;mso-position-vertical-relative:page;z-index:-830224" coordorigin="1128,1435" coordsize="9581,7473">
            <v:group style="position:absolute;left:1138;top:1445;width:1487;height:2" coordorigin="1138,1445" coordsize="1487,2">
              <v:shape style="position:absolute;left:1138;top:1445;width:1487;height:2" coordorigin="1138,1445" coordsize="1487,0" path="m1138,1445l2624,1445e" filled="false" stroked="true" strokeweight=".48pt" strokecolor="#000000">
                <v:path arrowok="t"/>
              </v:shape>
            </v:group>
            <v:group style="position:absolute;left:2633;top:1445;width:1487;height:2" coordorigin="2633,1445" coordsize="1487,2">
              <v:shape style="position:absolute;left:2633;top:1445;width:1487;height:2" coordorigin="2633,1445" coordsize="1487,0" path="m2633,1445l4119,1445e" filled="false" stroked="true" strokeweight=".48pt" strokecolor="#000000">
                <v:path arrowok="t"/>
              </v:shape>
            </v:group>
            <v:group style="position:absolute;left:4129;top:1445;width:1488;height:2" coordorigin="4129,1445" coordsize="1488,2">
              <v:shape style="position:absolute;left:4129;top:1445;width:1488;height:2" coordorigin="4129,1445" coordsize="1488,0" path="m4129,1445l5617,1445e" filled="false" stroked="true" strokeweight=".48pt" strokecolor="#000000">
                <v:path arrowok="t"/>
              </v:shape>
            </v:group>
            <v:group style="position:absolute;left:5627;top:1445;width:1489;height:2" coordorigin="5627,1445" coordsize="1489,2">
              <v:shape style="position:absolute;left:5627;top:1445;width:1489;height:2" coordorigin="5627,1445" coordsize="1489,0" path="m5627,1445l7115,1445e" filled="false" stroked="true" strokeweight=".48pt" strokecolor="#000000">
                <v:path arrowok="t"/>
              </v:shape>
            </v:group>
            <v:group style="position:absolute;left:7125;top:1445;width:1488;height:2" coordorigin="7125,1445" coordsize="1488,2">
              <v:shape style="position:absolute;left:7125;top:1445;width:1488;height:2" coordorigin="7125,1445" coordsize="1488,0" path="m7125,1445l8613,1445e" filled="false" stroked="true" strokeweight=".48pt" strokecolor="#000000">
                <v:path arrowok="t"/>
              </v:shape>
            </v:group>
            <v:group style="position:absolute;left:8622;top:1445;width:2077;height:2" coordorigin="8622,1445" coordsize="2077,2">
              <v:shape style="position:absolute;left:8622;top:1445;width:2077;height:2" coordorigin="8622,1445" coordsize="2077,0" path="m8622,1445l10699,1445e" filled="false" stroked="true" strokeweight=".48pt" strokecolor="#000000">
                <v:path arrowok="t"/>
              </v:shape>
            </v:group>
            <v:group style="position:absolute;left:1138;top:2158;width:1487;height:2" coordorigin="1138,2158" coordsize="1487,2">
              <v:shape style="position:absolute;left:1138;top:2158;width:1487;height:2" coordorigin="1138,2158" coordsize="1487,0" path="m1138,2158l2624,2158e" filled="false" stroked="true" strokeweight=".48pt" strokecolor="#000000">
                <v:path arrowok="t"/>
              </v:shape>
            </v:group>
            <v:group style="position:absolute;left:2633;top:2158;width:1487;height:2" coordorigin="2633,2158" coordsize="1487,2">
              <v:shape style="position:absolute;left:2633;top:2158;width:1487;height:2" coordorigin="2633,2158" coordsize="1487,0" path="m2633,2158l4119,2158e" filled="false" stroked="true" strokeweight=".48pt" strokecolor="#000000">
                <v:path arrowok="t"/>
              </v:shape>
            </v:group>
            <v:group style="position:absolute;left:4129;top:2158;width:1488;height:2" coordorigin="4129,2158" coordsize="1488,2">
              <v:shape style="position:absolute;left:4129;top:2158;width:1488;height:2" coordorigin="4129,2158" coordsize="1488,0" path="m4129,2158l5617,2158e" filled="false" stroked="true" strokeweight=".48pt" strokecolor="#000000">
                <v:path arrowok="t"/>
              </v:shape>
            </v:group>
            <v:group style="position:absolute;left:5627;top:2158;width:1489;height:2" coordorigin="5627,2158" coordsize="1489,2">
              <v:shape style="position:absolute;left:5627;top:2158;width:1489;height:2" coordorigin="5627,2158" coordsize="1489,0" path="m5627,2158l7115,2158e" filled="false" stroked="true" strokeweight=".48pt" strokecolor="#000000">
                <v:path arrowok="t"/>
              </v:shape>
            </v:group>
            <v:group style="position:absolute;left:7125;top:2158;width:1488;height:2" coordorigin="7125,2158" coordsize="1488,2">
              <v:shape style="position:absolute;left:7125;top:2158;width:1488;height:2" coordorigin="7125,2158" coordsize="1488,0" path="m7125,2158l8613,2158e" filled="false" stroked="true" strokeweight=".48pt" strokecolor="#000000">
                <v:path arrowok="t"/>
              </v:shape>
            </v:group>
            <v:group style="position:absolute;left:8622;top:2158;width:2077;height:2" coordorigin="8622,2158" coordsize="2077,2">
              <v:shape style="position:absolute;left:8622;top:2158;width:2077;height:2" coordorigin="8622,2158" coordsize="2077,0" path="m8622,2158l10699,2158e" filled="false" stroked="true" strokeweight=".48pt" strokecolor="#000000">
                <v:path arrowok="t"/>
              </v:shape>
            </v:group>
            <v:group style="position:absolute;left:1138;top:2873;width:1487;height:2" coordorigin="1138,2873" coordsize="1487,2">
              <v:shape style="position:absolute;left:1138;top:2873;width:1487;height:2" coordorigin="1138,2873" coordsize="1487,0" path="m1138,2873l2624,2873e" filled="false" stroked="true" strokeweight=".48pt" strokecolor="#000000">
                <v:path arrowok="t"/>
              </v:shape>
            </v:group>
            <v:group style="position:absolute;left:2633;top:2873;width:1487;height:2" coordorigin="2633,2873" coordsize="1487,2">
              <v:shape style="position:absolute;left:2633;top:2873;width:1487;height:2" coordorigin="2633,2873" coordsize="1487,0" path="m2633,2873l4119,2873e" filled="false" stroked="true" strokeweight=".48pt" strokecolor="#000000">
                <v:path arrowok="t"/>
              </v:shape>
            </v:group>
            <v:group style="position:absolute;left:4129;top:2873;width:1488;height:2" coordorigin="4129,2873" coordsize="1488,2">
              <v:shape style="position:absolute;left:4129;top:2873;width:1488;height:2" coordorigin="4129,2873" coordsize="1488,0" path="m4129,2873l5617,2873e" filled="false" stroked="true" strokeweight=".48pt" strokecolor="#000000">
                <v:path arrowok="t"/>
              </v:shape>
            </v:group>
            <v:group style="position:absolute;left:5627;top:2873;width:1489;height:2" coordorigin="5627,2873" coordsize="1489,2">
              <v:shape style="position:absolute;left:5627;top:2873;width:1489;height:2" coordorigin="5627,2873" coordsize="1489,0" path="m5627,2873l7115,2873e" filled="false" stroked="true" strokeweight=".48pt" strokecolor="#000000">
                <v:path arrowok="t"/>
              </v:shape>
            </v:group>
            <v:group style="position:absolute;left:7125;top:2873;width:1488;height:2" coordorigin="7125,2873" coordsize="1488,2">
              <v:shape style="position:absolute;left:7125;top:2873;width:1488;height:2" coordorigin="7125,2873" coordsize="1488,0" path="m7125,2873l8613,2873e" filled="false" stroked="true" strokeweight=".48pt" strokecolor="#000000">
                <v:path arrowok="t"/>
              </v:shape>
            </v:group>
            <v:group style="position:absolute;left:8622;top:2873;width:2077;height:2" coordorigin="8622,2873" coordsize="2077,2">
              <v:shape style="position:absolute;left:8622;top:2873;width:2077;height:2" coordorigin="8622,2873" coordsize="2077,0" path="m8622,2873l10699,2873e" filled="false" stroked="true" strokeweight=".48pt" strokecolor="#000000">
                <v:path arrowok="t"/>
              </v:shape>
            </v:group>
            <v:group style="position:absolute;left:1138;top:3586;width:1487;height:2" coordorigin="1138,3586" coordsize="1487,2">
              <v:shape style="position:absolute;left:1138;top:3586;width:1487;height:2" coordorigin="1138,3586" coordsize="1487,0" path="m1138,3586l2624,3586e" filled="false" stroked="true" strokeweight=".48pt" strokecolor="#000000">
                <v:path arrowok="t"/>
              </v:shape>
            </v:group>
            <v:group style="position:absolute;left:2633;top:3586;width:1487;height:2" coordorigin="2633,3586" coordsize="1487,2">
              <v:shape style="position:absolute;left:2633;top:3586;width:1487;height:2" coordorigin="2633,3586" coordsize="1487,0" path="m2633,3586l4119,3586e" filled="false" stroked="true" strokeweight=".48pt" strokecolor="#000000">
                <v:path arrowok="t"/>
              </v:shape>
            </v:group>
            <v:group style="position:absolute;left:4129;top:3586;width:1488;height:2" coordorigin="4129,3586" coordsize="1488,2">
              <v:shape style="position:absolute;left:4129;top:3586;width:1488;height:2" coordorigin="4129,3586" coordsize="1488,0" path="m4129,3586l5617,3586e" filled="false" stroked="true" strokeweight=".48pt" strokecolor="#000000">
                <v:path arrowok="t"/>
              </v:shape>
            </v:group>
            <v:group style="position:absolute;left:5627;top:3586;width:1489;height:2" coordorigin="5627,3586" coordsize="1489,2">
              <v:shape style="position:absolute;left:5627;top:3586;width:1489;height:2" coordorigin="5627,3586" coordsize="1489,0" path="m5627,3586l7115,3586e" filled="false" stroked="true" strokeweight=".48pt" strokecolor="#000000">
                <v:path arrowok="t"/>
              </v:shape>
            </v:group>
            <v:group style="position:absolute;left:7125;top:3586;width:1488;height:2" coordorigin="7125,3586" coordsize="1488,2">
              <v:shape style="position:absolute;left:7125;top:3586;width:1488;height:2" coordorigin="7125,3586" coordsize="1488,0" path="m7125,3586l8613,3586e" filled="false" stroked="true" strokeweight=".48pt" strokecolor="#000000">
                <v:path arrowok="t"/>
              </v:shape>
            </v:group>
            <v:group style="position:absolute;left:8622;top:3586;width:2077;height:2" coordorigin="8622,3586" coordsize="2077,2">
              <v:shape style="position:absolute;left:8622;top:3586;width:2077;height:2" coordorigin="8622,3586" coordsize="2077,0" path="m8622,3586l10699,3586e" filled="false" stroked="true" strokeweight=".48pt" strokecolor="#000000">
                <v:path arrowok="t"/>
              </v:shape>
            </v:group>
            <v:group style="position:absolute;left:1138;top:4301;width:1487;height:2" coordorigin="1138,4301" coordsize="1487,2">
              <v:shape style="position:absolute;left:1138;top:4301;width:1487;height:2" coordorigin="1138,4301" coordsize="1487,0" path="m1138,4301l2624,4301e" filled="false" stroked="true" strokeweight=".48pt" strokecolor="#000000">
                <v:path arrowok="t"/>
              </v:shape>
            </v:group>
            <v:group style="position:absolute;left:2633;top:4301;width:1487;height:2" coordorigin="2633,4301" coordsize="1487,2">
              <v:shape style="position:absolute;left:2633;top:4301;width:1487;height:2" coordorigin="2633,4301" coordsize="1487,0" path="m2633,4301l4119,4301e" filled="false" stroked="true" strokeweight=".48pt" strokecolor="#000000">
                <v:path arrowok="t"/>
              </v:shape>
            </v:group>
            <v:group style="position:absolute;left:4129;top:4301;width:1488;height:2" coordorigin="4129,4301" coordsize="1488,2">
              <v:shape style="position:absolute;left:4129;top:4301;width:1488;height:2" coordorigin="4129,4301" coordsize="1488,0" path="m4129,4301l5617,4301e" filled="false" stroked="true" strokeweight=".48pt" strokecolor="#000000">
                <v:path arrowok="t"/>
              </v:shape>
            </v:group>
            <v:group style="position:absolute;left:5627;top:4301;width:1489;height:2" coordorigin="5627,4301" coordsize="1489,2">
              <v:shape style="position:absolute;left:5627;top:4301;width:1489;height:2" coordorigin="5627,4301" coordsize="1489,0" path="m5627,4301l7115,4301e" filled="false" stroked="true" strokeweight=".48pt" strokecolor="#000000">
                <v:path arrowok="t"/>
              </v:shape>
            </v:group>
            <v:group style="position:absolute;left:7125;top:4301;width:1488;height:2" coordorigin="7125,4301" coordsize="1488,2">
              <v:shape style="position:absolute;left:7125;top:4301;width:1488;height:2" coordorigin="7125,4301" coordsize="1488,0" path="m7125,4301l8613,4301e" filled="false" stroked="true" strokeweight=".48pt" strokecolor="#000000">
                <v:path arrowok="t"/>
              </v:shape>
            </v:group>
            <v:group style="position:absolute;left:8622;top:4301;width:2077;height:2" coordorigin="8622,4301" coordsize="2077,2">
              <v:shape style="position:absolute;left:8622;top:4301;width:2077;height:2" coordorigin="8622,4301" coordsize="2077,0" path="m8622,4301l10699,4301e" filled="false" stroked="true" strokeweight=".48pt" strokecolor="#000000">
                <v:path arrowok="t"/>
              </v:shape>
            </v:group>
            <v:group style="position:absolute;left:1138;top:5014;width:1487;height:2" coordorigin="1138,5014" coordsize="1487,2">
              <v:shape style="position:absolute;left:1138;top:5014;width:1487;height:2" coordorigin="1138,5014" coordsize="1487,0" path="m1138,5014l2624,5014e" filled="false" stroked="true" strokeweight=".48pt" strokecolor="#000000">
                <v:path arrowok="t"/>
              </v:shape>
            </v:group>
            <v:group style="position:absolute;left:2633;top:5014;width:1487;height:2" coordorigin="2633,5014" coordsize="1487,2">
              <v:shape style="position:absolute;left:2633;top:5014;width:1487;height:2" coordorigin="2633,5014" coordsize="1487,0" path="m2633,5014l4119,5014e" filled="false" stroked="true" strokeweight=".48pt" strokecolor="#000000">
                <v:path arrowok="t"/>
              </v:shape>
            </v:group>
            <v:group style="position:absolute;left:4129;top:5014;width:1488;height:2" coordorigin="4129,5014" coordsize="1488,2">
              <v:shape style="position:absolute;left:4129;top:5014;width:1488;height:2" coordorigin="4129,5014" coordsize="1488,0" path="m4129,5014l5617,5014e" filled="false" stroked="true" strokeweight=".48pt" strokecolor="#000000">
                <v:path arrowok="t"/>
              </v:shape>
            </v:group>
            <v:group style="position:absolute;left:5627;top:5014;width:1489;height:2" coordorigin="5627,5014" coordsize="1489,2">
              <v:shape style="position:absolute;left:5627;top:5014;width:1489;height:2" coordorigin="5627,5014" coordsize="1489,0" path="m5627,5014l7115,5014e" filled="false" stroked="true" strokeweight=".48pt" strokecolor="#000000">
                <v:path arrowok="t"/>
              </v:shape>
            </v:group>
            <v:group style="position:absolute;left:7125;top:5014;width:1488;height:2" coordorigin="7125,5014" coordsize="1488,2">
              <v:shape style="position:absolute;left:7125;top:5014;width:1488;height:2" coordorigin="7125,5014" coordsize="1488,0" path="m7125,5014l8613,5014e" filled="false" stroked="true" strokeweight=".48pt" strokecolor="#000000">
                <v:path arrowok="t"/>
              </v:shape>
            </v:group>
            <v:group style="position:absolute;left:8622;top:5014;width:2077;height:2" coordorigin="8622,5014" coordsize="2077,2">
              <v:shape style="position:absolute;left:8622;top:5014;width:2077;height:2" coordorigin="8622,5014" coordsize="2077,0" path="m8622,5014l10699,5014e" filled="false" stroked="true" strokeweight=".48pt" strokecolor="#000000">
                <v:path arrowok="t"/>
              </v:shape>
            </v:group>
            <v:group style="position:absolute;left:1138;top:5730;width:1487;height:2" coordorigin="1138,5730" coordsize="1487,2">
              <v:shape style="position:absolute;left:1138;top:5730;width:1487;height:2" coordorigin="1138,5730" coordsize="1487,0" path="m1138,5730l2624,5730e" filled="false" stroked="true" strokeweight=".48pt" strokecolor="#000000">
                <v:path arrowok="t"/>
              </v:shape>
            </v:group>
            <v:group style="position:absolute;left:2633;top:5730;width:1487;height:2" coordorigin="2633,5730" coordsize="1487,2">
              <v:shape style="position:absolute;left:2633;top:5730;width:1487;height:2" coordorigin="2633,5730" coordsize="1487,0" path="m2633,5730l4119,5730e" filled="false" stroked="true" strokeweight=".48pt" strokecolor="#000000">
                <v:path arrowok="t"/>
              </v:shape>
            </v:group>
            <v:group style="position:absolute;left:4129;top:5730;width:1488;height:2" coordorigin="4129,5730" coordsize="1488,2">
              <v:shape style="position:absolute;left:4129;top:5730;width:1488;height:2" coordorigin="4129,5730" coordsize="1488,0" path="m4129,5730l5617,5730e" filled="false" stroked="true" strokeweight=".48pt" strokecolor="#000000">
                <v:path arrowok="t"/>
              </v:shape>
            </v:group>
            <v:group style="position:absolute;left:5627;top:5730;width:1489;height:2" coordorigin="5627,5730" coordsize="1489,2">
              <v:shape style="position:absolute;left:5627;top:5730;width:1489;height:2" coordorigin="5627,5730" coordsize="1489,0" path="m5627,5730l7115,5730e" filled="false" stroked="true" strokeweight=".48pt" strokecolor="#000000">
                <v:path arrowok="t"/>
              </v:shape>
            </v:group>
            <v:group style="position:absolute;left:7125;top:5730;width:1488;height:2" coordorigin="7125,5730" coordsize="1488,2">
              <v:shape style="position:absolute;left:7125;top:5730;width:1488;height:2" coordorigin="7125,5730" coordsize="1488,0" path="m7125,5730l8613,5730e" filled="false" stroked="true" strokeweight=".48pt" strokecolor="#000000">
                <v:path arrowok="t"/>
              </v:shape>
            </v:group>
            <v:group style="position:absolute;left:8622;top:5730;width:2077;height:2" coordorigin="8622,5730" coordsize="2077,2">
              <v:shape style="position:absolute;left:8622;top:5730;width:2077;height:2" coordorigin="8622,5730" coordsize="2077,0" path="m8622,5730l10699,5730e" filled="false" stroked="true" strokeweight=".48pt" strokecolor="#000000">
                <v:path arrowok="t"/>
              </v:shape>
            </v:group>
            <v:group style="position:absolute;left:1138;top:6443;width:1487;height:2" coordorigin="1138,6443" coordsize="1487,2">
              <v:shape style="position:absolute;left:1138;top:6443;width:1487;height:2" coordorigin="1138,6443" coordsize="1487,0" path="m1138,6443l2624,6443e" filled="false" stroked="true" strokeweight=".48pt" strokecolor="#000000">
                <v:path arrowok="t"/>
              </v:shape>
            </v:group>
            <v:group style="position:absolute;left:2633;top:6443;width:1487;height:2" coordorigin="2633,6443" coordsize="1487,2">
              <v:shape style="position:absolute;left:2633;top:6443;width:1487;height:2" coordorigin="2633,6443" coordsize="1487,0" path="m2633,6443l4119,6443e" filled="false" stroked="true" strokeweight=".48pt" strokecolor="#000000">
                <v:path arrowok="t"/>
              </v:shape>
            </v:group>
            <v:group style="position:absolute;left:4129;top:6443;width:1488;height:2" coordorigin="4129,6443" coordsize="1488,2">
              <v:shape style="position:absolute;left:4129;top:6443;width:1488;height:2" coordorigin="4129,6443" coordsize="1488,0" path="m4129,6443l5617,6443e" filled="false" stroked="true" strokeweight=".48pt" strokecolor="#000000">
                <v:path arrowok="t"/>
              </v:shape>
            </v:group>
            <v:group style="position:absolute;left:5627;top:6443;width:1489;height:2" coordorigin="5627,6443" coordsize="1489,2">
              <v:shape style="position:absolute;left:5627;top:6443;width:1489;height:2" coordorigin="5627,6443" coordsize="1489,0" path="m5627,6443l7115,6443e" filled="false" stroked="true" strokeweight=".48pt" strokecolor="#000000">
                <v:path arrowok="t"/>
              </v:shape>
            </v:group>
            <v:group style="position:absolute;left:7125;top:6443;width:1488;height:2" coordorigin="7125,6443" coordsize="1488,2">
              <v:shape style="position:absolute;left:7125;top:6443;width:1488;height:2" coordorigin="7125,6443" coordsize="1488,0" path="m7125,6443l8613,6443e" filled="false" stroked="true" strokeweight=".48pt" strokecolor="#000000">
                <v:path arrowok="t"/>
              </v:shape>
            </v:group>
            <v:group style="position:absolute;left:8622;top:6443;width:2077;height:2" coordorigin="8622,6443" coordsize="2077,2">
              <v:shape style="position:absolute;left:8622;top:6443;width:2077;height:2" coordorigin="8622,6443" coordsize="2077,0" path="m8622,6443l10699,6443e" filled="false" stroked="true" strokeweight=".48pt" strokecolor="#000000">
                <v:path arrowok="t"/>
              </v:shape>
            </v:group>
            <v:group style="position:absolute;left:1138;top:7470;width:1487;height:2" coordorigin="1138,7470" coordsize="1487,2">
              <v:shape style="position:absolute;left:1138;top:7470;width:1487;height:2" coordorigin="1138,7470" coordsize="1487,0" path="m1138,7470l2624,7470e" filled="false" stroked="true" strokeweight=".48pt" strokecolor="#000000">
                <v:path arrowok="t"/>
              </v:shape>
            </v:group>
            <v:group style="position:absolute;left:2633;top:7470;width:1487;height:2" coordorigin="2633,7470" coordsize="1487,2">
              <v:shape style="position:absolute;left:2633;top:7470;width:1487;height:2" coordorigin="2633,7470" coordsize="1487,0" path="m2633,7470l4119,7470e" filled="false" stroked="true" strokeweight=".48pt" strokecolor="#000000">
                <v:path arrowok="t"/>
              </v:shape>
            </v:group>
            <v:group style="position:absolute;left:4129;top:7470;width:1488;height:2" coordorigin="4129,7470" coordsize="1488,2">
              <v:shape style="position:absolute;left:4129;top:7470;width:1488;height:2" coordorigin="4129,7470" coordsize="1488,0" path="m4129,7470l5617,7470e" filled="false" stroked="true" strokeweight=".48pt" strokecolor="#000000">
                <v:path arrowok="t"/>
              </v:shape>
            </v:group>
            <v:group style="position:absolute;left:5627;top:7470;width:1489;height:2" coordorigin="5627,7470" coordsize="1489,2">
              <v:shape style="position:absolute;left:5627;top:7470;width:1489;height:2" coordorigin="5627,7470" coordsize="1489,0" path="m5627,7470l7115,7470e" filled="false" stroked="true" strokeweight=".48pt" strokecolor="#000000">
                <v:path arrowok="t"/>
              </v:shape>
            </v:group>
            <v:group style="position:absolute;left:7125;top:7470;width:1488;height:2" coordorigin="7125,7470" coordsize="1488,2">
              <v:shape style="position:absolute;left:7125;top:7470;width:1488;height:2" coordorigin="7125,7470" coordsize="1488,0" path="m7125,7470l8613,7470e" filled="false" stroked="true" strokeweight=".48pt" strokecolor="#000000">
                <v:path arrowok="t"/>
              </v:shape>
            </v:group>
            <v:group style="position:absolute;left:8622;top:7470;width:2077;height:2" coordorigin="8622,7470" coordsize="2077,2">
              <v:shape style="position:absolute;left:8622;top:7470;width:2077;height:2" coordorigin="8622,7470" coordsize="2077,0" path="m8622,7470l10699,7470e" filled="false" stroked="true" strokeweight=".48pt" strokecolor="#000000">
                <v:path arrowok="t"/>
              </v:shape>
            </v:group>
            <v:group style="position:absolute;left:1138;top:8183;width:1487;height:2" coordorigin="1138,8183" coordsize="1487,2">
              <v:shape style="position:absolute;left:1138;top:8183;width:1487;height:2" coordorigin="1138,8183" coordsize="1487,0" path="m1138,8183l2624,8183e" filled="false" stroked="true" strokeweight=".48pt" strokecolor="#000000">
                <v:path arrowok="t"/>
              </v:shape>
            </v:group>
            <v:group style="position:absolute;left:2633;top:8183;width:1487;height:2" coordorigin="2633,8183" coordsize="1487,2">
              <v:shape style="position:absolute;left:2633;top:8183;width:1487;height:2" coordorigin="2633,8183" coordsize="1487,0" path="m2633,8183l4119,8183e" filled="false" stroked="true" strokeweight=".48pt" strokecolor="#000000">
                <v:path arrowok="t"/>
              </v:shape>
            </v:group>
            <v:group style="position:absolute;left:4129;top:8183;width:1488;height:2" coordorigin="4129,8183" coordsize="1488,2">
              <v:shape style="position:absolute;left:4129;top:8183;width:1488;height:2" coordorigin="4129,8183" coordsize="1488,0" path="m4129,8183l5617,8183e" filled="false" stroked="true" strokeweight=".48pt" strokecolor="#000000">
                <v:path arrowok="t"/>
              </v:shape>
            </v:group>
            <v:group style="position:absolute;left:5627;top:8183;width:1489;height:2" coordorigin="5627,8183" coordsize="1489,2">
              <v:shape style="position:absolute;left:5627;top:8183;width:1489;height:2" coordorigin="5627,8183" coordsize="1489,0" path="m5627,8183l7115,8183e" filled="false" stroked="true" strokeweight=".48pt" strokecolor="#000000">
                <v:path arrowok="t"/>
              </v:shape>
            </v:group>
            <v:group style="position:absolute;left:7125;top:8183;width:1488;height:2" coordorigin="7125,8183" coordsize="1488,2">
              <v:shape style="position:absolute;left:7125;top:8183;width:1488;height:2" coordorigin="7125,8183" coordsize="1488,0" path="m7125,8183l8613,8183e" filled="false" stroked="true" strokeweight=".48pt" strokecolor="#000000">
                <v:path arrowok="t"/>
              </v:shape>
            </v:group>
            <v:group style="position:absolute;left:8622;top:8183;width:2077;height:2" coordorigin="8622,8183" coordsize="2077,2">
              <v:shape style="position:absolute;left:8622;top:8183;width:2077;height:2" coordorigin="8622,8183" coordsize="2077,0" path="m8622,8183l10699,8183e" filled="false" stroked="true" strokeweight=".48pt" strokecolor="#000000">
                <v:path arrowok="t"/>
              </v:shape>
            </v:group>
            <v:group style="position:absolute;left:1133;top:1440;width:2;height:7463" coordorigin="1133,1440" coordsize="2,7463">
              <v:shape style="position:absolute;left:1133;top:1440;width:2;height:7463" coordorigin="1133,1440" coordsize="0,7463" path="m1133,1440l1133,8903e" filled="false" stroked="true" strokeweight=".48pt" strokecolor="#000000">
                <v:path arrowok="t"/>
              </v:shape>
            </v:group>
            <v:group style="position:absolute;left:1138;top:8898;width:1487;height:2" coordorigin="1138,8898" coordsize="1487,2">
              <v:shape style="position:absolute;left:1138;top:8898;width:1487;height:2" coordorigin="1138,8898" coordsize="1487,0" path="m1138,8898l2624,8898e" filled="false" stroked="true" strokeweight=".48pt" strokecolor="#000000">
                <v:path arrowok="t"/>
              </v:shape>
            </v:group>
            <v:group style="position:absolute;left:2628;top:1440;width:2;height:7463" coordorigin="2628,1440" coordsize="2,7463">
              <v:shape style="position:absolute;left:2628;top:1440;width:2;height:7463" coordorigin="2628,1440" coordsize="0,7463" path="m2628,1440l2628,8903e" filled="false" stroked="true" strokeweight=".48pt" strokecolor="#000000">
                <v:path arrowok="t"/>
              </v:shape>
            </v:group>
            <v:group style="position:absolute;left:2633;top:8898;width:1487;height:2" coordorigin="2633,8898" coordsize="1487,2">
              <v:shape style="position:absolute;left:2633;top:8898;width:1487;height:2" coordorigin="2633,8898" coordsize="1487,0" path="m2633,8898l4119,8898e" filled="false" stroked="true" strokeweight=".48pt" strokecolor="#000000">
                <v:path arrowok="t"/>
              </v:shape>
            </v:group>
            <v:group style="position:absolute;left:4124;top:1440;width:2;height:7463" coordorigin="4124,1440" coordsize="2,7463">
              <v:shape style="position:absolute;left:4124;top:1440;width:2;height:7463" coordorigin="4124,1440" coordsize="0,7463" path="m4124,1440l4124,8903e" filled="false" stroked="true" strokeweight=".48pt" strokecolor="#000000">
                <v:path arrowok="t"/>
              </v:shape>
            </v:group>
            <v:group style="position:absolute;left:4129;top:8898;width:1488;height:2" coordorigin="4129,8898" coordsize="1488,2">
              <v:shape style="position:absolute;left:4129;top:8898;width:1488;height:2" coordorigin="4129,8898" coordsize="1488,0" path="m4129,8898l5617,8898e" filled="false" stroked="true" strokeweight=".48pt" strokecolor="#000000">
                <v:path arrowok="t"/>
              </v:shape>
            </v:group>
            <v:group style="position:absolute;left:5622;top:1440;width:2;height:7463" coordorigin="5622,1440" coordsize="2,7463">
              <v:shape style="position:absolute;left:5622;top:1440;width:2;height:7463" coordorigin="5622,1440" coordsize="0,7463" path="m5622,1440l5622,8903e" filled="false" stroked="true" strokeweight=".48pt" strokecolor="#000000">
                <v:path arrowok="t"/>
              </v:shape>
            </v:group>
            <v:group style="position:absolute;left:5627;top:8898;width:1489;height:2" coordorigin="5627,8898" coordsize="1489,2">
              <v:shape style="position:absolute;left:5627;top:8898;width:1489;height:2" coordorigin="5627,8898" coordsize="1489,0" path="m5627,8898l7115,8898e" filled="false" stroked="true" strokeweight=".48pt" strokecolor="#000000">
                <v:path arrowok="t"/>
              </v:shape>
            </v:group>
            <v:group style="position:absolute;left:7120;top:1440;width:2;height:7463" coordorigin="7120,1440" coordsize="2,7463">
              <v:shape style="position:absolute;left:7120;top:1440;width:2;height:7463" coordorigin="7120,1440" coordsize="0,7463" path="m7120,1440l7120,8903e" filled="false" stroked="true" strokeweight=".48pt" strokecolor="#000000">
                <v:path arrowok="t"/>
              </v:shape>
            </v:group>
            <v:group style="position:absolute;left:7125;top:8898;width:1488;height:2" coordorigin="7125,8898" coordsize="1488,2">
              <v:shape style="position:absolute;left:7125;top:8898;width:1488;height:2" coordorigin="7125,8898" coordsize="1488,0" path="m7125,8898l8613,8898e" filled="false" stroked="true" strokeweight=".48pt" strokecolor="#000000">
                <v:path arrowok="t"/>
              </v:shape>
            </v:group>
            <v:group style="position:absolute;left:8617;top:1440;width:2;height:7463" coordorigin="8617,1440" coordsize="2,7463">
              <v:shape style="position:absolute;left:8617;top:1440;width:2;height:7463" coordorigin="8617,1440" coordsize="0,7463" path="m8617,1440l8617,8903e" filled="false" stroked="true" strokeweight=".48pt" strokecolor="#000000">
                <v:path arrowok="t"/>
              </v:shape>
            </v:group>
            <v:group style="position:absolute;left:8622;top:8898;width:2077;height:2" coordorigin="8622,8898" coordsize="2077,2">
              <v:shape style="position:absolute;left:8622;top:8898;width:2077;height:2" coordorigin="8622,8898" coordsize="2077,0" path="m8622,8898l10699,8898e" filled="false" stroked="true" strokeweight=".48pt" strokecolor="#000000">
                <v:path arrowok="t"/>
              </v:shape>
            </v:group>
            <v:group style="position:absolute;left:10704;top:1440;width:2;height:7463" coordorigin="10704,1440" coordsize="2,7463">
              <v:shape style="position:absolute;left:10704;top:1440;width:2;height:7463" coordorigin="10704,1440" coordsize="0,7463" path="m10704,1440l10704,8903e" filled="false" stroked="true" strokeweight=".48pt" strokecolor="#000000">
                <v:path arrowok="t"/>
              </v:shape>
            </v:group>
            <w10:wrap type="none"/>
          </v:group>
        </w:pict>
      </w:r>
    </w:p>
    <w:p>
      <w:pPr>
        <w:pStyle w:val="BodyText"/>
        <w:tabs>
          <w:tab w:pos="3172" w:val="left" w:leader="none"/>
          <w:tab w:pos="4670" w:val="left" w:leader="none"/>
          <w:tab w:pos="6168" w:val="left" w:leader="none"/>
        </w:tabs>
        <w:spacing w:line="240" w:lineRule="auto"/>
        <w:ind w:left="181" w:right="-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8"/>
        </w:rPr>
        <w:t> </w:t>
      </w:r>
      <w:r>
        <w:rPr/>
        <w:t>月</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8"/>
        </w:rPr>
        <w:t> </w:t>
      </w:r>
      <w:r>
        <w:rPr/>
        <w:t>日</w:t>
      </w:r>
      <w:r>
        <w:rPr>
          <w:spacing w:val="-35"/>
        </w:rPr>
        <w:t> </w:t>
      </w:r>
      <w:r>
        <w:rPr/>
        <w:t>公司会议室</w:t>
        <w:tab/>
        <w:t>实地调研</w:t>
        <w:tab/>
        <w:t>机构</w:t>
        <w:tab/>
        <w:t>湘财证券</w:t>
      </w:r>
    </w:p>
    <w:p>
      <w:pPr>
        <w:pStyle w:val="BodyText"/>
        <w:spacing w:line="314" w:lineRule="auto" w:before="110"/>
        <w:ind w:left="181" w:right="1128"/>
        <w:jc w:val="left"/>
      </w:pPr>
      <w:r>
        <w:rPr>
          <w:spacing w:val="-4"/>
        </w:rPr>
        <w:br w:type="column"/>
      </w:r>
      <w:r>
        <w:rPr>
          <w:spacing w:val="-4"/>
        </w:rPr>
        <w:t>公司基本情况、发展趋势、</w:t>
      </w:r>
      <w:r>
        <w:rPr>
          <w:spacing w:val="-81"/>
        </w:rPr>
        <w:t> </w:t>
      </w:r>
      <w:r>
        <w:rPr>
          <w:spacing w:val="-81"/>
        </w:rPr>
      </w:r>
      <w:r>
        <w:rPr/>
        <w:t>行业状况等</w:t>
      </w:r>
    </w:p>
    <w:p>
      <w:pPr>
        <w:spacing w:after="0" w:line="314" w:lineRule="auto"/>
        <w:jc w:val="left"/>
        <w:sectPr>
          <w:type w:val="continuous"/>
          <w:pgSz w:w="11910" w:h="16840"/>
          <w:pgMar w:top="1060" w:bottom="1540" w:left="980" w:right="0"/>
          <w:cols w:num="2" w:equalWidth="0">
            <w:col w:w="6889" w:space="595"/>
            <w:col w:w="344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17"/>
        <w:jc w:val="center"/>
        <w:rPr>
          <w:b w:val="0"/>
          <w:bCs w:val="0"/>
        </w:rPr>
      </w:pPr>
      <w:r>
        <w:rPr/>
        <w:t>第五节</w:t>
      </w:r>
      <w:r>
        <w:rPr>
          <w:spacing w:val="-2"/>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874"/>
        <w:jc w:val="left"/>
      </w:pPr>
      <w:r>
        <w:rPr/>
        <w:t>本年度公司无重大诉讼、仲裁事项。 本年度公司无媒体质疑事项。</w:t>
      </w:r>
    </w:p>
    <w:p>
      <w:pPr>
        <w:spacing w:line="240" w:lineRule="auto" w:before="2"/>
        <w:rPr>
          <w:rFonts w:ascii="宋体" w:hAnsi="宋体" w:cs="宋体" w:eastAsia="宋体" w:hint="default"/>
          <w:sz w:val="18"/>
          <w:szCs w:val="18"/>
        </w:rPr>
      </w:pPr>
    </w:p>
    <w:p>
      <w:pPr>
        <w:pStyle w:val="Heading2"/>
        <w:spacing w:line="240" w:lineRule="auto"/>
        <w:ind w:right="1123"/>
        <w:jc w:val="left"/>
        <w:rPr>
          <w:b w:val="0"/>
          <w:bCs w:val="0"/>
        </w:rPr>
      </w:pPr>
      <w:r>
        <w:rPr/>
        <w:t>二、公司股权激励的实施情况及其影响</w:t>
      </w:r>
      <w:r>
        <w:rPr>
          <w:b w:val="0"/>
          <w:bCs w:val="0"/>
        </w:rPr>
      </w:r>
    </w:p>
    <w:p>
      <w:pPr>
        <w:spacing w:line="240" w:lineRule="auto" w:before="12"/>
        <w:rPr>
          <w:rFonts w:ascii="宋体" w:hAnsi="宋体" w:cs="宋体" w:eastAsia="宋体" w:hint="default"/>
          <w:b/>
          <w:bCs/>
          <w:sz w:val="24"/>
          <w:szCs w:val="24"/>
        </w:rPr>
      </w:pPr>
    </w:p>
    <w:p>
      <w:pPr>
        <w:spacing w:line="256" w:lineRule="auto" w:before="0"/>
        <w:ind w:left="152" w:right="112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日，公司分别召开第五届董事会第二十一次会议和第五届监事会第十四次会议，审议通</w:t>
      </w:r>
      <w:r>
        <w:rPr>
          <w:rFonts w:ascii="宋体" w:hAnsi="宋体" w:cs="宋体" w:eastAsia="宋体" w:hint="default"/>
          <w:w w:val="100"/>
          <w:sz w:val="21"/>
          <w:szCs w:val="21"/>
        </w:rPr>
        <w:t> </w:t>
      </w:r>
      <w:r>
        <w:rPr>
          <w:rFonts w:ascii="宋体" w:hAnsi="宋体" w:cs="宋体" w:eastAsia="宋体" w:hint="default"/>
          <w:spacing w:val="-7"/>
          <w:w w:val="100"/>
          <w:sz w:val="21"/>
          <w:szCs w:val="21"/>
        </w:rPr>
        <w:t>过《关于对</w:t>
      </w:r>
      <w:r>
        <w:rPr>
          <w:rFonts w:ascii="Times New Roman" w:hAnsi="Times New Roman" w:cs="Times New Roman" w:eastAsia="Times New Roman" w:hint="default"/>
          <w:spacing w:val="-7"/>
          <w:w w:val="100"/>
          <w:sz w:val="21"/>
          <w:szCs w:val="21"/>
        </w:rPr>
        <w:t>&lt;</w:t>
      </w:r>
      <w:r>
        <w:rPr>
          <w:rFonts w:ascii="宋体" w:hAnsi="宋体" w:cs="宋体" w:eastAsia="宋体" w:hint="default"/>
          <w:spacing w:val="-7"/>
          <w:w w:val="100"/>
          <w:sz w:val="21"/>
          <w:szCs w:val="21"/>
        </w:rPr>
        <w:t>股票期权激励计划</w:t>
      </w:r>
      <w:r>
        <w:rPr>
          <w:rFonts w:ascii="Times New Roman" w:hAnsi="Times New Roman" w:cs="Times New Roman" w:eastAsia="Times New Roman" w:hint="default"/>
          <w:spacing w:val="-7"/>
          <w:w w:val="100"/>
          <w:sz w:val="21"/>
          <w:szCs w:val="21"/>
        </w:rPr>
        <w:t>&gt;</w:t>
      </w:r>
      <w:r>
        <w:rPr>
          <w:rFonts w:ascii="宋体" w:hAnsi="宋体" w:cs="宋体" w:eastAsia="宋体" w:hint="default"/>
          <w:spacing w:val="-7"/>
          <w:w w:val="100"/>
          <w:sz w:val="21"/>
          <w:szCs w:val="21"/>
        </w:rPr>
        <w:t>涉及的股票期权数量和行权价格进行调整的议案》，经过本次调整后，《股</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票期权激励计划（修订稿）》所涉及股票期权总数为</w:t>
      </w:r>
      <w:r>
        <w:rPr>
          <w:rFonts w:ascii="Times New Roman" w:hAnsi="Times New Roman" w:cs="Times New Roman" w:eastAsia="Times New Roman" w:hint="default"/>
          <w:sz w:val="21"/>
          <w:szCs w:val="21"/>
        </w:rPr>
        <w:t>2,840</w:t>
      </w:r>
      <w:r>
        <w:rPr>
          <w:rFonts w:ascii="宋体" w:hAnsi="宋体" w:cs="宋体" w:eastAsia="宋体" w:hint="default"/>
          <w:sz w:val="21"/>
          <w:szCs w:val="21"/>
        </w:rPr>
        <w:t>万份，其中首次授予股票数量为</w:t>
      </w:r>
      <w:r>
        <w:rPr>
          <w:rFonts w:ascii="Times New Roman" w:hAnsi="Times New Roman" w:cs="Times New Roman" w:eastAsia="Times New Roman" w:hint="default"/>
          <w:sz w:val="21"/>
          <w:szCs w:val="21"/>
        </w:rPr>
        <w:t>2,640</w:t>
      </w:r>
      <w:r>
        <w:rPr>
          <w:rFonts w:ascii="宋体" w:hAnsi="宋体" w:cs="宋体" w:eastAsia="宋体" w:hint="default"/>
          <w:sz w:val="21"/>
          <w:szCs w:val="21"/>
        </w:rPr>
        <w:t>万份，行</w:t>
      </w:r>
      <w:r>
        <w:rPr>
          <w:rFonts w:ascii="宋体" w:hAnsi="宋体" w:cs="宋体" w:eastAsia="宋体" w:hint="default"/>
          <w:spacing w:val="-22"/>
          <w:sz w:val="21"/>
          <w:szCs w:val="21"/>
        </w:rPr>
        <w:t> </w:t>
      </w:r>
      <w:r>
        <w:rPr>
          <w:rFonts w:ascii="宋体" w:hAnsi="宋体" w:cs="宋体" w:eastAsia="宋体" w:hint="default"/>
          <w:spacing w:val="-4"/>
          <w:sz w:val="21"/>
          <w:szCs w:val="21"/>
        </w:rPr>
        <w:t>权价格为</w:t>
      </w:r>
      <w:r>
        <w:rPr>
          <w:rFonts w:ascii="Times New Roman" w:hAnsi="Times New Roman" w:cs="Times New Roman" w:eastAsia="Times New Roman" w:hint="default"/>
          <w:spacing w:val="-4"/>
          <w:sz w:val="21"/>
          <w:szCs w:val="21"/>
        </w:rPr>
        <w:t>7.63</w:t>
      </w:r>
      <w:r>
        <w:rPr>
          <w:rFonts w:ascii="宋体" w:hAnsi="宋体" w:cs="宋体" w:eastAsia="宋体" w:hint="default"/>
          <w:spacing w:val="-4"/>
          <w:sz w:val="21"/>
          <w:szCs w:val="21"/>
        </w:rPr>
        <w:t>元，预留股票期权数量为</w:t>
      </w:r>
      <w:r>
        <w:rPr>
          <w:rFonts w:ascii="Times New Roman" w:hAnsi="Times New Roman" w:cs="Times New Roman" w:eastAsia="Times New Roman" w:hint="default"/>
          <w:spacing w:val="-4"/>
          <w:sz w:val="21"/>
          <w:szCs w:val="21"/>
        </w:rPr>
        <w:t>200</w:t>
      </w:r>
      <w:r>
        <w:rPr>
          <w:rFonts w:ascii="宋体" w:hAnsi="宋体" w:cs="宋体" w:eastAsia="宋体" w:hint="default"/>
          <w:spacing w:val="-4"/>
          <w:sz w:val="21"/>
          <w:szCs w:val="21"/>
        </w:rPr>
        <w:t>万份。《关于对</w:t>
      </w:r>
      <w:r>
        <w:rPr>
          <w:rFonts w:ascii="Times New Roman" w:hAnsi="Times New Roman" w:cs="Times New Roman" w:eastAsia="Times New Roman" w:hint="default"/>
          <w:spacing w:val="-4"/>
          <w:sz w:val="21"/>
          <w:szCs w:val="21"/>
        </w:rPr>
        <w:t>&lt;</w:t>
      </w:r>
      <w:r>
        <w:rPr>
          <w:rFonts w:ascii="宋体" w:hAnsi="宋体" w:cs="宋体" w:eastAsia="宋体" w:hint="default"/>
          <w:spacing w:val="-4"/>
          <w:sz w:val="21"/>
          <w:szCs w:val="21"/>
        </w:rPr>
        <w:t>股票期权激励计划</w:t>
      </w:r>
      <w:r>
        <w:rPr>
          <w:rFonts w:ascii="Times New Roman" w:hAnsi="Times New Roman" w:cs="Times New Roman" w:eastAsia="Times New Roman" w:hint="default"/>
          <w:spacing w:val="-4"/>
          <w:sz w:val="21"/>
          <w:szCs w:val="21"/>
        </w:rPr>
        <w:t>&gt;</w:t>
      </w:r>
      <w:r>
        <w:rPr>
          <w:rFonts w:ascii="宋体" w:hAnsi="宋体" w:cs="宋体" w:eastAsia="宋体" w:hint="default"/>
          <w:spacing w:val="-4"/>
          <w:sz w:val="21"/>
          <w:szCs w:val="21"/>
        </w:rPr>
        <w:t>涉及的股票期权数量和行权</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价格进行调整的公告》详见</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日指定信息披露媒体《证券时报》、《中国证券报》、《上海证</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券报》和巨潮资讯网（</w:t>
      </w:r>
      <w:hyperlink r:id="rId9">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p>
      <w:pPr>
        <w:spacing w:line="256" w:lineRule="auto" w:before="46"/>
        <w:ind w:left="152" w:right="0"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日，公司召开了第五届董事会第二十二次会议，审议通过《关于公司首期股票期权激励</w:t>
      </w:r>
      <w:r>
        <w:rPr>
          <w:rFonts w:ascii="宋体" w:hAnsi="宋体" w:cs="宋体" w:eastAsia="宋体" w:hint="default"/>
          <w:w w:val="100"/>
          <w:sz w:val="21"/>
          <w:szCs w:val="21"/>
        </w:rPr>
        <w:t> </w:t>
      </w:r>
      <w:r>
        <w:rPr>
          <w:rFonts w:ascii="宋体" w:hAnsi="宋体" w:cs="宋体" w:eastAsia="宋体" w:hint="default"/>
          <w:spacing w:val="-5"/>
          <w:sz w:val="21"/>
          <w:szCs w:val="21"/>
        </w:rPr>
        <w:t>计划预留期权授予事项的议案》，于</w:t>
      </w:r>
      <w:r>
        <w:rPr>
          <w:rFonts w:ascii="Times New Roman" w:hAnsi="Times New Roman" w:cs="Times New Roman" w:eastAsia="Times New Roman" w:hint="default"/>
          <w:spacing w:val="-5"/>
          <w:sz w:val="21"/>
          <w:szCs w:val="21"/>
        </w:rPr>
        <w:t>2012</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28</w:t>
      </w:r>
      <w:r>
        <w:rPr>
          <w:rFonts w:ascii="宋体" w:hAnsi="宋体" w:cs="宋体" w:eastAsia="宋体" w:hint="default"/>
          <w:spacing w:val="-5"/>
          <w:sz w:val="21"/>
          <w:szCs w:val="21"/>
        </w:rPr>
        <w:t>日向</w:t>
      </w:r>
      <w:r>
        <w:rPr>
          <w:rFonts w:ascii="Times New Roman" w:hAnsi="Times New Roman" w:cs="Times New Roman" w:eastAsia="Times New Roman" w:hint="default"/>
          <w:spacing w:val="-5"/>
          <w:sz w:val="21"/>
          <w:szCs w:val="21"/>
        </w:rPr>
        <w:t>30</w:t>
      </w:r>
      <w:r>
        <w:rPr>
          <w:rFonts w:ascii="宋体" w:hAnsi="宋体" w:cs="宋体" w:eastAsia="宋体" w:hint="default"/>
          <w:spacing w:val="-5"/>
          <w:sz w:val="21"/>
          <w:szCs w:val="21"/>
        </w:rPr>
        <w:t>名激励对象授出</w:t>
      </w:r>
      <w:r>
        <w:rPr>
          <w:rFonts w:ascii="Times New Roman" w:hAnsi="Times New Roman" w:cs="Times New Roman" w:eastAsia="Times New Roman" w:hint="default"/>
          <w:spacing w:val="-5"/>
          <w:sz w:val="21"/>
          <w:szCs w:val="21"/>
        </w:rPr>
        <w:t>200</w:t>
      </w:r>
      <w:r>
        <w:rPr>
          <w:rFonts w:ascii="宋体" w:hAnsi="宋体" w:cs="宋体" w:eastAsia="宋体" w:hint="default"/>
          <w:spacing w:val="-5"/>
          <w:sz w:val="21"/>
          <w:szCs w:val="21"/>
        </w:rPr>
        <w:t>万份预留期权，行权价格为</w:t>
      </w:r>
      <w:r>
        <w:rPr>
          <w:rFonts w:ascii="Times New Roman" w:hAnsi="Times New Roman" w:cs="Times New Roman" w:eastAsia="Times New Roman" w:hint="default"/>
          <w:spacing w:val="-5"/>
          <w:sz w:val="21"/>
          <w:szCs w:val="21"/>
        </w:rPr>
        <w:t>9.25</w:t>
      </w:r>
      <w:r>
        <w:rPr>
          <w:rFonts w:ascii="Times New Roman" w:hAnsi="Times New Roman" w:cs="Times New Roman" w:eastAsia="Times New Roman" w:hint="default"/>
          <w:spacing w:val="30"/>
          <w:sz w:val="21"/>
          <w:szCs w:val="21"/>
        </w:rPr>
        <w:t> </w:t>
      </w:r>
      <w:r>
        <w:rPr>
          <w:rFonts w:ascii="Times New Roman" w:hAnsi="Times New Roman" w:cs="Times New Roman" w:eastAsia="Times New Roman" w:hint="default"/>
          <w:spacing w:val="30"/>
          <w:sz w:val="21"/>
          <w:szCs w:val="21"/>
        </w:rPr>
      </w:r>
      <w:r>
        <w:rPr>
          <w:rFonts w:ascii="宋体" w:hAnsi="宋体" w:cs="宋体" w:eastAsia="宋体" w:hint="default"/>
          <w:sz w:val="21"/>
          <w:szCs w:val="21"/>
        </w:rPr>
        <w:t>元。《安徽鑫龙电器股份有限公司关于首期股票期权激励计划预留期权授予的公告》详见</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5"/>
          <w:sz w:val="21"/>
          <w:szCs w:val="21"/>
        </w:rPr>
        <w:t>指定信息披露媒体《证券时报》、《中国证券报》、《上海证券报》和巨潮资讯网（</w:t>
      </w:r>
      <w:hyperlink r:id="rId9">
        <w:r>
          <w:rPr>
            <w:rFonts w:ascii="Times New Roman" w:hAnsi="Times New Roman" w:cs="Times New Roman" w:eastAsia="Times New Roman" w:hint="default"/>
            <w:spacing w:val="-5"/>
            <w:sz w:val="21"/>
            <w:szCs w:val="21"/>
          </w:rPr>
          <w:t>www.cninfo.com.cn</w:t>
        </w:r>
      </w:hyperlink>
      <w:r>
        <w:rPr>
          <w:rFonts w:ascii="宋体" w:hAnsi="宋体" w:cs="宋体" w:eastAsia="宋体" w:hint="default"/>
          <w:spacing w:val="-5"/>
          <w:sz w:val="21"/>
          <w:szCs w:val="21"/>
        </w:rPr>
        <w:t>）。</w:t>
      </w:r>
      <w:r>
        <w:rPr>
          <w:rFonts w:ascii="宋体" w:hAnsi="宋体" w:cs="宋体" w:eastAsia="宋体" w:hint="default"/>
          <w:sz w:val="21"/>
          <w:szCs w:val="21"/>
        </w:rPr>
      </w:r>
    </w:p>
    <w:p>
      <w:pPr>
        <w:spacing w:line="240" w:lineRule="auto" w:before="5"/>
        <w:rPr>
          <w:rFonts w:ascii="宋体" w:hAnsi="宋体" w:cs="宋体" w:eastAsia="宋体" w:hint="default"/>
          <w:sz w:val="21"/>
          <w:szCs w:val="21"/>
        </w:rPr>
      </w:pPr>
    </w:p>
    <w:p>
      <w:pPr>
        <w:spacing w:before="0"/>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三、重大关联交易</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right="1123"/>
        <w:jc w:val="left"/>
      </w:pPr>
      <w:r>
        <w:rPr/>
        <w:t>公司报告期不存在非经营性关联债权债务往来和其他重大关联交易情况。</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四、重大合同及其履行情况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1123"/>
        <w:jc w:val="left"/>
      </w:pPr>
      <w:r>
        <w:rPr/>
        <w:t>公司报告期不存在托管、承包和租赁情况。</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5"/>
        <w:gridCol w:w="943"/>
        <w:gridCol w:w="932"/>
        <w:gridCol w:w="1212"/>
        <w:gridCol w:w="1179"/>
        <w:gridCol w:w="1097"/>
        <w:gridCol w:w="1018"/>
        <w:gridCol w:w="799"/>
        <w:gridCol w:w="787"/>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7" w:hRule="exact"/>
        </w:trPr>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8" w:right="10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5"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3" w:hRule="exact"/>
        </w:trPr>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7"/>
              <w:jc w:val="center"/>
              <w:rPr>
                <w:rFonts w:ascii="宋体" w:hAnsi="宋体" w:cs="宋体" w:eastAsia="宋体" w:hint="default"/>
                <w:sz w:val="18"/>
                <w:szCs w:val="18"/>
              </w:rPr>
            </w:pPr>
            <w:r>
              <w:rPr>
                <w:rFonts w:ascii="宋体" w:hAnsi="宋体" w:cs="宋体" w:eastAsia="宋体" w:hint="default"/>
                <w:sz w:val="18"/>
                <w:szCs w:val="18"/>
              </w:rPr>
              <w:t>安徽鑫龙自动化有</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4" w:right="0"/>
              <w:jc w:val="left"/>
              <w:rPr>
                <w:rFonts w:ascii="Times New Roman" w:hAnsi="Times New Roman" w:cs="Times New Roman" w:eastAsia="Times New Roman" w:hint="default"/>
                <w:sz w:val="18"/>
                <w:szCs w:val="18"/>
              </w:rPr>
            </w:pPr>
            <w:r>
              <w:rPr>
                <w:rFonts w:ascii="Times New Roman"/>
                <w:sz w:val="18"/>
              </w:rPr>
              <w:t>2,000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06"/>
        <w:gridCol w:w="929"/>
        <w:gridCol w:w="946"/>
        <w:gridCol w:w="1216"/>
        <w:gridCol w:w="1175"/>
        <w:gridCol w:w="1089"/>
        <w:gridCol w:w="1023"/>
        <w:gridCol w:w="803"/>
        <w:gridCol w:w="787"/>
      </w:tblGrid>
      <w:tr>
        <w:trPr>
          <w:trHeight w:val="36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29"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5"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5" w:type="dxa"/>
            <w:tcBorders>
              <w:top w:val="single" w:sz="4" w:space="0" w:color="000000"/>
              <w:left w:val="single" w:sz="4" w:space="0" w:color="000000"/>
              <w:bottom w:val="single" w:sz="4" w:space="0" w:color="000000"/>
              <w:right w:val="single" w:sz="4" w:space="0" w:color="000000"/>
            </w:tcBorders>
          </w:tcPr>
          <w:p>
            <w:pPr/>
          </w:p>
        </w:tc>
        <w:tc>
          <w:tcPr>
            <w:tcW w:w="1089"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62"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2,000</w:t>
            </w:r>
          </w:p>
        </w:tc>
        <w:tc>
          <w:tcPr>
            <w:tcW w:w="22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1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r>
      <w:tr>
        <w:trPr>
          <w:trHeight w:val="720" w:hRule="exact"/>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62"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2,000</w:t>
            </w:r>
          </w:p>
        </w:tc>
        <w:tc>
          <w:tcPr>
            <w:tcW w:w="22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1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r>
      <w:tr>
        <w:trPr>
          <w:trHeight w:val="39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606" w:type="dxa"/>
            <w:vMerge w:val="restart"/>
            <w:tcBorders>
              <w:top w:val="single" w:sz="4" w:space="0" w:color="000000"/>
              <w:left w:val="single" w:sz="4" w:space="0" w:color="000000"/>
              <w:right w:val="single" w:sz="4" w:space="0" w:color="FFFFFF"/>
            </w:tcBorders>
            <w:shd w:val="clear" w:color="auto" w:fill="D2D2D2"/>
          </w:tcPr>
          <w:p>
            <w:pPr/>
          </w:p>
        </w:tc>
        <w:tc>
          <w:tcPr>
            <w:tcW w:w="929" w:type="dxa"/>
            <w:tcBorders>
              <w:top w:val="single" w:sz="4" w:space="0" w:color="000000"/>
              <w:left w:val="single" w:sz="4" w:space="0" w:color="FFFFFF"/>
              <w:bottom w:val="nil" w:sz="6" w:space="0" w:color="auto"/>
              <w:right w:val="single" w:sz="4" w:space="0" w:color="000000"/>
            </w:tcBorders>
            <w:shd w:val="clear" w:color="auto" w:fill="D2D2D2"/>
          </w:tcPr>
          <w:p>
            <w:pPr/>
          </w:p>
        </w:tc>
        <w:tc>
          <w:tcPr>
            <w:tcW w:w="946" w:type="dxa"/>
            <w:vMerge w:val="restart"/>
            <w:tcBorders>
              <w:top w:val="single" w:sz="4" w:space="0" w:color="000000"/>
              <w:left w:val="single" w:sz="4" w:space="0" w:color="000000"/>
              <w:right w:val="single" w:sz="4" w:space="0" w:color="FFFFFF"/>
            </w:tcBorders>
            <w:shd w:val="clear" w:color="auto" w:fill="D2D2D2"/>
          </w:tcPr>
          <w:p>
            <w:pPr/>
          </w:p>
        </w:tc>
        <w:tc>
          <w:tcPr>
            <w:tcW w:w="1216" w:type="dxa"/>
            <w:tcBorders>
              <w:top w:val="single" w:sz="4" w:space="0" w:color="000000"/>
              <w:left w:val="single" w:sz="4" w:space="0" w:color="FFFFFF"/>
              <w:bottom w:val="nil" w:sz="6" w:space="0" w:color="auto"/>
              <w:right w:val="single" w:sz="4" w:space="0" w:color="000000"/>
            </w:tcBorders>
            <w:shd w:val="clear" w:color="auto" w:fill="D2D2D2"/>
          </w:tcPr>
          <w:p>
            <w:pPr/>
          </w:p>
        </w:tc>
        <w:tc>
          <w:tcPr>
            <w:tcW w:w="1175" w:type="dxa"/>
            <w:vMerge w:val="restart"/>
            <w:tcBorders>
              <w:top w:val="single" w:sz="4" w:space="0" w:color="000000"/>
              <w:left w:val="single" w:sz="4" w:space="0" w:color="000000"/>
              <w:right w:val="single" w:sz="4" w:space="0" w:color="000000"/>
            </w:tcBorders>
            <w:shd w:val="clear" w:color="auto" w:fill="D2D2D2"/>
          </w:tcPr>
          <w:p>
            <w:pPr/>
          </w:p>
        </w:tc>
        <w:tc>
          <w:tcPr>
            <w:tcW w:w="1089" w:type="dxa"/>
            <w:vMerge w:val="restart"/>
            <w:tcBorders>
              <w:top w:val="single" w:sz="4" w:space="0" w:color="000000"/>
              <w:left w:val="single" w:sz="4" w:space="0" w:color="000000"/>
              <w:right w:val="single" w:sz="4" w:space="0" w:color="000000"/>
            </w:tcBorders>
            <w:shd w:val="clear" w:color="auto" w:fill="D2D2D2"/>
          </w:tcPr>
          <w:p>
            <w:pPr/>
          </w:p>
        </w:tc>
        <w:tc>
          <w:tcPr>
            <w:tcW w:w="1023" w:type="dxa"/>
            <w:vMerge w:val="restart"/>
            <w:tcBorders>
              <w:top w:val="single" w:sz="4" w:space="0" w:color="000000"/>
              <w:left w:val="single" w:sz="4" w:space="0" w:color="000000"/>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156" w:hRule="exact"/>
        </w:trPr>
        <w:tc>
          <w:tcPr>
            <w:tcW w:w="1606" w:type="dxa"/>
            <w:vMerge/>
            <w:tcBorders>
              <w:left w:val="single" w:sz="4" w:space="0" w:color="000000"/>
              <w:right w:val="single" w:sz="4" w:space="0" w:color="FFFFFF"/>
            </w:tcBorders>
            <w:shd w:val="clear" w:color="auto" w:fill="D2D2D2"/>
          </w:tcPr>
          <w:p>
            <w:pPr/>
          </w:p>
        </w:tc>
        <w:tc>
          <w:tcPr>
            <w:tcW w:w="929"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49"/>
              <w:ind w:left="103"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6" w:type="dxa"/>
            <w:vMerge/>
            <w:tcBorders>
              <w:left w:val="single" w:sz="4" w:space="0" w:color="000000"/>
              <w:right w:val="single" w:sz="4" w:space="0" w:color="FFFFFF"/>
            </w:tcBorders>
            <w:shd w:val="clear" w:color="auto" w:fill="D2D2D2"/>
          </w:tcPr>
          <w:p>
            <w:pPr/>
          </w:p>
        </w:tc>
        <w:tc>
          <w:tcPr>
            <w:tcW w:w="1216"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50"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5" w:type="dxa"/>
            <w:vMerge/>
            <w:tcBorders>
              <w:left w:val="single" w:sz="4" w:space="0" w:color="000000"/>
              <w:right w:val="single" w:sz="4" w:space="0" w:color="000000"/>
            </w:tcBorders>
            <w:shd w:val="clear" w:color="auto" w:fill="D2D2D2"/>
          </w:tcPr>
          <w:p>
            <w:pPr/>
          </w:p>
        </w:tc>
        <w:tc>
          <w:tcPr>
            <w:tcW w:w="1089" w:type="dxa"/>
            <w:vMerge/>
            <w:tcBorders>
              <w:left w:val="single" w:sz="4" w:space="0" w:color="000000"/>
              <w:right w:val="single" w:sz="4" w:space="0" w:color="000000"/>
            </w:tcBorders>
            <w:shd w:val="clear" w:color="auto" w:fill="D2D2D2"/>
          </w:tcPr>
          <w:p>
            <w:pPr/>
          </w:p>
        </w:tc>
        <w:tc>
          <w:tcPr>
            <w:tcW w:w="1023" w:type="dxa"/>
            <w:vMerge/>
            <w:tcBorders>
              <w:left w:val="single" w:sz="4" w:space="0" w:color="000000"/>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56" w:hRule="exact"/>
        </w:trPr>
        <w:tc>
          <w:tcPr>
            <w:tcW w:w="1606" w:type="dxa"/>
            <w:vMerge/>
            <w:tcBorders>
              <w:left w:val="single" w:sz="4" w:space="0" w:color="000000"/>
              <w:bottom w:val="nil" w:sz="6" w:space="0" w:color="auto"/>
              <w:right w:val="single" w:sz="4" w:space="0" w:color="FFFFFF"/>
            </w:tcBorders>
            <w:shd w:val="clear" w:color="auto" w:fill="D2D2D2"/>
          </w:tcPr>
          <w:p>
            <w:pPr/>
          </w:p>
        </w:tc>
        <w:tc>
          <w:tcPr>
            <w:tcW w:w="929" w:type="dxa"/>
            <w:vMerge/>
            <w:tcBorders>
              <w:left w:val="single" w:sz="4" w:space="0" w:color="FFFFFF"/>
              <w:right w:val="single" w:sz="4" w:space="0" w:color="000000"/>
            </w:tcBorders>
            <w:shd w:val="clear" w:color="auto" w:fill="D2D2D2"/>
          </w:tcPr>
          <w:p>
            <w:pPr/>
          </w:p>
        </w:tc>
        <w:tc>
          <w:tcPr>
            <w:tcW w:w="946" w:type="dxa"/>
            <w:vMerge/>
            <w:tcBorders>
              <w:left w:val="single" w:sz="4" w:space="0" w:color="000000"/>
              <w:bottom w:val="nil" w:sz="6" w:space="0" w:color="auto"/>
              <w:right w:val="single" w:sz="4" w:space="0" w:color="FFFFFF"/>
            </w:tcBorders>
            <w:shd w:val="clear" w:color="auto" w:fill="D2D2D2"/>
          </w:tcPr>
          <w:p>
            <w:pPr/>
          </w:p>
        </w:tc>
        <w:tc>
          <w:tcPr>
            <w:tcW w:w="1216" w:type="dxa"/>
            <w:vMerge/>
            <w:tcBorders>
              <w:left w:val="single" w:sz="4" w:space="0" w:color="FFFFFF"/>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89" w:type="dxa"/>
            <w:vMerge/>
            <w:tcBorders>
              <w:left w:val="single" w:sz="4" w:space="0" w:color="000000"/>
              <w:bottom w:val="nil" w:sz="6" w:space="0" w:color="auto"/>
              <w:right w:val="single" w:sz="4" w:space="0" w:color="000000"/>
            </w:tcBorders>
            <w:shd w:val="clear" w:color="auto" w:fill="D2D2D2"/>
          </w:tcPr>
          <w:p>
            <w:pPr/>
          </w:p>
        </w:tc>
        <w:tc>
          <w:tcPr>
            <w:tcW w:w="1023" w:type="dxa"/>
            <w:vMerge/>
            <w:tcBorders>
              <w:left w:val="single" w:sz="4" w:space="0" w:color="000000"/>
              <w:bottom w:val="nil" w:sz="6" w:space="0" w:color="auto"/>
              <w:right w:val="single" w:sz="4" w:space="0" w:color="000000"/>
            </w:tcBorders>
            <w:shd w:val="clear" w:color="auto" w:fill="D2D2D2"/>
          </w:tcPr>
          <w:p>
            <w:pPr/>
          </w:p>
        </w:tc>
        <w:tc>
          <w:tcPr>
            <w:tcW w:w="80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4"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vMerge/>
            <w:tcBorders>
              <w:left w:val="single" w:sz="4" w:space="0" w:color="000000"/>
              <w:right w:val="single" w:sz="4" w:space="0" w:color="000000"/>
            </w:tcBorders>
            <w:shd w:val="clear" w:color="auto" w:fill="D2D2D2"/>
          </w:tcPr>
          <w:p>
            <w:pPr/>
          </w:p>
        </w:tc>
      </w:tr>
      <w:tr>
        <w:trPr>
          <w:trHeight w:val="394" w:hRule="exact"/>
        </w:trPr>
        <w:tc>
          <w:tcPr>
            <w:tcW w:w="1606"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9" w:type="dxa"/>
            <w:vMerge/>
            <w:tcBorders>
              <w:left w:val="single" w:sz="4" w:space="0" w:color="FFFFFF"/>
              <w:right w:val="single" w:sz="4" w:space="0" w:color="000000"/>
            </w:tcBorders>
            <w:shd w:val="clear" w:color="auto" w:fill="D2D2D2"/>
          </w:tcPr>
          <w:p>
            <w:pPr/>
          </w:p>
        </w:tc>
        <w:tc>
          <w:tcPr>
            <w:tcW w:w="946"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49"/>
              <w:ind w:left="11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6" w:type="dxa"/>
            <w:vMerge/>
            <w:tcBorders>
              <w:left w:val="single" w:sz="4" w:space="0" w:color="FFFFFF"/>
              <w:right w:val="single" w:sz="4" w:space="0" w:color="000000"/>
            </w:tcBorders>
            <w:shd w:val="clear" w:color="auto" w:fill="D2D2D2"/>
          </w:tcPr>
          <w:p>
            <w:pPr/>
          </w:p>
        </w:tc>
        <w:tc>
          <w:tcPr>
            <w:tcW w:w="11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56" w:hRule="exact"/>
        </w:trPr>
        <w:tc>
          <w:tcPr>
            <w:tcW w:w="1606" w:type="dxa"/>
            <w:vMerge w:val="restart"/>
            <w:tcBorders>
              <w:top w:val="nil" w:sz="6" w:space="0" w:color="auto"/>
              <w:left w:val="single" w:sz="4" w:space="0" w:color="000000"/>
              <w:right w:val="single" w:sz="4" w:space="0" w:color="FFFFFF"/>
            </w:tcBorders>
            <w:shd w:val="clear" w:color="auto" w:fill="D2D2D2"/>
          </w:tcPr>
          <w:p>
            <w:pPr/>
          </w:p>
        </w:tc>
        <w:tc>
          <w:tcPr>
            <w:tcW w:w="929" w:type="dxa"/>
            <w:vMerge/>
            <w:tcBorders>
              <w:left w:val="single" w:sz="4" w:space="0" w:color="FFFFFF"/>
              <w:right w:val="single" w:sz="4" w:space="0" w:color="000000"/>
            </w:tcBorders>
            <w:shd w:val="clear" w:color="auto" w:fill="D2D2D2"/>
          </w:tcPr>
          <w:p>
            <w:pPr/>
          </w:p>
        </w:tc>
        <w:tc>
          <w:tcPr>
            <w:tcW w:w="946" w:type="dxa"/>
            <w:vMerge w:val="restart"/>
            <w:tcBorders>
              <w:top w:val="nil" w:sz="6" w:space="0" w:color="auto"/>
              <w:left w:val="single" w:sz="4" w:space="0" w:color="000000"/>
              <w:right w:val="single" w:sz="4" w:space="0" w:color="FFFFFF"/>
            </w:tcBorders>
            <w:shd w:val="clear" w:color="auto" w:fill="D2D2D2"/>
          </w:tcPr>
          <w:p>
            <w:pPr/>
          </w:p>
        </w:tc>
        <w:tc>
          <w:tcPr>
            <w:tcW w:w="1216" w:type="dxa"/>
            <w:vMerge/>
            <w:tcBorders>
              <w:left w:val="single" w:sz="4" w:space="0" w:color="FFFFFF"/>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
        </w:tc>
        <w:tc>
          <w:tcPr>
            <w:tcW w:w="1089" w:type="dxa"/>
            <w:vMerge w:val="restart"/>
            <w:tcBorders>
              <w:top w:val="nil" w:sz="6" w:space="0" w:color="auto"/>
              <w:left w:val="single" w:sz="4" w:space="0" w:color="000000"/>
              <w:right w:val="single" w:sz="4" w:space="0" w:color="000000"/>
            </w:tcBorders>
            <w:shd w:val="clear" w:color="auto" w:fill="D2D2D2"/>
          </w:tcPr>
          <w:p>
            <w:pPr/>
          </w:p>
        </w:tc>
        <w:tc>
          <w:tcPr>
            <w:tcW w:w="1023" w:type="dxa"/>
            <w:vMerge w:val="restart"/>
            <w:tcBorders>
              <w:top w:val="nil" w:sz="6" w:space="0" w:color="auto"/>
              <w:left w:val="single" w:sz="4" w:space="0" w:color="000000"/>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56" w:hRule="exact"/>
        </w:trPr>
        <w:tc>
          <w:tcPr>
            <w:tcW w:w="1606" w:type="dxa"/>
            <w:vMerge/>
            <w:tcBorders>
              <w:left w:val="single" w:sz="4" w:space="0" w:color="000000"/>
              <w:right w:val="single" w:sz="4" w:space="0" w:color="FFFFFF"/>
            </w:tcBorders>
            <w:shd w:val="clear" w:color="auto" w:fill="D2D2D2"/>
          </w:tcPr>
          <w:p>
            <w:pPr/>
          </w:p>
        </w:tc>
        <w:tc>
          <w:tcPr>
            <w:tcW w:w="929" w:type="dxa"/>
            <w:vMerge/>
            <w:tcBorders>
              <w:left w:val="single" w:sz="4" w:space="0" w:color="FFFFFF"/>
              <w:bottom w:val="nil" w:sz="6" w:space="0" w:color="auto"/>
              <w:right w:val="single" w:sz="4" w:space="0" w:color="000000"/>
            </w:tcBorders>
            <w:shd w:val="clear" w:color="auto" w:fill="D2D2D2"/>
          </w:tcPr>
          <w:p>
            <w:pPr/>
          </w:p>
        </w:tc>
        <w:tc>
          <w:tcPr>
            <w:tcW w:w="946" w:type="dxa"/>
            <w:vMerge/>
            <w:tcBorders>
              <w:left w:val="single" w:sz="4" w:space="0" w:color="000000"/>
              <w:right w:val="single" w:sz="4" w:space="0" w:color="FFFFFF"/>
            </w:tcBorders>
            <w:shd w:val="clear" w:color="auto" w:fill="D2D2D2"/>
          </w:tcPr>
          <w:p>
            <w:pPr/>
          </w:p>
        </w:tc>
        <w:tc>
          <w:tcPr>
            <w:tcW w:w="1216" w:type="dxa"/>
            <w:vMerge/>
            <w:tcBorders>
              <w:left w:val="single" w:sz="4" w:space="0" w:color="FFFFFF"/>
              <w:bottom w:val="nil" w:sz="6" w:space="0" w:color="auto"/>
              <w:right w:val="single" w:sz="4" w:space="0" w:color="000000"/>
            </w:tcBorders>
            <w:shd w:val="clear" w:color="auto" w:fill="D2D2D2"/>
          </w:tcPr>
          <w:p>
            <w:pPr/>
          </w:p>
        </w:tc>
        <w:tc>
          <w:tcPr>
            <w:tcW w:w="1175" w:type="dxa"/>
            <w:vMerge/>
            <w:tcBorders>
              <w:left w:val="single" w:sz="4" w:space="0" w:color="000000"/>
              <w:right w:val="single" w:sz="4" w:space="0" w:color="000000"/>
            </w:tcBorders>
            <w:shd w:val="clear" w:color="auto" w:fill="D2D2D2"/>
          </w:tcPr>
          <w:p>
            <w:pPr/>
          </w:p>
        </w:tc>
        <w:tc>
          <w:tcPr>
            <w:tcW w:w="1089" w:type="dxa"/>
            <w:vMerge/>
            <w:tcBorders>
              <w:left w:val="single" w:sz="4" w:space="0" w:color="000000"/>
              <w:right w:val="single" w:sz="4" w:space="0" w:color="000000"/>
            </w:tcBorders>
            <w:shd w:val="clear" w:color="auto" w:fill="D2D2D2"/>
          </w:tcPr>
          <w:p>
            <w:pPr/>
          </w:p>
        </w:tc>
        <w:tc>
          <w:tcPr>
            <w:tcW w:w="1023" w:type="dxa"/>
            <w:vMerge/>
            <w:tcBorders>
              <w:left w:val="single" w:sz="4" w:space="0" w:color="000000"/>
              <w:right w:val="single" w:sz="4" w:space="0" w:color="000000"/>
            </w:tcBorders>
            <w:shd w:val="clear" w:color="auto" w:fill="D2D2D2"/>
          </w:tcPr>
          <w:p>
            <w:pPr/>
          </w:p>
        </w:tc>
        <w:tc>
          <w:tcPr>
            <w:tcW w:w="803"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61" w:hRule="exact"/>
        </w:trPr>
        <w:tc>
          <w:tcPr>
            <w:tcW w:w="1606" w:type="dxa"/>
            <w:vMerge/>
            <w:tcBorders>
              <w:left w:val="single" w:sz="4" w:space="0" w:color="000000"/>
              <w:bottom w:val="single" w:sz="4" w:space="0" w:color="000000"/>
              <w:right w:val="single" w:sz="4" w:space="0" w:color="FFFFFF"/>
            </w:tcBorders>
            <w:shd w:val="clear" w:color="auto" w:fill="D2D2D2"/>
          </w:tcPr>
          <w:p>
            <w:pPr/>
          </w:p>
        </w:tc>
        <w:tc>
          <w:tcPr>
            <w:tcW w:w="929" w:type="dxa"/>
            <w:tcBorders>
              <w:top w:val="nil" w:sz="6" w:space="0" w:color="auto"/>
              <w:left w:val="single" w:sz="4" w:space="0" w:color="FFFFFF"/>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FFFFFF"/>
            </w:tcBorders>
            <w:shd w:val="clear" w:color="auto" w:fill="D2D2D2"/>
          </w:tcPr>
          <w:p>
            <w:pPr/>
          </w:p>
        </w:tc>
        <w:tc>
          <w:tcPr>
            <w:tcW w:w="1216" w:type="dxa"/>
            <w:tcBorders>
              <w:top w:val="nil" w:sz="6" w:space="0" w:color="auto"/>
              <w:left w:val="single" w:sz="4" w:space="0" w:color="FFFFFF"/>
              <w:bottom w:val="single" w:sz="4" w:space="0" w:color="000000"/>
              <w:right w:val="single" w:sz="4" w:space="0" w:color="000000"/>
            </w:tcBorders>
            <w:shd w:val="clear" w:color="auto" w:fill="D2D2D2"/>
          </w:tcPr>
          <w:p>
            <w:pPr/>
          </w:p>
        </w:tc>
        <w:tc>
          <w:tcPr>
            <w:tcW w:w="1175" w:type="dxa"/>
            <w:vMerge/>
            <w:tcBorders>
              <w:left w:val="single" w:sz="4" w:space="0" w:color="000000"/>
              <w:bottom w:val="single" w:sz="4" w:space="0" w:color="000000"/>
              <w:right w:val="single" w:sz="4" w:space="0" w:color="000000"/>
            </w:tcBorders>
            <w:shd w:val="clear" w:color="auto" w:fill="D2D2D2"/>
          </w:tcPr>
          <w:p>
            <w:pPr/>
          </w:p>
        </w:tc>
        <w:tc>
          <w:tcPr>
            <w:tcW w:w="1089" w:type="dxa"/>
            <w:vMerge/>
            <w:tcBorders>
              <w:left w:val="single" w:sz="4" w:space="0" w:color="000000"/>
              <w:bottom w:val="single" w:sz="4" w:space="0" w:color="000000"/>
              <w:right w:val="single" w:sz="4" w:space="0" w:color="000000"/>
            </w:tcBorders>
            <w:shd w:val="clear" w:color="auto" w:fill="D2D2D2"/>
          </w:tcPr>
          <w:p>
            <w:pPr/>
          </w:p>
        </w:tc>
        <w:tc>
          <w:tcPr>
            <w:tcW w:w="1023" w:type="dxa"/>
            <w:vMerge/>
            <w:tcBorders>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06" w:type="dxa"/>
            <w:tcBorders>
              <w:top w:val="single" w:sz="4" w:space="0" w:color="000000"/>
              <w:left w:val="single" w:sz="4" w:space="0" w:color="000000"/>
              <w:bottom w:val="single" w:sz="4" w:space="0" w:color="000000"/>
              <w:right w:val="single" w:sz="4" w:space="0" w:color="FFFFFF"/>
            </w:tcBorders>
          </w:tcPr>
          <w:p>
            <w:pPr>
              <w:pStyle w:val="TableParagraph"/>
              <w:spacing w:line="319"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安徽鑫龙自动化有 限公司</w:t>
            </w:r>
          </w:p>
        </w:tc>
        <w:tc>
          <w:tcPr>
            <w:tcW w:w="92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2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1,180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06" w:type="dxa"/>
            <w:tcBorders>
              <w:top w:val="single" w:sz="4" w:space="0" w:color="000000"/>
              <w:left w:val="single" w:sz="4" w:space="0" w:color="000000"/>
              <w:bottom w:val="single" w:sz="4" w:space="0" w:color="000000"/>
              <w:right w:val="single" w:sz="4" w:space="0" w:color="FFFFFF"/>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安徽鑫龙低压电器 有限公司</w:t>
            </w:r>
          </w:p>
        </w:tc>
        <w:tc>
          <w:tcPr>
            <w:tcW w:w="92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2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62"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50,000</w:t>
            </w:r>
          </w:p>
        </w:tc>
        <w:tc>
          <w:tcPr>
            <w:tcW w:w="22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2,580</w:t>
            </w:r>
          </w:p>
        </w:tc>
      </w:tr>
      <w:tr>
        <w:trPr>
          <w:trHeight w:val="720" w:hRule="exact"/>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62"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50,000</w:t>
            </w:r>
          </w:p>
        </w:tc>
        <w:tc>
          <w:tcPr>
            <w:tcW w:w="22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20" w:hRule="exact"/>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62"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52,000</w:t>
            </w:r>
          </w:p>
        </w:tc>
        <w:tc>
          <w:tcPr>
            <w:tcW w:w="22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69"/>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4,580</w:t>
            </w:r>
          </w:p>
        </w:tc>
      </w:tr>
      <w:tr>
        <w:trPr>
          <w:trHeight w:val="713" w:hRule="exact"/>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62"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52,000</w:t>
            </w:r>
          </w:p>
        </w:tc>
        <w:tc>
          <w:tcPr>
            <w:tcW w:w="22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8" w:hRule="exact"/>
        </w:trPr>
        <w:tc>
          <w:tcPr>
            <w:tcW w:w="46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6"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1.72%</w:t>
            </w:r>
          </w:p>
        </w:tc>
      </w:tr>
      <w:tr>
        <w:trPr>
          <w:trHeight w:val="39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6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6"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46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4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6"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6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6"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6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6"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五、承诺事项履行情况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36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664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pacing w:val="-7"/>
                <w:sz w:val="18"/>
                <w:szCs w:val="18"/>
              </w:rPr>
              <w:t>束龙胜、鑫诚科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技、合肥创投</w:t>
            </w:r>
          </w:p>
        </w:tc>
        <w:tc>
          <w:tcPr>
            <w:tcW w:w="1277"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本公司控股股 东及实际控制 人束龙胜先生 </w:t>
            </w:r>
            <w:r>
              <w:rPr>
                <w:rFonts w:ascii="宋体" w:hAnsi="宋体" w:cs="宋体" w:eastAsia="宋体" w:hint="default"/>
                <w:spacing w:val="-6"/>
                <w:sz w:val="18"/>
                <w:szCs w:val="18"/>
              </w:rPr>
              <w:t>承诺：自股票上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市之日起三十 六个月内不转 让或委托他人 管理所直接和 间接持有的股 </w:t>
            </w:r>
            <w:r>
              <w:rPr>
                <w:rFonts w:ascii="宋体" w:hAnsi="宋体" w:cs="宋体" w:eastAsia="宋体" w:hint="default"/>
                <w:spacing w:val="-6"/>
                <w:sz w:val="18"/>
                <w:szCs w:val="18"/>
              </w:rPr>
              <w:t>份，也不由公司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收购该部分股 份；鑫诚科技、 合肥创投承诺： 自股票上市之 日起三十六个 </w:t>
            </w:r>
            <w:r>
              <w:rPr>
                <w:rFonts w:ascii="宋体" w:hAnsi="宋体" w:cs="宋体" w:eastAsia="宋体" w:hint="default"/>
                <w:spacing w:val="-6"/>
                <w:sz w:val="18"/>
                <w:szCs w:val="18"/>
              </w:rPr>
              <w:t>月内，不转让或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委托他人管理 所直接和间接 </w:t>
            </w:r>
            <w:r>
              <w:rPr>
                <w:rFonts w:ascii="宋体" w:hAnsi="宋体" w:cs="宋体" w:eastAsia="宋体" w:hint="default"/>
                <w:spacing w:val="-6"/>
                <w:sz w:val="18"/>
                <w:szCs w:val="18"/>
              </w:rPr>
              <w:t>持有的股份，也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不由公司收购 该部分股份。</w:t>
            </w:r>
          </w:p>
        </w:tc>
        <w:tc>
          <w:tcPr>
            <w:tcW w:w="127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己履行完毕</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b/>
          <w:bCs/>
          <w:sz w:val="18"/>
          <w:szCs w:val="18"/>
        </w:rPr>
      </w:pPr>
    </w:p>
    <w:p>
      <w:pPr>
        <w:spacing w:before="26"/>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六、聘任、解聘会计师事务所情况</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1123"/>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45</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吕勇军、王海涛</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r>
        <w:rPr/>
        <w:t>七、其他重大事项的说明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八、公司子公司重要事项</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029" w:firstLine="36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日，公司第五届董事会第二十三次会议审议通过了《关于使用募集资金对全资子公司安徽森源电器有限公 </w:t>
      </w:r>
      <w:r>
        <w:rPr>
          <w:spacing w:val="-2"/>
        </w:rPr>
        <w:t>司增资的公告》，</w:t>
      </w:r>
      <w:r>
        <w:rPr>
          <w:color w:val="333333"/>
          <w:spacing w:val="-2"/>
        </w:rPr>
        <w:t>公司使用募集资金</w:t>
      </w:r>
      <w:r>
        <w:rPr>
          <w:rFonts w:ascii="Times New Roman" w:hAnsi="Times New Roman" w:cs="Times New Roman" w:eastAsia="Times New Roman" w:hint="default"/>
          <w:color w:val="333333"/>
          <w:spacing w:val="-2"/>
        </w:rPr>
        <w:t>20,000</w:t>
      </w:r>
      <w:r>
        <w:rPr>
          <w:color w:val="333333"/>
          <w:spacing w:val="-2"/>
        </w:rPr>
        <w:t>万元对全资子公司安徽森源电器有限公司进行增资，增加其注册资本</w:t>
      </w:r>
      <w:r>
        <w:rPr>
          <w:rFonts w:ascii="Times New Roman" w:hAnsi="Times New Roman" w:cs="Times New Roman" w:eastAsia="Times New Roman" w:hint="default"/>
          <w:color w:val="333333"/>
          <w:spacing w:val="-2"/>
        </w:rPr>
        <w:t>20,000</w:t>
      </w:r>
      <w:r>
        <w:rPr>
          <w:color w:val="333333"/>
          <w:spacing w:val="-2"/>
        </w:rPr>
        <w:t>万元。</w:t>
      </w:r>
      <w:r>
        <w:rPr>
          <w:color w:val="333333"/>
          <w:spacing w:val="-57"/>
        </w:rPr>
        <w:t> </w:t>
      </w:r>
      <w:r>
        <w:rPr>
          <w:color w:val="333333"/>
          <w:spacing w:val="-57"/>
        </w:rPr>
      </w:r>
      <w:r>
        <w:rPr/>
        <w:t>详见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日刊登于《证券时报》、《中国证券报》、《上海证券报》和巨潮资讯网（</w:t>
      </w:r>
      <w:hyperlink r:id="rId9">
        <w:r>
          <w:rPr>
            <w:rFonts w:ascii="Times New Roman" w:hAnsi="Times New Roman" w:cs="Times New Roman" w:eastAsia="Times New Roman" w:hint="default"/>
          </w:rPr>
          <w:t>http://www.cninfo.com.cn</w:t>
        </w:r>
      </w:hyperlink>
      <w:r>
        <w:rPr/>
        <w:t>）》。</w:t>
      </w:r>
    </w:p>
    <w:p>
      <w:pPr>
        <w:spacing w:line="240" w:lineRule="auto" w:before="5"/>
        <w:rPr>
          <w:rFonts w:ascii="宋体" w:hAnsi="宋体" w:cs="宋体" w:eastAsia="宋体" w:hint="default"/>
          <w:sz w:val="20"/>
          <w:szCs w:val="20"/>
        </w:rPr>
      </w:pPr>
    </w:p>
    <w:p>
      <w:pPr>
        <w:pStyle w:val="Heading2"/>
        <w:spacing w:line="240" w:lineRule="auto"/>
        <w:ind w:right="1123"/>
        <w:jc w:val="left"/>
        <w:rPr>
          <w:b w:val="0"/>
          <w:bCs w:val="0"/>
        </w:rPr>
      </w:pPr>
      <w:r>
        <w:rPr/>
        <w:t>九、公司发行公司债券的情况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3" w:firstLine="360"/>
        <w:jc w:val="left"/>
      </w:pPr>
      <w:r>
        <w:rPr>
          <w:rFonts w:ascii="Times New Roman" w:hAnsi="Times New Roman" w:cs="Times New Roman" w:eastAsia="Times New Roman" w:hint="default"/>
        </w:rPr>
        <w:t>2011 </w:t>
      </w:r>
      <w:r>
        <w:rPr/>
        <w:t>年第二次临时股东大会批准公司参与发行</w:t>
      </w:r>
      <w:r>
        <w:rPr>
          <w:rFonts w:ascii="Times New Roman" w:hAnsi="Times New Roman" w:cs="Times New Roman" w:eastAsia="Times New Roman" w:hint="default"/>
        </w:rPr>
        <w:t>“2011 </w:t>
      </w:r>
      <w:r>
        <w:rPr/>
        <w:t>年芜湖市第一期中小企业集合票据</w:t>
      </w:r>
      <w:r>
        <w:rPr>
          <w:rFonts w:ascii="Times New Roman" w:hAnsi="Times New Roman" w:cs="Times New Roman" w:eastAsia="Times New Roman" w:hint="default"/>
        </w:rPr>
        <w:t>”</w:t>
      </w:r>
      <w:r>
        <w:rPr/>
        <w:t>（</w:t>
      </w:r>
      <w:r>
        <w:rPr>
          <w:spacing w:val="-58"/>
        </w:rPr>
        <w:t> </w:t>
      </w:r>
      <w:r>
        <w:rPr/>
        <w:t>该中小企业集合票据发行</w:t>
      </w:r>
      <w:r>
        <w:rPr/>
        <w:t> 流程跨年度，现更名为</w:t>
      </w:r>
      <w:r>
        <w:rPr>
          <w:rFonts w:ascii="Times New Roman" w:hAnsi="Times New Roman" w:cs="Times New Roman" w:eastAsia="Times New Roman" w:hint="default"/>
        </w:rPr>
        <w:t>“</w:t>
      </w:r>
      <w:r>
        <w:rPr/>
        <w:t>芜湖市 </w:t>
      </w:r>
      <w:r>
        <w:rPr>
          <w:rFonts w:ascii="Times New Roman" w:hAnsi="Times New Roman" w:cs="Times New Roman" w:eastAsia="Times New Roman" w:hint="default"/>
        </w:rPr>
        <w:t>2012 </w:t>
      </w:r>
      <w:r>
        <w:rPr/>
        <w:t>年度第一期中小企业集合票据</w:t>
      </w:r>
      <w:r>
        <w:rPr>
          <w:rFonts w:ascii="Times New Roman" w:hAnsi="Times New Roman" w:cs="Times New Roman" w:eastAsia="Times New Roman" w:hint="default"/>
        </w:rPr>
        <w:t>”</w:t>
      </w:r>
      <w:r>
        <w:rPr/>
        <w:t>）。公司于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11</w:t>
      </w:r>
      <w:r>
        <w:rPr>
          <w:rFonts w:ascii="Times New Roman" w:hAnsi="Times New Roman" w:cs="Times New Roman" w:eastAsia="Times New Roman" w:hint="default"/>
          <w:spacing w:val="21"/>
        </w:rPr>
        <w:t> </w:t>
      </w:r>
      <w:r>
        <w:rPr/>
        <w:t>日接到中国银行间市场交 易商协会《接受注册通知书》（中市协注</w:t>
      </w:r>
      <w:r>
        <w:rPr>
          <w:rFonts w:ascii="Times New Roman" w:hAnsi="Times New Roman" w:cs="Times New Roman" w:eastAsia="Times New Roman" w:hint="default"/>
        </w:rPr>
        <w:t>[2012]SMECN18</w:t>
      </w:r>
      <w:r>
        <w:rPr/>
        <w:t>号），中国银行间市场交易商协会决定接受包括本公司在内的叁</w:t>
      </w:r>
      <w:r>
        <w:rPr>
          <w:w w:val="99"/>
        </w:rPr>
        <w:t> </w:t>
      </w:r>
      <w:r>
        <w:rPr/>
        <w:t>家企业的集合票据注册，此次集合票据总注册金额为人民币</w:t>
      </w:r>
      <w:r>
        <w:rPr>
          <w:rFonts w:ascii="Times New Roman" w:hAnsi="Times New Roman" w:cs="Times New Roman" w:eastAsia="Times New Roman" w:hint="default"/>
        </w:rPr>
        <w:t>4.5</w:t>
      </w:r>
      <w:r>
        <w:rPr/>
        <w:t>亿元，其中本公司发行金额为</w:t>
      </w:r>
      <w:r>
        <w:rPr>
          <w:rFonts w:ascii="Times New Roman" w:hAnsi="Times New Roman" w:cs="Times New Roman" w:eastAsia="Times New Roman" w:hint="default"/>
        </w:rPr>
        <w:t>1.5</w:t>
      </w:r>
      <w:r>
        <w:rPr/>
        <w:t>亿元。</w:t>
      </w:r>
    </w:p>
    <w:p>
      <w:pPr>
        <w:pStyle w:val="BodyText"/>
        <w:spacing w:line="300" w:lineRule="auto" w:before="13"/>
        <w:ind w:right="0" w:firstLine="360"/>
        <w:jc w:val="left"/>
      </w:pPr>
      <w:r>
        <w:rPr/>
        <w:t>公司与另外二家企业已于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13 </w:t>
      </w:r>
      <w:r>
        <w:rPr/>
        <w:t>日发行了芜湖市 </w:t>
      </w:r>
      <w:r>
        <w:rPr>
          <w:rFonts w:ascii="Times New Roman" w:hAnsi="Times New Roman" w:cs="Times New Roman" w:eastAsia="Times New Roman" w:hint="default"/>
          <w:spacing w:val="-4"/>
        </w:rPr>
        <w:t>2012</w:t>
      </w:r>
      <w:r>
        <w:rPr>
          <w:spacing w:val="-4"/>
        </w:rPr>
        <w:t>年度第一期中小企业集合票据，发行价格为</w:t>
      </w:r>
      <w:r>
        <w:rPr>
          <w:rFonts w:ascii="Times New Roman" w:hAnsi="Times New Roman" w:cs="Times New Roman" w:eastAsia="Times New Roman" w:hint="default"/>
          <w:spacing w:val="-4"/>
        </w:rPr>
        <w:t>100</w:t>
      </w:r>
      <w:r>
        <w:rPr>
          <w:rFonts w:ascii="Times New Roman" w:hAnsi="Times New Roman" w:cs="Times New Roman" w:eastAsia="Times New Roman" w:hint="default"/>
          <w:spacing w:val="15"/>
        </w:rPr>
        <w:t> </w:t>
      </w:r>
      <w:r>
        <w:rPr>
          <w:spacing w:val="-1"/>
        </w:rPr>
        <w:t>元</w:t>
      </w:r>
      <w:r>
        <w:rPr>
          <w:rFonts w:ascii="Times New Roman" w:hAnsi="Times New Roman" w:cs="Times New Roman" w:eastAsia="Times New Roman" w:hint="default"/>
          <w:spacing w:val="-1"/>
        </w:rPr>
        <w:t>/</w:t>
      </w:r>
      <w:r>
        <w:rPr>
          <w:spacing w:val="-1"/>
        </w:rPr>
        <w:t>张，</w:t>
      </w:r>
      <w:r>
        <w:rPr/>
        <w:t> 票面利率为</w:t>
      </w:r>
      <w:r>
        <w:rPr>
          <w:rFonts w:ascii="Times New Roman" w:hAnsi="Times New Roman" w:cs="Times New Roman" w:eastAsia="Times New Roman" w:hint="default"/>
        </w:rPr>
        <w:t>5.35%</w:t>
      </w:r>
      <w:r>
        <w:rPr/>
        <w:t>，票据期限为</w:t>
      </w:r>
      <w:r>
        <w:rPr>
          <w:rFonts w:ascii="Times New Roman" w:hAnsi="Times New Roman" w:cs="Times New Roman" w:eastAsia="Times New Roman" w:hint="default"/>
        </w:rPr>
        <w:t>3 </w:t>
      </w:r>
      <w:r>
        <w:rPr/>
        <w:t>年，上市流通日为</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17 </w:t>
      </w:r>
      <w:r>
        <w:rPr>
          <w:rFonts w:ascii="Times New Roman" w:hAnsi="Times New Roman" w:cs="Times New Roman" w:eastAsia="Times New Roman" w:hint="default"/>
          <w:spacing w:val="22"/>
        </w:rPr>
        <w:t> </w:t>
      </w:r>
      <w:r>
        <w:rPr/>
        <w:t>日。本次集合票据由兴业银行股份有限公司主承销。</w:t>
      </w:r>
    </w:p>
    <w:p>
      <w:pPr>
        <w:spacing w:after="0" w:line="300"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23"/>
        <w:jc w:val="left"/>
        <w:rPr>
          <w:b w:val="0"/>
          <w:bCs w:val="0"/>
        </w:rPr>
      </w:pP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23"/>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3"/>
        <w:gridCol w:w="842"/>
        <w:gridCol w:w="842"/>
        <w:gridCol w:w="845"/>
        <w:gridCol w:w="814"/>
        <w:gridCol w:w="814"/>
      </w:tblGrid>
      <w:tr>
        <w:trPr>
          <w:trHeight w:val="40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86,837,59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52.63%</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78,869,00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17,305,87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69,223,51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-98,814,17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66,584,21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153,421,8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37.52%</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85,803,24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52%</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78,869,00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17,160,64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68,642,59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-171,606,4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-6,934,245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78,869,00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19.29%</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37,069,57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22.47%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78,869,00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7,413,914.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29,655,65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-74,139,14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41,799,42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78,869,00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19.29%</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48,733,67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29.54%</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9,746,734.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38,986,93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-97,467,34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-48,733,67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14"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1,034,348</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0.63%</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145,230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580,920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72,792,31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73,518,46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74,552,81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18.23%</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78,162,40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47.37%</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15,694,12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62,776,48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98,814,17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177,284,7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255,447,1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62.48%</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78,162,40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47.37%</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15,694,12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62,776,48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98,814,17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177,284,7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255,447,1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62.48%</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78,869,00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243,869,0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408,869,0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100%</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股份变动的原因</w:t>
      </w:r>
    </w:p>
    <w:p>
      <w:pPr>
        <w:pStyle w:val="BodyText"/>
        <w:spacing w:line="300" w:lineRule="auto" w:before="115"/>
        <w:ind w:right="0" w:firstLine="420"/>
        <w:jc w:val="left"/>
      </w:pPr>
      <w:r>
        <w:rPr/>
        <w:pict>
          <v:group style="position:absolute;margin-left:518.73999pt;margin-top:64.261726pt;width:2.3pt;height:.1pt;mso-position-horizontal-relative:page;mso-position-vertical-relative:paragraph;z-index:-830200" coordorigin="10375,1285" coordsize="46,2">
            <v:shape style="position:absolute;left:10375;top:1285;width:46;height:2" coordorigin="10375,1285" coordsize="46,0" path="m10375,1285l10420,1285e" filled="false" stroked="true" strokeweight=".48pt" strokecolor="#c4c4c4">
              <v:path arrowok="t"/>
            </v:shape>
            <w10:wrap type="none"/>
          </v:group>
        </w:pict>
      </w:r>
      <w:r>
        <w:rPr>
          <w:rFonts w:ascii="Times New Roman" w:hAnsi="Times New Roman" w:cs="Times New Roman" w:eastAsia="Times New Roman" w:hint="default"/>
        </w:rPr>
        <w:t>1</w:t>
      </w:r>
      <w:r>
        <w:rPr/>
        <w:t>、报告期内的股本变动均因公司实施</w:t>
      </w:r>
      <w:r>
        <w:rPr>
          <w:rFonts w:ascii="Times New Roman" w:hAnsi="Times New Roman" w:cs="Times New Roman" w:eastAsia="Times New Roman" w:hint="default"/>
        </w:rPr>
        <w:t>2011</w:t>
      </w:r>
      <w:r>
        <w:rPr/>
        <w:t>年度权益分派方案，向全体股东每</w:t>
      </w:r>
      <w:r>
        <w:rPr>
          <w:rFonts w:ascii="Times New Roman" w:hAnsi="Times New Roman" w:cs="Times New Roman" w:eastAsia="Times New Roman" w:hint="default"/>
        </w:rPr>
        <w:t>10</w:t>
      </w:r>
      <w:r>
        <w:rPr/>
        <w:t>股派送红股</w:t>
      </w:r>
      <w:r>
        <w:rPr>
          <w:rFonts w:ascii="Times New Roman" w:hAnsi="Times New Roman" w:cs="Times New Roman" w:eastAsia="Times New Roman" w:hint="default"/>
        </w:rPr>
        <w:t>2</w:t>
      </w:r>
      <w:r>
        <w:rPr/>
        <w:t>股，派发</w:t>
      </w:r>
      <w:r>
        <w:rPr>
          <w:rFonts w:ascii="Times New Roman" w:hAnsi="Times New Roman" w:cs="Times New Roman" w:eastAsia="Times New Roman" w:hint="default"/>
        </w:rPr>
        <w:t>0.25</w:t>
      </w:r>
      <w:r>
        <w:rPr/>
        <w:t>元人民币现 金股利（含税；扣税后，个人、证券投资基金、</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实际每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0.025</w:t>
      </w:r>
      <w:r>
        <w:rPr/>
        <w:t>元现金； 对于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rFonts w:ascii="Times New Roman" w:hAnsi="Times New Roman" w:cs="Times New Roman" w:eastAsia="Times New Roman" w:hint="default"/>
          <w:spacing w:val="6"/>
        </w:rPr>
        <w:t> </w:t>
      </w:r>
      <w:r>
        <w:rPr/>
        <w:t>外的其他非居 民企业，本公司未代扣代缴所得税，由纳税人在所得发生地缴纳）；同时</w:t>
      </w:r>
      <w:r>
        <w:rPr>
          <w:rFonts w:ascii="Times New Roman" w:hAnsi="Times New Roman" w:cs="Times New Roman" w:eastAsia="Times New Roman" w:hint="default"/>
        </w:rPr>
        <w:t>,</w:t>
      </w:r>
      <w:r>
        <w:rPr/>
        <w:t>以资本公积金向全体股东每 </w:t>
      </w:r>
      <w:r>
        <w:rPr>
          <w:rFonts w:ascii="Times New Roman" w:hAnsi="Times New Roman" w:cs="Times New Roman" w:eastAsia="Times New Roman" w:hint="default"/>
        </w:rPr>
        <w:t>10 </w:t>
      </w:r>
      <w:r>
        <w:rPr/>
        <w:t>股转增</w:t>
      </w:r>
      <w:r>
        <w:rPr>
          <w:spacing w:val="-53"/>
        </w:rPr>
        <w:t> </w:t>
      </w:r>
      <w:r>
        <w:rPr>
          <w:rFonts w:ascii="Times New Roman" w:hAnsi="Times New Roman" w:cs="Times New Roman" w:eastAsia="Times New Roman" w:hint="default"/>
        </w:rPr>
        <w:t>8</w:t>
      </w:r>
      <w:r>
        <w:rPr/>
        <w:t>股所致。 </w:t>
      </w:r>
      <w:r>
        <w:rPr>
          <w:spacing w:val="-2"/>
        </w:rPr>
        <w:t>详情请查看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日刊登于《证券时报》、《中国证券报》、《上海证券报》和巨潮资讯网（</w:t>
      </w:r>
      <w:hyperlink r:id="rId9">
        <w:r>
          <w:rPr>
            <w:rFonts w:ascii="Times New Roman" w:hAnsi="Times New Roman" w:cs="Times New Roman" w:eastAsia="Times New Roman" w:hint="default"/>
            <w:spacing w:val="-2"/>
          </w:rPr>
          <w:t>www.cninfo.com.cn</w:t>
        </w:r>
      </w:hyperlink>
      <w:hyperlink r:id="rId9">
        <w:r>
          <w:rPr>
            <w:rFonts w:ascii="Times New Roman" w:hAnsi="Times New Roman" w:cs="Times New Roman" w:eastAsia="Times New Roman" w:hint="default"/>
            <w:color w:val="C4C4C4"/>
            <w:spacing w:val="-2"/>
          </w:rPr>
          <w:t>.</w:t>
        </w:r>
      </w:hyperlink>
      <w:r>
        <w:rPr>
          <w:spacing w:val="-2"/>
        </w:rPr>
        <w:t>）上</w:t>
      </w:r>
      <w:r>
        <w:rPr>
          <w:spacing w:val="-35"/>
        </w:rPr>
        <w:t> </w:t>
      </w:r>
      <w:r>
        <w:rPr/>
        <w:t>的《</w:t>
      </w:r>
      <w:r>
        <w:rPr>
          <w:rFonts w:ascii="Times New Roman" w:hAnsi="Times New Roman" w:cs="Times New Roman" w:eastAsia="Times New Roman" w:hint="default"/>
        </w:rPr>
        <w:t>2011</w:t>
      </w:r>
      <w:r>
        <w:rPr/>
        <w:t>年度权益分派实施公告》。</w:t>
      </w:r>
    </w:p>
    <w:p>
      <w:pPr>
        <w:pStyle w:val="BodyText"/>
        <w:spacing w:line="240" w:lineRule="auto" w:before="13"/>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、根据中国证券监督管理委员会《关于核准安徽鑫龙电器股份有限公司非公开发行股票的批复》（证监许可</w:t>
      </w:r>
      <w:r>
        <w:rPr>
          <w:rFonts w:ascii="Times New Roman" w:hAnsi="Times New Roman" w:cs="Times New Roman" w:eastAsia="Times New Roman" w:hint="default"/>
        </w:rPr>
        <w:t>[2012]648</w:t>
      </w:r>
    </w:p>
    <w:p>
      <w:pPr>
        <w:pStyle w:val="BodyText"/>
        <w:spacing w:line="240" w:lineRule="auto" w:before="63"/>
        <w:ind w:right="1123"/>
        <w:jc w:val="left"/>
      </w:pPr>
      <w:r>
        <w:rPr/>
        <w:t>号），公司向特定对象非公开发行</w:t>
      </w:r>
      <w:r>
        <w:rPr>
          <w:rFonts w:ascii="Times New Roman" w:hAnsi="Times New Roman" w:cs="Times New Roman" w:eastAsia="Times New Roman" w:hint="default"/>
        </w:rPr>
        <w:t>78,869,000</w:t>
      </w:r>
      <w:r>
        <w:rPr/>
        <w:t>股人民币普通股，发行后公司总股本由</w:t>
      </w:r>
      <w:r>
        <w:rPr>
          <w:rFonts w:ascii="Times New Roman" w:hAnsi="Times New Roman" w:cs="Times New Roman" w:eastAsia="Times New Roman" w:hint="default"/>
        </w:rPr>
        <w:t>330,000,000</w:t>
      </w:r>
      <w:r>
        <w:rPr/>
        <w:t>股增加为</w:t>
      </w:r>
      <w:r>
        <w:rPr>
          <w:rFonts w:ascii="Times New Roman" w:hAnsi="Times New Roman" w:cs="Times New Roman" w:eastAsia="Times New Roman" w:hint="default"/>
        </w:rPr>
        <w:t>408,869,000</w:t>
      </w:r>
      <w:r>
        <w:rPr/>
        <w:t>股。</w:t>
      </w:r>
    </w:p>
    <w:p>
      <w:pPr>
        <w:pStyle w:val="BodyText"/>
        <w:spacing w:line="300" w:lineRule="auto" w:before="103"/>
        <w:ind w:right="1125" w:firstLine="420"/>
        <w:jc w:val="left"/>
      </w:pPr>
      <w:r>
        <w:rPr>
          <w:rFonts w:ascii="Times New Roman" w:hAnsi="Times New Roman" w:cs="Times New Roman" w:eastAsia="Times New Roman" w:hint="default"/>
          <w:spacing w:val="-1"/>
        </w:rPr>
        <w:t>3</w:t>
      </w:r>
      <w:r>
        <w:rPr>
          <w:spacing w:val="-1"/>
        </w:rPr>
        <w:t>、本次发行新增</w:t>
      </w:r>
      <w:r>
        <w:rPr>
          <w:rFonts w:ascii="Times New Roman" w:hAnsi="Times New Roman" w:cs="Times New Roman" w:eastAsia="Times New Roman" w:hint="default"/>
          <w:spacing w:val="-1"/>
        </w:rPr>
        <w:t>78,869,000</w:t>
      </w:r>
      <w:r>
        <w:rPr>
          <w:spacing w:val="-1"/>
        </w:rPr>
        <w:t>股股份已于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28</w:t>
      </w:r>
      <w:r>
        <w:rPr>
          <w:spacing w:val="-1"/>
        </w:rPr>
        <w:t>日在中国证券登记结算有限责任公司深圳分公司办理完毕登记托管</w:t>
      </w:r>
      <w:r>
        <w:rPr/>
        <w:t> 手续，于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日在深圳证券交易所上市。</w:t>
      </w:r>
    </w:p>
    <w:p>
      <w:pPr>
        <w:pStyle w:val="BodyText"/>
        <w:spacing w:line="300" w:lineRule="auto" w:before="53"/>
        <w:ind w:right="1116" w:firstLine="420"/>
        <w:jc w:val="left"/>
      </w:pPr>
      <w:r>
        <w:rPr>
          <w:rFonts w:ascii="Times New Roman" w:hAnsi="Times New Roman" w:cs="Times New Roman" w:eastAsia="Times New Roman" w:hint="default"/>
          <w:spacing w:val="-1"/>
        </w:rPr>
        <w:t>4</w:t>
      </w:r>
      <w:r>
        <w:rPr>
          <w:spacing w:val="-1"/>
        </w:rPr>
        <w:t>、自然人股东束龙胜及两名法人股东合肥世纪创新投资有限公司和芜湖市鑫诚科技投资有限公司所持有的有限售条件</w:t>
      </w:r>
      <w:r>
        <w:rPr/>
        <w:t> 的流通股</w:t>
      </w:r>
      <w:r>
        <w:rPr>
          <w:rFonts w:ascii="Times New Roman" w:hAnsi="Times New Roman" w:cs="Times New Roman" w:eastAsia="Times New Roman" w:hint="default"/>
        </w:rPr>
        <w:t>171,606,490</w:t>
      </w:r>
      <w:r>
        <w:rPr/>
        <w:t>股己全部解除限售，并于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日上市流通。</w:t>
      </w:r>
    </w:p>
    <w:p>
      <w:pPr>
        <w:spacing w:line="240" w:lineRule="auto" w:before="5"/>
        <w:rPr>
          <w:rFonts w:ascii="宋体" w:hAnsi="宋体" w:cs="宋体" w:eastAsia="宋体" w:hint="default"/>
          <w:sz w:val="21"/>
          <w:szCs w:val="21"/>
        </w:rPr>
      </w:pPr>
    </w:p>
    <w:p>
      <w:pPr>
        <w:pStyle w:val="BodyText"/>
        <w:spacing w:line="360" w:lineRule="atLeast"/>
        <w:ind w:left="513" w:right="1138" w:hanging="361"/>
        <w:jc w:val="left"/>
      </w:pPr>
      <w:r>
        <w:rPr/>
        <w:t>股份变动的批准情况 经中国证券监督管理委员会证监许可</w:t>
      </w:r>
      <w:r>
        <w:rPr>
          <w:rFonts w:ascii="Times New Roman" w:hAnsi="Times New Roman" w:cs="Times New Roman" w:eastAsia="Times New Roman" w:hint="default"/>
        </w:rPr>
        <w:t>[2012]648</w:t>
      </w:r>
      <w:r>
        <w:rPr/>
        <w:t>号文核准</w:t>
      </w:r>
      <w:r>
        <w:rPr>
          <w:rFonts w:ascii="Times New Roman" w:hAnsi="Times New Roman" w:cs="Times New Roman" w:eastAsia="Times New Roman" w:hint="default"/>
        </w:rPr>
        <w:t>,</w:t>
      </w:r>
      <w:r>
        <w:rPr/>
        <w:t>公司向特定投资者非公开发行人民币普通股Ａ股，根据询价结</w:t>
      </w:r>
    </w:p>
    <w:p>
      <w:pPr>
        <w:spacing w:after="0" w:line="360" w:lineRule="atLeast"/>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2829" w:hanging="361"/>
        <w:jc w:val="left"/>
      </w:pPr>
      <w:r>
        <w:rPr/>
        <w:t>果，确定发行价格为</w:t>
      </w:r>
      <w:r>
        <w:rPr>
          <w:rFonts w:ascii="Times New Roman" w:hAnsi="Times New Roman" w:cs="Times New Roman" w:eastAsia="Times New Roman" w:hint="default"/>
        </w:rPr>
        <w:t>6.72</w:t>
      </w:r>
      <w:r>
        <w:rPr/>
        <w:t>元</w:t>
      </w:r>
      <w:r>
        <w:rPr>
          <w:rFonts w:ascii="Times New Roman" w:hAnsi="Times New Roman" w:cs="Times New Roman" w:eastAsia="Times New Roman" w:hint="default"/>
        </w:rPr>
        <w:t>/</w:t>
      </w:r>
      <w:r>
        <w:rPr/>
        <w:t>股，发行数量为</w:t>
      </w:r>
      <w:r>
        <w:rPr>
          <w:rFonts w:ascii="Times New Roman" w:hAnsi="Times New Roman" w:cs="Times New Roman" w:eastAsia="Times New Roman" w:hint="default"/>
        </w:rPr>
        <w:t>78,869,000</w:t>
      </w:r>
      <w:r>
        <w:rPr/>
        <w:t>股，于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日在深圳证券交易所上市。 经深交所审核同意，公司限售股份</w:t>
      </w:r>
      <w:r>
        <w:rPr>
          <w:rFonts w:ascii="Times New Roman" w:hAnsi="Times New Roman" w:cs="Times New Roman" w:eastAsia="Times New Roman" w:hint="default"/>
        </w:rPr>
        <w:t>171,606,490</w:t>
      </w:r>
      <w:r>
        <w:rPr/>
        <w:t>股解除限售并于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日上市流通。</w:t>
      </w:r>
    </w:p>
    <w:p>
      <w:pPr>
        <w:pStyle w:val="BodyText"/>
        <w:spacing w:line="357" w:lineRule="auto" w:before="53"/>
        <w:ind w:right="9134"/>
        <w:jc w:val="left"/>
      </w:pPr>
      <w:r>
        <w:rPr/>
        <w:t>股份变动的过户情况 无</w:t>
      </w:r>
    </w:p>
    <w:p>
      <w:pPr>
        <w:pStyle w:val="BodyText"/>
        <w:spacing w:line="240" w:lineRule="auto" w:before="29"/>
        <w:ind w:right="1123"/>
        <w:jc w:val="left"/>
      </w:pPr>
      <w:r>
        <w:rPr/>
        <w:t>股份变动对最近一年和最近一期基本每股收益和稀释每股收益、归属于公司普通股股东的每股净资产等财务指标的影响</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662"/>
        <w:gridCol w:w="2381"/>
        <w:gridCol w:w="2120"/>
      </w:tblGrid>
      <w:tr>
        <w:trPr>
          <w:trHeight w:val="338" w:hRule="exact"/>
        </w:trPr>
        <w:tc>
          <w:tcPr>
            <w:tcW w:w="2662" w:type="dxa"/>
            <w:tcBorders>
              <w:top w:val="nil" w:sz="6" w:space="0" w:color="auto"/>
              <w:left w:val="nil" w:sz="6" w:space="0" w:color="auto"/>
              <w:bottom w:val="single" w:sz="6" w:space="0" w:color="000000"/>
              <w:right w:val="single" w:sz="6" w:space="0" w:color="000000"/>
            </w:tcBorders>
          </w:tcPr>
          <w:p>
            <w:pPr>
              <w:pStyle w:val="TableParagraph"/>
              <w:spacing w:line="272" w:lineRule="exact"/>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81" w:type="dxa"/>
            <w:tcBorders>
              <w:top w:val="nil" w:sz="6" w:space="0" w:color="auto"/>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变动前</w:t>
            </w:r>
          </w:p>
        </w:tc>
        <w:tc>
          <w:tcPr>
            <w:tcW w:w="2120" w:type="dxa"/>
            <w:tcBorders>
              <w:top w:val="nil" w:sz="6" w:space="0" w:color="auto"/>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变动后</w:t>
            </w:r>
          </w:p>
        </w:tc>
      </w:tr>
      <w:tr>
        <w:trPr>
          <w:trHeight w:val="336" w:hRule="exact"/>
        </w:trPr>
        <w:tc>
          <w:tcPr>
            <w:tcW w:w="266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股本（股）</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165,000,000.00</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408,869,000.00</w:t>
            </w:r>
          </w:p>
        </w:tc>
      </w:tr>
      <w:tr>
        <w:trPr>
          <w:trHeight w:val="338" w:hRule="exact"/>
        </w:trPr>
        <w:tc>
          <w:tcPr>
            <w:tcW w:w="2662"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基本每股收益（元）</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z w:val="21"/>
              </w:rPr>
              <w:t>0.5778</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z w:val="21"/>
              </w:rPr>
              <w:t>0.2581</w:t>
            </w:r>
          </w:p>
        </w:tc>
      </w:tr>
      <w:tr>
        <w:trPr>
          <w:trHeight w:val="336" w:hRule="exact"/>
        </w:trPr>
        <w:tc>
          <w:tcPr>
            <w:tcW w:w="266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稀释每股收益（元）</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0.5729</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0.2561</w:t>
            </w:r>
          </w:p>
        </w:tc>
      </w:tr>
      <w:tr>
        <w:trPr>
          <w:trHeight w:val="338" w:hRule="exact"/>
        </w:trPr>
        <w:tc>
          <w:tcPr>
            <w:tcW w:w="266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每股净资产（元）</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3.93</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2.85</w:t>
            </w:r>
          </w:p>
        </w:tc>
      </w:tr>
      <w:tr>
        <w:trPr>
          <w:trHeight w:val="336" w:hRule="exact"/>
        </w:trPr>
        <w:tc>
          <w:tcPr>
            <w:tcW w:w="7163" w:type="dxa"/>
            <w:gridSpan w:val="3"/>
            <w:tcBorders>
              <w:top w:val="single" w:sz="6" w:space="0" w:color="000000"/>
              <w:left w:val="nil" w:sz="6" w:space="0" w:color="auto"/>
              <w:bottom w:val="single" w:sz="6" w:space="0" w:color="000000"/>
              <w:right w:val="single" w:sz="6" w:space="0" w:color="000000"/>
            </w:tcBorders>
          </w:tcPr>
          <w:p>
            <w:pPr>
              <w:pStyle w:val="TableParagraph"/>
              <w:spacing w:line="278" w:lineRule="exact"/>
              <w:ind w:left="26" w:right="0"/>
              <w:jc w:val="left"/>
              <w:rPr>
                <w:rFonts w:ascii="宋体" w:hAnsi="宋体" w:cs="宋体" w:eastAsia="宋体" w:hint="default"/>
                <w:sz w:val="21"/>
                <w:szCs w:val="21"/>
              </w:rPr>
            </w:pPr>
            <w:r>
              <w:rPr>
                <w:rFonts w:ascii="宋体" w:hAnsi="宋体" w:cs="宋体" w:eastAsia="宋体" w:hint="default"/>
                <w:sz w:val="21"/>
                <w:szCs w:val="21"/>
              </w:rPr>
              <w:t>说明：变动前的股本为</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年年初股本，变动后股本为</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年年末股本。</w:t>
            </w:r>
          </w:p>
        </w:tc>
      </w:tr>
    </w:tbl>
    <w:p>
      <w:pPr>
        <w:spacing w:line="240" w:lineRule="auto" w:before="3"/>
        <w:rPr>
          <w:rFonts w:ascii="宋体" w:hAnsi="宋体" w:cs="宋体" w:eastAsia="宋体" w:hint="default"/>
          <w:sz w:val="24"/>
          <w:szCs w:val="24"/>
        </w:rPr>
      </w:pPr>
    </w:p>
    <w:p>
      <w:pPr>
        <w:pStyle w:val="BodyText"/>
        <w:spacing w:line="360" w:lineRule="auto" w:before="44"/>
        <w:ind w:right="6794"/>
        <w:jc w:val="left"/>
      </w:pPr>
      <w:r>
        <w:rPr/>
        <w:t>公司认为必要或证券监管机构要求披露的其他内容 无</w:t>
      </w:r>
    </w:p>
    <w:p>
      <w:pPr>
        <w:spacing w:line="240" w:lineRule="auto" w:before="5"/>
        <w:rPr>
          <w:rFonts w:ascii="宋体" w:hAnsi="宋体" w:cs="宋体" w:eastAsia="宋体" w:hint="default"/>
          <w:sz w:val="18"/>
          <w:szCs w:val="18"/>
        </w:rPr>
      </w:pPr>
    </w:p>
    <w:p>
      <w:pPr>
        <w:pStyle w:val="Heading2"/>
        <w:spacing w:line="240" w:lineRule="auto"/>
        <w:ind w:right="1123"/>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50"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（Ａ股）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（Ａ股）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78,869,000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78,869,000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年度第一 期中小企业集合 票据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49"/>
        <w:ind w:right="1123"/>
        <w:jc w:val="left"/>
      </w:pPr>
      <w:r>
        <w:rPr/>
        <w:t>前三年历次证券发行情况的说明</w:t>
      </w:r>
    </w:p>
    <w:p>
      <w:pPr>
        <w:pStyle w:val="BodyText"/>
        <w:spacing w:line="300" w:lineRule="auto" w:before="118"/>
        <w:ind w:right="1131" w:firstLine="420"/>
        <w:jc w:val="both"/>
      </w:pPr>
      <w:r>
        <w:rPr>
          <w:rFonts w:ascii="Times New Roman" w:hAnsi="Times New Roman" w:cs="Times New Roman" w:eastAsia="Times New Roman" w:hint="default"/>
          <w:spacing w:val="-2"/>
        </w:rPr>
        <w:t>1</w:t>
      </w:r>
      <w:r>
        <w:rPr>
          <w:spacing w:val="-2"/>
        </w:rPr>
        <w:t>、经中国证券监督管理委员会证监许可</w:t>
      </w:r>
      <w:r>
        <w:rPr>
          <w:rFonts w:ascii="Times New Roman" w:hAnsi="Times New Roman" w:cs="Times New Roman" w:eastAsia="Times New Roman" w:hint="default"/>
          <w:spacing w:val="-2"/>
        </w:rPr>
        <w:t>[2009]929</w:t>
      </w:r>
      <w:r>
        <w:rPr>
          <w:spacing w:val="-2"/>
        </w:rPr>
        <w:t>号文核准，首次公开发行不超过</w:t>
      </w:r>
      <w:r>
        <w:rPr>
          <w:rFonts w:ascii="Times New Roman" w:hAnsi="Times New Roman" w:cs="Times New Roman" w:eastAsia="Times New Roman" w:hint="default"/>
          <w:spacing w:val="-2"/>
        </w:rPr>
        <w:t>2,800</w:t>
      </w:r>
      <w:r>
        <w:rPr>
          <w:spacing w:val="-2"/>
        </w:rPr>
        <w:t>万股人民币普通股（</w:t>
      </w:r>
      <w:r>
        <w:rPr>
          <w:rFonts w:ascii="Times New Roman" w:hAnsi="Times New Roman" w:cs="Times New Roman" w:eastAsia="Times New Roman" w:hint="default"/>
          <w:spacing w:val="-2"/>
        </w:rPr>
        <w:t>A</w:t>
      </w:r>
      <w:r>
        <w:rPr>
          <w:spacing w:val="-2"/>
        </w:rPr>
        <w:t>股），每</w:t>
      </w:r>
      <w:r>
        <w:rPr/>
        <w:t> 股面值</w:t>
      </w:r>
      <w:r>
        <w:rPr>
          <w:rFonts w:ascii="Times New Roman" w:hAnsi="Times New Roman" w:cs="Times New Roman" w:eastAsia="Times New Roman" w:hint="default"/>
        </w:rPr>
        <w:t>1.00</w:t>
      </w:r>
      <w:r>
        <w:rPr/>
        <w:t>元。发行价格为人民币</w:t>
      </w:r>
      <w:r>
        <w:rPr>
          <w:rFonts w:ascii="Times New Roman" w:hAnsi="Times New Roman" w:cs="Times New Roman" w:eastAsia="Times New Roman" w:hint="default"/>
        </w:rPr>
        <w:t>9.5</w:t>
      </w:r>
      <w:r>
        <w:rPr/>
        <w:t>元</w:t>
      </w:r>
      <w:r>
        <w:rPr>
          <w:rFonts w:ascii="Times New Roman" w:hAnsi="Times New Roman" w:cs="Times New Roman" w:eastAsia="Times New Roman" w:hint="default"/>
        </w:rPr>
        <w:t>/</w:t>
      </w:r>
      <w:r>
        <w:rPr/>
        <w:t>股，并于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日在深圳交易所上市交易。</w:t>
      </w:r>
    </w:p>
    <w:p>
      <w:pPr>
        <w:pStyle w:val="BodyText"/>
        <w:spacing w:line="300" w:lineRule="auto" w:before="13"/>
        <w:ind w:right="1184" w:firstLine="420"/>
        <w:jc w:val="both"/>
      </w:pPr>
      <w:r>
        <w:rPr>
          <w:rFonts w:ascii="Times New Roman" w:hAnsi="Times New Roman" w:cs="Times New Roman" w:eastAsia="Times New Roman" w:hint="default"/>
        </w:rPr>
        <w:t>2</w:t>
      </w:r>
      <w:r>
        <w:rPr/>
        <w:t>、经中国证券监督管理委员会证监许可</w:t>
      </w:r>
      <w:r>
        <w:rPr>
          <w:rFonts w:ascii="Times New Roman" w:hAnsi="Times New Roman" w:cs="Times New Roman" w:eastAsia="Times New Roman" w:hint="default"/>
        </w:rPr>
        <w:t>[2012]648</w:t>
      </w:r>
      <w:r>
        <w:rPr/>
        <w:t>号文核准</w:t>
      </w:r>
      <w:r>
        <w:rPr>
          <w:rFonts w:ascii="Times New Roman" w:hAnsi="Times New Roman" w:cs="Times New Roman" w:eastAsia="Times New Roman" w:hint="default"/>
        </w:rPr>
        <w:t>,</w:t>
      </w:r>
      <w:r>
        <w:rPr/>
        <w:t>公司向特定投资者非公开发行人民币普通股Ａ股，根据询 价结果，确定发行价格为</w:t>
      </w:r>
      <w:r>
        <w:rPr>
          <w:rFonts w:ascii="Times New Roman" w:hAnsi="Times New Roman" w:cs="Times New Roman" w:eastAsia="Times New Roman" w:hint="default"/>
        </w:rPr>
        <w:t>6.72</w:t>
      </w:r>
      <w:r>
        <w:rPr/>
        <w:t>元</w:t>
      </w:r>
      <w:r>
        <w:rPr>
          <w:rFonts w:ascii="Times New Roman" w:hAnsi="Times New Roman" w:cs="Times New Roman" w:eastAsia="Times New Roman" w:hint="default"/>
        </w:rPr>
        <w:t>/</w:t>
      </w:r>
      <w:r>
        <w:rPr/>
        <w:t>股，发行数量为</w:t>
      </w:r>
      <w:r>
        <w:rPr>
          <w:rFonts w:ascii="Times New Roman" w:hAnsi="Times New Roman" w:cs="Times New Roman" w:eastAsia="Times New Roman" w:hint="default"/>
        </w:rPr>
        <w:t>78,869,000</w:t>
      </w:r>
      <w:r>
        <w:rPr/>
        <w:t>股，于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日在深圳证券交易所上市。</w:t>
      </w:r>
    </w:p>
    <w:p>
      <w:pPr>
        <w:pStyle w:val="BodyText"/>
        <w:spacing w:line="300" w:lineRule="auto" w:before="13"/>
        <w:ind w:right="1131" w:firstLine="420"/>
        <w:jc w:val="both"/>
      </w:pP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日接到中国银行间市场交易商协会《接受注册通知书》（中市协注</w:t>
      </w:r>
      <w:r>
        <w:rPr>
          <w:rFonts w:ascii="Times New Roman" w:hAnsi="Times New Roman" w:cs="Times New Roman" w:eastAsia="Times New Roman" w:hint="default"/>
        </w:rPr>
        <w:t>[2012]SMECN18</w:t>
      </w:r>
      <w:r>
        <w:rPr/>
        <w:t>号），决定</w:t>
      </w:r>
      <w:r>
        <w:rPr>
          <w:w w:val="99"/>
        </w:rPr>
        <w:t> </w:t>
      </w:r>
      <w:r>
        <w:rPr/>
        <w:t>接受包括本公司在内的叁家企业的集合票据注册，此次集合票据总注册金额为人民币</w:t>
      </w:r>
      <w:r>
        <w:rPr>
          <w:rFonts w:ascii="Times New Roman" w:hAnsi="Times New Roman" w:cs="Times New Roman" w:eastAsia="Times New Roman" w:hint="default"/>
        </w:rPr>
        <w:t>4.5</w:t>
      </w:r>
      <w:r>
        <w:rPr/>
        <w:t>亿元，其中本公司发行金额为</w:t>
      </w:r>
      <w:r>
        <w:rPr>
          <w:rFonts w:ascii="Times New Roman" w:hAnsi="Times New Roman" w:cs="Times New Roman" w:eastAsia="Times New Roman" w:hint="default"/>
        </w:rPr>
        <w:t>1.5</w:t>
      </w:r>
      <w:r>
        <w:rPr/>
        <w:t>亿</w:t>
      </w:r>
      <w:r>
        <w:rPr>
          <w:w w:val="99"/>
        </w:rPr>
        <w:t> </w:t>
      </w:r>
      <w:r>
        <w:rPr>
          <w:spacing w:val="-2"/>
        </w:rPr>
        <w:t>元，公司与另外二家企业于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13</w:t>
      </w:r>
      <w:r>
        <w:rPr>
          <w:spacing w:val="-2"/>
        </w:rPr>
        <w:t>日发行芜湖市</w:t>
      </w:r>
      <w:r>
        <w:rPr>
          <w:rFonts w:ascii="Times New Roman" w:hAnsi="Times New Roman" w:cs="Times New Roman" w:eastAsia="Times New Roman" w:hint="default"/>
          <w:spacing w:val="-2"/>
        </w:rPr>
        <w:t>2012</w:t>
      </w:r>
      <w:r>
        <w:rPr>
          <w:spacing w:val="-2"/>
        </w:rPr>
        <w:t>年度第一期中小企业集合票据，上市流通日为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17</w:t>
      </w:r>
      <w:r>
        <w:rPr>
          <w:spacing w:val="-2"/>
        </w:rPr>
        <w:t>日。本</w:t>
      </w:r>
      <w:r>
        <w:rPr>
          <w:spacing w:val="-56"/>
        </w:rPr>
        <w:t> </w:t>
      </w:r>
      <w:r>
        <w:rPr>
          <w:spacing w:val="-56"/>
        </w:rPr>
      </w:r>
      <w:r>
        <w:rPr/>
        <w:t>次集合票据由兴业银行股份有限公司主承销。</w:t>
      </w:r>
    </w:p>
    <w:p>
      <w:pPr>
        <w:spacing w:after="0" w:line="300" w:lineRule="auto"/>
        <w:jc w:val="both"/>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513" w:right="3193"/>
        <w:jc w:val="left"/>
      </w:pPr>
      <w:r>
        <w:rPr/>
        <w:t>报告期内公司由于</w:t>
      </w:r>
      <w:r>
        <w:rPr>
          <w:rFonts w:ascii="Times New Roman" w:hAnsi="Times New Roman" w:cs="Times New Roman" w:eastAsia="Times New Roman" w:hint="default"/>
        </w:rPr>
        <w:t>2011</w:t>
      </w:r>
      <w:r>
        <w:rPr/>
        <w:t>年度利润分配情况及非公开发行股票，使得公司股份总数发生变化。 报告期内由于有限售条件流通股股东所持限售股份解禁，使得公司股份结构发生了变化。</w:t>
      </w:r>
    </w:p>
    <w:p>
      <w:pPr>
        <w:spacing w:line="240" w:lineRule="auto" w:before="10"/>
        <w:rPr>
          <w:rFonts w:ascii="宋体" w:hAnsi="宋体" w:cs="宋体" w:eastAsia="宋体" w:hint="default"/>
          <w:sz w:val="23"/>
          <w:szCs w:val="23"/>
        </w:rPr>
      </w:pPr>
    </w:p>
    <w:p>
      <w:pPr>
        <w:pStyle w:val="Heading4"/>
        <w:spacing w:line="240" w:lineRule="auto"/>
        <w:ind w:right="112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507"/>
        <w:gridCol w:w="3860"/>
        <w:gridCol w:w="3191"/>
      </w:tblGrid>
      <w:tr>
        <w:trPr>
          <w:trHeight w:val="403"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0"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r>
        <w:trPr>
          <w:trHeight w:val="401"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1"/>
              <w:jc w:val="center"/>
              <w:rPr>
                <w:rFonts w:ascii="宋体" w:hAnsi="宋体" w:cs="宋体" w:eastAsia="宋体" w:hint="default"/>
                <w:sz w:val="18"/>
                <w:szCs w:val="18"/>
              </w:rPr>
            </w:pPr>
            <w:r>
              <w:rPr>
                <w:rFonts w:ascii="宋体" w:hAnsi="宋体" w:cs="宋体" w:eastAsia="宋体" w:hint="default"/>
                <w:sz w:val="18"/>
                <w:szCs w:val="18"/>
              </w:rPr>
              <w:t>现存的内部职工股情况的说明</w:t>
            </w:r>
          </w:p>
        </w:tc>
        <w:tc>
          <w:tcPr>
            <w:tcW w:w="705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公司无内部职工股</w:t>
            </w:r>
          </w:p>
        </w:tc>
      </w:tr>
    </w:tbl>
    <w:p>
      <w:pPr>
        <w:spacing w:line="240" w:lineRule="auto" w:before="1"/>
        <w:rPr>
          <w:rFonts w:ascii="宋体" w:hAnsi="宋体" w:cs="宋体" w:eastAsia="宋体" w:hint="default"/>
          <w:b/>
          <w:bCs/>
          <w:sz w:val="18"/>
          <w:szCs w:val="18"/>
        </w:rPr>
      </w:pPr>
    </w:p>
    <w:p>
      <w:pPr>
        <w:spacing w:before="26"/>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三、股东和实际控制人情况</w:t>
      </w:r>
      <w:r>
        <w:rPr>
          <w:rFonts w:ascii="宋体" w:hAnsi="宋体" w:cs="宋体" w:eastAsia="宋体" w:hint="default"/>
          <w:sz w:val="24"/>
          <w:szCs w:val="24"/>
        </w:rPr>
      </w:r>
    </w:p>
    <w:p>
      <w:pPr>
        <w:spacing w:line="240" w:lineRule="auto" w:before="12"/>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1"/>
        <w:gridCol w:w="1363"/>
        <w:gridCol w:w="1380"/>
        <w:gridCol w:w="678"/>
        <w:gridCol w:w="684"/>
        <w:gridCol w:w="684"/>
        <w:gridCol w:w="684"/>
        <w:gridCol w:w="1363"/>
        <w:gridCol w:w="1374"/>
      </w:tblGrid>
      <w:tr>
        <w:trPr>
          <w:trHeight w:val="408" w:hRule="exact"/>
        </w:trPr>
        <w:tc>
          <w:tcPr>
            <w:tcW w:w="27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18,982</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17,533</w:t>
            </w:r>
          </w:p>
        </w:tc>
      </w:tr>
      <w:tr>
        <w:trPr>
          <w:trHeight w:val="39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361" w:type="dxa"/>
            <w:vMerge w:val="restart"/>
            <w:tcBorders>
              <w:top w:val="single" w:sz="4" w:space="0" w:color="000000"/>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5"/>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277"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 w:right="65"/>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37" w:hRule="exact"/>
        </w:trPr>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4"/>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4"/>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4"/>
              <w:ind w:left="7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2" w:hRule="exact"/>
        </w:trPr>
        <w:tc>
          <w:tcPr>
            <w:tcW w:w="1361" w:type="dxa"/>
            <w:vMerge w:val="restart"/>
            <w:tcBorders>
              <w:top w:val="nil" w:sz="6" w:space="0" w:color="auto"/>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74" w:type="dxa"/>
            <w:vMerge/>
            <w:tcBorders>
              <w:left w:val="single" w:sz="4" w:space="0" w:color="000000"/>
              <w:bottom w:val="nil" w:sz="6" w:space="0" w:color="auto"/>
              <w:right w:val="single" w:sz="4" w:space="0" w:color="000000"/>
            </w:tcBorders>
            <w:shd w:val="clear" w:color="auto" w:fill="D2D2D2"/>
          </w:tcPr>
          <w:p>
            <w:pPr/>
          </w:p>
        </w:tc>
      </w:tr>
      <w:tr>
        <w:trPr>
          <w:trHeight w:val="110" w:hRule="exact"/>
        </w:trPr>
        <w:tc>
          <w:tcPr>
            <w:tcW w:w="1361"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
        </w:tc>
        <w:tc>
          <w:tcPr>
            <w:tcW w:w="137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1"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23.84%</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left"/>
              <w:rPr>
                <w:rFonts w:ascii="Times New Roman" w:hAnsi="Times New Roman" w:cs="Times New Roman" w:eastAsia="Times New Roman" w:hint="default"/>
                <w:sz w:val="18"/>
                <w:szCs w:val="18"/>
              </w:rPr>
            </w:pPr>
            <w:r>
              <w:rPr>
                <w:rFonts w:ascii="Times New Roman"/>
                <w:sz w:val="18"/>
              </w:rPr>
              <w:t>97,467,</w:t>
            </w:r>
          </w:p>
          <w:p>
            <w:pPr>
              <w:pStyle w:val="TableParagraph"/>
              <w:spacing w:line="240" w:lineRule="auto" w:before="103"/>
              <w:ind w:left="375" w:right="0"/>
              <w:jc w:val="left"/>
              <w:rPr>
                <w:rFonts w:ascii="Times New Roman" w:hAnsi="Times New Roman" w:cs="Times New Roman" w:eastAsia="Times New Roman" w:hint="default"/>
                <w:sz w:val="18"/>
                <w:szCs w:val="18"/>
              </w:rPr>
            </w:pPr>
            <w:r>
              <w:rPr>
                <w:rFonts w:ascii="Times New Roman"/>
                <w:sz w:val="18"/>
              </w:rPr>
              <w:t>346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48,733,</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673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73,100,</w:t>
            </w:r>
          </w:p>
          <w:p>
            <w:pPr>
              <w:pStyle w:val="TableParagraph"/>
              <w:spacing w:line="240" w:lineRule="auto" w:before="103"/>
              <w:ind w:left="381" w:right="0"/>
              <w:jc w:val="left"/>
              <w:rPr>
                <w:rFonts w:ascii="Times New Roman" w:hAnsi="Times New Roman" w:cs="Times New Roman" w:eastAsia="Times New Roman" w:hint="default"/>
                <w:sz w:val="18"/>
                <w:szCs w:val="18"/>
              </w:rPr>
            </w:pPr>
            <w:r>
              <w:rPr>
                <w:rFonts w:ascii="Times New Roman"/>
                <w:sz w:val="18"/>
              </w:rPr>
              <w:t>510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24,366,</w:t>
            </w:r>
          </w:p>
          <w:p>
            <w:pPr>
              <w:pStyle w:val="TableParagraph"/>
              <w:spacing w:line="240" w:lineRule="auto" w:before="103"/>
              <w:ind w:left="381" w:right="0"/>
              <w:jc w:val="left"/>
              <w:rPr>
                <w:rFonts w:ascii="Times New Roman" w:hAnsi="Times New Roman" w:cs="Times New Roman" w:eastAsia="Times New Roman" w:hint="default"/>
                <w:sz w:val="18"/>
                <w:szCs w:val="18"/>
              </w:rPr>
            </w:pPr>
            <w:r>
              <w:rPr>
                <w:rFonts w:ascii="Times New Roman"/>
                <w:sz w:val="18"/>
              </w:rPr>
              <w:t>836</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芜湖市鑫诚科技 投资有限公司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8.98%</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36,720,</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936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18,360,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468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36,720,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936</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合肥世纪创新投 资有限公司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7.97%</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left"/>
              <w:rPr>
                <w:rFonts w:ascii="Times New Roman" w:hAnsi="Times New Roman" w:cs="Times New Roman" w:eastAsia="Times New Roman" w:hint="default"/>
                <w:sz w:val="18"/>
                <w:szCs w:val="18"/>
              </w:rPr>
            </w:pPr>
            <w:r>
              <w:rPr>
                <w:rFonts w:ascii="Times New Roman"/>
                <w:sz w:val="18"/>
              </w:rPr>
              <w:t>32,593,</w:t>
            </w:r>
          </w:p>
          <w:p>
            <w:pPr>
              <w:pStyle w:val="TableParagraph"/>
              <w:spacing w:line="240" w:lineRule="auto" w:before="102"/>
              <w:ind w:left="375" w:right="0"/>
              <w:jc w:val="left"/>
              <w:rPr>
                <w:rFonts w:ascii="Times New Roman" w:hAnsi="Times New Roman" w:cs="Times New Roman" w:eastAsia="Times New Roman" w:hint="default"/>
                <w:sz w:val="18"/>
                <w:szCs w:val="18"/>
              </w:rPr>
            </w:pPr>
            <w:r>
              <w:rPr>
                <w:rFonts w:ascii="Times New Roman"/>
                <w:sz w:val="18"/>
              </w:rPr>
              <w:t>309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13,884,</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205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32,593,</w:t>
            </w:r>
          </w:p>
          <w:p>
            <w:pPr>
              <w:pStyle w:val="TableParagraph"/>
              <w:spacing w:line="240" w:lineRule="auto" w:before="102"/>
              <w:ind w:left="381" w:right="0"/>
              <w:jc w:val="left"/>
              <w:rPr>
                <w:rFonts w:ascii="Times New Roman" w:hAnsi="Times New Roman" w:cs="Times New Roman" w:eastAsia="Times New Roman" w:hint="default"/>
                <w:sz w:val="18"/>
                <w:szCs w:val="18"/>
              </w:rPr>
            </w:pPr>
            <w:r>
              <w:rPr>
                <w:rFonts w:ascii="Times New Roman"/>
                <w:sz w:val="18"/>
              </w:rPr>
              <w:t>309</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芜湖市鸠江建设 投资有限公司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3.74%</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15,309,</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400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7,654,7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15,309,</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400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芜湖市建设投资 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3.31%</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left"/>
              <w:rPr>
                <w:rFonts w:ascii="Times New Roman" w:hAnsi="Times New Roman" w:cs="Times New Roman" w:eastAsia="Times New Roman" w:hint="default"/>
                <w:sz w:val="18"/>
                <w:szCs w:val="18"/>
              </w:rPr>
            </w:pPr>
            <w:r>
              <w:rPr>
                <w:rFonts w:ascii="Times New Roman"/>
                <w:sz w:val="18"/>
              </w:rPr>
              <w:t>13,540,</w:t>
            </w:r>
          </w:p>
          <w:p>
            <w:pPr>
              <w:pStyle w:val="TableParagraph"/>
              <w:spacing w:line="240" w:lineRule="auto" w:before="102"/>
              <w:ind w:left="375" w:right="0"/>
              <w:jc w:val="left"/>
              <w:rPr>
                <w:rFonts w:ascii="Times New Roman" w:hAnsi="Times New Roman" w:cs="Times New Roman" w:eastAsia="Times New Roman" w:hint="default"/>
                <w:sz w:val="18"/>
                <w:szCs w:val="18"/>
              </w:rPr>
            </w:pPr>
            <w:r>
              <w:rPr>
                <w:rFonts w:ascii="Times New Roman"/>
                <w:sz w:val="18"/>
              </w:rPr>
              <w:t>512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6,770,2</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56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13,540,</w:t>
            </w:r>
          </w:p>
          <w:p>
            <w:pPr>
              <w:pStyle w:val="TableParagraph"/>
              <w:spacing w:line="240" w:lineRule="auto" w:before="102"/>
              <w:ind w:left="381" w:right="0"/>
              <w:jc w:val="left"/>
              <w:rPr>
                <w:rFonts w:ascii="Times New Roman" w:hAnsi="Times New Roman" w:cs="Times New Roman" w:eastAsia="Times New Roman" w:hint="default"/>
                <w:sz w:val="18"/>
                <w:szCs w:val="18"/>
              </w:rPr>
            </w:pPr>
            <w:r>
              <w:rPr>
                <w:rFonts w:ascii="Times New Roman"/>
                <w:sz w:val="18"/>
              </w:rPr>
              <w:t>512</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安徽省国有资产 运营有限公司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3.06%</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12,497,</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486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6,248,7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12,497,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486</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安徽鑫科新材料 股份有限公司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2.91%</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11,918,3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4,924,1</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98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11,918,3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昆明盈鑫叁玖投 资中心（有限合 伙）</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2.69%</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65"/>
              <w:jc w:val="left"/>
              <w:rPr>
                <w:rFonts w:ascii="宋体" w:hAnsi="宋体" w:cs="宋体" w:eastAsia="宋体" w:hint="default"/>
                <w:sz w:val="18"/>
                <w:szCs w:val="18"/>
              </w:rPr>
            </w:pPr>
            <w:r>
              <w:rPr>
                <w:rFonts w:ascii="宋体" w:hAnsi="宋体" w:cs="宋体" w:eastAsia="宋体" w:hint="default"/>
                <w:sz w:val="18"/>
                <w:szCs w:val="18"/>
              </w:rPr>
              <w:t>太平人寿保险有 限公司－传统－</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2.45%</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375"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line="561" w:lineRule="exact"/>
        <w:ind w:left="2887"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341.6pt;height:28.1pt;mso-position-horizontal-relative:char;mso-position-vertical-relative:line" coordorigin="0,0" coordsize="6832,562">
            <v:group style="position:absolute;left:12;top:12;width:2;height:394" coordorigin="12,12" coordsize="2,394">
              <v:shape style="position:absolute;left:12;top:12;width:2;height:394" coordorigin="12,12" coordsize="0,394" path="m12,12l12,406e" filled="false" stroked="true" strokeweight="1.2pt" strokecolor="#ffffff">
                <v:path arrowok="t"/>
              </v:shape>
            </v:group>
            <v:group style="position:absolute;left:0;top:406;width:6832;height:156" coordorigin="0,406" coordsize="6832,156">
              <v:shape style="position:absolute;left:0;top:406;width:6832;height:156" coordorigin="0,406" coordsize="6832,156" path="m0,562l6831,562,6831,406,0,406,0,562xe" filled="true" fillcolor="#ffffff" stroked="false">
                <v:path arrowok="t"/>
                <v:fill type="solid"/>
              </v:shape>
            </v:group>
            <v:group style="position:absolute;left:24;top:12;width:6784;height:394" coordorigin="24,12" coordsize="6784,394">
              <v:shape style="position:absolute;left:24;top:12;width:6784;height:394" coordorigin="24,12" coordsize="6784,394" path="m24,406l6807,406,6807,12,24,12,24,406xe" filled="true" fillcolor="#ffffff" stroked="false">
                <v:path arrowok="t"/>
                <v:fill type="solid"/>
              </v:shape>
            </v:group>
          </v:group>
        </w:pict>
      </w:r>
      <w:r>
        <w:rPr>
          <w:rFonts w:ascii="宋体" w:hAnsi="宋体" w:cs="宋体" w:eastAsia="宋体" w:hint="default"/>
          <w:position w:val="-10"/>
          <w:sz w:val="20"/>
          <w:szCs w:val="20"/>
        </w:rPr>
      </w:r>
    </w:p>
    <w:p>
      <w:pPr>
        <w:pStyle w:val="BodyText"/>
        <w:spacing w:line="240" w:lineRule="auto" w:before="59"/>
        <w:ind w:left="0" w:right="1133"/>
        <w:jc w:val="right"/>
      </w:pPr>
      <w:r>
        <w:rPr/>
        <w:pict>
          <v:shape style="position:absolute;margin-left:178.223007pt;margin-top:-27.458254pt;width:355.55pt;height:22.05pt;mso-position-horizontal-relative:page;mso-position-vertical-relative:paragraph;z-index:-830152" type="#_x0000_t202" filled="false" stroked="false">
            <v:textbox inset="0,0,0,0">
              <w:txbxContent>
                <w:p>
                  <w:pPr>
                    <w:spacing w:line="240" w:lineRule="auto" w:before="9"/>
                    <w:rPr>
                      <w:rFonts w:ascii="宋体" w:hAnsi="宋体" w:cs="宋体" w:eastAsia="宋体" w:hint="default"/>
                      <w:sz w:val="15"/>
                      <w:szCs w:val="15"/>
                    </w:rPr>
                  </w:pPr>
                </w:p>
                <w:p>
                  <w:pPr>
                    <w:pStyle w:val="BodyText"/>
                    <w:spacing w:line="240" w:lineRule="auto"/>
                    <w:ind w:left="0" w:right="0"/>
                    <w:jc w:val="left"/>
                  </w:pPr>
                  <w:r>
                    <w:rPr/>
                    <w:t>有）</w:t>
                  </w:r>
                </w:p>
              </w:txbxContent>
            </v:textbox>
            <w10:wrap type="none"/>
          </v:shape>
        </w:pict>
      </w:r>
      <w:r>
        <w:rPr/>
        <w:pict>
          <v:shape style="position:absolute;margin-left:56.400002pt;margin-top:-105.118256pt;width:479.3pt;height:547.550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1"/>
                    <w:gridCol w:w="1369"/>
                    <w:gridCol w:w="1368"/>
                    <w:gridCol w:w="684"/>
                    <w:gridCol w:w="684"/>
                    <w:gridCol w:w="684"/>
                    <w:gridCol w:w="684"/>
                    <w:gridCol w:w="1369"/>
                    <w:gridCol w:w="1368"/>
                  </w:tblGrid>
                  <w:tr>
                    <w:trPr>
                      <w:trHeight w:val="67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普通保险产品</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-022L-CT001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中广核财务有限 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1.96%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名股东的情况（如</w:t>
                        </w:r>
                      </w:p>
                    </w:tc>
                    <w:tc>
                      <w:tcPr>
                        <w:tcW w:w="136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nil" w:sz="6" w:space="0" w:color="auto"/>
                          <w:bottom w:val="single" w:sz="4" w:space="0" w:color="000000"/>
                          <w:right w:val="nil" w:sz="6" w:space="0" w:color="auto"/>
                        </w:tcBorders>
                      </w:tcPr>
                      <w:p>
                        <w:pPr/>
                      </w:p>
                    </w:tc>
                    <w:tc>
                      <w:tcPr>
                        <w:tcW w:w="684" w:type="dxa"/>
                        <w:tcBorders>
                          <w:top w:val="single" w:sz="4" w:space="0" w:color="000000"/>
                          <w:left w:val="nil" w:sz="6" w:space="0" w:color="auto"/>
                          <w:bottom w:val="single" w:sz="4" w:space="0" w:color="000000"/>
                          <w:right w:val="nil" w:sz="6" w:space="0" w:color="auto"/>
                        </w:tcBorders>
                      </w:tcPr>
                      <w:p>
                        <w:pPr/>
                      </w:p>
                    </w:tc>
                    <w:tc>
                      <w:tcPr>
                        <w:tcW w:w="684" w:type="dxa"/>
                        <w:tcBorders>
                          <w:top w:val="single" w:sz="4" w:space="0" w:color="000000"/>
                          <w:left w:val="nil" w:sz="6" w:space="0" w:color="auto"/>
                          <w:bottom w:val="single" w:sz="4" w:space="0" w:color="000000"/>
                          <w:right w:val="nil" w:sz="6" w:space="0" w:color="auto"/>
                        </w:tcBorders>
                      </w:tcPr>
                      <w:p>
                        <w:pPr/>
                      </w:p>
                    </w:tc>
                    <w:tc>
                      <w:tcPr>
                        <w:tcW w:w="684" w:type="dxa"/>
                        <w:tcBorders>
                          <w:top w:val="single" w:sz="4" w:space="0" w:color="000000"/>
                          <w:left w:val="nil" w:sz="6" w:space="0" w:color="auto"/>
                          <w:bottom w:val="single" w:sz="4" w:space="0" w:color="000000"/>
                          <w:right w:val="nil" w:sz="6" w:space="0" w:color="auto"/>
                        </w:tcBorders>
                      </w:tcPr>
                      <w:p>
                        <w:pPr/>
                      </w:p>
                    </w:tc>
                    <w:tc>
                      <w:tcPr>
                        <w:tcW w:w="1369" w:type="dxa"/>
                        <w:tcBorders>
                          <w:top w:val="single" w:sz="4" w:space="0" w:color="000000"/>
                          <w:left w:val="nil" w:sz="6" w:space="0" w:color="auto"/>
                          <w:bottom w:val="single" w:sz="4" w:space="0" w:color="000000"/>
                          <w:right w:val="nil" w:sz="6" w:space="0" w:color="auto"/>
                        </w:tcBorders>
                      </w:tcPr>
                      <w:p>
                        <w:pPr/>
                      </w:p>
                    </w:tc>
                    <w:tc>
                      <w:tcPr>
                        <w:tcW w:w="1368" w:type="dxa"/>
                        <w:tcBorders>
                          <w:top w:val="single" w:sz="4" w:space="0" w:color="000000"/>
                          <w:left w:val="nil" w:sz="6" w:space="0" w:color="auto"/>
                          <w:bottom w:val="single" w:sz="4" w:space="0" w:color="000000"/>
                          <w:right w:val="single" w:sz="4" w:space="0" w:color="000000"/>
                        </w:tcBorders>
                      </w:tcPr>
                      <w:p>
                        <w:pPr/>
                      </w:p>
                    </w:tc>
                  </w:tr>
                  <w:tr>
                    <w:trPr>
                      <w:trHeight w:val="473" w:hRule="exact"/>
                    </w:trPr>
                    <w:tc>
                      <w:tcPr>
                        <w:tcW w:w="27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41" w:type="dxa"/>
                        <w:gridSpan w:val="7"/>
                        <w:vMerge w:val="restart"/>
                        <w:tcBorders>
                          <w:top w:val="single" w:sz="4" w:space="0" w:color="000000"/>
                          <w:left w:val="single" w:sz="10" w:space="0" w:color="D2D2D2"/>
                          <w:right w:val="single" w:sz="4" w:space="0" w:color="000000"/>
                        </w:tcBorders>
                      </w:tcPr>
                      <w:p>
                        <w:pPr>
                          <w:pStyle w:val="TableParagraph"/>
                          <w:spacing w:line="304" w:lineRule="auto" w:before="49"/>
                          <w:ind w:left="16" w:right="20"/>
                          <w:jc w:val="both"/>
                          <w:rPr>
                            <w:rFonts w:ascii="宋体" w:hAnsi="宋体" w:cs="宋体" w:eastAsia="宋体" w:hint="default"/>
                            <w:sz w:val="18"/>
                            <w:szCs w:val="18"/>
                          </w:rPr>
                        </w:pPr>
                        <w:r>
                          <w:rPr>
                            <w:rFonts w:ascii="宋体" w:hAnsi="宋体" w:cs="宋体" w:eastAsia="宋体" w:hint="default"/>
                            <w:sz w:val="18"/>
                            <w:szCs w:val="18"/>
                          </w:rPr>
                          <w:t>束龙胜为芜湖市鑫诚科技投资有限公司一致行动人，束龙胜持有本公司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23.84</w:t>
                        </w:r>
                        <w:r>
                          <w:rPr>
                            <w:rFonts w:ascii="宋体" w:hAnsi="宋体" w:cs="宋体" w:eastAsia="宋体" w:hint="default"/>
                            <w:sz w:val="18"/>
                            <w:szCs w:val="18"/>
                          </w:rPr>
                          <w:t>％的股份 通过持有芜湖市鑫诚科技投资有限公司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99.88</w:t>
                        </w:r>
                        <w:r>
                          <w:rPr>
                            <w:rFonts w:ascii="宋体" w:hAnsi="宋体" w:cs="宋体" w:eastAsia="宋体" w:hint="default"/>
                            <w:sz w:val="18"/>
                            <w:szCs w:val="18"/>
                          </w:rPr>
                          <w:t>％的股份间接持有本公司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8.98</w:t>
                        </w:r>
                        <w:r>
                          <w:rPr>
                            <w:rFonts w:ascii="宋体" w:hAnsi="宋体" w:cs="宋体" w:eastAsia="宋体" w:hint="default"/>
                            <w:sz w:val="18"/>
                            <w:szCs w:val="18"/>
                          </w:rPr>
                          <w:t>％的股份， 合并持有本公司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32.82</w:t>
                        </w:r>
                        <w:r>
                          <w:rPr>
                            <w:rFonts w:ascii="宋体" w:hAnsi="宋体" w:cs="宋体" w:eastAsia="宋体" w:hint="default"/>
                            <w:sz w:val="18"/>
                            <w:szCs w:val="18"/>
                          </w:rPr>
                          <w:t>％的股份，为公司第一大股东和实际控制人。未知公司上述其他 </w:t>
                        </w:r>
                        <w:r>
                          <w:rPr>
                            <w:rFonts w:ascii="宋体" w:hAnsi="宋体" w:cs="宋体" w:eastAsia="宋体" w:hint="default"/>
                            <w:spacing w:val="-2"/>
                            <w:sz w:val="18"/>
                            <w:szCs w:val="18"/>
                          </w:rPr>
                          <w:t>无限售条件股东之间是否存在关联关系及是否属于《上市公司股东持股变动信息披露管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理办法》中规定的一致行动人。</w:t>
                        </w:r>
                      </w:p>
                    </w:tc>
                  </w:tr>
                  <w:tr>
                    <w:trPr>
                      <w:trHeight w:val="703" w:hRule="exact"/>
                    </w:trPr>
                    <w:tc>
                      <w:tcPr>
                        <w:tcW w:w="273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7"/>
                        <w:vMerge/>
                        <w:tcBorders>
                          <w:left w:val="single" w:sz="10" w:space="0" w:color="D2D2D2"/>
                          <w:right w:val="single" w:sz="4" w:space="0" w:color="000000"/>
                        </w:tcBorders>
                      </w:tcPr>
                      <w:p>
                        <w:pPr/>
                      </w:p>
                    </w:tc>
                  </w:tr>
                  <w:tr>
                    <w:trPr>
                      <w:trHeight w:val="473" w:hRule="exact"/>
                    </w:trPr>
                    <w:tc>
                      <w:tcPr>
                        <w:tcW w:w="27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41" w:type="dxa"/>
                        <w:gridSpan w:val="7"/>
                        <w:vMerge/>
                        <w:tcBorders>
                          <w:left w:val="single" w:sz="10" w:space="0" w:color="D2D2D2"/>
                          <w:bottom w:val="single" w:sz="4" w:space="0" w:color="000000"/>
                          <w:right w:val="single" w:sz="4" w:space="0" w:color="000000"/>
                        </w:tcBorders>
                      </w:tcPr>
                      <w:p>
                        <w:pPr/>
                      </w:p>
                    </w:tc>
                  </w:tr>
                  <w:tr>
                    <w:trPr>
                      <w:trHeight w:val="40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4"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73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30" w:type="dxa"/>
                        <w:gridSpan w:val="2"/>
                        <w:vMerge/>
                        <w:tcBorders>
                          <w:left w:val="single" w:sz="4" w:space="0" w:color="000000"/>
                          <w:bottom w:val="nil" w:sz="6" w:space="0" w:color="auto"/>
                          <w:right w:val="single" w:sz="4" w:space="0" w:color="000000"/>
                        </w:tcBorders>
                        <w:shd w:val="clear" w:color="auto" w:fill="D2D2D2"/>
                      </w:tcPr>
                      <w:p>
                        <w:pPr/>
                      </w:p>
                    </w:tc>
                    <w:tc>
                      <w:tcPr>
                        <w:tcW w:w="4104" w:type="dxa"/>
                        <w:gridSpan w:val="5"/>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4"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芜湖市鑫诚科技投资有限公司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36,720,936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36,720,936</w:t>
                        </w: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合肥世纪创新投资有限公司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32,593,309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32,593,309</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24,366,836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24,366,836</w:t>
                        </w: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芜湖市鸠江建设投资有限公司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15,309,400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15,309,400</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芜湖市建设投资有限公司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13,540,512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13,540,512</w:t>
                        </w: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安徽省国有资产运营有限公司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12,497,486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12,497,486</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安徽鑫科新材料股份有限公司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11,918,396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11,918,396</w:t>
                        </w:r>
                      </w:p>
                    </w:tc>
                  </w:tr>
                  <w:tr>
                    <w:trPr>
                      <w:trHeight w:val="715"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中国建设银行－华富竞争力优选 混合型证券投资基金</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2,042,755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2,042,755</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华泰证券股份有限公司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1,257,797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1,257,797</w:t>
                        </w: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王艳艳</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904,100</w:t>
                        </w:r>
                      </w:p>
                    </w:tc>
                  </w:tr>
                  <w:tr>
                    <w:trPr>
                      <w:trHeight w:val="1649"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4" w:right="8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41"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left"/>
                          <w:rPr>
                            <w:rFonts w:ascii="宋体" w:hAnsi="宋体" w:cs="宋体" w:eastAsia="宋体" w:hint="default"/>
                            <w:sz w:val="18"/>
                            <w:szCs w:val="18"/>
                          </w:rPr>
                        </w:pPr>
                        <w:r>
                          <w:rPr>
                            <w:rFonts w:ascii="宋体" w:hAnsi="宋体" w:cs="宋体" w:eastAsia="宋体" w:hint="default"/>
                            <w:spacing w:val="-2"/>
                            <w:sz w:val="18"/>
                            <w:szCs w:val="18"/>
                          </w:rPr>
                          <w:t>公司前十名股东中，束龙胜为芜湖市鑫诚科技投资有限公司一致行动人，束龙胜持有本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公司</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23.84</w:t>
                        </w:r>
                        <w:r>
                          <w:rPr>
                            <w:rFonts w:ascii="宋体" w:hAnsi="宋体" w:cs="宋体" w:eastAsia="宋体" w:hint="default"/>
                            <w:spacing w:val="-3"/>
                            <w:sz w:val="18"/>
                            <w:szCs w:val="18"/>
                          </w:rPr>
                          <w:t>％的股份，通过持有芜湖市鑫诚科技投资有限公司</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99.88</w:t>
                        </w:r>
                        <w:r>
                          <w:rPr>
                            <w:rFonts w:ascii="宋体" w:hAnsi="宋体" w:cs="宋体" w:eastAsia="宋体" w:hint="default"/>
                            <w:sz w:val="18"/>
                            <w:szCs w:val="18"/>
                          </w:rPr>
                          <w:t>％的股份间接持有本</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8.98</w:t>
                        </w:r>
                        <w:r>
                          <w:rPr>
                            <w:rFonts w:ascii="宋体" w:hAnsi="宋体" w:cs="宋体" w:eastAsia="宋体" w:hint="default"/>
                            <w:sz w:val="18"/>
                            <w:szCs w:val="18"/>
                          </w:rPr>
                          <w:t>％的股份，合并持有本公司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32.82</w:t>
                        </w:r>
                        <w:r>
                          <w:rPr>
                            <w:rFonts w:ascii="宋体" w:hAnsi="宋体" w:cs="宋体" w:eastAsia="宋体" w:hint="default"/>
                            <w:sz w:val="18"/>
                            <w:szCs w:val="18"/>
                          </w:rPr>
                          <w:t>％的股份，为公司第一大股东和实际控制人 </w:t>
                        </w:r>
                        <w:r>
                          <w:rPr>
                            <w:rFonts w:ascii="宋体" w:hAnsi="宋体" w:cs="宋体" w:eastAsia="宋体" w:hint="default"/>
                            <w:spacing w:val="-2"/>
                            <w:sz w:val="18"/>
                            <w:szCs w:val="18"/>
                          </w:rPr>
                          <w:t>未知公司上述其他无限售条件股东之间是否存在关联关系及是否属于《上市公司股东持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股变动信息披露管理办法》中规定的一致行动人。</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before="44"/>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自然人</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04"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3"/>
        <w:jc w:val="left"/>
      </w:pPr>
      <w:r>
        <w:rPr/>
        <w:t>自然人</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04"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bl>
    <w:p>
      <w:pPr>
        <w:pStyle w:val="BodyText"/>
        <w:spacing w:line="240" w:lineRule="auto" w:before="49"/>
        <w:ind w:right="1123"/>
        <w:jc w:val="left"/>
      </w:pPr>
      <w:r>
        <w:rPr/>
        <w:t>公司与实际控制人之间的产权及控制关系的方框图</w:t>
      </w:r>
    </w:p>
    <w:p>
      <w:pPr>
        <w:spacing w:line="240" w:lineRule="auto" w:before="5"/>
        <w:rPr>
          <w:rFonts w:ascii="宋体" w:hAnsi="宋体" w:cs="宋体" w:eastAsia="宋体" w:hint="default"/>
          <w:sz w:val="27"/>
          <w:szCs w:val="27"/>
        </w:rPr>
      </w:pPr>
    </w:p>
    <w:p>
      <w:pPr>
        <w:spacing w:line="5395" w:lineRule="exact"/>
        <w:ind w:left="1010" w:right="0" w:firstLine="0"/>
        <w:rPr>
          <w:rFonts w:ascii="宋体" w:hAnsi="宋体" w:cs="宋体" w:eastAsia="宋体" w:hint="default"/>
          <w:sz w:val="20"/>
          <w:szCs w:val="20"/>
        </w:rPr>
      </w:pPr>
      <w:r>
        <w:rPr>
          <w:rFonts w:ascii="宋体" w:hAnsi="宋体" w:cs="宋体" w:eastAsia="宋体" w:hint="default"/>
          <w:position w:val="-107"/>
          <w:sz w:val="20"/>
          <w:szCs w:val="20"/>
        </w:rPr>
        <w:drawing>
          <wp:inline distT="0" distB="0" distL="0" distR="0">
            <wp:extent cx="4997588" cy="3426142"/>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7" cstate="print"/>
                    <a:stretch>
                      <a:fillRect/>
                    </a:stretch>
                  </pic:blipFill>
                  <pic:spPr>
                    <a:xfrm>
                      <a:off x="0" y="0"/>
                      <a:ext cx="4997588" cy="3426142"/>
                    </a:xfrm>
                    <a:prstGeom prst="rect">
                      <a:avLst/>
                    </a:prstGeom>
                  </pic:spPr>
                </pic:pic>
              </a:graphicData>
            </a:graphic>
          </wp:inline>
        </w:drawing>
      </w:r>
      <w:r>
        <w:rPr>
          <w:rFonts w:ascii="宋体" w:hAnsi="宋体" w:cs="宋体" w:eastAsia="宋体" w:hint="default"/>
          <w:position w:val="-107"/>
          <w:sz w:val="20"/>
          <w:szCs w:val="20"/>
        </w:rPr>
      </w:r>
    </w:p>
    <w:p>
      <w:pPr>
        <w:spacing w:after="0" w:line="5395" w:lineRule="exact"/>
        <w:rPr>
          <w:rFonts w:ascii="宋体" w:hAnsi="宋体" w:cs="宋体" w:eastAsia="宋体" w:hint="default"/>
          <w:sz w:val="20"/>
          <w:szCs w:val="20"/>
        </w:rPr>
        <w:sectPr>
          <w:pgSz w:w="11910" w:h="16840"/>
          <w:pgMar w:header="877" w:footer="1340" w:top="1060" w:bottom="1540" w:left="980" w:right="0"/>
        </w:sectPr>
      </w:pPr>
    </w:p>
    <w:p>
      <w:pPr>
        <w:spacing w:line="240" w:lineRule="auto" w:before="0"/>
        <w:rPr>
          <w:rFonts w:ascii="宋体" w:hAnsi="宋体" w:cs="宋体" w:eastAsia="宋体" w:hint="default"/>
          <w:sz w:val="20"/>
          <w:szCs w:val="20"/>
        </w:rPr>
      </w:pPr>
      <w:r>
        <w:rPr/>
        <w:pict>
          <v:shape style="position:absolute;margin-left:101.660004pt;margin-top:664.899963pt;width:85.35pt;height:15.6pt;mso-position-horizontal-relative:page;mso-position-vertical-relative:page;z-index:-830080" type="#_x0000_t202" filled="false" stroked="false">
            <v:textbox inset="0,0,0,0">
              <w:txbxContent>
                <w:p>
                  <w:pPr>
                    <w:pStyle w:val="BodyText"/>
                    <w:spacing w:line="240" w:lineRule="auto" w:before="49"/>
                    <w:ind w:left="0" w:right="0"/>
                    <w:jc w:val="left"/>
                  </w:pPr>
                  <w:r>
                    <w:rPr/>
                    <w:t>副总经理、</w:t>
                  </w:r>
                </w:p>
              </w:txbxContent>
            </v:textbox>
            <w10:wrap type="none"/>
          </v:shape>
        </w:pict>
      </w:r>
    </w:p>
    <w:p>
      <w:pPr>
        <w:pStyle w:val="Heading1"/>
        <w:spacing w:line="240" w:lineRule="auto" w:before="165"/>
        <w:ind w:left="1679" w:right="1123"/>
        <w:jc w:val="left"/>
        <w:rPr>
          <w:b w:val="0"/>
          <w:bCs w:val="0"/>
        </w:rPr>
      </w:pPr>
      <w:r>
        <w:rPr/>
        <w:t>第七节</w:t>
      </w:r>
      <w:r>
        <w:rPr>
          <w:spacing w:val="-8"/>
        </w:rPr>
        <w:t> </w:t>
      </w:r>
      <w:r>
        <w:rPr/>
        <w:t>董事、监事、高级管理人员和员工情况</w:t>
      </w:r>
      <w:r>
        <w:rPr>
          <w:b w:val="0"/>
          <w:bCs w:val="0"/>
        </w:rPr>
      </w:r>
    </w:p>
    <w:p>
      <w:pPr>
        <w:spacing w:line="240" w:lineRule="auto" w:before="8"/>
        <w:rPr>
          <w:rFonts w:ascii="宋体" w:hAnsi="宋体" w:cs="宋体" w:eastAsia="宋体" w:hint="default"/>
          <w:b/>
          <w:bCs/>
          <w:sz w:val="31"/>
          <w:szCs w:val="31"/>
        </w:rPr>
      </w:pPr>
    </w:p>
    <w:p>
      <w:pPr>
        <w:pStyle w:val="Heading2"/>
        <w:spacing w:line="240" w:lineRule="auto"/>
        <w:ind w:right="1123"/>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1025"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1"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6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69"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48,733,673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48,733,673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97,467,346</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唐荣保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524,100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张琼</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张鲁毅</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庄明福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姚禄仕</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汪和俊</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肖学东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查秉忠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陈邦莲</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梅红艳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王金海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23" w:right="113"/>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43pt;height:15.6pt;mso-position-horizontal-relative:char;mso-position-vertical-relative:line" coordorigin="0,0" coordsize="860,312">
                  <v:group style="position:absolute;left:0;top:0;width:860;height:312" coordorigin="0,0" coordsize="860,312">
                    <v:shape style="position:absolute;left:0;top:0;width:860;height:312" coordorigin="0,0" coordsize="860,312" path="m0,312l859,312,859,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程晓龙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付龙胜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孙国财</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宛玉超</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总工程师</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444,100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766,300</w:t>
            </w:r>
          </w:p>
        </w:tc>
      </w:tr>
      <w:tr>
        <w:trPr>
          <w:trHeight w:val="71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赵晓顺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陶黎明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财务部负 责人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49,701,873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49,701,873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99,183,646</w:t>
            </w:r>
          </w:p>
        </w:tc>
      </w:tr>
    </w:tbl>
    <w:p>
      <w:pPr>
        <w:spacing w:line="240" w:lineRule="auto" w:before="1"/>
        <w:rPr>
          <w:rFonts w:ascii="宋体" w:hAnsi="宋体" w:cs="宋体" w:eastAsia="宋体" w:hint="default"/>
          <w:b/>
          <w:bCs/>
          <w:sz w:val="18"/>
          <w:szCs w:val="18"/>
        </w:rPr>
      </w:pPr>
    </w:p>
    <w:p>
      <w:pPr>
        <w:spacing w:before="26"/>
        <w:ind w:left="152" w:right="0" w:firstLine="0"/>
        <w:jc w:val="both"/>
        <w:rPr>
          <w:rFonts w:ascii="宋体" w:hAnsi="宋体" w:cs="宋体" w:eastAsia="宋体" w:hint="default"/>
          <w:sz w:val="24"/>
          <w:szCs w:val="24"/>
        </w:rPr>
      </w:pPr>
      <w:r>
        <w:rPr>
          <w:rFonts w:ascii="宋体" w:hAnsi="宋体" w:cs="宋体" w:eastAsia="宋体" w:hint="default"/>
          <w:b/>
          <w:bCs/>
          <w:sz w:val="24"/>
          <w:szCs w:val="24"/>
        </w:rPr>
        <w:t>二、任职情况</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spacing w:line="256" w:lineRule="auto" w:before="80"/>
        <w:ind w:left="573"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、董事任职情况</w:t>
      </w:r>
      <w:r>
        <w:rPr>
          <w:rFonts w:ascii="宋体" w:hAnsi="宋体" w:cs="宋体" w:eastAsia="宋体" w:hint="default"/>
          <w:w w:val="100"/>
          <w:sz w:val="21"/>
          <w:szCs w:val="21"/>
        </w:rPr>
        <w:t> </w:t>
      </w:r>
      <w:r>
        <w:rPr>
          <w:rFonts w:ascii="宋体" w:hAnsi="宋体" w:cs="宋体" w:eastAsia="宋体" w:hint="default"/>
          <w:sz w:val="21"/>
          <w:szCs w:val="21"/>
        </w:rPr>
        <w:t>束龙胜：男，中国国籍，无境外永久居留权，</w:t>
      </w:r>
      <w:r>
        <w:rPr>
          <w:rFonts w:ascii="宋体" w:hAnsi="宋体" w:cs="宋体" w:eastAsia="宋体" w:hint="default"/>
          <w:sz w:val="21"/>
          <w:szCs w:val="21"/>
        </w:rPr>
        <w:t>1963</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月出生，研究生学历，高级工程师，曾任铜陵</w:t>
      </w:r>
    </w:p>
    <w:p>
      <w:pPr>
        <w:spacing w:line="273" w:lineRule="auto" w:before="23"/>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市磷铵厂技术员，芜湖市电器设备厂厂长、芜湖市时创信用担保有限公司董事，现任公司董事长、芜湖市</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鑫诚科技投资有限公司董事长，安徽鑫龙自动化有限公司董事长，安徽鑫龙变压器有限公司董事长，安徽</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鑫东投资管理有限公司董事长，安徽佑赛科技有限公司董事长，芜湖斯高思电器有限公司董事长。</w:t>
      </w:r>
    </w:p>
    <w:p>
      <w:pPr>
        <w:spacing w:line="273" w:lineRule="auto" w:before="7"/>
        <w:ind w:left="152" w:right="1131" w:firstLine="420"/>
        <w:jc w:val="both"/>
        <w:rPr>
          <w:rFonts w:ascii="宋体" w:hAnsi="宋体" w:cs="宋体" w:eastAsia="宋体" w:hint="default"/>
          <w:sz w:val="21"/>
          <w:szCs w:val="21"/>
        </w:rPr>
      </w:pPr>
      <w:r>
        <w:rPr>
          <w:rFonts w:ascii="宋体" w:hAnsi="宋体" w:cs="宋体" w:eastAsia="宋体" w:hint="default"/>
          <w:sz w:val="21"/>
          <w:szCs w:val="21"/>
        </w:rPr>
        <w:t>唐荣保：男，中国国籍，无境外永久居留权，</w:t>
      </w:r>
      <w:r>
        <w:rPr>
          <w:rFonts w:ascii="宋体" w:hAnsi="宋体" w:cs="宋体" w:eastAsia="宋体" w:hint="default"/>
          <w:sz w:val="21"/>
          <w:szCs w:val="21"/>
        </w:rPr>
        <w:t>1963</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月出生，本科学历，高级工程师，曾就职于马</w:t>
      </w:r>
      <w:r>
        <w:rPr>
          <w:rFonts w:ascii="宋体" w:hAnsi="宋体" w:cs="宋体" w:eastAsia="宋体" w:hint="default"/>
          <w:w w:val="100"/>
          <w:sz w:val="21"/>
          <w:szCs w:val="21"/>
        </w:rPr>
        <w:t> </w:t>
      </w:r>
      <w:r>
        <w:rPr>
          <w:rFonts w:ascii="宋体" w:hAnsi="宋体" w:cs="宋体" w:eastAsia="宋体" w:hint="default"/>
          <w:spacing w:val="-2"/>
          <w:sz w:val="21"/>
          <w:szCs w:val="21"/>
        </w:rPr>
        <w:t>鞍山无线电厂，深圳王氏港建集团，芜湖市电器设备厂。现任公司副董事长、安徽森源电器有限公司董事</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长。</w:t>
      </w:r>
    </w:p>
    <w:p>
      <w:pPr>
        <w:spacing w:line="273" w:lineRule="auto" w:before="7"/>
        <w:ind w:left="152" w:right="0" w:firstLine="420"/>
        <w:jc w:val="left"/>
        <w:rPr>
          <w:rFonts w:ascii="宋体" w:hAnsi="宋体" w:cs="宋体" w:eastAsia="宋体" w:hint="default"/>
          <w:sz w:val="21"/>
          <w:szCs w:val="21"/>
        </w:rPr>
      </w:pPr>
      <w:r>
        <w:rPr>
          <w:rFonts w:ascii="宋体" w:hAnsi="宋体" w:cs="宋体" w:eastAsia="宋体" w:hint="default"/>
          <w:spacing w:val="-2"/>
          <w:sz w:val="21"/>
          <w:szCs w:val="21"/>
        </w:rPr>
        <w:t>张琼：女，中国国籍，无境外永久居留权，</w:t>
      </w:r>
      <w:r>
        <w:rPr>
          <w:rFonts w:ascii="宋体" w:hAnsi="宋体" w:cs="宋体" w:eastAsia="宋体" w:hint="default"/>
          <w:spacing w:val="-2"/>
          <w:sz w:val="21"/>
          <w:szCs w:val="21"/>
        </w:rPr>
        <w:t>1958</w:t>
      </w:r>
      <w:r>
        <w:rPr>
          <w:rFonts w:ascii="宋体" w:hAnsi="宋体" w:cs="宋体" w:eastAsia="宋体" w:hint="default"/>
          <w:spacing w:val="-2"/>
          <w:sz w:val="21"/>
          <w:szCs w:val="21"/>
        </w:rPr>
        <w:t>年</w:t>
      </w:r>
      <w:r>
        <w:rPr>
          <w:rFonts w:ascii="宋体" w:hAnsi="宋体" w:cs="宋体" w:eastAsia="宋体" w:hint="default"/>
          <w:spacing w:val="-2"/>
          <w:sz w:val="21"/>
          <w:szCs w:val="21"/>
        </w:rPr>
        <w:t>1</w:t>
      </w:r>
      <w:r>
        <w:rPr>
          <w:rFonts w:ascii="宋体" w:hAnsi="宋体" w:cs="宋体" w:eastAsia="宋体" w:hint="default"/>
          <w:spacing w:val="-2"/>
          <w:sz w:val="21"/>
          <w:szCs w:val="21"/>
        </w:rPr>
        <w:t>月出生，中共党员，法学硕士学位，副教授职称，</w:t>
      </w:r>
      <w:r>
        <w:rPr>
          <w:rFonts w:ascii="宋体" w:hAnsi="宋体" w:cs="宋体" w:eastAsia="宋体" w:hint="default"/>
          <w:w w:val="100"/>
          <w:sz w:val="21"/>
          <w:szCs w:val="21"/>
        </w:rPr>
        <w:t> </w:t>
      </w:r>
      <w:r>
        <w:rPr>
          <w:rFonts w:ascii="宋体" w:hAnsi="宋体" w:cs="宋体" w:eastAsia="宋体" w:hint="default"/>
          <w:spacing w:val="-2"/>
          <w:sz w:val="21"/>
          <w:szCs w:val="21"/>
        </w:rPr>
        <w:t>注册企业法律顾问、律师。</w:t>
      </w:r>
      <w:r>
        <w:rPr>
          <w:rFonts w:ascii="宋体" w:hAnsi="宋体" w:cs="宋体" w:eastAsia="宋体" w:hint="default"/>
          <w:spacing w:val="-2"/>
          <w:sz w:val="21"/>
          <w:szCs w:val="21"/>
        </w:rPr>
        <w:t>1987</w:t>
      </w:r>
      <w:r>
        <w:rPr>
          <w:rFonts w:ascii="宋体" w:hAnsi="宋体" w:cs="宋体" w:eastAsia="宋体" w:hint="default"/>
          <w:spacing w:val="-2"/>
          <w:sz w:val="21"/>
          <w:szCs w:val="21"/>
        </w:rPr>
        <w:t>年</w:t>
      </w:r>
      <w:r>
        <w:rPr>
          <w:rFonts w:ascii="宋体" w:hAnsi="宋体" w:cs="宋体" w:eastAsia="宋体" w:hint="default"/>
          <w:spacing w:val="-2"/>
          <w:sz w:val="21"/>
          <w:szCs w:val="21"/>
        </w:rPr>
        <w:t>7</w:t>
      </w:r>
      <w:r>
        <w:rPr>
          <w:rFonts w:ascii="宋体" w:hAnsi="宋体" w:cs="宋体" w:eastAsia="宋体" w:hint="default"/>
          <w:spacing w:val="-2"/>
          <w:sz w:val="21"/>
          <w:szCs w:val="21"/>
        </w:rPr>
        <w:t>月至</w:t>
      </w:r>
      <w:r>
        <w:rPr>
          <w:rFonts w:ascii="宋体" w:hAnsi="宋体" w:cs="宋体" w:eastAsia="宋体" w:hint="default"/>
          <w:spacing w:val="-2"/>
          <w:sz w:val="21"/>
          <w:szCs w:val="21"/>
        </w:rPr>
        <w:t>1995</w:t>
      </w:r>
      <w:r>
        <w:rPr>
          <w:rFonts w:ascii="宋体" w:hAnsi="宋体" w:cs="宋体" w:eastAsia="宋体" w:hint="default"/>
          <w:spacing w:val="-2"/>
          <w:sz w:val="21"/>
          <w:szCs w:val="21"/>
        </w:rPr>
        <w:t>年</w:t>
      </w:r>
      <w:r>
        <w:rPr>
          <w:rFonts w:ascii="宋体" w:hAnsi="宋体" w:cs="宋体" w:eastAsia="宋体" w:hint="default"/>
          <w:spacing w:val="-2"/>
          <w:sz w:val="21"/>
          <w:szCs w:val="21"/>
        </w:rPr>
        <w:t>3</w:t>
      </w:r>
      <w:r>
        <w:rPr>
          <w:rFonts w:ascii="宋体" w:hAnsi="宋体" w:cs="宋体" w:eastAsia="宋体" w:hint="default"/>
          <w:spacing w:val="-2"/>
          <w:sz w:val="21"/>
          <w:szCs w:val="21"/>
        </w:rPr>
        <w:t>月任安徽大学法律系讲师、副教授；</w:t>
      </w:r>
      <w:r>
        <w:rPr>
          <w:rFonts w:ascii="宋体" w:hAnsi="宋体" w:cs="宋体" w:eastAsia="宋体" w:hint="default"/>
          <w:spacing w:val="-2"/>
          <w:sz w:val="21"/>
          <w:szCs w:val="21"/>
        </w:rPr>
        <w:t>1995</w:t>
      </w:r>
      <w:r>
        <w:rPr>
          <w:rFonts w:ascii="宋体" w:hAnsi="宋体" w:cs="宋体" w:eastAsia="宋体" w:hint="default"/>
          <w:spacing w:val="-2"/>
          <w:sz w:val="21"/>
          <w:szCs w:val="21"/>
        </w:rPr>
        <w:t>年</w:t>
      </w:r>
      <w:r>
        <w:rPr>
          <w:rFonts w:ascii="宋体" w:hAnsi="宋体" w:cs="宋体" w:eastAsia="宋体" w:hint="default"/>
          <w:spacing w:val="-2"/>
          <w:sz w:val="21"/>
          <w:szCs w:val="21"/>
        </w:rPr>
        <w:t>3</w:t>
      </w:r>
      <w:r>
        <w:rPr>
          <w:rFonts w:ascii="宋体" w:hAnsi="宋体" w:cs="宋体" w:eastAsia="宋体" w:hint="default"/>
          <w:spacing w:val="-2"/>
          <w:sz w:val="21"/>
          <w:szCs w:val="21"/>
        </w:rPr>
        <w:t>月至</w:t>
      </w:r>
      <w:r>
        <w:rPr>
          <w:rFonts w:ascii="宋体" w:hAnsi="宋体" w:cs="宋体" w:eastAsia="宋体" w:hint="default"/>
          <w:spacing w:val="-2"/>
          <w:sz w:val="21"/>
          <w:szCs w:val="21"/>
        </w:rPr>
        <w:t>1999</w:t>
      </w:r>
      <w:r>
        <w:rPr>
          <w:rFonts w:ascii="宋体" w:hAnsi="宋体" w:cs="宋体" w:eastAsia="宋体" w:hint="default"/>
          <w:spacing w:val="-2"/>
          <w:sz w:val="21"/>
          <w:szCs w:val="21"/>
        </w:rPr>
        <w:t>年</w:t>
      </w:r>
      <w:r>
        <w:rPr>
          <w:rFonts w:ascii="宋体" w:hAnsi="宋体" w:cs="宋体" w:eastAsia="宋体" w:hint="default"/>
          <w:spacing w:val="-2"/>
          <w:sz w:val="21"/>
          <w:szCs w:val="21"/>
        </w:rPr>
        <w:t>9</w:t>
      </w:r>
      <w:r>
        <w:rPr>
          <w:rFonts w:ascii="宋体" w:hAnsi="宋体" w:cs="宋体" w:eastAsia="宋体" w:hint="default"/>
          <w:spacing w:val="-29"/>
          <w:sz w:val="21"/>
          <w:szCs w:val="21"/>
        </w:rPr>
        <w:t> </w:t>
      </w:r>
      <w:r>
        <w:rPr>
          <w:rFonts w:ascii="宋体" w:hAnsi="宋体" w:cs="宋体" w:eastAsia="宋体" w:hint="default"/>
          <w:spacing w:val="-2"/>
          <w:sz w:val="21"/>
          <w:szCs w:val="21"/>
        </w:rPr>
        <w:t>月曾任深圳市华为技术有限公司知识产权处副处长、法律事务处主任等职务。现任公司董事、深圳市创新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5"/>
          <w:sz w:val="21"/>
          <w:szCs w:val="21"/>
        </w:rPr>
        <w:t>投资集团有限公司风险控制委员会委员、投资决策委员会委员、安徽红土创业投资有限公司董事兼总经理、 </w:t>
      </w:r>
      <w:r>
        <w:rPr>
          <w:rFonts w:ascii="宋体" w:hAnsi="宋体" w:cs="宋体" w:eastAsia="宋体" w:hint="default"/>
          <w:spacing w:val="-5"/>
          <w:sz w:val="21"/>
          <w:szCs w:val="21"/>
        </w:rPr>
      </w:r>
      <w:r>
        <w:rPr>
          <w:rFonts w:ascii="宋体" w:hAnsi="宋体" w:cs="宋体" w:eastAsia="宋体" w:hint="default"/>
          <w:sz w:val="21"/>
          <w:szCs w:val="21"/>
        </w:rPr>
        <w:t>安徽红土创业投资管理有限公司总经理、合肥世纪创新投资有限公司董事兼总经理。</w:t>
      </w:r>
    </w:p>
    <w:p>
      <w:pPr>
        <w:spacing w:line="273" w:lineRule="auto" w:before="7"/>
        <w:ind w:left="152" w:right="1131" w:firstLine="420"/>
        <w:jc w:val="both"/>
        <w:rPr>
          <w:rFonts w:ascii="宋体" w:hAnsi="宋体" w:cs="宋体" w:eastAsia="宋体" w:hint="default"/>
          <w:sz w:val="21"/>
          <w:szCs w:val="21"/>
        </w:rPr>
      </w:pPr>
      <w:r>
        <w:rPr>
          <w:rFonts w:ascii="宋体" w:hAnsi="宋体" w:cs="宋体" w:eastAsia="宋体" w:hint="default"/>
          <w:sz w:val="21"/>
          <w:szCs w:val="21"/>
        </w:rPr>
        <w:t>张鲁毅：男，中国国籍，无境外永久居留权，</w:t>
      </w:r>
      <w:r>
        <w:rPr>
          <w:rFonts w:ascii="宋体" w:hAnsi="宋体" w:cs="宋体" w:eastAsia="宋体" w:hint="default"/>
          <w:sz w:val="21"/>
          <w:szCs w:val="21"/>
        </w:rPr>
        <w:t>1956</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月出生，本科学历，高级经济师，曾任安徽省</w:t>
      </w:r>
      <w:r>
        <w:rPr>
          <w:rFonts w:ascii="宋体" w:hAnsi="宋体" w:cs="宋体" w:eastAsia="宋体" w:hint="default"/>
          <w:w w:val="100"/>
          <w:sz w:val="21"/>
          <w:szCs w:val="21"/>
        </w:rPr>
        <w:t> </w:t>
      </w:r>
      <w:r>
        <w:rPr>
          <w:rFonts w:ascii="宋体" w:hAnsi="宋体" w:cs="宋体" w:eastAsia="宋体" w:hint="default"/>
          <w:sz w:val="21"/>
          <w:szCs w:val="21"/>
        </w:rPr>
        <w:t>财政厅副处长、处长。现任公司董事、安徽省国有资产运营有限公司董事长兼总经理。</w:t>
      </w:r>
    </w:p>
    <w:p>
      <w:pPr>
        <w:spacing w:line="273" w:lineRule="auto" w:before="7"/>
        <w:ind w:left="152" w:right="1129" w:firstLine="420"/>
        <w:jc w:val="both"/>
        <w:rPr>
          <w:rFonts w:ascii="宋体" w:hAnsi="宋体" w:cs="宋体" w:eastAsia="宋体" w:hint="default"/>
          <w:sz w:val="21"/>
          <w:szCs w:val="21"/>
        </w:rPr>
      </w:pPr>
      <w:r>
        <w:rPr>
          <w:rFonts w:ascii="宋体" w:hAnsi="宋体" w:cs="宋体" w:eastAsia="宋体" w:hint="default"/>
          <w:sz w:val="21"/>
          <w:szCs w:val="21"/>
        </w:rPr>
        <w:t>庄明福：男，中国国籍，无境外永久居留权，</w:t>
      </w:r>
      <w:r>
        <w:rPr>
          <w:rFonts w:ascii="宋体" w:hAnsi="宋体" w:cs="宋体" w:eastAsia="宋体" w:hint="default"/>
          <w:sz w:val="21"/>
          <w:szCs w:val="21"/>
        </w:rPr>
        <w:t>1966</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月出生，大专学历，会计师，曾任芜湖恒鑫铜</w:t>
      </w:r>
      <w:r>
        <w:rPr>
          <w:rFonts w:ascii="宋体" w:hAnsi="宋体" w:cs="宋体" w:eastAsia="宋体" w:hint="default"/>
          <w:w w:val="100"/>
          <w:sz w:val="21"/>
          <w:szCs w:val="21"/>
        </w:rPr>
        <w:t> </w:t>
      </w:r>
      <w:r>
        <w:rPr>
          <w:rFonts w:ascii="宋体" w:hAnsi="宋体" w:cs="宋体" w:eastAsia="宋体" w:hint="default"/>
          <w:spacing w:val="-2"/>
          <w:sz w:val="21"/>
          <w:szCs w:val="21"/>
        </w:rPr>
        <w:t>业集团有限公司股改办副主任、财务科长、财务部主任、安徽鑫科新材料股份有限公司财务部主任、财务</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副总监等职。现任公司董事、鑫科材料财务总监、董秘。</w:t>
      </w:r>
    </w:p>
    <w:p>
      <w:pPr>
        <w:spacing w:line="273" w:lineRule="auto" w:before="7"/>
        <w:ind w:left="152" w:right="1131" w:firstLine="420"/>
        <w:jc w:val="both"/>
        <w:rPr>
          <w:rFonts w:ascii="宋体" w:hAnsi="宋体" w:cs="宋体" w:eastAsia="宋体" w:hint="default"/>
          <w:sz w:val="21"/>
          <w:szCs w:val="21"/>
        </w:rPr>
      </w:pPr>
      <w:r>
        <w:rPr>
          <w:rFonts w:ascii="宋体" w:hAnsi="宋体" w:cs="宋体" w:eastAsia="宋体" w:hint="default"/>
          <w:sz w:val="21"/>
          <w:szCs w:val="21"/>
        </w:rPr>
        <w:t>李小庆：男，中国国籍，无境外永久居留权，</w:t>
      </w:r>
      <w:r>
        <w:rPr>
          <w:rFonts w:ascii="宋体" w:hAnsi="宋体" w:cs="宋体" w:eastAsia="宋体" w:hint="default"/>
          <w:sz w:val="21"/>
          <w:szCs w:val="21"/>
        </w:rPr>
        <w:t>1964</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月出生，本科学历，高级工程师，曾任芜湖市</w:t>
      </w:r>
      <w:r>
        <w:rPr>
          <w:rFonts w:ascii="宋体" w:hAnsi="宋体" w:cs="宋体" w:eastAsia="宋体" w:hint="default"/>
          <w:w w:val="100"/>
          <w:sz w:val="21"/>
          <w:szCs w:val="21"/>
        </w:rPr>
        <w:t> </w:t>
      </w:r>
      <w:r>
        <w:rPr>
          <w:rFonts w:ascii="宋体" w:hAnsi="宋体" w:cs="宋体" w:eastAsia="宋体" w:hint="default"/>
          <w:spacing w:val="-2"/>
          <w:sz w:val="21"/>
          <w:szCs w:val="21"/>
        </w:rPr>
        <w:t>粮油食品局科员，芜湖市益新面粉公司科长、副总经理。现任公司董事兼副总经理、安徽鑫龙电力工程安</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装有限公司董事长。</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z w:val="21"/>
          <w:szCs w:val="21"/>
        </w:rPr>
        <w:t>姚禄仕：男，中国国籍，无境外永久居留权，</w:t>
      </w:r>
      <w:r>
        <w:rPr>
          <w:rFonts w:ascii="宋体" w:hAnsi="宋体" w:cs="宋体" w:eastAsia="宋体" w:hint="default"/>
          <w:sz w:val="21"/>
          <w:szCs w:val="21"/>
        </w:rPr>
        <w:t>1962</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月出生，管理学博士，教授。</w:t>
      </w:r>
      <w:r>
        <w:rPr>
          <w:rFonts w:ascii="宋体" w:hAnsi="宋体" w:cs="宋体" w:eastAsia="宋体" w:hint="default"/>
          <w:sz w:val="21"/>
          <w:szCs w:val="21"/>
        </w:rPr>
        <w:t>1985</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月至今</w:t>
      </w:r>
      <w:r>
        <w:rPr>
          <w:rFonts w:ascii="宋体" w:hAnsi="宋体" w:cs="宋体" w:eastAsia="宋体" w:hint="default"/>
          <w:w w:val="100"/>
          <w:sz w:val="21"/>
          <w:szCs w:val="21"/>
        </w:rPr>
        <w:t> </w:t>
      </w:r>
      <w:r>
        <w:rPr>
          <w:rFonts w:ascii="宋体" w:hAnsi="宋体" w:cs="宋体" w:eastAsia="宋体" w:hint="default"/>
          <w:spacing w:val="-2"/>
          <w:sz w:val="21"/>
          <w:szCs w:val="21"/>
        </w:rPr>
        <w:t>在合肥工业大学管理学院任教。现任公司独立董事、合肥工业大学管理学院会计系主任、证券期货研究所</w:t>
      </w:r>
    </w:p>
    <w:p>
      <w:pPr>
        <w:spacing w:after="0" w:line="273" w:lineRule="auto"/>
        <w:jc w:val="both"/>
        <w:rPr>
          <w:rFonts w:ascii="宋体" w:hAnsi="宋体" w:cs="宋体" w:eastAsia="宋体" w:hint="default"/>
          <w:sz w:val="21"/>
          <w:szCs w:val="21"/>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spacing w:line="273" w:lineRule="auto" w:before="36"/>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所长、中国会计学会高等工科院校分会副秘书长、铜陵有色金属集团控股有限公司独立董事、皖通科技股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份有限公司独立董事、洽洽食品股份有限公司独立董事。</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z w:val="21"/>
          <w:szCs w:val="21"/>
        </w:rPr>
        <w:t>汪和俊：男，中国国籍，无境外永久居留权，</w:t>
      </w:r>
      <w:r>
        <w:rPr>
          <w:rFonts w:ascii="宋体" w:hAnsi="宋体" w:cs="宋体" w:eastAsia="宋体" w:hint="default"/>
          <w:sz w:val="21"/>
          <w:szCs w:val="21"/>
        </w:rPr>
        <w:t>1977</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月出生，大专学历，中国注册会计师，中国注</w:t>
      </w:r>
      <w:r>
        <w:rPr>
          <w:rFonts w:ascii="宋体" w:hAnsi="宋体" w:cs="宋体" w:eastAsia="宋体" w:hint="default"/>
          <w:w w:val="100"/>
          <w:sz w:val="21"/>
          <w:szCs w:val="21"/>
        </w:rPr>
        <w:t> </w:t>
      </w:r>
      <w:r>
        <w:rPr>
          <w:rFonts w:ascii="宋体" w:hAnsi="宋体" w:cs="宋体" w:eastAsia="宋体" w:hint="default"/>
          <w:spacing w:val="-2"/>
          <w:sz w:val="21"/>
          <w:szCs w:val="21"/>
        </w:rPr>
        <w:t>册税务师，曾就职于安徽无为国家粮食储备库、安徽永诚会计师事务所、安徽新安会计师事务所、开元信</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德会计师事务所安徽分所。现任公司独立董事、北京兴华会计师事务所有限责任公司合伙人兼安徽分所所</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长、安徽和讯税务师事务所有限公司董事长。</w:t>
      </w:r>
    </w:p>
    <w:p>
      <w:pPr>
        <w:spacing w:line="273" w:lineRule="auto" w:before="7"/>
        <w:ind w:left="152" w:right="1131" w:firstLine="420"/>
        <w:jc w:val="both"/>
        <w:rPr>
          <w:rFonts w:ascii="宋体" w:hAnsi="宋体" w:cs="宋体" w:eastAsia="宋体" w:hint="default"/>
          <w:sz w:val="21"/>
          <w:szCs w:val="21"/>
        </w:rPr>
      </w:pPr>
      <w:r>
        <w:rPr>
          <w:rFonts w:ascii="宋体" w:hAnsi="宋体" w:cs="宋体" w:eastAsia="宋体" w:hint="default"/>
          <w:sz w:val="21"/>
          <w:szCs w:val="21"/>
        </w:rPr>
        <w:t>肖学东：男，中国国籍，无境外永久居留权，</w:t>
      </w:r>
      <w:r>
        <w:rPr>
          <w:rFonts w:ascii="宋体" w:hAnsi="宋体" w:cs="宋体" w:eastAsia="宋体" w:hint="default"/>
          <w:sz w:val="21"/>
          <w:szCs w:val="21"/>
        </w:rPr>
        <w:t>1943</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月出生，本科学历，历任安徽机电学院机械科</w:t>
      </w:r>
      <w:r>
        <w:rPr>
          <w:rFonts w:ascii="宋体" w:hAnsi="宋体" w:cs="宋体" w:eastAsia="宋体" w:hint="default"/>
          <w:w w:val="100"/>
          <w:sz w:val="21"/>
          <w:szCs w:val="21"/>
        </w:rPr>
        <w:t> </w:t>
      </w:r>
      <w:r>
        <w:rPr>
          <w:rFonts w:ascii="宋体" w:hAnsi="宋体" w:cs="宋体" w:eastAsia="宋体" w:hint="default"/>
          <w:sz w:val="21"/>
          <w:szCs w:val="21"/>
        </w:rPr>
        <w:t>副科长、科长、副处长、处长、电气系党总支书记、副院长，现已退休。现任公司独立董事。</w:t>
      </w:r>
    </w:p>
    <w:p>
      <w:pPr>
        <w:spacing w:line="240" w:lineRule="auto" w:before="6"/>
        <w:rPr>
          <w:rFonts w:ascii="宋体" w:hAnsi="宋体" w:cs="宋体" w:eastAsia="宋体" w:hint="default"/>
          <w:sz w:val="24"/>
          <w:szCs w:val="24"/>
        </w:rPr>
      </w:pPr>
    </w:p>
    <w:p>
      <w:pPr>
        <w:spacing w:line="256" w:lineRule="auto" w:before="0"/>
        <w:ind w:left="573"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、监事任职情况</w:t>
      </w:r>
      <w:r>
        <w:rPr>
          <w:rFonts w:ascii="宋体" w:hAnsi="宋体" w:cs="宋体" w:eastAsia="宋体" w:hint="default"/>
          <w:w w:val="100"/>
          <w:sz w:val="21"/>
          <w:szCs w:val="21"/>
        </w:rPr>
        <w:t> </w:t>
      </w:r>
      <w:r>
        <w:rPr>
          <w:rFonts w:ascii="宋体" w:hAnsi="宋体" w:cs="宋体" w:eastAsia="宋体" w:hint="default"/>
          <w:sz w:val="21"/>
          <w:szCs w:val="21"/>
        </w:rPr>
        <w:t>查秉忠：男，中国国籍，无境外永久居留权，</w:t>
      </w:r>
      <w:r>
        <w:rPr>
          <w:rFonts w:ascii="宋体" w:hAnsi="宋体" w:cs="宋体" w:eastAsia="宋体" w:hint="default"/>
          <w:sz w:val="21"/>
          <w:szCs w:val="21"/>
        </w:rPr>
        <w:t>1962</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月出生，研究生学历，曾任芜湖市环城信用社</w:t>
      </w:r>
    </w:p>
    <w:p>
      <w:pPr>
        <w:spacing w:line="273" w:lineRule="auto" w:before="22"/>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主任，芜湖市镜湖城市信用社主任，芜湖市商业银行镜湖支行行长。现任公司监事会主席，芜湖市鸠江建</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设投资有限公司副总经理。</w:t>
      </w:r>
    </w:p>
    <w:p>
      <w:pPr>
        <w:spacing w:line="273" w:lineRule="auto" w:before="7"/>
        <w:ind w:left="152" w:right="1127" w:firstLine="420"/>
        <w:jc w:val="both"/>
        <w:rPr>
          <w:rFonts w:ascii="宋体" w:hAnsi="宋体" w:cs="宋体" w:eastAsia="宋体" w:hint="default"/>
          <w:sz w:val="21"/>
          <w:szCs w:val="21"/>
        </w:rPr>
      </w:pPr>
      <w:r>
        <w:rPr>
          <w:rFonts w:ascii="宋体" w:hAnsi="宋体" w:cs="宋体" w:eastAsia="宋体" w:hint="default"/>
          <w:sz w:val="21"/>
          <w:szCs w:val="21"/>
        </w:rPr>
        <w:t>陈邦莲：女，中国国籍，无境外永久居留权，</w:t>
      </w:r>
      <w:r>
        <w:rPr>
          <w:rFonts w:ascii="宋体" w:hAnsi="宋体" w:cs="宋体" w:eastAsia="宋体" w:hint="default"/>
          <w:sz w:val="21"/>
          <w:szCs w:val="21"/>
        </w:rPr>
        <w:t>1972</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月出生，中专学历，</w:t>
      </w:r>
      <w:r>
        <w:rPr>
          <w:rFonts w:ascii="宋体" w:hAnsi="宋体" w:cs="宋体" w:eastAsia="宋体" w:hint="default"/>
          <w:sz w:val="21"/>
          <w:szCs w:val="21"/>
        </w:rPr>
        <w:t>1990</w:t>
      </w:r>
      <w:r>
        <w:rPr>
          <w:rFonts w:ascii="宋体" w:hAnsi="宋体" w:cs="宋体" w:eastAsia="宋体" w:hint="default"/>
          <w:sz w:val="21"/>
          <w:szCs w:val="21"/>
        </w:rPr>
        <w:t>年至今在公司工作，</w:t>
      </w:r>
      <w:r>
        <w:rPr>
          <w:rFonts w:ascii="宋体" w:hAnsi="宋体" w:cs="宋体" w:eastAsia="宋体" w:hint="default"/>
          <w:w w:val="100"/>
          <w:sz w:val="21"/>
          <w:szCs w:val="21"/>
        </w:rPr>
        <w:t> </w:t>
      </w:r>
      <w:r>
        <w:rPr>
          <w:rFonts w:ascii="宋体" w:hAnsi="宋体" w:cs="宋体" w:eastAsia="宋体" w:hint="default"/>
          <w:sz w:val="21"/>
          <w:szCs w:val="21"/>
        </w:rPr>
        <w:t>现为安徽佑赛科技有限公司综管部职员，现任公司监事。</w:t>
      </w:r>
    </w:p>
    <w:p>
      <w:pPr>
        <w:spacing w:line="273" w:lineRule="auto" w:before="7"/>
        <w:ind w:left="152" w:right="0" w:firstLine="420"/>
        <w:jc w:val="left"/>
        <w:rPr>
          <w:rFonts w:ascii="宋体" w:hAnsi="宋体" w:cs="宋体" w:eastAsia="宋体" w:hint="default"/>
          <w:sz w:val="21"/>
          <w:szCs w:val="21"/>
        </w:rPr>
      </w:pPr>
      <w:r>
        <w:rPr>
          <w:rFonts w:ascii="宋体" w:hAnsi="宋体" w:cs="宋体" w:eastAsia="宋体" w:hint="default"/>
          <w:spacing w:val="-4"/>
          <w:sz w:val="21"/>
          <w:szCs w:val="21"/>
        </w:rPr>
        <w:t>梅红艳：女，中国国籍，无境外永久居留权，</w:t>
      </w:r>
      <w:r>
        <w:rPr>
          <w:rFonts w:ascii="宋体" w:hAnsi="宋体" w:cs="宋体" w:eastAsia="宋体" w:hint="default"/>
          <w:spacing w:val="-4"/>
          <w:sz w:val="21"/>
          <w:szCs w:val="21"/>
        </w:rPr>
        <w:t>1981</w:t>
      </w:r>
      <w:r>
        <w:rPr>
          <w:rFonts w:ascii="宋体" w:hAnsi="宋体" w:cs="宋体" w:eastAsia="宋体" w:hint="default"/>
          <w:spacing w:val="-4"/>
          <w:sz w:val="21"/>
          <w:szCs w:val="21"/>
        </w:rPr>
        <w:t>年</w:t>
      </w:r>
      <w:r>
        <w:rPr>
          <w:rFonts w:ascii="宋体" w:hAnsi="宋体" w:cs="宋体" w:eastAsia="宋体" w:hint="default"/>
          <w:spacing w:val="-4"/>
          <w:sz w:val="21"/>
          <w:szCs w:val="21"/>
        </w:rPr>
        <w:t>6</w:t>
      </w:r>
      <w:r>
        <w:rPr>
          <w:rFonts w:ascii="宋体" w:hAnsi="宋体" w:cs="宋体" w:eastAsia="宋体" w:hint="default"/>
          <w:spacing w:val="-4"/>
          <w:sz w:val="21"/>
          <w:szCs w:val="21"/>
        </w:rPr>
        <w:t>月出生，大专学历。</w:t>
      </w:r>
      <w:r>
        <w:rPr>
          <w:rFonts w:ascii="宋体" w:hAnsi="宋体" w:cs="宋体" w:eastAsia="宋体" w:hint="default"/>
          <w:spacing w:val="-4"/>
          <w:sz w:val="21"/>
          <w:szCs w:val="21"/>
        </w:rPr>
        <w:t>2003</w:t>
      </w:r>
      <w:r>
        <w:rPr>
          <w:rFonts w:ascii="宋体" w:hAnsi="宋体" w:cs="宋体" w:eastAsia="宋体" w:hint="default"/>
          <w:spacing w:val="-4"/>
          <w:sz w:val="21"/>
          <w:szCs w:val="21"/>
        </w:rPr>
        <w:t>年</w:t>
      </w:r>
      <w:r>
        <w:rPr>
          <w:rFonts w:ascii="宋体" w:hAnsi="宋体" w:cs="宋体" w:eastAsia="宋体" w:hint="default"/>
          <w:spacing w:val="-4"/>
          <w:sz w:val="21"/>
          <w:szCs w:val="21"/>
        </w:rPr>
        <w:t>2</w:t>
      </w:r>
      <w:r>
        <w:rPr>
          <w:rFonts w:ascii="宋体" w:hAnsi="宋体" w:cs="宋体" w:eastAsia="宋体" w:hint="default"/>
          <w:spacing w:val="-4"/>
          <w:sz w:val="21"/>
          <w:szCs w:val="21"/>
        </w:rPr>
        <w:t>月至今在公司工作，</w:t>
      </w:r>
      <w:r>
        <w:rPr>
          <w:rFonts w:ascii="宋体" w:hAnsi="宋体" w:cs="宋体" w:eastAsia="宋体" w:hint="default"/>
          <w:w w:val="100"/>
          <w:sz w:val="21"/>
          <w:szCs w:val="21"/>
        </w:rPr>
        <w:t> </w:t>
      </w:r>
      <w:r>
        <w:rPr>
          <w:rFonts w:ascii="宋体" w:hAnsi="宋体" w:cs="宋体" w:eastAsia="宋体" w:hint="default"/>
          <w:sz w:val="21"/>
          <w:szCs w:val="21"/>
        </w:rPr>
        <w:t>先后从事公司机械车间统计员、食堂统计员、行政部职员，现任公司监事。</w:t>
      </w:r>
    </w:p>
    <w:p>
      <w:pPr>
        <w:spacing w:line="240" w:lineRule="auto" w:before="6"/>
        <w:rPr>
          <w:rFonts w:ascii="宋体" w:hAnsi="宋体" w:cs="宋体" w:eastAsia="宋体" w:hint="default"/>
          <w:sz w:val="24"/>
          <w:szCs w:val="24"/>
        </w:rPr>
      </w:pPr>
    </w:p>
    <w:p>
      <w:pPr>
        <w:spacing w:line="273" w:lineRule="auto" w:before="0"/>
        <w:ind w:left="573" w:right="1123"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、其他高级管理人员任职情况</w:t>
      </w:r>
      <w:r>
        <w:rPr>
          <w:rFonts w:ascii="宋体" w:hAnsi="宋体" w:cs="宋体" w:eastAsia="宋体" w:hint="default"/>
          <w:w w:val="100"/>
          <w:sz w:val="21"/>
          <w:szCs w:val="21"/>
        </w:rPr>
        <w:t> </w:t>
      </w:r>
      <w:r>
        <w:rPr>
          <w:rFonts w:ascii="宋体" w:hAnsi="宋体" w:cs="宋体" w:eastAsia="宋体" w:hint="default"/>
          <w:sz w:val="21"/>
          <w:szCs w:val="21"/>
        </w:rPr>
        <w:t>王金海：男，中国国籍，无境外永久居留权，</w:t>
      </w:r>
      <w:r>
        <w:rPr>
          <w:rFonts w:ascii="宋体" w:hAnsi="宋体" w:cs="宋体" w:eastAsia="宋体" w:hint="default"/>
          <w:sz w:val="21"/>
          <w:szCs w:val="21"/>
        </w:rPr>
        <w:t>1969</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月出生，大专学历，高级经济师，曾就职于芜</w:t>
      </w:r>
    </w:p>
    <w:p>
      <w:pPr>
        <w:spacing w:line="273" w:lineRule="auto" w:before="7"/>
        <w:ind w:left="573" w:right="1123" w:hanging="421"/>
        <w:jc w:val="left"/>
        <w:rPr>
          <w:rFonts w:ascii="宋体" w:hAnsi="宋体" w:cs="宋体" w:eastAsia="宋体" w:hint="default"/>
          <w:sz w:val="21"/>
          <w:szCs w:val="21"/>
        </w:rPr>
      </w:pPr>
      <w:r>
        <w:rPr>
          <w:rFonts w:ascii="宋体" w:hAnsi="宋体" w:cs="宋体" w:eastAsia="宋体" w:hint="default"/>
          <w:sz w:val="21"/>
          <w:szCs w:val="21"/>
        </w:rPr>
        <w:t>湖天安机电公司任工程主管及业务主管。曾任公司副总经理，现任公司总经理。</w:t>
      </w:r>
      <w:r>
        <w:rPr>
          <w:rFonts w:ascii="宋体" w:hAnsi="宋体" w:cs="宋体" w:eastAsia="宋体" w:hint="default"/>
          <w:w w:val="100"/>
          <w:sz w:val="21"/>
          <w:szCs w:val="21"/>
        </w:rPr>
        <w:t> </w:t>
      </w:r>
      <w:r>
        <w:rPr>
          <w:rFonts w:ascii="宋体" w:hAnsi="宋体" w:cs="宋体" w:eastAsia="宋体" w:hint="default"/>
          <w:sz w:val="21"/>
          <w:szCs w:val="21"/>
        </w:rPr>
        <w:t>汪宇：男，中国国籍，无境外永久居留权，</w:t>
      </w:r>
      <w:r>
        <w:rPr>
          <w:rFonts w:ascii="宋体" w:hAnsi="宋体" w:cs="宋体" w:eastAsia="宋体" w:hint="default"/>
          <w:sz w:val="21"/>
          <w:szCs w:val="21"/>
        </w:rPr>
        <w:t>1970</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月出生，研究生学历，会计师，曾任芜湖缝纫机</w:t>
      </w:r>
    </w:p>
    <w:p>
      <w:pPr>
        <w:spacing w:line="273" w:lineRule="auto" w:before="7"/>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厂财务科副科长、副厂长、厂长，芜湖凯元集团副总裁、总裁，公司财务部经理、财务负责人。现任公司</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副总经理兼董事会秘书。</w:t>
      </w:r>
    </w:p>
    <w:p>
      <w:pPr>
        <w:spacing w:line="273" w:lineRule="auto" w:before="8"/>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李骏：男，中国国籍，无境外永久居留权，</w:t>
      </w:r>
      <w:r>
        <w:rPr>
          <w:rFonts w:ascii="宋体" w:hAnsi="宋体" w:cs="宋体" w:eastAsia="宋体" w:hint="default"/>
          <w:spacing w:val="-2"/>
          <w:sz w:val="21"/>
          <w:szCs w:val="21"/>
        </w:rPr>
        <w:t>1964</w:t>
      </w:r>
      <w:r>
        <w:rPr>
          <w:rFonts w:ascii="宋体" w:hAnsi="宋体" w:cs="宋体" w:eastAsia="宋体" w:hint="default"/>
          <w:spacing w:val="-2"/>
          <w:sz w:val="21"/>
          <w:szCs w:val="21"/>
        </w:rPr>
        <w:t>年</w:t>
      </w:r>
      <w:r>
        <w:rPr>
          <w:rFonts w:ascii="宋体" w:hAnsi="宋体" w:cs="宋体" w:eastAsia="宋体" w:hint="default"/>
          <w:spacing w:val="-2"/>
          <w:sz w:val="21"/>
          <w:szCs w:val="21"/>
        </w:rPr>
        <w:t>11</w:t>
      </w:r>
      <w:r>
        <w:rPr>
          <w:rFonts w:ascii="宋体" w:hAnsi="宋体" w:cs="宋体" w:eastAsia="宋体" w:hint="default"/>
          <w:spacing w:val="-2"/>
          <w:sz w:val="21"/>
          <w:szCs w:val="21"/>
        </w:rPr>
        <w:t>月出生，本科学历，高级工程师，曾就职于芜湖</w:t>
      </w:r>
      <w:r>
        <w:rPr>
          <w:rFonts w:ascii="宋体" w:hAnsi="宋体" w:cs="宋体" w:eastAsia="宋体" w:hint="default"/>
          <w:w w:val="100"/>
          <w:sz w:val="21"/>
          <w:szCs w:val="21"/>
        </w:rPr>
        <w:t> </w:t>
      </w:r>
      <w:r>
        <w:rPr>
          <w:rFonts w:ascii="宋体" w:hAnsi="宋体" w:cs="宋体" w:eastAsia="宋体" w:hint="default"/>
          <w:sz w:val="21"/>
          <w:szCs w:val="21"/>
        </w:rPr>
        <w:t>恒鑫集团，曾任公司第四届监事会监事。现任公司副总经理。</w:t>
      </w:r>
    </w:p>
    <w:p>
      <w:pPr>
        <w:spacing w:line="273" w:lineRule="auto" w:before="7"/>
        <w:ind w:left="152" w:right="1131" w:firstLine="420"/>
        <w:jc w:val="both"/>
        <w:rPr>
          <w:rFonts w:ascii="宋体" w:hAnsi="宋体" w:cs="宋体" w:eastAsia="宋体" w:hint="default"/>
          <w:sz w:val="21"/>
          <w:szCs w:val="21"/>
        </w:rPr>
      </w:pPr>
      <w:r>
        <w:rPr>
          <w:rFonts w:ascii="宋体" w:hAnsi="宋体" w:cs="宋体" w:eastAsia="宋体" w:hint="default"/>
          <w:sz w:val="21"/>
          <w:szCs w:val="21"/>
        </w:rPr>
        <w:t>孙国财：男，中国国籍，无境外永久居留权，</w:t>
      </w:r>
      <w:r>
        <w:rPr>
          <w:rFonts w:ascii="宋体" w:hAnsi="宋体" w:cs="宋体" w:eastAsia="宋体" w:hint="default"/>
          <w:sz w:val="21"/>
          <w:szCs w:val="21"/>
        </w:rPr>
        <w:t>1953</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月出生，中专学历，工程师，曾任芜湖市开关</w:t>
      </w:r>
      <w:r>
        <w:rPr>
          <w:rFonts w:ascii="宋体" w:hAnsi="宋体" w:cs="宋体" w:eastAsia="宋体" w:hint="default"/>
          <w:w w:val="100"/>
          <w:sz w:val="21"/>
          <w:szCs w:val="21"/>
        </w:rPr>
        <w:t> </w:t>
      </w:r>
      <w:r>
        <w:rPr>
          <w:rFonts w:ascii="宋体" w:hAnsi="宋体" w:cs="宋体" w:eastAsia="宋体" w:hint="default"/>
          <w:sz w:val="21"/>
          <w:szCs w:val="21"/>
        </w:rPr>
        <w:t>总厂技术副厂长。现任公司副总经理。</w:t>
      </w:r>
    </w:p>
    <w:p>
      <w:pPr>
        <w:spacing w:line="273" w:lineRule="auto" w:before="7"/>
        <w:ind w:left="152" w:right="1131" w:firstLine="420"/>
        <w:jc w:val="both"/>
        <w:rPr>
          <w:rFonts w:ascii="宋体" w:hAnsi="宋体" w:cs="宋体" w:eastAsia="宋体" w:hint="default"/>
          <w:sz w:val="21"/>
          <w:szCs w:val="21"/>
        </w:rPr>
      </w:pPr>
      <w:r>
        <w:rPr>
          <w:rFonts w:ascii="宋体" w:hAnsi="宋体" w:cs="宋体" w:eastAsia="宋体" w:hint="default"/>
          <w:sz w:val="21"/>
          <w:szCs w:val="21"/>
        </w:rPr>
        <w:t>付龙胜：男，中国国籍，无境外永久居留权，</w:t>
      </w:r>
      <w:r>
        <w:rPr>
          <w:rFonts w:ascii="宋体" w:hAnsi="宋体" w:cs="宋体" w:eastAsia="宋体" w:hint="default"/>
          <w:sz w:val="21"/>
          <w:szCs w:val="21"/>
        </w:rPr>
        <w:t>1959</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月出生，中专学历，工程师，曾任芜湖市开关</w:t>
      </w:r>
      <w:r>
        <w:rPr>
          <w:rFonts w:ascii="宋体" w:hAnsi="宋体" w:cs="宋体" w:eastAsia="宋体" w:hint="default"/>
          <w:w w:val="100"/>
          <w:sz w:val="21"/>
          <w:szCs w:val="21"/>
        </w:rPr>
        <w:t> </w:t>
      </w:r>
      <w:r>
        <w:rPr>
          <w:rFonts w:ascii="宋体" w:hAnsi="宋体" w:cs="宋体" w:eastAsia="宋体" w:hint="default"/>
          <w:sz w:val="21"/>
          <w:szCs w:val="21"/>
        </w:rPr>
        <w:t>总厂生产副厂长。现任公司副总经理。</w:t>
      </w:r>
    </w:p>
    <w:p>
      <w:pPr>
        <w:spacing w:line="273" w:lineRule="auto" w:before="7"/>
        <w:ind w:left="152" w:right="1128" w:firstLine="420"/>
        <w:jc w:val="both"/>
        <w:rPr>
          <w:rFonts w:ascii="宋体" w:hAnsi="宋体" w:cs="宋体" w:eastAsia="宋体" w:hint="default"/>
          <w:sz w:val="21"/>
          <w:szCs w:val="21"/>
        </w:rPr>
      </w:pPr>
      <w:r>
        <w:rPr>
          <w:rFonts w:ascii="宋体" w:hAnsi="宋体" w:cs="宋体" w:eastAsia="宋体" w:hint="default"/>
          <w:spacing w:val="-2"/>
          <w:sz w:val="21"/>
          <w:szCs w:val="21"/>
        </w:rPr>
        <w:t>程晓龙：男，中国国籍，无境外永久居留权，</w:t>
      </w:r>
      <w:r>
        <w:rPr>
          <w:rFonts w:ascii="宋体" w:hAnsi="宋体" w:cs="宋体" w:eastAsia="宋体" w:hint="default"/>
          <w:spacing w:val="-2"/>
          <w:sz w:val="21"/>
          <w:szCs w:val="21"/>
        </w:rPr>
        <w:t>1964</w:t>
      </w:r>
      <w:r>
        <w:rPr>
          <w:rFonts w:ascii="宋体" w:hAnsi="宋体" w:cs="宋体" w:eastAsia="宋体" w:hint="default"/>
          <w:spacing w:val="-2"/>
          <w:sz w:val="21"/>
          <w:szCs w:val="21"/>
        </w:rPr>
        <w:t>年</w:t>
      </w:r>
      <w:r>
        <w:rPr>
          <w:rFonts w:ascii="宋体" w:hAnsi="宋体" w:cs="宋体" w:eastAsia="宋体" w:hint="default"/>
          <w:spacing w:val="-2"/>
          <w:sz w:val="21"/>
          <w:szCs w:val="21"/>
        </w:rPr>
        <w:t>10</w:t>
      </w:r>
      <w:r>
        <w:rPr>
          <w:rFonts w:ascii="宋体" w:hAnsi="宋体" w:cs="宋体" w:eastAsia="宋体" w:hint="default"/>
          <w:spacing w:val="-2"/>
          <w:sz w:val="21"/>
          <w:szCs w:val="21"/>
        </w:rPr>
        <w:t>月出生，研究生学历，曾任北京新力医疗设备</w:t>
      </w:r>
      <w:r>
        <w:rPr>
          <w:rFonts w:ascii="宋体" w:hAnsi="宋体" w:cs="宋体" w:eastAsia="宋体" w:hint="default"/>
          <w:w w:val="100"/>
          <w:sz w:val="21"/>
          <w:szCs w:val="21"/>
        </w:rPr>
        <w:t> </w:t>
      </w:r>
      <w:r>
        <w:rPr>
          <w:rFonts w:ascii="宋体" w:hAnsi="宋体" w:cs="宋体" w:eastAsia="宋体" w:hint="default"/>
          <w:sz w:val="21"/>
          <w:szCs w:val="21"/>
        </w:rPr>
        <w:t>有限公司副总经理，芜湖消防器材厂总经济师，芜湖工艺美术厂副厂长。现任公司副总经理。</w:t>
      </w:r>
    </w:p>
    <w:p>
      <w:pPr>
        <w:spacing w:line="273" w:lineRule="auto" w:before="7"/>
        <w:ind w:left="152" w:right="1131" w:firstLine="420"/>
        <w:jc w:val="both"/>
        <w:rPr>
          <w:rFonts w:ascii="宋体" w:hAnsi="宋体" w:cs="宋体" w:eastAsia="宋体" w:hint="default"/>
          <w:sz w:val="21"/>
          <w:szCs w:val="21"/>
        </w:rPr>
      </w:pPr>
      <w:r>
        <w:rPr>
          <w:rFonts w:ascii="宋体" w:hAnsi="宋体" w:cs="宋体" w:eastAsia="宋体" w:hint="default"/>
          <w:sz w:val="21"/>
          <w:szCs w:val="21"/>
        </w:rPr>
        <w:t>张祥：男，中国国籍，无境外永久居留权，</w:t>
      </w:r>
      <w:r>
        <w:rPr>
          <w:rFonts w:ascii="宋体" w:hAnsi="宋体" w:cs="宋体" w:eastAsia="宋体" w:hint="default"/>
          <w:sz w:val="21"/>
          <w:szCs w:val="21"/>
        </w:rPr>
        <w:t>1963</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月出生，本科学历，高级工程师，曾任蚌埠柠檬</w:t>
      </w:r>
      <w:r>
        <w:rPr>
          <w:rFonts w:ascii="宋体" w:hAnsi="宋体" w:cs="宋体" w:eastAsia="宋体" w:hint="default"/>
          <w:w w:val="100"/>
          <w:sz w:val="21"/>
          <w:szCs w:val="21"/>
        </w:rPr>
        <w:t> </w:t>
      </w:r>
      <w:r>
        <w:rPr>
          <w:rFonts w:ascii="宋体" w:hAnsi="宋体" w:cs="宋体" w:eastAsia="宋体" w:hint="default"/>
          <w:sz w:val="21"/>
          <w:szCs w:val="21"/>
        </w:rPr>
        <w:t>酸厂能源办主任。现任公司副总经理、鑫龙低压电器董事长、鑫龙元件销售董事长。</w:t>
      </w:r>
    </w:p>
    <w:p>
      <w:pPr>
        <w:spacing w:line="273" w:lineRule="auto" w:before="7"/>
        <w:ind w:left="152" w:right="1129" w:firstLine="420"/>
        <w:jc w:val="both"/>
        <w:rPr>
          <w:rFonts w:ascii="宋体" w:hAnsi="宋体" w:cs="宋体" w:eastAsia="宋体" w:hint="default"/>
          <w:sz w:val="21"/>
          <w:szCs w:val="21"/>
        </w:rPr>
      </w:pPr>
      <w:r>
        <w:rPr>
          <w:rFonts w:ascii="宋体" w:hAnsi="宋体" w:cs="宋体" w:eastAsia="宋体" w:hint="default"/>
          <w:sz w:val="21"/>
          <w:szCs w:val="21"/>
        </w:rPr>
        <w:t>宛玉超：男，中国国籍，无境外永久居留权，</w:t>
      </w:r>
      <w:r>
        <w:rPr>
          <w:rFonts w:ascii="宋体" w:hAnsi="宋体" w:cs="宋体" w:eastAsia="宋体" w:hint="default"/>
          <w:sz w:val="21"/>
          <w:szCs w:val="21"/>
        </w:rPr>
        <w:t>1958</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月出生，本科学历，曾任芜湖市开关厂试验分</w:t>
      </w:r>
      <w:r>
        <w:rPr>
          <w:rFonts w:ascii="宋体" w:hAnsi="宋体" w:cs="宋体" w:eastAsia="宋体" w:hint="default"/>
          <w:w w:val="100"/>
          <w:sz w:val="21"/>
          <w:szCs w:val="21"/>
        </w:rPr>
        <w:t> </w:t>
      </w:r>
      <w:r>
        <w:rPr>
          <w:rFonts w:ascii="宋体" w:hAnsi="宋体" w:cs="宋体" w:eastAsia="宋体" w:hint="default"/>
          <w:spacing w:val="-2"/>
          <w:sz w:val="21"/>
          <w:szCs w:val="21"/>
        </w:rPr>
        <w:t>厂副厂长，广东东莞基业开关厂技术主管，公司生产部经理、技术部经理、开发部主任、副总工程师。现</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任公司总工程师、鑫龙低压电器总工程师。</w:t>
      </w:r>
    </w:p>
    <w:p>
      <w:pPr>
        <w:spacing w:line="273" w:lineRule="auto" w:before="7"/>
        <w:ind w:left="152" w:right="0" w:firstLine="420"/>
        <w:jc w:val="left"/>
        <w:rPr>
          <w:rFonts w:ascii="宋体" w:hAnsi="宋体" w:cs="宋体" w:eastAsia="宋体" w:hint="default"/>
          <w:sz w:val="21"/>
          <w:szCs w:val="21"/>
        </w:rPr>
      </w:pPr>
      <w:r>
        <w:rPr>
          <w:rFonts w:ascii="宋体" w:hAnsi="宋体" w:cs="宋体" w:eastAsia="宋体" w:hint="default"/>
          <w:spacing w:val="-2"/>
          <w:sz w:val="21"/>
          <w:szCs w:val="21"/>
        </w:rPr>
        <w:t>赵晓顺，中国国籍，无境外永久居留权，</w:t>
      </w:r>
      <w:r>
        <w:rPr>
          <w:rFonts w:ascii="宋体" w:hAnsi="宋体" w:cs="宋体" w:eastAsia="宋体" w:hint="default"/>
          <w:spacing w:val="-2"/>
          <w:sz w:val="21"/>
          <w:szCs w:val="21"/>
        </w:rPr>
        <w:t>1965</w:t>
      </w:r>
      <w:r>
        <w:rPr>
          <w:rFonts w:ascii="宋体" w:hAnsi="宋体" w:cs="宋体" w:eastAsia="宋体" w:hint="default"/>
          <w:spacing w:val="-2"/>
          <w:sz w:val="21"/>
          <w:szCs w:val="21"/>
        </w:rPr>
        <w:t>年</w:t>
      </w:r>
      <w:r>
        <w:rPr>
          <w:rFonts w:ascii="宋体" w:hAnsi="宋体" w:cs="宋体" w:eastAsia="宋体" w:hint="default"/>
          <w:spacing w:val="-2"/>
          <w:sz w:val="21"/>
          <w:szCs w:val="21"/>
        </w:rPr>
        <w:t>4</w:t>
      </w:r>
      <w:r>
        <w:rPr>
          <w:rFonts w:ascii="宋体" w:hAnsi="宋体" w:cs="宋体" w:eastAsia="宋体" w:hint="default"/>
          <w:spacing w:val="-2"/>
          <w:sz w:val="21"/>
          <w:szCs w:val="21"/>
        </w:rPr>
        <w:t>月出生，大专学历。曾就职于中国银行湖北省分行、</w:t>
      </w:r>
      <w:r>
        <w:rPr>
          <w:rFonts w:ascii="宋体" w:hAnsi="宋体" w:cs="宋体" w:eastAsia="宋体" w:hint="default"/>
          <w:w w:val="100"/>
          <w:sz w:val="21"/>
          <w:szCs w:val="21"/>
        </w:rPr>
        <w:t> </w:t>
      </w:r>
      <w:r>
        <w:rPr>
          <w:rFonts w:ascii="宋体" w:hAnsi="宋体" w:cs="宋体" w:eastAsia="宋体" w:hint="default"/>
          <w:sz w:val="21"/>
          <w:szCs w:val="21"/>
        </w:rPr>
        <w:t>招商银行武汉分行。现任公司副总经理。</w:t>
      </w:r>
    </w:p>
    <w:p>
      <w:pPr>
        <w:spacing w:line="273" w:lineRule="auto" w:before="7"/>
        <w:ind w:left="152" w:right="1131" w:firstLine="420"/>
        <w:jc w:val="both"/>
        <w:rPr>
          <w:rFonts w:ascii="宋体" w:hAnsi="宋体" w:cs="宋体" w:eastAsia="宋体" w:hint="default"/>
          <w:sz w:val="21"/>
          <w:szCs w:val="21"/>
        </w:rPr>
      </w:pPr>
      <w:r>
        <w:rPr>
          <w:rFonts w:ascii="宋体" w:hAnsi="宋体" w:cs="宋体" w:eastAsia="宋体" w:hint="default"/>
          <w:sz w:val="21"/>
          <w:szCs w:val="21"/>
        </w:rPr>
        <w:t>陶黎明，中国国籍，无境外永久居留权，</w:t>
      </w:r>
      <w:r>
        <w:rPr>
          <w:rFonts w:ascii="宋体" w:hAnsi="宋体" w:cs="宋体" w:eastAsia="宋体" w:hint="default"/>
          <w:sz w:val="21"/>
          <w:szCs w:val="21"/>
        </w:rPr>
        <w:t>1975</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月出生，本科学历，中国注册会计师，曾就职于芜</w:t>
      </w:r>
      <w:r>
        <w:rPr>
          <w:rFonts w:ascii="宋体" w:hAnsi="宋体" w:cs="宋体" w:eastAsia="宋体" w:hint="default"/>
          <w:w w:val="100"/>
          <w:sz w:val="21"/>
          <w:szCs w:val="21"/>
        </w:rPr>
        <w:t> </w:t>
      </w:r>
      <w:r>
        <w:rPr>
          <w:rFonts w:ascii="宋体" w:hAnsi="宋体" w:cs="宋体" w:eastAsia="宋体" w:hint="default"/>
          <w:sz w:val="21"/>
          <w:szCs w:val="21"/>
        </w:rPr>
        <w:t>湖市轻工工艺品进出口公司，南京中达制膜（集团）股份有限公司。现任公司财务负责人。</w:t>
      </w:r>
    </w:p>
    <w:p>
      <w:pPr>
        <w:spacing w:line="240" w:lineRule="auto" w:before="2"/>
        <w:rPr>
          <w:rFonts w:ascii="宋体" w:hAnsi="宋体" w:cs="宋体" w:eastAsia="宋体" w:hint="default"/>
          <w:sz w:val="29"/>
          <w:szCs w:val="29"/>
        </w:rPr>
      </w:pPr>
    </w:p>
    <w:p>
      <w:pPr>
        <w:pStyle w:val="BodyText"/>
        <w:spacing w:line="240" w:lineRule="auto"/>
        <w:ind w:right="1123"/>
        <w:jc w:val="left"/>
      </w:pPr>
      <w:r>
        <w:rPr/>
        <w:pict>
          <v:group style="position:absolute;margin-left:460.320007pt;margin-top:35.171722pt;width:135pt;height:77pt;mso-position-horizontal-relative:page;mso-position-vertical-relative:paragraph;z-index:-830032" coordorigin="9206,703" coordsize="2700,1540">
            <v:shape style="position:absolute;left:9206;top:703;width:2700;height:1540" type="#_x0000_t75" stroked="false">
              <v:imagedata r:id="rId15" o:title=""/>
            </v:shape>
            <v:shape style="position:absolute;left:10593;top:1064;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37</w:t>
                    </w:r>
                  </w:p>
                </w:txbxContent>
              </v:textbox>
              <w10:wrap type="none"/>
            </v:shape>
            <w10:wrap type="none"/>
          </v:group>
        </w:pict>
      </w:r>
      <w:r>
        <w:rPr/>
        <w:t>在股东单位任职情况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9"/>
        <w:gridCol w:w="3191"/>
        <w:gridCol w:w="1065"/>
        <w:gridCol w:w="1196"/>
        <w:gridCol w:w="1330"/>
        <w:gridCol w:w="1588"/>
      </w:tblGrid>
      <w:tr>
        <w:trPr>
          <w:trHeight w:val="403"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5" w:right="0"/>
              <w:jc w:val="left"/>
              <w:rPr>
                <w:rFonts w:ascii="宋体" w:hAnsi="宋体" w:cs="宋体" w:eastAsia="宋体" w:hint="default"/>
                <w:sz w:val="18"/>
                <w:szCs w:val="18"/>
              </w:rPr>
            </w:pPr>
            <w:r>
              <w:rPr>
                <w:rFonts w:ascii="宋体" w:hAnsi="宋体" w:cs="宋体" w:eastAsia="宋体" w:hint="default"/>
                <w:sz w:val="18"/>
                <w:szCs w:val="18"/>
              </w:rPr>
              <w:t>在股东单位</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68" w:right="0"/>
              <w:jc w:val="left"/>
              <w:rPr>
                <w:rFonts w:ascii="宋体" w:hAnsi="宋体" w:cs="宋体" w:eastAsia="宋体" w:hint="default"/>
                <w:sz w:val="18"/>
                <w:szCs w:val="18"/>
              </w:rPr>
            </w:pPr>
            <w:r>
              <w:rPr>
                <w:rFonts w:ascii="宋体" w:hAnsi="宋体" w:cs="宋体" w:eastAsia="宋体" w:hint="default"/>
                <w:sz w:val="18"/>
                <w:szCs w:val="18"/>
              </w:rPr>
              <w:t>在股东单位是否领</w:t>
            </w:r>
          </w:p>
        </w:tc>
      </w:tr>
    </w:tbl>
    <w:p>
      <w:pPr>
        <w:spacing w:after="0" w:line="240" w:lineRule="auto"/>
        <w:jc w:val="left"/>
        <w:rPr>
          <w:rFonts w:ascii="宋体" w:hAnsi="宋体" w:cs="宋体" w:eastAsia="宋体" w:hint="default"/>
          <w:sz w:val="18"/>
          <w:szCs w:val="18"/>
        </w:rPr>
        <w:sectPr>
          <w:headerReference w:type="default" r:id="rId18"/>
          <w:footerReference w:type="default" r:id="rId19"/>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6"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38" w:right="0"/>
              <w:jc w:val="left"/>
              <w:rPr>
                <w:rFonts w:ascii="宋体" w:hAnsi="宋体" w:cs="宋体" w:eastAsia="宋体" w:hint="default"/>
                <w:sz w:val="18"/>
                <w:szCs w:val="18"/>
              </w:rPr>
            </w:pPr>
            <w:r>
              <w:rPr>
                <w:rFonts w:ascii="宋体" w:hAnsi="宋体" w:cs="宋体" w:eastAsia="宋体" w:hint="default"/>
                <w:sz w:val="18"/>
                <w:szCs w:val="18"/>
              </w:rPr>
              <w:t>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合肥世纪创新投资有限公司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0"/>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张鲁毅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安徽省国有资产运营有限公司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0"/>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庄明福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安徽鑫科新材料股份有限公司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12"/>
                <w:sz w:val="18"/>
                <w:szCs w:val="18"/>
              </w:rPr>
              <w:t>财务总监、董</w:t>
            </w:r>
            <w:r>
              <w:rPr>
                <w:rFonts w:ascii="宋体" w:hAnsi="宋体" w:cs="宋体" w:eastAsia="宋体" w:hint="default"/>
                <w:sz w:val="18"/>
                <w:szCs w:val="18"/>
              </w:rPr>
              <w:t> 秘</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查秉忠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芜湖市鸠江建设投资有限公司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123"/>
        <w:jc w:val="left"/>
      </w:pPr>
      <w:r>
        <w:rPr/>
        <w:t>在其他单位任职情况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姚禄仕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合肥工业大学管理学院会计系</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汪和俊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北京兴华会计师事务所有限责任公司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合伙人兼安 徽分所所长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三、董事、监事、高级管理人员报酬情况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3"/>
        <w:jc w:val="left"/>
      </w:pPr>
      <w:r>
        <w:rPr/>
        <w:t>董事、监事、高级管理人员报酬的决策程序、确定依据</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000"/>
        <w:gridCol w:w="7571"/>
      </w:tblGrid>
      <w:tr>
        <w:trPr>
          <w:trHeight w:val="739" w:hRule="exact"/>
        </w:trPr>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 员报酬的决策程序</w:t>
            </w:r>
          </w:p>
        </w:tc>
        <w:tc>
          <w:tcPr>
            <w:tcW w:w="7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6"/>
              <w:jc w:val="left"/>
              <w:rPr>
                <w:rFonts w:ascii="宋体" w:hAnsi="宋体" w:cs="宋体" w:eastAsia="宋体" w:hint="default"/>
                <w:sz w:val="18"/>
                <w:szCs w:val="18"/>
              </w:rPr>
            </w:pPr>
            <w:r>
              <w:rPr>
                <w:rFonts w:ascii="宋体" w:hAnsi="宋体" w:cs="宋体" w:eastAsia="宋体" w:hint="default"/>
                <w:sz w:val="18"/>
                <w:szCs w:val="18"/>
              </w:rPr>
              <w:t>经董事会薪酬与考核委员会审定后提交董事会审议，决策程序符合〈公司法〉，《公司章程》，</w:t>
            </w:r>
          </w:p>
          <w:p>
            <w:pPr>
              <w:pStyle w:val="TableParagraph"/>
              <w:spacing w:line="240" w:lineRule="auto" w:before="74"/>
              <w:ind w:left="2" w:right="0"/>
              <w:jc w:val="left"/>
              <w:rPr>
                <w:rFonts w:ascii="宋体" w:hAnsi="宋体" w:cs="宋体" w:eastAsia="宋体" w:hint="default"/>
                <w:sz w:val="18"/>
                <w:szCs w:val="18"/>
              </w:rPr>
            </w:pPr>
            <w:r>
              <w:rPr>
                <w:rFonts w:ascii="宋体" w:hAnsi="宋体" w:cs="宋体" w:eastAsia="宋体" w:hint="default"/>
                <w:sz w:val="18"/>
                <w:szCs w:val="18"/>
              </w:rPr>
              <w:t>《董事会薪酬委员会工作细则》的相关规定。</w:t>
            </w:r>
          </w:p>
        </w:tc>
      </w:tr>
      <w:tr>
        <w:trPr>
          <w:trHeight w:val="1052" w:hRule="exact"/>
        </w:trPr>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 员报酬确定依据</w:t>
            </w:r>
          </w:p>
        </w:tc>
        <w:tc>
          <w:tcPr>
            <w:tcW w:w="757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70"/>
              <w:jc w:val="both"/>
              <w:rPr>
                <w:rFonts w:ascii="宋体" w:hAnsi="宋体" w:cs="宋体" w:eastAsia="宋体" w:hint="default"/>
                <w:sz w:val="18"/>
                <w:szCs w:val="18"/>
              </w:rPr>
            </w:pPr>
            <w:r>
              <w:rPr>
                <w:rFonts w:ascii="宋体" w:hAnsi="宋体" w:cs="宋体" w:eastAsia="宋体" w:hint="default"/>
                <w:sz w:val="18"/>
                <w:szCs w:val="18"/>
              </w:rPr>
              <w:t>公司依据《高管人员薪酬管理制度》和股东大会审议通过的〈关于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安徽鑫龙电器股份有限公司 高级管理人员薪酬方案</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的议案〉、《关于调整公司独立董事津贴的议案》以及董事会审议通过 的《关于调整公司高级管理人员的议案》确定董事、监事、高管人员报酬。</w:t>
            </w:r>
          </w:p>
        </w:tc>
      </w:tr>
      <w:tr>
        <w:trPr>
          <w:trHeight w:val="1051" w:hRule="exact"/>
        </w:trPr>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 员报酬的实际支付情况</w:t>
            </w:r>
          </w:p>
        </w:tc>
        <w:tc>
          <w:tcPr>
            <w:tcW w:w="757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2" w:right="-1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公司现任董事、监事、高级管理人员实际在公司领取报酬有</w:t>
            </w:r>
            <w:r>
              <w:rPr>
                <w:rFonts w:ascii="Times New Roman" w:hAnsi="Times New Roman" w:cs="Times New Roman" w:eastAsia="Times New Roman" w:hint="default"/>
                <w:sz w:val="18"/>
                <w:szCs w:val="18"/>
              </w:rPr>
              <w:t>18</w:t>
            </w:r>
            <w:r>
              <w:rPr>
                <w:rFonts w:ascii="宋体" w:hAnsi="宋体" w:cs="宋体" w:eastAsia="宋体" w:hint="default"/>
                <w:sz w:val="18"/>
                <w:szCs w:val="18"/>
              </w:rPr>
              <w:t>人，截止</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日，董事、 监事、高级管理人员在公司领取的年度报酬的总数为</w:t>
            </w:r>
            <w:r>
              <w:rPr>
                <w:rFonts w:ascii="Times New Roman" w:hAnsi="Times New Roman" w:cs="Times New Roman" w:eastAsia="Times New Roman" w:hint="default"/>
                <w:sz w:val="18"/>
                <w:szCs w:val="18"/>
              </w:rPr>
              <w:t>1,858,000</w:t>
            </w:r>
            <w:r>
              <w:rPr>
                <w:rFonts w:ascii="宋体" w:hAnsi="宋体" w:cs="宋体" w:eastAsia="宋体" w:hint="default"/>
                <w:sz w:val="18"/>
                <w:szCs w:val="18"/>
              </w:rPr>
              <w:t>元（税前），其中独立董事在公司 领取的津贴总额为</w:t>
            </w:r>
            <w:r>
              <w:rPr>
                <w:rFonts w:ascii="Times New Roman" w:hAnsi="Times New Roman" w:cs="Times New Roman" w:eastAsia="Times New Roman" w:hint="default"/>
                <w:sz w:val="18"/>
                <w:szCs w:val="18"/>
              </w:rPr>
              <w:t>90,000</w:t>
            </w:r>
            <w:r>
              <w:rPr>
                <w:rFonts w:ascii="宋体" w:hAnsi="宋体" w:cs="宋体" w:eastAsia="宋体" w:hint="default"/>
                <w:sz w:val="18"/>
                <w:szCs w:val="18"/>
              </w:rPr>
              <w:t>元（税前）。</w:t>
            </w:r>
          </w:p>
        </w:tc>
      </w:tr>
    </w:tbl>
    <w:p>
      <w:pPr>
        <w:spacing w:line="240" w:lineRule="auto" w:before="2"/>
        <w:rPr>
          <w:rFonts w:ascii="宋体" w:hAnsi="宋体" w:cs="宋体" w:eastAsia="宋体" w:hint="default"/>
          <w:sz w:val="24"/>
          <w:szCs w:val="24"/>
        </w:rPr>
      </w:pPr>
    </w:p>
    <w:p>
      <w:pPr>
        <w:pStyle w:val="BodyText"/>
        <w:spacing w:line="240" w:lineRule="auto" w:before="44"/>
        <w:ind w:right="1123"/>
        <w:jc w:val="left"/>
      </w:pPr>
      <w:r>
        <w:rPr/>
        <w:t>公司报告期内董事、监事和高级管理人员报酬情况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唐荣保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张鲁毅</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庄明福</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姚禄仕</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tc>
      </w:tr>
    </w:tbl>
    <w:p>
      <w:pPr>
        <w:spacing w:after="0" w:line="240" w:lineRule="auto"/>
        <w:jc w:val="right"/>
        <w:rPr>
          <w:rFonts w:ascii="Times New Roman" w:hAnsi="Times New Roman" w:cs="Times New Roman" w:eastAsia="Times New Roman" w:hint="default"/>
          <w:sz w:val="18"/>
          <w:szCs w:val="18"/>
        </w:rPr>
        <w:sectPr>
          <w:footerReference w:type="default" r:id="rId20"/>
          <w:pgSz w:w="11910" w:h="16840"/>
          <w:pgMar w:footer="1338" w:header="877" w:top="1060" w:bottom="1520" w:left="980" w:right="0"/>
          <w:pgNumType w:start="38"/>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汪和俊</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肖学东</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查秉忠</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陈邦莲</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梅红艳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王金海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李骏</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程晓龙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付龙胜</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孙国财</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宛玉超</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赵晓顺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116,000.00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陶黎明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财务部负责人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1,858,000.00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1,858,000.00</w:t>
            </w:r>
          </w:p>
        </w:tc>
      </w:tr>
    </w:tbl>
    <w:p>
      <w:pPr>
        <w:pStyle w:val="BodyText"/>
        <w:spacing w:line="240" w:lineRule="auto" w:before="49"/>
        <w:ind w:right="1123"/>
        <w:jc w:val="left"/>
      </w:pPr>
      <w:r>
        <w:rPr/>
        <w:t>公司董事、监事、高级管理人员报告期内被授予的股权激励情况</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58"/>
        <w:gridCol w:w="958"/>
        <w:gridCol w:w="958"/>
        <w:gridCol w:w="955"/>
        <w:gridCol w:w="958"/>
        <w:gridCol w:w="958"/>
        <w:gridCol w:w="958"/>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112" w:right="20" w:hanging="89"/>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112" w:right="23" w:hanging="89"/>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3" w:right="21" w:hanging="2"/>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9"/>
                <w:sz w:val="18"/>
                <w:szCs w:val="18"/>
              </w:rPr>
              <w:t>权价格（元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3"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19"/>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89"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王金海（首 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程晓龙</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付龙胜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孙国财</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宛玉超</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陶黎明</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财务部负责 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王金海（预 留）</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赵晓顺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38" w:top="1060" w:bottom="152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58"/>
        <w:gridCol w:w="934"/>
        <w:gridCol w:w="968"/>
        <w:gridCol w:w="959"/>
        <w:gridCol w:w="956"/>
        <w:gridCol w:w="958"/>
        <w:gridCol w:w="955"/>
        <w:gridCol w:w="970"/>
        <w:gridCol w:w="946"/>
        <w:gridCol w:w="958"/>
      </w:tblGrid>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2,760,000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19" w:hRule="exact"/>
        </w:trPr>
        <w:tc>
          <w:tcPr>
            <w:tcW w:w="958" w:type="dxa"/>
            <w:tcBorders>
              <w:top w:val="single" w:sz="4" w:space="0" w:color="000000"/>
              <w:left w:val="single" w:sz="4" w:space="0" w:color="000000"/>
              <w:bottom w:val="nil" w:sz="6" w:space="0" w:color="auto"/>
              <w:right w:val="single" w:sz="13" w:space="0" w:color="FFFFFF"/>
            </w:tcBorders>
            <w:shd w:val="clear" w:color="auto" w:fill="D2D2D2"/>
          </w:tcPr>
          <w:p>
            <w:pPr/>
          </w:p>
        </w:tc>
        <w:tc>
          <w:tcPr>
            <w:tcW w:w="8603" w:type="dxa"/>
            <w:gridSpan w:val="9"/>
            <w:vMerge w:val="restart"/>
            <w:tcBorders>
              <w:top w:val="single" w:sz="4" w:space="0" w:color="000000"/>
              <w:left w:val="single" w:sz="13" w:space="0" w:color="FFFFFF"/>
              <w:right w:val="single" w:sz="4" w:space="0" w:color="000000"/>
            </w:tcBorders>
          </w:tcPr>
          <w:p>
            <w:pPr>
              <w:pStyle w:val="TableParagraph"/>
              <w:spacing w:line="297" w:lineRule="auto" w:before="51"/>
              <w:ind w:right="19"/>
              <w:jc w:val="left"/>
              <w:rPr>
                <w:rFonts w:ascii="宋体" w:hAnsi="宋体" w:cs="宋体" w:eastAsia="宋体" w:hint="default"/>
                <w:sz w:val="18"/>
                <w:szCs w:val="18"/>
              </w:rPr>
            </w:pPr>
            <w:r>
              <w:rPr>
                <w:rFonts w:ascii="宋体" w:hAnsi="宋体" w:cs="宋体" w:eastAsia="宋体" w:hint="default"/>
                <w:spacing w:val="-2"/>
                <w:sz w:val="18"/>
                <w:szCs w:val="18"/>
              </w:rPr>
              <w:t>截止报告期末，以上人员合计持有股票期权为</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7,800,000</w:t>
            </w:r>
            <w:r>
              <w:rPr>
                <w:rFonts w:ascii="Times New Roman" w:hAnsi="Times New Roman" w:cs="Times New Roman" w:eastAsia="Times New Roman" w:hint="default"/>
                <w:spacing w:val="15"/>
                <w:sz w:val="18"/>
                <w:szCs w:val="18"/>
              </w:rPr>
              <w:t> </w:t>
            </w:r>
            <w:r>
              <w:rPr>
                <w:rFonts w:ascii="宋体" w:hAnsi="宋体" w:cs="宋体" w:eastAsia="宋体" w:hint="default"/>
                <w:spacing w:val="-7"/>
                <w:sz w:val="18"/>
                <w:szCs w:val="18"/>
              </w:rPr>
              <w:t>份（包含首期股票期权及预留股票期权）。其中首期股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票期权数量为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6,900,000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份，行权价格为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元；预留股票期权数量为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份</w:t>
            </w:r>
            <w:r>
              <w:rPr>
                <w:rFonts w:ascii="Times New Roman" w:hAnsi="Times New Roman" w:cs="Times New Roman" w:eastAsia="Times New Roman" w:hint="default"/>
                <w:sz w:val="18"/>
                <w:szCs w:val="18"/>
              </w:rPr>
              <w:t>,</w:t>
            </w:r>
            <w:r>
              <w:rPr>
                <w:rFonts w:ascii="宋体" w:hAnsi="宋体" w:cs="宋体" w:eastAsia="宋体" w:hint="default"/>
                <w:sz w:val="18"/>
                <w:szCs w:val="18"/>
              </w:rPr>
              <w:t>行权价格为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9.25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元。截止报</w:t>
            </w:r>
          </w:p>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告期末，行权股份数为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份。</w:t>
            </w:r>
          </w:p>
        </w:tc>
      </w:tr>
      <w:tr>
        <w:trPr>
          <w:trHeight w:val="391" w:hRule="exact"/>
        </w:trPr>
        <w:tc>
          <w:tcPr>
            <w:tcW w:w="958"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8603" w:type="dxa"/>
            <w:gridSpan w:val="9"/>
            <w:vMerge/>
            <w:tcBorders>
              <w:left w:val="single" w:sz="13" w:space="0" w:color="FFFFFF"/>
              <w:right w:val="single" w:sz="4" w:space="0" w:color="000000"/>
            </w:tcBorders>
          </w:tcPr>
          <w:p>
            <w:pPr/>
          </w:p>
        </w:tc>
      </w:tr>
      <w:tr>
        <w:trPr>
          <w:trHeight w:val="317" w:hRule="exact"/>
        </w:trPr>
        <w:tc>
          <w:tcPr>
            <w:tcW w:w="958" w:type="dxa"/>
            <w:tcBorders>
              <w:top w:val="nil" w:sz="6" w:space="0" w:color="auto"/>
              <w:left w:val="single" w:sz="4" w:space="0" w:color="000000"/>
              <w:bottom w:val="single" w:sz="4" w:space="0" w:color="000000"/>
              <w:right w:val="single" w:sz="13" w:space="0" w:color="FFFFFF"/>
            </w:tcBorders>
            <w:shd w:val="clear" w:color="auto" w:fill="D2D2D2"/>
          </w:tcPr>
          <w:p>
            <w:pPr/>
          </w:p>
        </w:tc>
        <w:tc>
          <w:tcPr>
            <w:tcW w:w="8603" w:type="dxa"/>
            <w:gridSpan w:val="9"/>
            <w:vMerge/>
            <w:tcBorders>
              <w:left w:val="single" w:sz="13" w:space="0" w:color="FFFFFF"/>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pict>
          <v:shape style="position:absolute;margin-left:71.642998pt;margin-top:-45.524349pt;width:462.25pt;height:15.6pt;mso-position-horizontal-relative:page;mso-position-vertical-relative:paragraph;z-index:-830008" type="#_x0000_t202" filled="false" stroked="false">
            <v:textbox inset="0,0,0,0">
              <w:txbxContent>
                <w:p>
                  <w:pPr>
                    <w:pStyle w:val="BodyText"/>
                    <w:spacing w:line="240" w:lineRule="auto" w:before="10"/>
                    <w:ind w:left="0" w:right="0"/>
                    <w:jc w:val="left"/>
                  </w:pPr>
                  <w:r>
                    <w:rPr/>
                    <w:t>（如有）</w:t>
                  </w:r>
                </w:p>
              </w:txbxContent>
            </v:textbox>
            <w10:wrap type="none"/>
          </v:shape>
        </w:pict>
      </w:r>
      <w:r>
        <w:rPr/>
        <w:pict>
          <v:group style="position:absolute;margin-left:105.980003pt;margin-top:-45.524349pt;width:427.9pt;height:15.6pt;mso-position-horizontal-relative:page;mso-position-vertical-relative:paragraph;z-index:-829984" coordorigin="2120,-910" coordsize="8558,312">
            <v:shape style="position:absolute;left:2120;top:-910;width:8558;height:312" coordorigin="2120,-910" coordsize="8558,312" path="m2120,-598l10677,-598,10677,-910,2120,-910,2120,-598xe" filled="true" fillcolor="#ffffff" stroked="false">
              <v:path arrowok="t"/>
              <v:fill type="solid"/>
            </v:shape>
            <w10:wrap type="none"/>
          </v:group>
        </w:pict>
      </w:r>
      <w:r>
        <w:rPr/>
        <w:t>四、报告期核心技术团队或关键技术人员变动情况（非董事、监事、高级管理人员）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3"/>
        <w:jc w:val="left"/>
      </w:pPr>
      <w:r>
        <w:rPr/>
        <w:t>报告期内，公司未发生核心技术团队或关键技术人员变动情况。</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五、公司员工情况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日，本公司员工总人数为</w:t>
      </w:r>
      <w:r>
        <w:rPr>
          <w:rFonts w:ascii="Times New Roman" w:hAnsi="Times New Roman" w:cs="Times New Roman" w:eastAsia="Times New Roman" w:hint="default"/>
        </w:rPr>
        <w:t>1,699</w:t>
      </w:r>
      <w:r>
        <w:rPr/>
        <w:t>人，需承担费用的离退休职工人数为</w:t>
      </w:r>
      <w:r>
        <w:rPr>
          <w:rFonts w:ascii="Times New Roman" w:hAnsi="Times New Roman" w:cs="Times New Roman" w:eastAsia="Times New Roman" w:hint="default"/>
        </w:rPr>
        <w:t>0</w:t>
      </w:r>
      <w:r>
        <w:rPr/>
        <w:t>人。</w:t>
      </w:r>
    </w:p>
    <w:p>
      <w:pPr>
        <w:pStyle w:val="BodyText"/>
        <w:spacing w:line="240" w:lineRule="auto" w:before="63"/>
        <w:ind w:right="1123"/>
        <w:jc w:val="left"/>
      </w:pPr>
      <w:r>
        <w:rPr/>
        <w:t>（一）员工专业构成情况如下：</w:t>
      </w:r>
    </w:p>
    <w:p>
      <w:pPr>
        <w:spacing w:line="240" w:lineRule="auto" w:before="8"/>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036"/>
        <w:gridCol w:w="2078"/>
        <w:gridCol w:w="1901"/>
      </w:tblGrid>
      <w:tr>
        <w:trPr>
          <w:trHeight w:val="332" w:hRule="exact"/>
        </w:trPr>
        <w:tc>
          <w:tcPr>
            <w:tcW w:w="3036" w:type="dxa"/>
            <w:tcBorders>
              <w:top w:val="nil" w:sz="6" w:space="0" w:color="auto"/>
              <w:left w:val="nil" w:sz="6" w:space="0" w:color="auto"/>
              <w:bottom w:val="single" w:sz="8" w:space="0" w:color="000000"/>
              <w:right w:val="single" w:sz="8" w:space="0" w:color="000000"/>
            </w:tcBorders>
            <w:shd w:val="clear" w:color="auto" w:fill="C0C0C0"/>
          </w:tcPr>
          <w:p>
            <w:pPr>
              <w:pStyle w:val="TableParagraph"/>
              <w:spacing w:line="240" w:lineRule="auto" w:before="13"/>
              <w:ind w:left="976" w:right="0"/>
              <w:jc w:val="left"/>
              <w:rPr>
                <w:rFonts w:ascii="宋体" w:hAnsi="宋体" w:cs="宋体" w:eastAsia="宋体" w:hint="default"/>
                <w:sz w:val="18"/>
                <w:szCs w:val="18"/>
              </w:rPr>
            </w:pPr>
            <w:r>
              <w:rPr>
                <w:rFonts w:ascii="宋体" w:hAnsi="宋体" w:cs="宋体" w:eastAsia="宋体" w:hint="default"/>
                <w:sz w:val="18"/>
                <w:szCs w:val="18"/>
              </w:rPr>
              <w:t>专业构成类别</w:t>
            </w:r>
          </w:p>
        </w:tc>
        <w:tc>
          <w:tcPr>
            <w:tcW w:w="2078"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专业构成人数</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1901"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占总人数比例</w:t>
            </w:r>
          </w:p>
        </w:tc>
      </w:tr>
      <w:tr>
        <w:trPr>
          <w:trHeight w:val="347" w:hRule="exact"/>
        </w:trPr>
        <w:tc>
          <w:tcPr>
            <w:tcW w:w="3036"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14"/>
              <w:ind w:left="6"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207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844</w:t>
            </w:r>
          </w:p>
        </w:tc>
        <w:tc>
          <w:tcPr>
            <w:tcW w:w="190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49.68%</w:t>
            </w:r>
          </w:p>
        </w:tc>
      </w:tr>
      <w:tr>
        <w:trPr>
          <w:trHeight w:val="343" w:hRule="exact"/>
        </w:trPr>
        <w:tc>
          <w:tcPr>
            <w:tcW w:w="3036"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8"/>
              <w:ind w:left="6"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2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390</w:t>
            </w:r>
          </w:p>
        </w:tc>
        <w:tc>
          <w:tcPr>
            <w:tcW w:w="1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22.95%</w:t>
            </w:r>
          </w:p>
        </w:tc>
      </w:tr>
      <w:tr>
        <w:trPr>
          <w:trHeight w:val="341" w:hRule="exact"/>
        </w:trPr>
        <w:tc>
          <w:tcPr>
            <w:tcW w:w="3036"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8"/>
              <w:ind w:left="6"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2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312</w:t>
            </w:r>
          </w:p>
        </w:tc>
        <w:tc>
          <w:tcPr>
            <w:tcW w:w="1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18.36%</w:t>
            </w:r>
          </w:p>
        </w:tc>
      </w:tr>
      <w:tr>
        <w:trPr>
          <w:trHeight w:val="343" w:hRule="exact"/>
        </w:trPr>
        <w:tc>
          <w:tcPr>
            <w:tcW w:w="3036"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8"/>
              <w:ind w:left="6"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2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26</w:t>
            </w:r>
          </w:p>
        </w:tc>
        <w:tc>
          <w:tcPr>
            <w:tcW w:w="1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1.53%</w:t>
            </w:r>
          </w:p>
        </w:tc>
      </w:tr>
      <w:tr>
        <w:trPr>
          <w:trHeight w:val="341" w:hRule="exact"/>
        </w:trPr>
        <w:tc>
          <w:tcPr>
            <w:tcW w:w="3036"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8"/>
              <w:ind w:left="6"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2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127</w:t>
            </w:r>
          </w:p>
        </w:tc>
        <w:tc>
          <w:tcPr>
            <w:tcW w:w="1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7.48%</w:t>
            </w:r>
          </w:p>
        </w:tc>
      </w:tr>
      <w:tr>
        <w:trPr>
          <w:trHeight w:val="337" w:hRule="exact"/>
        </w:trPr>
        <w:tc>
          <w:tcPr>
            <w:tcW w:w="3036"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8"/>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1,699</w:t>
            </w:r>
          </w:p>
        </w:tc>
        <w:tc>
          <w:tcPr>
            <w:tcW w:w="1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1"/>
        <w:rPr>
          <w:rFonts w:ascii="宋体" w:hAnsi="宋体" w:cs="宋体" w:eastAsia="宋体" w:hint="default"/>
          <w:sz w:val="8"/>
          <w:szCs w:val="8"/>
        </w:rPr>
      </w:pPr>
    </w:p>
    <w:p>
      <w:pPr>
        <w:spacing w:line="3210" w:lineRule="exact"/>
        <w:ind w:left="153" w:right="0" w:firstLine="0"/>
        <w:rPr>
          <w:rFonts w:ascii="宋体" w:hAnsi="宋体" w:cs="宋体" w:eastAsia="宋体" w:hint="default"/>
          <w:sz w:val="20"/>
          <w:szCs w:val="20"/>
        </w:rPr>
      </w:pPr>
      <w:r>
        <w:rPr>
          <w:rFonts w:ascii="宋体" w:hAnsi="宋体" w:cs="宋体" w:eastAsia="宋体" w:hint="default"/>
          <w:position w:val="-63"/>
          <w:sz w:val="20"/>
          <w:szCs w:val="20"/>
        </w:rPr>
        <w:drawing>
          <wp:inline distT="0" distB="0" distL="0" distR="0">
            <wp:extent cx="3551083" cy="203835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1" cstate="print"/>
                    <a:stretch>
                      <a:fillRect/>
                    </a:stretch>
                  </pic:blipFill>
                  <pic:spPr>
                    <a:xfrm>
                      <a:off x="0" y="0"/>
                      <a:ext cx="3551083" cy="2038350"/>
                    </a:xfrm>
                    <a:prstGeom prst="rect">
                      <a:avLst/>
                    </a:prstGeom>
                  </pic:spPr>
                </pic:pic>
              </a:graphicData>
            </a:graphic>
          </wp:inline>
        </w:drawing>
      </w:r>
      <w:r>
        <w:rPr>
          <w:rFonts w:ascii="宋体" w:hAnsi="宋体" w:cs="宋体" w:eastAsia="宋体" w:hint="default"/>
          <w:position w:val="-63"/>
          <w:sz w:val="20"/>
          <w:szCs w:val="20"/>
        </w:rPr>
      </w:r>
    </w:p>
    <w:p>
      <w:pPr>
        <w:spacing w:line="240" w:lineRule="auto" w:before="11"/>
        <w:rPr>
          <w:rFonts w:ascii="宋体" w:hAnsi="宋体" w:cs="宋体" w:eastAsia="宋体" w:hint="default"/>
          <w:sz w:val="5"/>
          <w:szCs w:val="5"/>
        </w:rPr>
      </w:pPr>
    </w:p>
    <w:p>
      <w:pPr>
        <w:pStyle w:val="BodyText"/>
        <w:spacing w:line="240" w:lineRule="auto" w:before="44"/>
        <w:ind w:right="1123"/>
        <w:jc w:val="left"/>
      </w:pPr>
      <w:r>
        <w:rPr/>
        <w:t>（二）员工受教育程度如下：</w:t>
      </w:r>
    </w:p>
    <w:p>
      <w:pPr>
        <w:spacing w:line="240" w:lineRule="auto" w:before="8"/>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041"/>
        <w:gridCol w:w="2083"/>
        <w:gridCol w:w="1904"/>
      </w:tblGrid>
      <w:tr>
        <w:trPr>
          <w:trHeight w:val="331" w:hRule="exact"/>
        </w:trPr>
        <w:tc>
          <w:tcPr>
            <w:tcW w:w="3041" w:type="dxa"/>
            <w:tcBorders>
              <w:top w:val="nil" w:sz="6" w:space="0" w:color="auto"/>
              <w:left w:val="nil" w:sz="6" w:space="0" w:color="auto"/>
              <w:bottom w:val="single" w:sz="8" w:space="0" w:color="000000"/>
              <w:right w:val="single" w:sz="8" w:space="0" w:color="000000"/>
            </w:tcBorders>
            <w:shd w:val="clear" w:color="auto" w:fill="C0C0C0"/>
          </w:tcPr>
          <w:p>
            <w:pPr>
              <w:pStyle w:val="TableParagraph"/>
              <w:spacing w:line="240" w:lineRule="auto" w:before="13"/>
              <w:ind w:left="978"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2083"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员工人数（人）</w:t>
            </w:r>
          </w:p>
        </w:tc>
        <w:tc>
          <w:tcPr>
            <w:tcW w:w="1904"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占总人数比例</w:t>
            </w:r>
          </w:p>
        </w:tc>
      </w:tr>
      <w:tr>
        <w:trPr>
          <w:trHeight w:val="348" w:hRule="exact"/>
        </w:trPr>
        <w:tc>
          <w:tcPr>
            <w:tcW w:w="3041"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15"/>
              <w:ind w:left="6"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208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925</w:t>
            </w:r>
          </w:p>
        </w:tc>
        <w:tc>
          <w:tcPr>
            <w:tcW w:w="190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Times New Roman"/>
                <w:sz w:val="18"/>
              </w:rPr>
              <w:t>54.44%</w:t>
            </w:r>
          </w:p>
        </w:tc>
      </w:tr>
      <w:tr>
        <w:trPr>
          <w:trHeight w:val="341" w:hRule="exact"/>
        </w:trPr>
        <w:tc>
          <w:tcPr>
            <w:tcW w:w="3041"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8"/>
              <w:ind w:left="6"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20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556</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32.73%</w:t>
            </w:r>
          </w:p>
        </w:tc>
      </w:tr>
      <w:tr>
        <w:trPr>
          <w:trHeight w:val="343" w:hRule="exact"/>
        </w:trPr>
        <w:tc>
          <w:tcPr>
            <w:tcW w:w="3041"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20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212</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12.48%</w:t>
            </w:r>
          </w:p>
        </w:tc>
      </w:tr>
      <w:tr>
        <w:trPr>
          <w:trHeight w:val="341" w:hRule="exact"/>
        </w:trPr>
        <w:tc>
          <w:tcPr>
            <w:tcW w:w="3041"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8"/>
              <w:ind w:left="6"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20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0.23%</w:t>
            </w:r>
          </w:p>
        </w:tc>
      </w:tr>
      <w:tr>
        <w:trPr>
          <w:trHeight w:val="343" w:hRule="exact"/>
        </w:trPr>
        <w:tc>
          <w:tcPr>
            <w:tcW w:w="3041"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20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0.06%</w:t>
            </w:r>
          </w:p>
        </w:tc>
      </w:tr>
      <w:tr>
        <w:trPr>
          <w:trHeight w:val="341" w:hRule="exact"/>
        </w:trPr>
        <w:tc>
          <w:tcPr>
            <w:tcW w:w="3041"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8"/>
              <w:ind w:left="6" w:right="0"/>
              <w:jc w:val="left"/>
              <w:rPr>
                <w:rFonts w:ascii="宋体" w:hAnsi="宋体" w:cs="宋体" w:eastAsia="宋体" w:hint="default"/>
                <w:sz w:val="18"/>
                <w:szCs w:val="18"/>
              </w:rPr>
            </w:pPr>
            <w:r>
              <w:rPr>
                <w:rFonts w:ascii="宋体" w:hAnsi="宋体" w:cs="宋体" w:eastAsia="宋体" w:hint="default"/>
                <w:sz w:val="18"/>
                <w:szCs w:val="18"/>
              </w:rPr>
              <w:t>博士后</w:t>
            </w:r>
          </w:p>
        </w:tc>
        <w:tc>
          <w:tcPr>
            <w:tcW w:w="20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0.06%</w:t>
            </w:r>
          </w:p>
        </w:tc>
      </w:tr>
      <w:tr>
        <w:trPr>
          <w:trHeight w:val="337" w:hRule="exact"/>
        </w:trPr>
        <w:tc>
          <w:tcPr>
            <w:tcW w:w="3041"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1,699</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38" w:top="1060" w:bottom="152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line="3510" w:lineRule="exact"/>
        <w:ind w:left="153"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3893980" cy="222885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2" cstate="print"/>
                    <a:stretch>
                      <a:fillRect/>
                    </a:stretch>
                  </pic:blipFill>
                  <pic:spPr>
                    <a:xfrm>
                      <a:off x="0" y="0"/>
                      <a:ext cx="3893980" cy="2228850"/>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5"/>
        <w:rPr>
          <w:rFonts w:ascii="宋体" w:hAnsi="宋体" w:cs="宋体" w:eastAsia="宋体" w:hint="default"/>
          <w:sz w:val="6"/>
          <w:szCs w:val="6"/>
        </w:rPr>
      </w:pPr>
    </w:p>
    <w:p>
      <w:pPr>
        <w:pStyle w:val="BodyText"/>
        <w:spacing w:line="316" w:lineRule="auto" w:before="44"/>
        <w:ind w:right="1123" w:firstLine="360"/>
        <w:jc w:val="left"/>
      </w:pPr>
      <w:r>
        <w:rPr>
          <w:spacing w:val="-2"/>
        </w:rPr>
        <w:t>公司已与全体员工签署了劳动合同，为员工办理了社会保险，同时建立了住房公积金制度，在执行国家用工制度、劳动</w:t>
      </w:r>
      <w:r>
        <w:rPr/>
        <w:t> 保护制度、社会保障制度和医疗保障制度等方面不存在违法、违规情况。</w:t>
      </w:r>
    </w:p>
    <w:p>
      <w:pPr>
        <w:spacing w:after="0" w:line="316" w:lineRule="auto"/>
        <w:jc w:val="left"/>
        <w:sectPr>
          <w:pgSz w:w="11910" w:h="16840"/>
          <w:pgMar w:header="877" w:footer="1338" w:top="1060" w:bottom="15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117"/>
        <w:jc w:val="center"/>
        <w:rPr>
          <w:b w:val="0"/>
          <w:bCs w:val="0"/>
        </w:rPr>
      </w:pPr>
      <w:r>
        <w:rPr/>
        <w:t>第八节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51" w:firstLine="367"/>
        <w:jc w:val="both"/>
      </w:pPr>
      <w:r>
        <w:rPr>
          <w:spacing w:val="-2"/>
        </w:rPr>
        <w:t>报告期内，公司严格按照《公司法》、《证券法》、《上市公司治理准则》、《深圳证券交易所股票上市规则》、《深</w:t>
      </w:r>
      <w:r>
        <w:rPr/>
        <w:t> </w:t>
      </w:r>
      <w:r>
        <w:rPr>
          <w:spacing w:val="-2"/>
        </w:rPr>
        <w:t>圳证券交易所中小企业板上市公司规范运作指引》和中国证监会有关法律法规的要求，不断完善公司治理结构，建立健全内</w:t>
      </w:r>
      <w:r>
        <w:rPr>
          <w:spacing w:val="-63"/>
        </w:rPr>
        <w:t> </w:t>
      </w:r>
      <w:r>
        <w:rPr>
          <w:spacing w:val="-63"/>
        </w:rPr>
      </w:r>
      <w:r>
        <w:rPr>
          <w:spacing w:val="-2"/>
        </w:rPr>
        <w:t>部管理和控制制度，进一步提高公司治理水平。前期，公司己经制定了《公司章程》、《股东大会议事规则》、《董事会议</w:t>
      </w:r>
      <w:r>
        <w:rPr>
          <w:spacing w:val="-71"/>
        </w:rPr>
        <w:t> </w:t>
      </w:r>
      <w:r>
        <w:rPr>
          <w:spacing w:val="-71"/>
        </w:rPr>
      </w:r>
      <w:r>
        <w:rPr>
          <w:spacing w:val="-2"/>
        </w:rPr>
        <w:t>事规则》、《监事会议事规则》、《总经理工作细则》、《内部控制总体规划》、《独立董事制度》、《董事会审计委员会</w:t>
      </w:r>
      <w:r>
        <w:rPr>
          <w:spacing w:val="-72"/>
        </w:rPr>
        <w:t> </w:t>
      </w:r>
      <w:r>
        <w:rPr>
          <w:spacing w:val="-72"/>
        </w:rPr>
      </w:r>
      <w:r>
        <w:rPr/>
        <w:t>实施细则》、《董事会提名委员会实施细则》、《董事会薪酬与考核委员会实施细则》、《董事会战略委员会实施细则》、</w:t>
      </w:r>
    </w:p>
    <w:p>
      <w:pPr>
        <w:pStyle w:val="BodyText"/>
        <w:spacing w:line="319" w:lineRule="auto" w:before="19"/>
        <w:ind w:right="1044"/>
        <w:jc w:val="both"/>
      </w:pPr>
      <w:r>
        <w:rPr>
          <w:spacing w:val="-2"/>
        </w:rPr>
        <w:t>《财务管理制度》、《资产减值准备管理制度》、《高级管理人员薪酬方案》、《募集资金管理制度》、《信息披露管理制</w:t>
      </w:r>
      <w:r>
        <w:rPr>
          <w:spacing w:val="-67"/>
        </w:rPr>
        <w:t> </w:t>
      </w:r>
      <w:r>
        <w:rPr>
          <w:spacing w:val="-67"/>
        </w:rPr>
      </w:r>
      <w:r>
        <w:rPr>
          <w:spacing w:val="-2"/>
        </w:rPr>
        <w:t>度》、《内部审计制度》、《重大信息内部报备制度》、《新闻发布管理制度》、《关联交易制度》、《投资者关系管理制</w:t>
      </w:r>
      <w:r>
        <w:rPr>
          <w:spacing w:val="-72"/>
        </w:rPr>
        <w:t> </w:t>
      </w:r>
      <w:r>
        <w:rPr>
          <w:spacing w:val="-72"/>
        </w:rPr>
      </w:r>
      <w:r>
        <w:rPr>
          <w:spacing w:val="-2"/>
        </w:rPr>
        <w:t>度》、《对外担保管理制度》、《内幕信息知情人备案制度》、《对外投资管理办法》、《内部责任追究制度》、《独立董</w:t>
      </w:r>
      <w:r>
        <w:rPr>
          <w:spacing w:val="-66"/>
        </w:rPr>
        <w:t> </w:t>
      </w:r>
      <w:r>
        <w:rPr>
          <w:spacing w:val="-66"/>
        </w:rPr>
      </w:r>
      <w:r>
        <w:rPr>
          <w:spacing w:val="-7"/>
        </w:rPr>
        <w:t>事年报工作制度》、《年报信息披露重大差错责任追究制度》、《审计委员会年报工作规程》、《外部信息使用人管理制度》、</w:t>
      </w:r>
    </w:p>
    <w:p>
      <w:pPr>
        <w:pStyle w:val="BodyText"/>
        <w:spacing w:line="314" w:lineRule="auto" w:before="17"/>
        <w:ind w:right="1130"/>
        <w:jc w:val="both"/>
      </w:pPr>
      <w:r>
        <w:rPr>
          <w:spacing w:val="-2"/>
        </w:rPr>
        <w:t>《重大资金往来内部控制制度》、《累积投票制实施细则》、《内部控制制度》、《董事会秘书工作细则》、《重大资产投</w:t>
      </w:r>
      <w:r>
        <w:rPr>
          <w:spacing w:val="-67"/>
        </w:rPr>
        <w:t> </w:t>
      </w:r>
      <w:r>
        <w:rPr>
          <w:spacing w:val="-67"/>
        </w:rPr>
      </w:r>
      <w:r>
        <w:rPr>
          <w:spacing w:val="-2"/>
        </w:rPr>
        <w:t>资决策程序》、《重大经营决策程序与规则》、《内幕交易防控工作业绩考核评价办法》等制度。报告期内，公司根据监管</w:t>
      </w:r>
      <w:r>
        <w:rPr>
          <w:spacing w:val="-67"/>
        </w:rPr>
        <w:t> </w:t>
      </w:r>
      <w:r>
        <w:rPr>
          <w:spacing w:val="-67"/>
        </w:rPr>
      </w:r>
      <w:r>
        <w:rPr>
          <w:spacing w:val="-2"/>
        </w:rPr>
        <w:t>部门的要求，修订了《内幕信息知情人登记管理制度》、《公司募集资金管理制度》、《公司章程》，制订了《安徽鑫龙电</w:t>
      </w:r>
      <w:r>
        <w:rPr>
          <w:spacing w:val="-68"/>
        </w:rPr>
        <w:t> </w:t>
      </w:r>
      <w:r>
        <w:rPr>
          <w:spacing w:val="-68"/>
        </w:rPr>
      </w:r>
      <w:r>
        <w:rPr/>
        <w:t>器股份有限公司股东分红回报规划（</w:t>
      </w:r>
      <w:r>
        <w:rPr>
          <w:rFonts w:ascii="Times New Roman" w:hAnsi="Times New Roman" w:cs="Times New Roman" w:eastAsia="Times New Roman" w:hint="default"/>
        </w:rPr>
        <w:t>2012-2014</w:t>
      </w:r>
      <w:r>
        <w:rPr/>
        <w:t>年）》、《公司银行间债市场债务融资工具信息披露事务管理制度》规范制</w:t>
      </w:r>
      <w:r>
        <w:rPr>
          <w:spacing w:val="-62"/>
        </w:rPr>
        <w:t> </w:t>
      </w:r>
      <w:r>
        <w:rPr>
          <w:spacing w:val="-62"/>
        </w:rPr>
      </w:r>
      <w:r>
        <w:rPr/>
        <w:t>度。截至报告期末，公司治理的实际状况符合中国证监会、深圳证券交易所等发布的法律法规和规范性文件的要求。</w:t>
      </w:r>
    </w:p>
    <w:p>
      <w:pPr>
        <w:pStyle w:val="BodyText"/>
        <w:spacing w:line="240" w:lineRule="auto" w:before="20"/>
        <w:ind w:left="633" w:right="1123"/>
        <w:jc w:val="left"/>
      </w:pPr>
      <w:r>
        <w:rPr/>
        <w:t>公司治理的具体情况如下：</w:t>
      </w:r>
    </w:p>
    <w:p>
      <w:pPr>
        <w:pStyle w:val="BodyText"/>
        <w:spacing w:line="300" w:lineRule="auto" w:before="76"/>
        <w:ind w:left="633" w:right="1123"/>
        <w:jc w:val="left"/>
      </w:pPr>
      <w:r>
        <w:rPr>
          <w:rFonts w:ascii="Times New Roman" w:hAnsi="Times New Roman" w:cs="Times New Roman" w:eastAsia="Times New Roman" w:hint="default"/>
        </w:rPr>
        <w:t>1</w:t>
      </w:r>
      <w:r>
        <w:rPr/>
        <w:t>、关于股东和股东大会 </w:t>
      </w:r>
      <w:r>
        <w:rPr>
          <w:spacing w:val="-1"/>
        </w:rPr>
        <w:t>公司严格按照《公司章程》和《股东大会议事规则》的规定，规范股东大会的召集、召开及表决程序，并聘请律师出</w:t>
      </w:r>
    </w:p>
    <w:p>
      <w:pPr>
        <w:pStyle w:val="BodyText"/>
        <w:spacing w:line="240" w:lineRule="auto" w:before="32"/>
        <w:ind w:right="0"/>
        <w:jc w:val="both"/>
      </w:pPr>
      <w:r>
        <w:rPr/>
        <w:t>席见证，确保全体股东、特别是中小股东享有平等地位，确保全体股东充分地行使自己的合法权利。</w:t>
      </w:r>
    </w:p>
    <w:p>
      <w:pPr>
        <w:pStyle w:val="BodyText"/>
        <w:spacing w:line="240" w:lineRule="auto" w:before="76"/>
        <w:ind w:left="633" w:right="1123"/>
        <w:jc w:val="left"/>
      </w:pPr>
      <w:r>
        <w:rPr>
          <w:rFonts w:ascii="Times New Roman" w:hAnsi="Times New Roman" w:cs="Times New Roman" w:eastAsia="Times New Roman" w:hint="default"/>
        </w:rPr>
        <w:t>2</w:t>
      </w:r>
      <w:r>
        <w:rPr/>
        <w:t>、关于董事和董事会</w:t>
      </w:r>
    </w:p>
    <w:p>
      <w:pPr>
        <w:pStyle w:val="BodyText"/>
        <w:spacing w:line="316" w:lineRule="auto" w:before="63"/>
        <w:ind w:right="1132" w:firstLine="480"/>
        <w:jc w:val="both"/>
      </w:pPr>
      <w:r>
        <w:rPr>
          <w:spacing w:val="-1"/>
        </w:rPr>
        <w:t>《公司章程》中规范、透明的董事选聘程序，保证董事选聘公开、公平、公正、独立，在董事的选举过程中实行累计</w:t>
      </w:r>
      <w:r>
        <w:rPr/>
        <w:t> </w:t>
      </w:r>
      <w:r>
        <w:rPr>
          <w:spacing w:val="-2"/>
        </w:rPr>
        <w:t>投票制度。在报告期内，公司严格按照《董事会议事规则》和《董事会审计委员会实施细则》等制度，进一步明确董事会及</w:t>
      </w:r>
      <w:r>
        <w:rPr>
          <w:spacing w:val="-73"/>
        </w:rPr>
        <w:t> </w:t>
      </w:r>
      <w:r>
        <w:rPr>
          <w:spacing w:val="-73"/>
        </w:rPr>
      </w:r>
      <w:r>
        <w:rPr>
          <w:spacing w:val="-2"/>
        </w:rPr>
        <w:t>其专业委员会的职责。董事会成员中有三名独立董事，一名为行业专业人士，一名为财务专业人士，符合中国证监会《关于</w:t>
      </w:r>
      <w:r>
        <w:rPr>
          <w:spacing w:val="-67"/>
        </w:rPr>
        <w:t> </w:t>
      </w:r>
      <w:r>
        <w:rPr>
          <w:spacing w:val="-67"/>
        </w:rPr>
      </w:r>
      <w:r>
        <w:rPr>
          <w:spacing w:val="-2"/>
        </w:rPr>
        <w:t>在上市公司建立独立独创制度的指导意见》的要求，并下设审计委员会、提名委员会、薪酬与考核委员会和战略委员会。董</w:t>
      </w:r>
      <w:r>
        <w:rPr>
          <w:spacing w:val="-66"/>
        </w:rPr>
        <w:t> </w:t>
      </w:r>
      <w:r>
        <w:rPr>
          <w:spacing w:val="-66"/>
        </w:rPr>
      </w:r>
      <w:r>
        <w:rPr>
          <w:spacing w:val="-2"/>
        </w:rPr>
        <w:t>事会严格按照《公司法》、《董事会议事规则》召开会议，执行股东大会决议并依法行使职权。公司各位董事能够勤勉尽责</w:t>
      </w:r>
      <w:r>
        <w:rPr>
          <w:spacing w:val="-69"/>
        </w:rPr>
        <w:t> </w:t>
      </w:r>
      <w:r>
        <w:rPr>
          <w:spacing w:val="-69"/>
        </w:rPr>
      </w:r>
      <w:r>
        <w:rPr/>
        <w:t>的行使权利，科学决策，维护公司和股东利益。</w:t>
      </w:r>
    </w:p>
    <w:p>
      <w:pPr>
        <w:pStyle w:val="BodyText"/>
        <w:spacing w:line="316" w:lineRule="auto" w:before="19"/>
        <w:ind w:right="1034" w:firstLine="480"/>
        <w:jc w:val="left"/>
      </w:pPr>
      <w:r>
        <w:rPr/>
        <w:t>报告期内，公司全体董事均严格按照《公司法》、《证券法》、《深圳证券交易所股票上市规则》、《上市公司治理 准则》、《深圳证券交易所中小企业板块上市公司董事行为指引》、《深圳证券交易所中小企业板上市公司规范运作指引》 </w:t>
      </w:r>
      <w:r>
        <w:rPr>
          <w:spacing w:val="-2"/>
        </w:rPr>
        <w:t>及《公司章程》等相关法律法规的要求，诚实守信、忠实勤勉地履行职责，按时参加股东大会和董事会，严格遵循公司董事</w:t>
      </w:r>
      <w:r>
        <w:rPr>
          <w:spacing w:val="-68"/>
        </w:rPr>
        <w:t> </w:t>
      </w:r>
      <w:r>
        <w:rPr>
          <w:spacing w:val="-68"/>
        </w:rPr>
      </w:r>
      <w:r>
        <w:rPr/>
        <w:t>会议事规则的有关审议规定，认真审慎地审议各项议案，不断提高公司治理水平，切实维护公司和投资者利益。</w:t>
      </w:r>
    </w:p>
    <w:p>
      <w:pPr>
        <w:pStyle w:val="BodyText"/>
        <w:spacing w:line="300" w:lineRule="auto" w:before="19"/>
        <w:ind w:left="633" w:right="0"/>
        <w:jc w:val="left"/>
      </w:pPr>
      <w:r>
        <w:rPr>
          <w:rFonts w:ascii="Times New Roman" w:hAnsi="Times New Roman" w:cs="Times New Roman" w:eastAsia="Times New Roman" w:hint="default"/>
        </w:rPr>
        <w:t>3</w:t>
      </w:r>
      <w:r>
        <w:rPr/>
        <w:t>、关于监事和监事会 </w:t>
      </w:r>
      <w:r>
        <w:rPr>
          <w:spacing w:val="-3"/>
        </w:rPr>
        <w:t>公司在报告期内严格执行《公司章程》和《监事会议事规则》的规定，监事选聘程序规范、透明，保证监事选聘公开、</w:t>
      </w:r>
    </w:p>
    <w:p>
      <w:pPr>
        <w:pStyle w:val="BodyText"/>
        <w:spacing w:line="316" w:lineRule="auto" w:before="31"/>
        <w:ind w:right="1133"/>
        <w:jc w:val="both"/>
      </w:pPr>
      <w:r>
        <w:rPr>
          <w:spacing w:val="-2"/>
        </w:rPr>
        <w:t>公平、公正、独立，在监事的选举过程中实行累积投票制度。公司监事会由三名监事组成，其中一名为职工代表监事，人数</w:t>
      </w:r>
      <w:r>
        <w:rPr>
          <w:spacing w:val="-68"/>
        </w:rPr>
        <w:t> </w:t>
      </w:r>
      <w:r>
        <w:rPr>
          <w:spacing w:val="-68"/>
        </w:rPr>
      </w:r>
      <w:r>
        <w:rPr/>
        <w:t>和人员构成均符合相关法律法规的要求。</w:t>
      </w:r>
    </w:p>
    <w:p>
      <w:pPr>
        <w:pStyle w:val="BodyText"/>
        <w:spacing w:line="316" w:lineRule="auto" w:before="19"/>
        <w:ind w:right="1111" w:firstLine="480"/>
        <w:jc w:val="both"/>
      </w:pPr>
      <w:r>
        <w:rPr/>
        <w:t>公司监事会向股东大会负责，对公司财务以及公司董事、经理和其他高级管理人员履行职责的合法合规性进行监督， </w:t>
      </w:r>
      <w:r>
        <w:rPr>
          <w:spacing w:val="-2"/>
        </w:rPr>
        <w:t>维护公司及股东的合法权益，为保证监事正常履行职责，公司保障了监事的知情权，监事会根据公司实际情况，定期或不定</w:t>
      </w:r>
      <w:r>
        <w:rPr>
          <w:spacing w:val="-64"/>
        </w:rPr>
        <w:t> </w:t>
      </w:r>
      <w:r>
        <w:rPr>
          <w:spacing w:val="-64"/>
        </w:rPr>
      </w:r>
      <w:r>
        <w:rPr/>
        <w:t>期地召开监事会，会议的召开严格按规定程序进行。</w:t>
      </w:r>
    </w:p>
    <w:p>
      <w:pPr>
        <w:pStyle w:val="BodyText"/>
        <w:spacing w:line="240" w:lineRule="auto" w:before="18"/>
        <w:ind w:right="0" w:firstLine="480"/>
        <w:jc w:val="left"/>
      </w:pPr>
      <w:r>
        <w:rPr>
          <w:spacing w:val="-4"/>
        </w:rPr>
        <w:t>报告期内，监事会成员通过列席报告期内董事会会议参与了公司重大经营决策讨论和重大经营方针的制定，并依据《公</w:t>
      </w:r>
    </w:p>
    <w:p>
      <w:pPr>
        <w:pStyle w:val="BodyText"/>
        <w:spacing w:line="240" w:lineRule="auto" w:before="76"/>
        <w:ind w:right="0"/>
        <w:jc w:val="both"/>
      </w:pPr>
      <w:r>
        <w:rPr/>
        <w:t>司法》和《公司章程》对公司经营运行情况进行监督。监事会认为，公司决策程序符合法律法规和《公司章程》的要求，公</w:t>
      </w:r>
    </w:p>
    <w:p>
      <w:pPr>
        <w:spacing w:after="0" w:line="240" w:lineRule="auto"/>
        <w:jc w:val="both"/>
        <w:sectPr>
          <w:pgSz w:w="11910" w:h="16840"/>
          <w:pgMar w:header="877" w:footer="1338" w:top="1060" w:bottom="152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3"/>
        <w:jc w:val="left"/>
      </w:pPr>
      <w:r>
        <w:rPr>
          <w:spacing w:val="-2"/>
        </w:rPr>
        <w:t>司建立了较完善的内部控制制度，公司董事、经理执行公司职务时恪尽职守，未发现有违反法律、法规、公司章程或损害公</w:t>
      </w:r>
      <w:r>
        <w:rPr>
          <w:spacing w:val="-67"/>
        </w:rPr>
        <w:t> </w:t>
      </w:r>
      <w:r>
        <w:rPr>
          <w:spacing w:val="-67"/>
        </w:rPr>
      </w:r>
      <w:r>
        <w:rPr/>
        <w:t>司利益的行为。</w:t>
      </w:r>
    </w:p>
    <w:p>
      <w:pPr>
        <w:pStyle w:val="BodyText"/>
        <w:spacing w:line="300" w:lineRule="auto" w:before="17"/>
        <w:ind w:left="441" w:right="1123" w:firstLine="192"/>
        <w:jc w:val="left"/>
      </w:pPr>
      <w:r>
        <w:rPr>
          <w:rFonts w:ascii="Times New Roman" w:hAnsi="Times New Roman" w:cs="Times New Roman" w:eastAsia="Times New Roman" w:hint="default"/>
        </w:rPr>
        <w:t>4</w:t>
      </w:r>
      <w:r>
        <w:rPr/>
        <w:t>、关于信息披露与透明度 </w:t>
      </w:r>
      <w:r>
        <w:rPr>
          <w:spacing w:val="-1"/>
        </w:rPr>
        <w:t>报告期内，公司严格按照《信息披露管理制度》、《年报信息披露重大差错责任追究制度》、《内幕信息知情人登记管</w:t>
      </w:r>
    </w:p>
    <w:p>
      <w:pPr>
        <w:pStyle w:val="BodyText"/>
        <w:spacing w:line="316" w:lineRule="auto" w:before="31"/>
        <w:ind w:right="1130"/>
        <w:jc w:val="both"/>
      </w:pPr>
      <w:r>
        <w:rPr>
          <w:spacing w:val="-2"/>
        </w:rPr>
        <w:t>理制度》、《公司章程》和其他法律、法规的规定，真实、准确、完整、及时地披露信息，明确信息披露的责任人，加强了</w:t>
      </w:r>
      <w:r>
        <w:rPr>
          <w:spacing w:val="-69"/>
        </w:rPr>
        <w:t> </w:t>
      </w:r>
      <w:r>
        <w:rPr>
          <w:spacing w:val="-69"/>
        </w:rPr>
      </w:r>
      <w:r>
        <w:rPr>
          <w:spacing w:val="-2"/>
        </w:rPr>
        <w:t>内幕信息的保密工作，提高了年报信息披露的质量和透明度，加强公司定期报告及重大事项在编制、审议和披露期间公司外</w:t>
      </w:r>
      <w:r>
        <w:rPr>
          <w:spacing w:val="-63"/>
        </w:rPr>
        <w:t> </w:t>
      </w:r>
      <w:r>
        <w:rPr>
          <w:spacing w:val="-63"/>
        </w:rPr>
      </w:r>
      <w:r>
        <w:rPr>
          <w:spacing w:val="-2"/>
        </w:rPr>
        <w:t>部信息的报送和使用管理。报告期内，公司及信息披露义务人严格按照《深圳证券交易所上市公司公平信息披露指引》的要</w:t>
      </w:r>
      <w:r>
        <w:rPr>
          <w:spacing w:val="-65"/>
        </w:rPr>
        <w:t> </w:t>
      </w:r>
      <w:r>
        <w:rPr>
          <w:spacing w:val="-65"/>
        </w:rPr>
      </w:r>
      <w:r>
        <w:rPr/>
        <w:t>求协调投资者关系，接待股东来访，回答投资者咨询，确保公司信息披露真实、准确、完整、及时、公开。</w:t>
      </w:r>
    </w:p>
    <w:p>
      <w:pPr>
        <w:pStyle w:val="BodyText"/>
        <w:spacing w:line="300" w:lineRule="auto" w:before="19"/>
        <w:ind w:left="633" w:right="1123"/>
        <w:jc w:val="left"/>
      </w:pPr>
      <w:r>
        <w:rPr>
          <w:rFonts w:ascii="Times New Roman" w:hAnsi="Times New Roman" w:cs="Times New Roman" w:eastAsia="Times New Roman" w:hint="default"/>
        </w:rPr>
        <w:t>5</w:t>
      </w:r>
      <w:r>
        <w:rPr/>
        <w:t>、关于相关利益者 </w:t>
      </w:r>
      <w:r>
        <w:rPr>
          <w:spacing w:val="-1"/>
        </w:rPr>
        <w:t>公司能够充分尊重和维护相关利益者的合法利益，积极与相关利益者合作，加强与各方的沟通和交流，实现股东、员</w:t>
      </w:r>
    </w:p>
    <w:p>
      <w:pPr>
        <w:pStyle w:val="BodyText"/>
        <w:spacing w:line="316" w:lineRule="auto" w:before="31"/>
        <w:ind w:right="1123"/>
        <w:jc w:val="left"/>
      </w:pPr>
      <w:r>
        <w:rPr>
          <w:spacing w:val="-2"/>
        </w:rPr>
        <w:t>工社会等各方利益的均衡，共同推进公司持续、健康地发展。公司治理的实际情况基本符合中国证监会有关上市公司治理的</w:t>
      </w:r>
      <w:r>
        <w:rPr>
          <w:spacing w:val="-63"/>
        </w:rPr>
        <w:t> </w:t>
      </w:r>
      <w:r>
        <w:rPr>
          <w:spacing w:val="-63"/>
        </w:rPr>
      </w:r>
      <w:r>
        <w:rPr/>
        <w:t>规范性文件的要求。</w:t>
      </w:r>
    </w:p>
    <w:p>
      <w:pPr>
        <w:pStyle w:val="BodyText"/>
        <w:spacing w:line="357" w:lineRule="auto" w:before="60"/>
        <w:ind w:right="4454"/>
        <w:jc w:val="left"/>
      </w:pPr>
      <w:r>
        <w:rPr/>
        <w:t>公司治理与《公司法》和中国证监会相关规定的要求是否存在差异 公司治理与《公司法》和中国证监会相关规定的要求不存在差异。 公司治理专项活动开展情况以及内幕信息知情人登记管理制度的制定、实施情况</w:t>
      </w:r>
    </w:p>
    <w:p>
      <w:pPr>
        <w:pStyle w:val="BodyText"/>
        <w:spacing w:line="312" w:lineRule="auto" w:before="29"/>
        <w:ind w:right="1034" w:firstLine="36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日，公司第五届董事会第二十一次会议审议通过了《关于公司内幕信息知情人登记管理制度〈修订〉的 </w:t>
      </w:r>
      <w:r>
        <w:rPr>
          <w:spacing w:val="-5"/>
        </w:rPr>
        <w:t>议案》，《内幕信息知情人登记管理制度》均己在巨潮资讯网上发布。报告期内，公司能够按照《内幕信息知情人登记管理制</w:t>
      </w:r>
      <w:r>
        <w:rPr>
          <w:spacing w:val="-81"/>
        </w:rPr>
        <w:t> </w:t>
      </w:r>
      <w:r>
        <w:rPr>
          <w:spacing w:val="-81"/>
        </w:rPr>
      </w:r>
      <w:r>
        <w:rPr/>
        <w:t>度》的要求，做好内幕信息管理以及内幕信息知情人登记工作，能够如实、完整记录内幕信息在公开披露前的报告、传递、 </w:t>
      </w:r>
      <w:r>
        <w:rPr>
          <w:spacing w:val="-2"/>
        </w:rPr>
        <w:t>编制、审核、披露等各环节所有内幕信息知情人名单。定期报告披露期间，公司对董事、监事、高级管理人员及其他内幕信</w:t>
      </w:r>
      <w:r>
        <w:rPr>
          <w:spacing w:val="-68"/>
        </w:rPr>
        <w:t> </w:t>
      </w:r>
      <w:r>
        <w:rPr>
          <w:spacing w:val="-68"/>
        </w:rPr>
      </w:r>
      <w:r>
        <w:rPr/>
        <w:t>息知情人员在定期报告公告前</w:t>
      </w:r>
      <w:r>
        <w:rPr>
          <w:spacing w:val="-45"/>
        </w:rPr>
        <w:t> </w:t>
      </w:r>
      <w:r>
        <w:rPr>
          <w:rFonts w:ascii="Times New Roman" w:hAnsi="Times New Roman" w:cs="Times New Roman" w:eastAsia="Times New Roman" w:hint="default"/>
        </w:rPr>
        <w:t>30 </w:t>
      </w:r>
      <w:r>
        <w:rPr/>
        <w:t>日内、业绩预告和业绩快报公告前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44"/>
        </w:rPr>
        <w:t> </w:t>
      </w:r>
      <w:r>
        <w:rPr/>
        <w:t>日内以及其他重大项披露期间等敏感期内买卖公司 </w:t>
      </w:r>
      <w:r>
        <w:rPr>
          <w:spacing w:val="-2"/>
        </w:rPr>
        <w:t>股票的情况进行自查，没有发现相关人员利用内幕信息；重大资产重组期间，公司严格执行内幕信息相关管理制度，未发现</w:t>
      </w:r>
      <w:r>
        <w:rPr>
          <w:spacing w:val="-65"/>
        </w:rPr>
        <w:t> </w:t>
      </w:r>
      <w:r>
        <w:rPr>
          <w:spacing w:val="-65"/>
        </w:rPr>
      </w:r>
      <w:r>
        <w:rPr/>
        <w:t>相关人员利用内幕信息从事内幕交易。</w:t>
      </w:r>
    </w:p>
    <w:p>
      <w:pPr>
        <w:spacing w:line="240" w:lineRule="auto" w:before="13"/>
        <w:rPr>
          <w:rFonts w:ascii="宋体" w:hAnsi="宋体" w:cs="宋体" w:eastAsia="宋体" w:hint="default"/>
          <w:sz w:val="20"/>
          <w:szCs w:val="20"/>
        </w:rPr>
      </w:pPr>
    </w:p>
    <w:p>
      <w:pPr>
        <w:pStyle w:val="Heading2"/>
        <w:spacing w:line="240" w:lineRule="auto"/>
        <w:ind w:right="1123"/>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73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300" w:lineRule="auto"/>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7"/>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年度董事 会工作报告》</w:t>
            </w:r>
          </w:p>
          <w:p>
            <w:pPr>
              <w:pStyle w:val="TableParagraph"/>
              <w:spacing w:line="300" w:lineRule="auto" w:before="31"/>
              <w:ind w:left="23" w:right="77"/>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年度监事 会工作报告》</w:t>
            </w:r>
          </w:p>
          <w:p>
            <w:pPr>
              <w:pStyle w:val="TableParagraph"/>
              <w:tabs>
                <w:tab w:pos="1103" w:val="left" w:leader="none"/>
              </w:tabs>
              <w:spacing w:line="309" w:lineRule="auto" w:before="31"/>
              <w:ind w:left="23" w:right="77"/>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 决算报告》 </w:t>
            </w:r>
            <w:r>
              <w:rPr>
                <w:rFonts w:ascii="Times New Roman" w:hAnsi="Times New Roman" w:cs="Times New Roman" w:eastAsia="Times New Roman" w:hint="default"/>
                <w:spacing w:val="-13"/>
                <w:sz w:val="18"/>
                <w:szCs w:val="18"/>
              </w:rPr>
              <w:t>4</w:t>
            </w:r>
            <w:r>
              <w:rPr>
                <w:rFonts w:ascii="宋体" w:hAnsi="宋体" w:cs="宋体" w:eastAsia="宋体" w:hint="default"/>
                <w:spacing w:val="-13"/>
                <w:sz w:val="18"/>
                <w:szCs w:val="18"/>
              </w:rPr>
              <w:t>、《关于公司</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年度利润分配的预 案》</w:t>
              <w:tab/>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300" w:lineRule="auto" w:before="5"/>
              <w:ind w:left="23" w:right="7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 及摘要》</w:t>
            </w:r>
          </w:p>
          <w:p>
            <w:pPr>
              <w:pStyle w:val="TableParagraph"/>
              <w:spacing w:line="309" w:lineRule="auto" w:before="31"/>
              <w:ind w:left="23" w:right="26"/>
              <w:jc w:val="both"/>
              <w:rPr>
                <w:rFonts w:ascii="宋体" w:hAnsi="宋体" w:cs="宋体" w:eastAsia="宋体" w:hint="default"/>
                <w:sz w:val="18"/>
                <w:szCs w:val="18"/>
              </w:rPr>
            </w:pPr>
            <w:r>
              <w:rPr>
                <w:rFonts w:ascii="Times New Roman" w:hAnsi="Times New Roman" w:cs="Times New Roman" w:eastAsia="Times New Roman" w:hint="default"/>
                <w:spacing w:val="-14"/>
                <w:sz w:val="18"/>
                <w:szCs w:val="18"/>
              </w:rPr>
              <w:t>6</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年年度募 集资金使用情况专 项报告》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《关于为全资子公</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同意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68,173,341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股，反对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股；弃</w:t>
            </w:r>
          </w:p>
          <w:p>
            <w:pPr>
              <w:pStyle w:val="TableParagraph"/>
              <w:spacing w:line="312" w:lineRule="exact" w:before="24"/>
              <w:ind w:left="23"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权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股。同意股数 占出席本次股东大 会股东所持有效表 决权股份总数的 </w:t>
            </w:r>
            <w:r>
              <w:rPr>
                <w:rFonts w:ascii="Times New Roman" w:hAnsi="Times New Roman" w:cs="Times New Roman" w:eastAsia="Times New Roman" w:hint="default"/>
                <w:sz w:val="18"/>
                <w:szCs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312" w:lineRule="auto"/>
              <w:ind w:left="23" w:right="17"/>
              <w:jc w:val="left"/>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报》</w:t>
            </w:r>
            <w:r>
              <w:rPr>
                <w:rFonts w:ascii="Times New Roman" w:hAnsi="Times New Roman" w:cs="Times New Roman" w:eastAsia="Times New Roman" w:hint="default"/>
                <w:spacing w:val="-6"/>
                <w:sz w:val="18"/>
                <w:szCs w:val="18"/>
              </w:rPr>
              <w:t>2012-011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安徽 鑫龙电器股份有限 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 东大会决议的公告</w:t>
            </w:r>
          </w:p>
        </w:tc>
      </w:tr>
    </w:tbl>
    <w:p>
      <w:pPr>
        <w:spacing w:after="0" w:line="312" w:lineRule="auto"/>
        <w:jc w:val="left"/>
        <w:rPr>
          <w:rFonts w:ascii="宋体" w:hAnsi="宋体" w:cs="宋体" w:eastAsia="宋体" w:hint="default"/>
          <w:sz w:val="18"/>
          <w:szCs w:val="18"/>
        </w:rPr>
        <w:sectPr>
          <w:pgSz w:w="11910" w:h="16840"/>
          <w:pgMar w:header="877" w:footer="1338" w:top="1060" w:bottom="1520" w:left="980" w:right="0"/>
        </w:sectPr>
      </w:pPr>
    </w:p>
    <w:p>
      <w:pPr>
        <w:spacing w:line="240" w:lineRule="auto" w:before="6"/>
        <w:rPr>
          <w:rFonts w:ascii="宋体" w:hAnsi="宋体" w:cs="宋体" w:eastAsia="宋体" w:hint="default"/>
          <w:b/>
          <w:bCs/>
          <w:sz w:val="28"/>
          <w:szCs w:val="28"/>
        </w:rPr>
      </w:pPr>
      <w:r>
        <w:rPr/>
        <w:pict>
          <v:group style="position:absolute;margin-left:460.320007pt;margin-top:764.919983pt;width:135pt;height:77pt;mso-position-horizontal-relative:page;mso-position-vertical-relative:page;z-index:-829888"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44</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299"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tabs>
                <w:tab w:pos="883" w:val="left" w:leader="none"/>
              </w:tabs>
              <w:spacing w:line="309"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司提供担保额度的 议案》</w:t>
              <w:tab/>
            </w:r>
            <w:r>
              <w:rPr>
                <w:rFonts w:ascii="Times New Roman" w:hAnsi="Times New Roman" w:cs="Times New Roman" w:eastAsia="Times New Roman" w:hint="default"/>
                <w:spacing w:val="-27"/>
                <w:sz w:val="18"/>
                <w:szCs w:val="18"/>
              </w:rPr>
              <w:t>8</w:t>
            </w:r>
            <w:r>
              <w:rPr>
                <w:rFonts w:ascii="宋体" w:hAnsi="宋体" w:cs="宋体" w:eastAsia="宋体" w:hint="default"/>
                <w:spacing w:val="-27"/>
                <w:sz w:val="18"/>
                <w:szCs w:val="18"/>
              </w:rPr>
              <w:t>、《关于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续聘公司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年财</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1289" w:lineRule="exact"/>
              <w:ind w:left="2" w:right="-51"/>
              <w:jc w:val="left"/>
              <w:rPr>
                <w:rFonts w:ascii="宋体" w:hAnsi="宋体" w:cs="宋体" w:eastAsia="宋体" w:hint="default"/>
                <w:sz w:val="20"/>
                <w:szCs w:val="20"/>
              </w:rPr>
            </w:pPr>
            <w:r>
              <w:rPr>
                <w:rFonts w:ascii="宋体" w:hAnsi="宋体" w:cs="宋体" w:eastAsia="宋体" w:hint="default"/>
                <w:position w:val="-25"/>
                <w:sz w:val="20"/>
                <w:szCs w:val="20"/>
              </w:rPr>
              <w:pict>
                <v:group style="width:79.25pt;height:64.5pt;mso-position-horizontal-relative:char;mso-position-vertical-relative:line" coordorigin="0,0" coordsize="1585,1290">
                  <v:group style="position:absolute;left:0;top:0;width:1585;height:1290" coordorigin="0,0" coordsize="1585,1290">
                    <v:shape style="position:absolute;left:0;top:0;width:1585;height:1290" coordorigin="0,0" coordsize="1585,1290" path="m0,1289l1584,1289,1584,0,0,0,0,1289xe" filled="true" fillcolor="#ffffff" stroked="false">
                      <v:path arrowok="t"/>
                      <v:fill type="solid"/>
                    </v:shape>
                  </v:group>
                </v:group>
              </w:pict>
            </w:r>
            <w:r>
              <w:rPr>
                <w:rFonts w:ascii="宋体" w:hAnsi="宋体" w:cs="宋体" w:eastAsia="宋体" w:hint="default"/>
                <w:position w:val="-25"/>
                <w:sz w:val="20"/>
                <w:szCs w:val="20"/>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pict>
          <v:shape style="position:absolute;margin-left:217.610001pt;margin-top:-77.52034pt;width:157.85pt;height:64.5pt;mso-position-horizontal-relative:page;mso-position-vertical-relative:paragraph;z-index:-82993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18"/>
                      <w:szCs w:val="18"/>
                    </w:rPr>
                  </w:pPr>
                </w:p>
                <w:p>
                  <w:pPr>
                    <w:pStyle w:val="BodyText"/>
                    <w:spacing w:line="240" w:lineRule="auto"/>
                    <w:ind w:left="0" w:right="0"/>
                    <w:jc w:val="left"/>
                  </w:pPr>
                  <w:r>
                    <w:rPr/>
                    <w:t>务审计机构的议案》</w:t>
                  </w:r>
                </w:p>
              </w:txbxContent>
            </v:textbox>
            <w10:wrap type="none"/>
          </v:shape>
        </w:pict>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77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、《关于变更公司注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册资本及修订〈公司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章程〉的议案》 </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、《关于制订</w:t>
            </w:r>
            <w:r>
              <w:rPr>
                <w:rFonts w:ascii="Times New Roman" w:hAnsi="Times New Roman" w:cs="Times New Roman" w:eastAsia="Times New Roman" w:hint="default"/>
                <w:spacing w:val="-10"/>
                <w:sz w:val="18"/>
                <w:szCs w:val="18"/>
              </w:rPr>
              <w:t>&lt;</w:t>
            </w:r>
            <w:r>
              <w:rPr>
                <w:rFonts w:ascii="宋体" w:hAnsi="宋体" w:cs="宋体" w:eastAsia="宋体" w:hint="default"/>
                <w:spacing w:val="-10"/>
                <w:sz w:val="18"/>
                <w:szCs w:val="18"/>
              </w:rPr>
              <w:t>安徽</w:t>
            </w:r>
            <w:r>
              <w:rPr>
                <w:rFonts w:ascii="宋体" w:hAnsi="宋体" w:cs="宋体" w:eastAsia="宋体" w:hint="default"/>
                <w:spacing w:val="-84"/>
                <w:sz w:val="18"/>
                <w:szCs w:val="18"/>
              </w:rPr>
              <w:t> </w:t>
            </w:r>
            <w:r>
              <w:rPr>
                <w:rFonts w:ascii="宋体" w:hAnsi="宋体" w:cs="宋体" w:eastAsia="宋体" w:hint="default"/>
                <w:sz w:val="18"/>
                <w:szCs w:val="18"/>
              </w:rPr>
              <w:t>鑫龙电器股份有限 公司股东分红回报 规划（</w:t>
            </w:r>
            <w:r>
              <w:rPr>
                <w:rFonts w:ascii="Times New Roman" w:hAnsi="Times New Roman" w:cs="Times New Roman" w:eastAsia="Times New Roman" w:hint="default"/>
                <w:sz w:val="18"/>
                <w:szCs w:val="18"/>
              </w:rPr>
              <w:t>2012-2014</w:t>
            </w:r>
          </w:p>
          <w:p>
            <w:pPr>
              <w:pStyle w:val="TableParagraph"/>
              <w:spacing w:line="309" w:lineRule="auto" w:before="3"/>
              <w:ind w:left="23" w:right="19"/>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 </w:t>
            </w:r>
            <w:r>
              <w:rPr>
                <w:rFonts w:ascii="Times New Roman" w:hAnsi="Times New Roman" w:cs="Times New Roman" w:eastAsia="Times New Roman" w:hint="default"/>
                <w:spacing w:val="-18"/>
                <w:sz w:val="18"/>
                <w:szCs w:val="18"/>
              </w:rPr>
              <w:t>3</w:t>
            </w:r>
            <w:r>
              <w:rPr>
                <w:rFonts w:ascii="宋体" w:hAnsi="宋体" w:cs="宋体" w:eastAsia="宋体" w:hint="default"/>
                <w:spacing w:val="-18"/>
                <w:sz w:val="18"/>
                <w:szCs w:val="18"/>
              </w:rPr>
              <w:t>、《关于使用非公开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发行股票部分闲置 募集资金暂时补充 流动资金的议案》 </w:t>
            </w:r>
            <w:r>
              <w:rPr>
                <w:rFonts w:ascii="Times New Roman" w:hAnsi="Times New Roman" w:cs="Times New Roman" w:eastAsia="Times New Roman" w:hint="default"/>
                <w:spacing w:val="-18"/>
                <w:sz w:val="18"/>
                <w:szCs w:val="18"/>
              </w:rPr>
              <w:t>4</w:t>
            </w:r>
            <w:r>
              <w:rPr>
                <w:rFonts w:ascii="宋体" w:hAnsi="宋体" w:cs="宋体" w:eastAsia="宋体" w:hint="default"/>
                <w:spacing w:val="-18"/>
                <w:sz w:val="18"/>
                <w:szCs w:val="18"/>
              </w:rPr>
              <w:t>、《关于修订公司募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集资金管理制度的 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137,013,982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11"/>
                <w:sz w:val="18"/>
                <w:szCs w:val="18"/>
              </w:rPr>
              <w:t>股，反对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6"/>
                <w:sz w:val="18"/>
                <w:szCs w:val="18"/>
              </w:rPr>
              <w:t> </w:t>
            </w:r>
            <w:r>
              <w:rPr>
                <w:rFonts w:ascii="宋体" w:hAnsi="宋体" w:cs="宋体" w:eastAsia="宋体" w:hint="default"/>
                <w:spacing w:val="-11"/>
                <w:sz w:val="18"/>
                <w:szCs w:val="18"/>
              </w:rPr>
              <w:t>股；弃权</w:t>
            </w:r>
          </w:p>
          <w:p>
            <w:pPr>
              <w:pStyle w:val="TableParagraph"/>
              <w:spacing w:line="312" w:lineRule="exact" w:before="24"/>
              <w:ind w:left="23" w:right="2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股。同意股数 占出席本次股东大 会股东所持有效表 决权股份总数的 </w:t>
            </w:r>
            <w:r>
              <w:rPr>
                <w:rFonts w:ascii="Times New Roman" w:hAnsi="Times New Roman" w:cs="Times New Roman" w:eastAsia="Times New Roman" w:hint="default"/>
                <w:sz w:val="18"/>
                <w:szCs w:val="18"/>
              </w:rPr>
              <w:t>99.9942%</w:t>
            </w:r>
            <w:r>
              <w:rPr>
                <w:rFonts w:ascii="宋体" w:hAnsi="宋体" w:cs="宋体" w:eastAsia="宋体" w:hint="default"/>
                <w:sz w:val="18"/>
                <w:szCs w:val="18"/>
              </w:rPr>
              <w:t>；弃权股 数占出席本次股东 大会股东所持有效 表决权股份总数的 </w:t>
            </w:r>
            <w:r>
              <w:rPr>
                <w:rFonts w:ascii="Times New Roman" w:hAnsi="Times New Roman" w:cs="Times New Roman" w:eastAsia="Times New Roman" w:hint="default"/>
                <w:sz w:val="18"/>
                <w:szCs w:val="18"/>
              </w:rPr>
              <w:t>0.0058%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2" w:lineRule="auto" w:before="120"/>
              <w:ind w:left="23" w:right="17"/>
              <w:jc w:val="left"/>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报》</w:t>
            </w:r>
            <w:r>
              <w:rPr>
                <w:rFonts w:ascii="Times New Roman" w:hAnsi="Times New Roman" w:cs="Times New Roman" w:eastAsia="Times New Roman" w:hint="default"/>
                <w:spacing w:val="-6"/>
                <w:sz w:val="18"/>
                <w:szCs w:val="18"/>
              </w:rPr>
              <w:t>2012-043</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安徽 鑫龙电器股份有限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 临时股东大会决议 的公告</w:t>
            </w: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3" w:right="119"/>
              <w:jc w:val="both"/>
              <w:rPr>
                <w:rFonts w:ascii="宋体" w:hAnsi="宋体" w:cs="宋体" w:eastAsia="宋体" w:hint="default"/>
                <w:sz w:val="18"/>
                <w:szCs w:val="18"/>
              </w:rPr>
            </w:pPr>
            <w:r>
              <w:rPr>
                <w:rFonts w:ascii="宋体" w:hAnsi="宋体" w:cs="宋体" w:eastAsia="宋体" w:hint="default"/>
                <w:sz w:val="18"/>
                <w:szCs w:val="18"/>
              </w:rPr>
              <w:t>《关于投资建设技 术研究中心和科技 园项目的议案》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144,124,682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pacing w:val="-11"/>
                <w:sz w:val="18"/>
                <w:szCs w:val="18"/>
              </w:rPr>
              <w:t>股，反对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6"/>
                <w:sz w:val="18"/>
                <w:szCs w:val="18"/>
              </w:rPr>
              <w:t> </w:t>
            </w:r>
            <w:r>
              <w:rPr>
                <w:rFonts w:ascii="宋体" w:hAnsi="宋体" w:cs="宋体" w:eastAsia="宋体" w:hint="default"/>
                <w:spacing w:val="-11"/>
                <w:sz w:val="18"/>
                <w:szCs w:val="18"/>
              </w:rPr>
              <w:t>股；弃权</w:t>
            </w:r>
          </w:p>
          <w:p>
            <w:pPr>
              <w:pStyle w:val="TableParagraph"/>
              <w:spacing w:line="312" w:lineRule="auto" w:before="63"/>
              <w:ind w:left="23"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股。同意股数占出</w:t>
            </w:r>
            <w:r>
              <w:rPr>
                <w:rFonts w:ascii="宋体" w:hAnsi="宋体" w:cs="宋体" w:eastAsia="宋体" w:hint="default"/>
                <w:sz w:val="18"/>
                <w:szCs w:val="18"/>
              </w:rPr>
              <w:t> 席本次股东大会股 东所持有效表决权 股份总数的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报》</w:t>
            </w:r>
            <w:r>
              <w:rPr>
                <w:rFonts w:ascii="Times New Roman" w:hAnsi="Times New Roman" w:cs="Times New Roman" w:eastAsia="Times New Roman" w:hint="default"/>
                <w:spacing w:val="-6"/>
                <w:sz w:val="18"/>
                <w:szCs w:val="18"/>
              </w:rPr>
              <w:t>2012-051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安徽 鑫龙电器股份有限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 临时股东大会决议 的公告</w:t>
            </w:r>
          </w:p>
        </w:tc>
      </w:tr>
    </w:tbl>
    <w:p>
      <w:pPr>
        <w:spacing w:line="240" w:lineRule="auto" w:before="1"/>
        <w:rPr>
          <w:rFonts w:ascii="宋体" w:hAnsi="宋体" w:cs="宋体" w:eastAsia="宋体" w:hint="default"/>
          <w:b/>
          <w:bCs/>
          <w:sz w:val="18"/>
          <w:szCs w:val="18"/>
        </w:rPr>
      </w:pPr>
    </w:p>
    <w:p>
      <w:pPr>
        <w:spacing w:before="26"/>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三、报告期内独立董事履行职责的情况</w:t>
      </w:r>
      <w:r>
        <w:rPr>
          <w:rFonts w:ascii="宋体" w:hAnsi="宋体" w:cs="宋体" w:eastAsia="宋体" w:hint="default"/>
          <w:sz w:val="24"/>
          <w:szCs w:val="24"/>
        </w:rPr>
      </w:r>
    </w:p>
    <w:p>
      <w:pPr>
        <w:spacing w:line="240" w:lineRule="auto" w:before="12"/>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肖学东</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姚禄仕</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汪和俊</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headerReference w:type="default" r:id="rId23"/>
          <w:footerReference w:type="default" r:id="rId24"/>
          <w:pgSz w:w="11910" w:h="16840"/>
          <w:pgMar w:header="877" w:footer="0" w:top="1060" w:bottom="0" w:left="980" w:right="0"/>
        </w:sectPr>
      </w:pPr>
    </w:p>
    <w:p>
      <w:pPr>
        <w:spacing w:line="240" w:lineRule="auto" w:before="10"/>
        <w:rPr>
          <w:rFonts w:ascii="宋体" w:hAnsi="宋体" w:cs="宋体" w:eastAsia="宋体" w:hint="default"/>
          <w:b/>
          <w:bCs/>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left="513" w:right="6613" w:hanging="361"/>
        <w:jc w:val="left"/>
      </w:pPr>
      <w:r>
        <w:rPr/>
        <w:t>独立董事对公司有关事项是否提出异议 报告期内独立董事对公司有关事项未提出异议。</w:t>
      </w:r>
    </w:p>
    <w:p>
      <w:pPr>
        <w:spacing w:line="240" w:lineRule="auto" w:before="6"/>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3" w:right="1123" w:hanging="361"/>
        <w:jc w:val="left"/>
      </w:pPr>
      <w:r>
        <w:rPr/>
        <w:t>独立董事对公司有关建议被采纳或未被采纳的说明 </w:t>
      </w:r>
      <w:r>
        <w:rPr>
          <w:spacing w:val="-2"/>
        </w:rPr>
        <w:t>公司独立董事能够严格按照有关法律、法规和《独立董事制度》的规定，本着对公司和投资者认真负责的态度，独立公</w:t>
      </w:r>
    </w:p>
    <w:p>
      <w:pPr>
        <w:pStyle w:val="BodyText"/>
        <w:spacing w:line="224" w:lineRule="exact"/>
        <w:ind w:right="0"/>
        <w:jc w:val="left"/>
      </w:pPr>
      <w:r>
        <w:rPr/>
        <w:t>正地履行职责，不受公司主要股东、实际控制人或其他与公司存在利害关系的单位和个人的影响。独立董事能够按时出席公</w:t>
      </w:r>
    </w:p>
    <w:p>
      <w:pPr>
        <w:pStyle w:val="BodyText"/>
        <w:spacing w:line="319" w:lineRule="auto" w:before="76"/>
        <w:ind w:right="1130"/>
        <w:jc w:val="both"/>
      </w:pPr>
      <w:r>
        <w:rPr>
          <w:spacing w:val="-2"/>
        </w:rPr>
        <w:t>司董事会会议，在深入了解公司生产经营状况和重大事项情况的基础上，认真审议各项议案，对董事会的科学决策及公司的</w:t>
      </w:r>
      <w:r>
        <w:rPr>
          <w:spacing w:val="-63"/>
        </w:rPr>
        <w:t> </w:t>
      </w:r>
      <w:r>
        <w:rPr>
          <w:spacing w:val="-63"/>
        </w:rPr>
      </w:r>
      <w:r>
        <w:rPr>
          <w:spacing w:val="-2"/>
        </w:rPr>
        <w:t>良性发展发挥了积极的作用。报告期内独立董事对公司对外担保、资金往来等有关事项发表了独立、客观、公正的意见，切</w:t>
      </w:r>
      <w:r>
        <w:rPr>
          <w:spacing w:val="-67"/>
        </w:rPr>
        <w:t> </w:t>
      </w:r>
      <w:r>
        <w:rPr>
          <w:spacing w:val="-67"/>
        </w:rPr>
      </w:r>
      <w:r>
        <w:rPr>
          <w:spacing w:val="-2"/>
        </w:rPr>
        <w:t>实维护了公司及股东特别是社会公众股股东的利益。报告期内，独立董事对公司重大事项发表了独立、客观、公正的独立意</w:t>
      </w:r>
      <w:r>
        <w:rPr>
          <w:spacing w:val="-64"/>
        </w:rPr>
        <w:t> </w:t>
      </w:r>
      <w:r>
        <w:rPr>
          <w:spacing w:val="-64"/>
        </w:rPr>
      </w:r>
      <w:r>
        <w:rPr/>
        <w:t>见，切实维护了公司及股东特别是社会公众股股东的利益。</w:t>
      </w:r>
    </w:p>
    <w:p>
      <w:pPr>
        <w:spacing w:line="240" w:lineRule="auto" w:before="9"/>
        <w:rPr>
          <w:rFonts w:ascii="宋体" w:hAnsi="宋体" w:cs="宋体" w:eastAsia="宋体" w:hint="default"/>
          <w:sz w:val="20"/>
          <w:szCs w:val="20"/>
        </w:rPr>
      </w:pPr>
    </w:p>
    <w:p>
      <w:pPr>
        <w:pStyle w:val="Heading2"/>
        <w:spacing w:line="240" w:lineRule="auto"/>
        <w:ind w:right="1123"/>
        <w:jc w:val="left"/>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3" w:firstLine="360"/>
        <w:jc w:val="left"/>
      </w:pPr>
      <w:r>
        <w:rPr>
          <w:spacing w:val="-2"/>
        </w:rPr>
        <w:t>董事会下设专门委员会各委员在报告期内恪尽职守、诚实守信地履行职责。积极参加董事会和股东大会会议，发挥各自</w:t>
      </w:r>
      <w:r>
        <w:rPr/>
        <w:t> 的专业特长、技能和经验，积极地履行职责，切实维护公司及股东特别是社会公众股股东的权益。</w:t>
      </w:r>
    </w:p>
    <w:p>
      <w:pPr>
        <w:spacing w:line="240" w:lineRule="auto" w:before="11"/>
        <w:rPr>
          <w:rFonts w:ascii="宋体" w:hAnsi="宋体" w:cs="宋体" w:eastAsia="宋体" w:hint="default"/>
          <w:sz w:val="20"/>
          <w:szCs w:val="20"/>
        </w:rPr>
      </w:pPr>
    </w:p>
    <w:p>
      <w:pPr>
        <w:pStyle w:val="Heading2"/>
        <w:spacing w:line="240" w:lineRule="auto"/>
        <w:ind w:right="1123"/>
        <w:jc w:val="left"/>
        <w:rPr>
          <w:b w:val="0"/>
          <w:bCs w:val="0"/>
        </w:rPr>
      </w:pPr>
      <w:r>
        <w:rPr/>
        <w:t>五、监事会工作情况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434"/>
        <w:jc w:val="left"/>
      </w:pPr>
      <w:r>
        <w:rPr/>
        <w:t>监事会在报告期内的监督活动中发现公司是否存在风险 监事会对报告期内的监督事项无异议。</w:t>
      </w:r>
    </w:p>
    <w:p>
      <w:pPr>
        <w:spacing w:line="240" w:lineRule="auto" w:before="5"/>
        <w:rPr>
          <w:rFonts w:ascii="宋体" w:hAnsi="宋体" w:cs="宋体" w:eastAsia="宋体" w:hint="default"/>
          <w:sz w:val="18"/>
          <w:szCs w:val="18"/>
        </w:rPr>
      </w:pPr>
    </w:p>
    <w:p>
      <w:pPr>
        <w:pStyle w:val="Heading2"/>
        <w:spacing w:line="240" w:lineRule="auto"/>
        <w:ind w:right="1123"/>
        <w:jc w:val="left"/>
        <w:rPr>
          <w:b w:val="0"/>
          <w:bCs w:val="0"/>
        </w:rPr>
      </w:pPr>
      <w:r>
        <w:rPr/>
        <w:t>六、公司相对于控股股东在业务、人员、资产、机构、财务等方面的独立完整情况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0" w:firstLine="360"/>
        <w:jc w:val="left"/>
      </w:pPr>
      <w:r>
        <w:rPr>
          <w:spacing w:val="-2"/>
        </w:rPr>
        <w:t>公司具有独立的生产经营能力，独立的产供销体系，公司业务、人员、资产、机构、财务等方面均独立于控股股东及主</w:t>
      </w:r>
      <w:r>
        <w:rPr/>
        <w:t> </w:t>
      </w:r>
      <w:r>
        <w:rPr>
          <w:spacing w:val="-2"/>
        </w:rPr>
        <w:t>要股东。公司拥有生产经营所需的完整的资产，生产经营所需技术为公司合法独立拥有，没有产权争议；公司具有完整的业</w:t>
      </w:r>
      <w:r>
        <w:rPr>
          <w:spacing w:val="-65"/>
        </w:rPr>
        <w:t> </w:t>
      </w:r>
      <w:r>
        <w:rPr>
          <w:spacing w:val="-65"/>
        </w:rPr>
      </w:r>
      <w:r>
        <w:rPr>
          <w:spacing w:val="-2"/>
        </w:rPr>
        <w:t>务体系及面向市场独立经营的能力；公司的劳动及工资管理独立于控股股东及主要股东；董事、监事以及高级管理人员、核</w:t>
      </w:r>
      <w:r>
        <w:rPr>
          <w:spacing w:val="-64"/>
        </w:rPr>
        <w:t> </w:t>
      </w:r>
      <w:r>
        <w:rPr>
          <w:spacing w:val="-64"/>
        </w:rPr>
      </w:r>
      <w:r>
        <w:rPr>
          <w:spacing w:val="-2"/>
        </w:rPr>
        <w:t>心技术人员不存在法律禁止的交叉任职现象；公司设有独立的财务部门，建立了独立的财务核算体系并具有独立的财务会计</w:t>
      </w:r>
      <w:r>
        <w:rPr>
          <w:spacing w:val="-64"/>
        </w:rPr>
        <w:t> </w:t>
      </w:r>
      <w:r>
        <w:rPr>
          <w:spacing w:val="-64"/>
        </w:rPr>
      </w:r>
      <w:r>
        <w:rPr/>
        <w:t>制度，开立了独立银行账户并依法独立纳税。具体的独立运营情况如下：</w:t>
      </w:r>
      <w:r>
        <w:rPr>
          <w:rFonts w:ascii="Times New Roman" w:hAnsi="Times New Roman" w:cs="Times New Roman" w:eastAsia="Times New Roman" w:hint="default"/>
        </w:rPr>
        <w:t>1</w:t>
      </w:r>
      <w:r>
        <w:rPr/>
        <w:t>、业务独立性本公司是独立从事生产经营的企业 </w:t>
      </w:r>
      <w:r>
        <w:rPr>
          <w:spacing w:val="-2"/>
        </w:rPr>
        <w:t>法人，拥有独立、完整的科研、生产、采购、销售体系，具有独立完整的业务体系及面向市场独立经营的能力，不依赖于股</w:t>
      </w:r>
      <w:r>
        <w:rPr>
          <w:spacing w:val="-69"/>
        </w:rPr>
        <w:t> </w:t>
      </w:r>
      <w:r>
        <w:rPr>
          <w:spacing w:val="-69"/>
        </w:rPr>
      </w:r>
      <w:r>
        <w:rPr/>
        <w:t>东或其他任何关联方，与控股股东之间无同业竞争，控股股东不存在直接或间接干预公司经营运作的情形。</w:t>
      </w:r>
      <w:r>
        <w:rPr>
          <w:rFonts w:ascii="Times New Roman" w:hAnsi="Times New Roman" w:cs="Times New Roman" w:eastAsia="Times New Roman" w:hint="default"/>
        </w:rPr>
        <w:t>2</w:t>
      </w:r>
      <w:r>
        <w:rPr/>
        <w:t>、人员独立性</w:t>
      </w:r>
      <w:r>
        <w:rPr>
          <w:spacing w:val="-87"/>
        </w:rPr>
        <w:t> </w:t>
      </w:r>
      <w:r>
        <w:rPr>
          <w:spacing w:val="-2"/>
        </w:rPr>
        <w:t>本公司总经理、副总经理、董事会秘书、财务负责人等高级管理人员与核心技术人员均专职在本公司工作并领取报酬，没有</w:t>
      </w:r>
      <w:r>
        <w:rPr>
          <w:spacing w:val="-64"/>
        </w:rPr>
        <w:t> </w:t>
      </w:r>
      <w:r>
        <w:rPr>
          <w:spacing w:val="-64"/>
        </w:rPr>
      </w:r>
      <w:r>
        <w:rPr>
          <w:spacing w:val="-5"/>
        </w:rPr>
        <w:t>在股东单位中担任任何行政职务，也没有在股东单位领薪；公司董事、监事及高级管理人员均严格按照《公司法》、《公司章</w:t>
      </w:r>
      <w:r>
        <w:rPr>
          <w:spacing w:val="-81"/>
        </w:rPr>
        <w:t> </w:t>
      </w:r>
      <w:r>
        <w:rPr>
          <w:spacing w:val="-81"/>
        </w:rPr>
      </w:r>
      <w:r>
        <w:rPr>
          <w:spacing w:val="-2"/>
        </w:rPr>
        <w:t>程》的有关规定产生，不存在控股股东越过公司股东大会、董事会、监事会而作出人事任免决定的情况；公司员工独立于股</w:t>
      </w:r>
      <w:r>
        <w:rPr>
          <w:spacing w:val="-67"/>
        </w:rPr>
        <w:t> </w:t>
      </w:r>
      <w:r>
        <w:rPr>
          <w:spacing w:val="-67"/>
        </w:rPr>
      </w:r>
      <w:r>
        <w:rPr>
          <w:spacing w:val="-2"/>
        </w:rPr>
        <w:t>东单位及其关联方，并执行独立的劳动、人事及工资管理制度。</w:t>
      </w:r>
      <w:r>
        <w:rPr>
          <w:rFonts w:ascii="Times New Roman" w:hAnsi="Times New Roman" w:cs="Times New Roman" w:eastAsia="Times New Roman" w:hint="default"/>
          <w:spacing w:val="-2"/>
        </w:rPr>
        <w:t>3</w:t>
      </w:r>
      <w:r>
        <w:rPr>
          <w:spacing w:val="-2"/>
        </w:rPr>
        <w:t>、资产独立性本公司与控股股东及主要股东资产权属明确，</w:t>
      </w:r>
      <w:r>
        <w:rPr>
          <w:spacing w:val="-62"/>
        </w:rPr>
        <w:t> </w:t>
      </w:r>
      <w:r>
        <w:rPr>
          <w:spacing w:val="-62"/>
        </w:rPr>
      </w:r>
      <w:r>
        <w:rPr>
          <w:spacing w:val="-2"/>
        </w:rPr>
        <w:t>不存在控股股东及主要股东违规占用本公司资金、资产及其他资源情况。本公司的土地使用权、房产、机器设备、商标、专</w:t>
      </w:r>
      <w:r>
        <w:rPr>
          <w:spacing w:val="-70"/>
        </w:rPr>
        <w:t> </w:t>
      </w:r>
      <w:r>
        <w:rPr>
          <w:spacing w:val="-70"/>
        </w:rPr>
      </w:r>
      <w:r>
        <w:rPr>
          <w:spacing w:val="-2"/>
        </w:rPr>
        <w:t>利、专有技术及其他资产的权属完全由公司独立享有，没有依赖股东资产进行生产经营的情况。公司对所有资产拥有完全的</w:t>
      </w:r>
      <w:r>
        <w:rPr>
          <w:spacing w:val="-63"/>
        </w:rPr>
        <w:t> </w:t>
      </w:r>
      <w:r>
        <w:rPr>
          <w:spacing w:val="-63"/>
        </w:rPr>
      </w:r>
      <w:r>
        <w:rPr/>
        <w:t>控制和支配权。</w:t>
      </w:r>
      <w:r>
        <w:rPr>
          <w:rFonts w:ascii="Times New Roman" w:hAnsi="Times New Roman" w:cs="Times New Roman" w:eastAsia="Times New Roman" w:hint="default"/>
        </w:rPr>
        <w:t>4</w:t>
      </w:r>
      <w:r>
        <w:rPr/>
        <w:t>、机构独立性本公司建立健全了股东大会、董事会、监事会、总经理负责的经理层等机构及相应的三会议 </w:t>
      </w:r>
      <w:r>
        <w:rPr>
          <w:spacing w:val="-2"/>
        </w:rPr>
        <w:t>事规则和《总经理工作细则》，形成完善的法人治理结构；公司适应生产经营需要设置了行政部、技术部、证券投资部、审</w:t>
      </w:r>
      <w:r>
        <w:rPr>
          <w:spacing w:val="-72"/>
        </w:rPr>
        <w:t> </w:t>
      </w:r>
      <w:r>
        <w:rPr>
          <w:spacing w:val="-72"/>
        </w:rPr>
      </w:r>
      <w:r>
        <w:rPr>
          <w:spacing w:val="-4"/>
        </w:rPr>
        <w:t>计部、财务部、售后服务部、品质部、设备部、生产部、物流部、合同管理部、市场部、法律事务部、营销中心等职能部门，</w:t>
      </w:r>
      <w:r>
        <w:rPr>
          <w:spacing w:val="-43"/>
        </w:rPr>
        <w:t> </w:t>
      </w:r>
      <w:r>
        <w:rPr>
          <w:spacing w:val="-43"/>
        </w:rPr>
      </w:r>
      <w:r>
        <w:rPr>
          <w:spacing w:val="-2"/>
        </w:rPr>
        <w:t>各职能部门按规定的职责独立运作；公司各职能部门与股东单位及其职能部门之间不存在上下级关系，不存在股东单位干预</w:t>
      </w:r>
    </w:p>
    <w:p>
      <w:pPr>
        <w:spacing w:after="0" w:line="314" w:lineRule="auto"/>
        <w:jc w:val="left"/>
        <w:sectPr>
          <w:footerReference w:type="default" r:id="rId25"/>
          <w:pgSz w:w="11910" w:h="16840"/>
          <w:pgMar w:footer="1340" w:header="877" w:top="1060" w:bottom="1540" w:left="980" w:right="0"/>
          <w:pgNumType w:start="45"/>
        </w:sectPr>
      </w:pPr>
    </w:p>
    <w:p>
      <w:pPr>
        <w:spacing w:line="240" w:lineRule="auto" w:before="9"/>
        <w:rPr>
          <w:rFonts w:ascii="宋体" w:hAnsi="宋体" w:cs="宋体" w:eastAsia="宋体" w:hint="default"/>
          <w:sz w:val="25"/>
          <w:szCs w:val="25"/>
        </w:rPr>
      </w:pPr>
    </w:p>
    <w:p>
      <w:pPr>
        <w:pStyle w:val="BodyText"/>
        <w:spacing w:line="309" w:lineRule="auto" w:before="44"/>
        <w:ind w:right="1131"/>
        <w:jc w:val="both"/>
      </w:pPr>
      <w:r>
        <w:rPr/>
        <w:t>本公司组织机构设立与运作情况。</w:t>
      </w:r>
      <w:r>
        <w:rPr>
          <w:rFonts w:ascii="Times New Roman" w:hAnsi="Times New Roman" w:cs="Times New Roman" w:eastAsia="Times New Roman" w:hint="default"/>
        </w:rPr>
        <w:t>5</w:t>
      </w:r>
      <w:r>
        <w:rPr/>
        <w:t>、财务独立性本公司设立了独立的财务部门，建立了独立的会计核算体系和财务管理制 </w:t>
      </w:r>
      <w:r>
        <w:rPr>
          <w:spacing w:val="-2"/>
        </w:rPr>
        <w:t>度，独立进行财务决策；公司独立在银行开设账户，不存在与股东单位共用银行账户的现象，公司依法独立进行纳税申报和</w:t>
      </w:r>
      <w:r>
        <w:rPr>
          <w:spacing w:val="-64"/>
        </w:rPr>
        <w:t> </w:t>
      </w:r>
      <w:r>
        <w:rPr>
          <w:spacing w:val="-64"/>
        </w:rPr>
      </w:r>
      <w:r>
        <w:rPr/>
        <w:t>履行纳税义务；公司不存在股东单位或其他关联方占用本公司货币资金或其他资产的情形；公司独立对外签订合同。</w:t>
      </w:r>
    </w:p>
    <w:p>
      <w:pPr>
        <w:spacing w:line="240" w:lineRule="auto" w:before="3"/>
        <w:rPr>
          <w:rFonts w:ascii="宋体" w:hAnsi="宋体" w:cs="宋体" w:eastAsia="宋体" w:hint="default"/>
          <w:sz w:val="21"/>
          <w:szCs w:val="21"/>
        </w:rPr>
      </w:pPr>
    </w:p>
    <w:p>
      <w:pPr>
        <w:pStyle w:val="Heading2"/>
        <w:spacing w:line="240" w:lineRule="auto"/>
        <w:ind w:right="0"/>
        <w:jc w:val="both"/>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73" w:right="1123"/>
        <w:jc w:val="left"/>
      </w:pPr>
      <w:r>
        <w:rPr/>
        <w:t>截止公告之日，本公司控股股东、实际控制人束龙胜先生与公司不存在发生同业竞争的行为。</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both"/>
        <w:rPr>
          <w:rFonts w:ascii="Times New Roman" w:hAnsi="Times New Roman" w:cs="Times New Roman" w:eastAsia="Times New Roman" w:hint="default"/>
        </w:rPr>
      </w:pPr>
      <w:r>
        <w:rPr>
          <w:spacing w:val="-2"/>
        </w:rPr>
        <w:t>为了更好的发挥绩效机制对公司高层管理人员的激励，体现责权、利对等原则，公司积极建立和完善高层管理人员的绩</w:t>
      </w:r>
      <w:r>
        <w:rPr/>
        <w:t> </w:t>
      </w:r>
      <w:r>
        <w:rPr>
          <w:spacing w:val="-2"/>
        </w:rPr>
        <w:t>效激励和约束体系。公司已通过和实施《高级管理人员薪酬考核管理办法》，建立了高级管理人员的绩效评价体系和与之相</w:t>
      </w:r>
      <w:r>
        <w:rPr>
          <w:spacing w:val="-72"/>
        </w:rPr>
        <w:t> </w:t>
      </w:r>
      <w:r>
        <w:rPr>
          <w:spacing w:val="-72"/>
        </w:rPr>
      </w:r>
      <w:r>
        <w:rPr>
          <w:spacing w:val="-2"/>
        </w:rPr>
        <w:t>联系的相关考核机制，依据公司年度经营计划目标和实际完成情况，对公司高级管理人员进行绩效指标的考核，并以此作为</w:t>
      </w:r>
      <w:r>
        <w:rPr>
          <w:spacing w:val="-62"/>
        </w:rPr>
        <w:t> </w:t>
      </w:r>
      <w:r>
        <w:rPr>
          <w:spacing w:val="-62"/>
        </w:rPr>
      </w:r>
      <w:r>
        <w:rPr/>
        <w:t>奖惩依据。</w:t>
      </w:r>
      <w:r>
        <w:rPr>
          <w:spacing w:val="7"/>
        </w:rPr>
        <w:t> </w:t>
      </w:r>
      <w:r>
        <w:rPr/>
        <w:t>报告期内，公司为进一步完善法人治理结构，促进公司建立、健全激励约束机制，充分调动管理者和重要骨</w:t>
      </w:r>
      <w:r>
        <w:rPr/>
        <w:t> </w:t>
      </w:r>
      <w:r>
        <w:rPr>
          <w:spacing w:val="-2"/>
        </w:rPr>
        <w:t>干的积极性，吸引和保留优秀管理人才、核心技术人员和业务骨干；有效地将股东利益、公司利益和经营者个人利益结合在</w:t>
      </w:r>
      <w:r>
        <w:rPr>
          <w:spacing w:val="-64"/>
        </w:rPr>
        <w:t> </w:t>
      </w:r>
      <w:r>
        <w:rPr>
          <w:spacing w:val="-64"/>
        </w:rPr>
      </w:r>
      <w:r>
        <w:rPr>
          <w:spacing w:val="-2"/>
        </w:rPr>
        <w:t>一起，使各方共同关注公司的长远发展；激励个人与公司共同分享企业发展的成果，保证企业的长期稳健发展；根据《公司</w:t>
      </w:r>
      <w:r>
        <w:rPr>
          <w:spacing w:val="-67"/>
        </w:rPr>
        <w:t> </w:t>
      </w:r>
      <w:r>
        <w:rPr>
          <w:spacing w:val="-67"/>
        </w:rPr>
      </w:r>
      <w:r>
        <w:rPr>
          <w:spacing w:val="-11"/>
        </w:rPr>
        <w:t>法》、《证券法》、《上市公司股权激励管理办法（试行）》以及其他法律、法规、规范性文件和《公司章程》，制订了股票期权</w:t>
      </w:r>
      <w:r>
        <w:rPr>
          <w:spacing w:val="-88"/>
        </w:rPr>
        <w:t> </w:t>
      </w:r>
      <w:r>
        <w:rPr>
          <w:spacing w:val="-88"/>
        </w:rPr>
      </w:r>
      <w:r>
        <w:rPr/>
        <w:t>激励计划。激励计划拟授予激励对象</w:t>
      </w:r>
      <w:r>
        <w:rPr>
          <w:spacing w:val="-46"/>
        </w:rPr>
        <w:t> </w:t>
      </w:r>
      <w:r>
        <w:rPr>
          <w:rFonts w:ascii="Times New Roman" w:hAnsi="Times New Roman" w:cs="Times New Roman" w:eastAsia="Times New Roman" w:hint="default"/>
        </w:rPr>
        <w:t>133</w:t>
      </w:r>
      <w:r>
        <w:rPr>
          <w:rFonts w:ascii="Times New Roman" w:hAnsi="Times New Roman" w:cs="Times New Roman" w:eastAsia="Times New Roman" w:hint="default"/>
          <w:spacing w:val="-1"/>
        </w:rPr>
        <w:t> </w:t>
      </w:r>
      <w:r>
        <w:rPr/>
        <w:t>人共</w:t>
      </w:r>
      <w:r>
        <w:rPr>
          <w:spacing w:val="-49"/>
        </w:rPr>
        <w:t> </w:t>
      </w:r>
      <w:r>
        <w:rPr>
          <w:rFonts w:ascii="Times New Roman" w:hAnsi="Times New Roman" w:cs="Times New Roman" w:eastAsia="Times New Roman" w:hint="default"/>
        </w:rPr>
        <w:t>1,420 </w:t>
      </w:r>
      <w:r>
        <w:rPr/>
        <w:t>万份股票期权，其中：首次授予</w:t>
      </w:r>
      <w:r>
        <w:rPr>
          <w:spacing w:val="-47"/>
        </w:rPr>
        <w:t> </w:t>
      </w:r>
      <w:r>
        <w:rPr>
          <w:rFonts w:ascii="Times New Roman" w:hAnsi="Times New Roman" w:cs="Times New Roman" w:eastAsia="Times New Roman" w:hint="default"/>
        </w:rPr>
        <w:t>1,320 </w:t>
      </w:r>
      <w:r>
        <w:rPr/>
        <w:t>万份，预留</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万份。</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4</w:t>
      </w:r>
    </w:p>
    <w:p>
      <w:pPr>
        <w:pStyle w:val="BodyText"/>
        <w:spacing w:line="300" w:lineRule="auto"/>
        <w:ind w:right="1132"/>
        <w:jc w:val="both"/>
      </w:pPr>
      <w:r>
        <w:rPr/>
        <w:t>月</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日，公司实施</w:t>
      </w:r>
      <w:r>
        <w:rPr>
          <w:spacing w:val="-49"/>
        </w:rPr>
        <w:t> </w:t>
      </w:r>
      <w:r>
        <w:rPr>
          <w:rFonts w:ascii="Times New Roman" w:hAnsi="Times New Roman" w:cs="Times New Roman" w:eastAsia="Times New Roman" w:hint="default"/>
        </w:rPr>
        <w:t>2011 </w:t>
      </w:r>
      <w:r>
        <w:rPr/>
        <w:t>年度利润分配方案。</w:t>
      </w:r>
      <w:r>
        <w:rPr>
          <w:rFonts w:ascii="Times New Roman" w:hAnsi="Times New Roman" w:cs="Times New Roman" w:eastAsia="Times New Roman" w:hint="default"/>
        </w:rPr>
        <w:t>2012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日，公司分别召开第五届董事会第二十一次会议和第五届监事 </w:t>
      </w:r>
      <w:r>
        <w:rPr>
          <w:spacing w:val="-2"/>
        </w:rPr>
        <w:t>会第十四次会议，审议通过《关于对</w:t>
      </w:r>
      <w:r>
        <w:rPr>
          <w:rFonts w:ascii="Times New Roman" w:hAnsi="Times New Roman" w:cs="Times New Roman" w:eastAsia="Times New Roman" w:hint="default"/>
          <w:spacing w:val="-2"/>
        </w:rPr>
        <w:t>&lt;</w:t>
      </w:r>
      <w:r>
        <w:rPr>
          <w:spacing w:val="-2"/>
        </w:rPr>
        <w:t>股票期权激励计划</w:t>
      </w:r>
      <w:r>
        <w:rPr>
          <w:rFonts w:ascii="Times New Roman" w:hAnsi="Times New Roman" w:cs="Times New Roman" w:eastAsia="Times New Roman" w:hint="default"/>
          <w:spacing w:val="-2"/>
        </w:rPr>
        <w:t>&gt;</w:t>
      </w:r>
      <w:r>
        <w:rPr>
          <w:spacing w:val="-2"/>
        </w:rPr>
        <w:t>涉及的股票期权数量和行权价格进行调整的议案》，经过本次调整</w:t>
      </w:r>
      <w:r>
        <w:rPr>
          <w:spacing w:val="-86"/>
        </w:rPr>
        <w:t> </w:t>
      </w:r>
      <w:r>
        <w:rPr>
          <w:spacing w:val="-86"/>
        </w:rPr>
      </w:r>
      <w:r>
        <w:rPr>
          <w:spacing w:val="-7"/>
        </w:rPr>
        <w:t>后，《股票期权激励计划（修订稿）》所涉及股票期权总数为</w:t>
      </w:r>
      <w:r>
        <w:rPr>
          <w:spacing w:val="-40"/>
        </w:rPr>
        <w:t> </w:t>
      </w:r>
      <w:r>
        <w:rPr>
          <w:rFonts w:ascii="Times New Roman" w:hAnsi="Times New Roman" w:cs="Times New Roman" w:eastAsia="Times New Roman" w:hint="default"/>
        </w:rPr>
        <w:t>2,840</w:t>
      </w:r>
      <w:r>
        <w:rPr>
          <w:rFonts w:ascii="Times New Roman" w:hAnsi="Times New Roman" w:cs="Times New Roman" w:eastAsia="Times New Roman" w:hint="default"/>
          <w:spacing w:val="6"/>
        </w:rPr>
        <w:t> </w:t>
      </w:r>
      <w:r>
        <w:rPr/>
        <w:t>万份，行权价格为</w:t>
      </w:r>
      <w:r>
        <w:rPr>
          <w:spacing w:val="-41"/>
        </w:rPr>
        <w:t> </w:t>
      </w:r>
      <w:r>
        <w:rPr>
          <w:rFonts w:ascii="Times New Roman" w:hAnsi="Times New Roman" w:cs="Times New Roman" w:eastAsia="Times New Roman" w:hint="default"/>
          <w:spacing w:val="-1"/>
        </w:rPr>
        <w:t>7.63</w:t>
      </w:r>
      <w:r>
        <w:rPr>
          <w:rFonts w:ascii="Times New Roman" w:hAnsi="Times New Roman" w:cs="Times New Roman" w:eastAsia="Times New Roman" w:hint="default"/>
          <w:spacing w:val="6"/>
        </w:rPr>
        <w:t> </w:t>
      </w:r>
      <w:r>
        <w:rPr>
          <w:spacing w:val="-1"/>
        </w:rPr>
        <w:t>元，其中包含预留股票期权数量</w:t>
      </w:r>
    </w:p>
    <w:p>
      <w:pPr>
        <w:pStyle w:val="BodyText"/>
        <w:spacing w:line="240" w:lineRule="auto" w:before="13"/>
        <w:ind w:right="0"/>
        <w:jc w:val="both"/>
      </w:pPr>
      <w:r>
        <w:rPr>
          <w:rFonts w:ascii="Times New Roman" w:hAnsi="Times New Roman" w:cs="Times New Roman" w:eastAsia="Times New Roman" w:hint="default"/>
        </w:rPr>
        <w:t>200</w:t>
      </w:r>
      <w:r>
        <w:rPr>
          <w:rFonts w:ascii="Times New Roman" w:hAnsi="Times New Roman" w:cs="Times New Roman" w:eastAsia="Times New Roman" w:hint="default"/>
          <w:spacing w:val="1"/>
        </w:rPr>
        <w:t> </w:t>
      </w:r>
      <w:r>
        <w:rPr/>
        <w:t>万份。</w:t>
      </w:r>
      <w:r>
        <w:rPr>
          <w:spacing w:val="-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28 </w:t>
      </w:r>
      <w:r>
        <w:rPr/>
        <w:t>日向</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名激励对象授出</w:t>
      </w:r>
      <w:r>
        <w:rPr>
          <w:spacing w:val="-46"/>
        </w:rPr>
        <w:t> </w:t>
      </w:r>
      <w:r>
        <w:rPr>
          <w:rFonts w:ascii="Times New Roman" w:hAnsi="Times New Roman" w:cs="Times New Roman" w:eastAsia="Times New Roman" w:hint="default"/>
        </w:rPr>
        <w:t>200 </w:t>
      </w:r>
      <w:r>
        <w:rPr/>
        <w:t>万份预留期权，行权价格为</w:t>
      </w:r>
      <w:r>
        <w:rPr>
          <w:spacing w:val="-46"/>
        </w:rPr>
        <w:t> </w:t>
      </w:r>
      <w:r>
        <w:rPr>
          <w:rFonts w:ascii="Times New Roman" w:hAnsi="Times New Roman" w:cs="Times New Roman" w:eastAsia="Times New Roman" w:hint="default"/>
        </w:rPr>
        <w:t>9.25</w:t>
      </w:r>
      <w:r>
        <w:rPr>
          <w:rFonts w:ascii="Times New Roman" w:hAnsi="Times New Roman" w:cs="Times New Roman" w:eastAsia="Times New Roman" w:hint="default"/>
          <w:spacing w:val="1"/>
        </w:rPr>
        <w:t> </w:t>
      </w:r>
      <w:r>
        <w:rPr>
          <w:spacing w:val="-3"/>
        </w:rPr>
        <w:t>元。</w:t>
      </w:r>
      <w:r>
        <w:rPr/>
      </w:r>
    </w:p>
    <w:p>
      <w:pPr>
        <w:spacing w:after="0" w:line="240" w:lineRule="auto"/>
        <w:jc w:val="both"/>
        <w:sectPr>
          <w:pgSz w:w="11910" w:h="16840"/>
          <w:pgMar w:header="877" w:footer="1340" w:top="1060" w:bottom="1540" w:left="980" w:right="0"/>
        </w:sectPr>
      </w:pPr>
    </w:p>
    <w:p>
      <w:pPr>
        <w:spacing w:line="240" w:lineRule="auto" w:before="0"/>
        <w:rPr>
          <w:rFonts w:ascii="宋体" w:hAnsi="宋体" w:cs="宋体" w:eastAsia="宋体" w:hint="default"/>
          <w:sz w:val="20"/>
          <w:szCs w:val="20"/>
        </w:rPr>
      </w:pPr>
      <w:r>
        <w:rPr/>
        <w:pict>
          <v:group style="position:absolute;margin-left:56.700001pt;margin-top:745.895996pt;width:538.65pt;height:96.05pt;mso-position-horizontal-relative:page;mso-position-vertical-relative:page;z-index:1864" coordorigin="1134,14918" coordsize="10773,1921">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47</w:t>
                    </w:r>
                  </w:p>
                </w:txbxContent>
              </v:textbox>
              <w10:wrap type="none"/>
            </v:shape>
            <v:shape style="position:absolute;left:1134;top:14918;width:9570;height:401" type="#_x0000_t202" filled="true" fillcolor="#d2d2d2" stroked="true" strokeweight=".48pt" strokecolor="#000000">
              <v:textbox inset="0,0,0,0">
                <w:txbxContent>
                  <w:p>
                    <w:pPr>
                      <w:spacing w:before="49"/>
                      <w:ind w:left="1988" w:right="0" w:firstLine="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xbxContent>
              </v:textbox>
              <v:fill type="solid"/>
              <w10:wrap type="none"/>
            </v:shape>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17"/>
        <w:jc w:val="center"/>
        <w:rPr>
          <w:b w:val="0"/>
          <w:bCs w:val="0"/>
        </w:rPr>
      </w:pPr>
      <w:r>
        <w:rPr/>
        <w:t>第九节</w:t>
      </w:r>
      <w:r>
        <w:rPr>
          <w:spacing w:val="-2"/>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一、内部控制建设情况</w:t>
      </w:r>
      <w:r>
        <w:rPr>
          <w:b w:val="0"/>
          <w:bCs w:val="0"/>
        </w:rPr>
      </w:r>
    </w:p>
    <w:p>
      <w:pPr>
        <w:spacing w:line="240" w:lineRule="auto" w:before="4"/>
        <w:rPr>
          <w:rFonts w:ascii="宋体" w:hAnsi="宋体" w:cs="宋体" w:eastAsia="宋体" w:hint="default"/>
          <w:b/>
          <w:bCs/>
          <w:sz w:val="26"/>
          <w:szCs w:val="26"/>
        </w:rPr>
      </w:pPr>
    </w:p>
    <w:p>
      <w:pPr>
        <w:pStyle w:val="BodyText"/>
        <w:tabs>
          <w:tab w:pos="1211" w:val="left" w:leader="none"/>
        </w:tabs>
        <w:spacing w:line="312" w:lineRule="auto"/>
        <w:ind w:right="1044" w:firstLine="360"/>
        <w:jc w:val="left"/>
      </w:pPr>
      <w:r>
        <w:rPr>
          <w:spacing w:val="-2"/>
        </w:rPr>
        <w:t>公司依据相关法律法规的规定和行业相关标准，结合公司实际情况，建立了一系列较为完善的内部控制制度，并及时根</w:t>
      </w:r>
      <w:r>
        <w:rPr/>
        <w:t> </w:t>
      </w:r>
      <w:r>
        <w:rPr>
          <w:spacing w:val="-4"/>
        </w:rPr>
        <w:t>据最新的法律、法规不断完善，在日常工作中严格遵照执行，使公司的内部控制制度体系更加健全，法人治理结构更加完善。</w:t>
      </w:r>
      <w:r>
        <w:rPr>
          <w:spacing w:val="-46"/>
        </w:rPr>
        <w:t> </w:t>
      </w:r>
      <w:r>
        <w:rPr>
          <w:spacing w:val="-46"/>
        </w:rPr>
      </w:r>
      <w:r>
        <w:rPr/>
        <w:t>具体如下：</w:t>
      </w:r>
      <w:r>
        <w:rPr>
          <w:rFonts w:ascii="Times New Roman" w:hAnsi="Times New Roman" w:cs="Times New Roman" w:eastAsia="Times New Roman" w:hint="default"/>
        </w:rPr>
        <w:t>1</w:t>
      </w:r>
      <w:r>
        <w:rPr/>
        <w:t>、对全资及控股子公司的管理控制：公司通过向全资及控股子公司委派董事、监事及重要高级管理人员加强对 其的管理，对控股子公司的运作、人事、财务、资金、担保、投资、信息、奖惩、内审等作了明确的规定和权限范围。</w:t>
      </w:r>
      <w:r>
        <w:rPr>
          <w:rFonts w:ascii="Times New Roman" w:hAnsi="Times New Roman" w:cs="Times New Roman" w:eastAsia="Times New Roman" w:hint="default"/>
        </w:rPr>
        <w:t>2</w:t>
      </w:r>
      <w:r>
        <w:rPr/>
        <w:t>、</w:t>
      </w:r>
      <w:r>
        <w:rPr>
          <w:spacing w:val="-87"/>
        </w:rPr>
        <w:t> </w:t>
      </w:r>
      <w:r>
        <w:rPr>
          <w:spacing w:val="-2"/>
        </w:rPr>
        <w:t>关联交易的内部控制：公司制定了《关联交易制度》，对关联方和关联交易、关联交易的审批权限和决策程序等作了明确的</w:t>
      </w:r>
      <w:r>
        <w:rPr>
          <w:spacing w:val="-71"/>
        </w:rPr>
        <w:t> </w:t>
      </w:r>
      <w:r>
        <w:rPr>
          <w:spacing w:val="-71"/>
        </w:rPr>
      </w:r>
      <w:r>
        <w:rPr/>
        <w:t>规定，规范与关联方的交易行为，力求遵循诚实信用、公正、公平、公开的原则，保护公司及中小股东的利益。</w:t>
      </w:r>
      <w:r>
        <w:rPr>
          <w:rFonts w:ascii="Times New Roman" w:hAnsi="Times New Roman" w:cs="Times New Roman" w:eastAsia="Times New Roman" w:hint="default"/>
        </w:rPr>
        <w:t>3</w:t>
      </w:r>
      <w:r>
        <w:rPr/>
        <w:t>、对外担</w:t>
      </w:r>
      <w:r>
        <w:rPr>
          <w:spacing w:val="-87"/>
        </w:rPr>
        <w:t> </w:t>
      </w:r>
      <w:r>
        <w:rPr>
          <w:spacing w:val="-2"/>
        </w:rPr>
        <w:t>保的内部控制：公司《对外担保管理制度》对公司发生对外担保行为时的对担保对象、审批权限和决策程序、安全措施等作</w:t>
      </w:r>
      <w:r>
        <w:rPr>
          <w:spacing w:val="-67"/>
        </w:rPr>
        <w:t> </w:t>
      </w:r>
      <w:r>
        <w:rPr>
          <w:spacing w:val="-67"/>
        </w:rPr>
      </w:r>
      <w:r>
        <w:rPr/>
        <w:t>了详细规定，并明确规定：公司对外担保应当取得出席董事会会议的 </w:t>
      </w:r>
      <w:r>
        <w:rPr>
          <w:rFonts w:ascii="Times New Roman" w:hAnsi="Times New Roman" w:cs="Times New Roman" w:eastAsia="Times New Roman" w:hint="default"/>
        </w:rPr>
        <w:t>2/3 </w:t>
      </w:r>
      <w:r>
        <w:rPr/>
        <w:t>以上董事同意并经全体独立董事 </w:t>
      </w:r>
      <w:r>
        <w:rPr>
          <w:rFonts w:ascii="Times New Roman" w:hAnsi="Times New Roman" w:cs="Times New Roman" w:eastAsia="Times New Roman" w:hint="default"/>
        </w:rPr>
        <w:t>2/3 </w:t>
      </w:r>
      <w:r>
        <w:rPr/>
        <w:t>以上同意， </w:t>
      </w:r>
      <w:r>
        <w:rPr>
          <w:spacing w:val="-4"/>
        </w:rPr>
        <w:t>或者经股东大会批准。未经董事会或股东大会批准，公司不得对外提供担保。</w:t>
      </w:r>
      <w:r>
        <w:rPr>
          <w:rFonts w:ascii="Times New Roman" w:hAnsi="Times New Roman" w:cs="Times New Roman" w:eastAsia="Times New Roman" w:hint="default"/>
          <w:spacing w:val="-4"/>
        </w:rPr>
        <w:t>4</w:t>
      </w:r>
      <w:r>
        <w:rPr>
          <w:spacing w:val="-4"/>
        </w:rPr>
        <w:t>、募集资金使用的内部控制：公司制订了《募</w:t>
      </w:r>
      <w:r>
        <w:rPr>
          <w:spacing w:val="-42"/>
        </w:rPr>
        <w:t> </w:t>
      </w:r>
      <w:r>
        <w:rPr>
          <w:spacing w:val="-42"/>
        </w:rPr>
      </w:r>
      <w:r>
        <w:rPr>
          <w:spacing w:val="-8"/>
        </w:rPr>
        <w:t>集资金管理办法》，根据《公司法》《证券法》、《上市公司证券发行管理办法》《关于进一步规范上市公司募集资金使用的通</w:t>
      </w:r>
      <w:r>
        <w:rPr/>
        <w:t> </w:t>
      </w:r>
      <w:r>
        <w:rPr>
          <w:spacing w:val="-5"/>
        </w:rPr>
        <w:t>知》《深圳证券交易所股票上市规则》《深圳证券交易所中小企业板块上市公司特别规定》《深圳证券交易所中小企业板块公</w:t>
      </w:r>
      <w:r>
        <w:rPr>
          <w:spacing w:val="-85"/>
        </w:rPr>
        <w:t> </w:t>
      </w:r>
      <w:r>
        <w:rPr>
          <w:spacing w:val="-85"/>
        </w:rPr>
      </w:r>
      <w:r>
        <w:rPr>
          <w:spacing w:val="-2"/>
        </w:rPr>
        <w:t>司规范运作指引》等有关规定，对募集资金专户存储、、使用及审批程序、用途调整与变更、管理监督和责任追究等方面进</w:t>
      </w:r>
      <w:r>
        <w:rPr>
          <w:spacing w:val="-72"/>
        </w:rPr>
        <w:t> </w:t>
      </w:r>
      <w:r>
        <w:rPr>
          <w:spacing w:val="-72"/>
        </w:rPr>
      </w:r>
      <w:r>
        <w:rPr/>
        <w:t>行明确规定，以保证募集资金专款专用。</w:t>
      </w:r>
      <w:r>
        <w:rPr>
          <w:rFonts w:ascii="Times New Roman" w:hAnsi="Times New Roman" w:cs="Times New Roman" w:eastAsia="Times New Roman" w:hint="default"/>
        </w:rPr>
        <w:t>5</w:t>
      </w:r>
      <w:r>
        <w:rPr/>
        <w:t>、重大投资的内部控制：公司《重大资产投资决策程序》对公司对外投资的投资 </w:t>
      </w:r>
      <w:r>
        <w:rPr>
          <w:spacing w:val="-2"/>
        </w:rPr>
        <w:t>类别、投资对象以及相应的决策程序、决策权限等方面作了明确规定，规定在进行重大投资决策时，需聘请技术、经济、法</w:t>
      </w:r>
      <w:r>
        <w:rPr>
          <w:spacing w:val="-68"/>
        </w:rPr>
        <w:t> </w:t>
      </w:r>
      <w:r>
        <w:rPr>
          <w:spacing w:val="-68"/>
        </w:rPr>
      </w:r>
      <w:r>
        <w:rPr>
          <w:spacing w:val="-2"/>
        </w:rPr>
        <w:t>律等有关机构和专家进行咨询；决策投资项目不能仅考虑项目的报酬率，更要关注投资风险的分析与防范，对投资项目的决</w:t>
      </w:r>
      <w:r>
        <w:rPr>
          <w:spacing w:val="-63"/>
        </w:rPr>
        <w:t> </w:t>
      </w:r>
      <w:r>
        <w:rPr>
          <w:spacing w:val="-63"/>
        </w:rPr>
      </w:r>
      <w:r>
        <w:rPr>
          <w:spacing w:val="-4"/>
        </w:rPr>
        <w:t>策要采取谨慎的原则。</w:t>
      </w:r>
      <w:r>
        <w:rPr>
          <w:rFonts w:ascii="Times New Roman" w:hAnsi="Times New Roman" w:cs="Times New Roman" w:eastAsia="Times New Roman" w:hint="default"/>
          <w:spacing w:val="-4"/>
        </w:rPr>
        <w:t>6</w:t>
      </w:r>
      <w:r>
        <w:rPr>
          <w:spacing w:val="-4"/>
        </w:rPr>
        <w:t>、信息披露的内部控制：公司制定了《信息披露管理制度》、《重大信息内部报备制度》和《内幕信</w:t>
      </w:r>
      <w:r>
        <w:rPr>
          <w:spacing w:val="-51"/>
        </w:rPr>
        <w:t> </w:t>
      </w:r>
      <w:r>
        <w:rPr>
          <w:spacing w:val="-51"/>
        </w:rPr>
      </w:r>
      <w:r>
        <w:rPr>
          <w:spacing w:val="-2"/>
        </w:rPr>
        <w:t>息知情人备案制度》，分别对信息披露的基本原则，信息披露的内容、信息披露程序与传递、信息披露的责任划分、信息披</w:t>
      </w:r>
      <w:r>
        <w:rPr>
          <w:spacing w:val="-72"/>
        </w:rPr>
        <w:t> </w:t>
      </w:r>
      <w:r>
        <w:rPr>
          <w:spacing w:val="-72"/>
        </w:rPr>
      </w:r>
      <w:r>
        <w:rPr>
          <w:spacing w:val="-2"/>
        </w:rPr>
        <w:t>露的方式、档案管理、内幕信息知情人范围和保密措施以及责任追究做了明确规定，按要求履行了信息披露义务，未发生违</w:t>
      </w:r>
      <w:r>
        <w:rPr>
          <w:spacing w:val="-64"/>
        </w:rPr>
        <w:t> </w:t>
      </w:r>
      <w:r>
        <w:rPr>
          <w:spacing w:val="-64"/>
        </w:rPr>
      </w:r>
      <w:r>
        <w:rPr/>
        <w:t>规行为。</w:t>
        <w:tab/>
        <w:t>公司内部审计部门直接对董事会负责，定期检查公司内部控制缺陷，评估其执行的效果和效率。董事会依据公</w:t>
      </w:r>
      <w:r>
        <w:rPr/>
        <w:t> 司内部审计报告，对公司内部控制情况进行审议评估，出具内部控制自我评价报告。</w:t>
      </w:r>
    </w:p>
    <w:p>
      <w:pPr>
        <w:spacing w:line="240" w:lineRule="auto" w:before="2"/>
        <w:rPr>
          <w:rFonts w:ascii="宋体" w:hAnsi="宋体" w:cs="宋体" w:eastAsia="宋体" w:hint="default"/>
          <w:sz w:val="21"/>
          <w:szCs w:val="21"/>
        </w:rPr>
      </w:pPr>
    </w:p>
    <w:p>
      <w:pPr>
        <w:pStyle w:val="Heading2"/>
        <w:spacing w:line="240" w:lineRule="auto"/>
        <w:ind w:right="1123"/>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董事会对公司内部控制进行了认真的自查和分析，认为公司现行的内部控制制度较为完整、合理、有效，内控制度能够</w:t>
      </w:r>
      <w:r>
        <w:rPr/>
        <w:t> </w:t>
      </w:r>
      <w:r>
        <w:rPr>
          <w:spacing w:val="-2"/>
        </w:rPr>
        <w:t>随着企业发展的要求不断进行完善，内控制度能够得到有效的执行，能够适应公司现行管理的要求和发展的需要，能够保证</w:t>
      </w:r>
      <w:r>
        <w:rPr>
          <w:spacing w:val="-63"/>
        </w:rPr>
        <w:t> </w:t>
      </w:r>
      <w:r>
        <w:rPr>
          <w:spacing w:val="-63"/>
        </w:rPr>
      </w:r>
      <w:r>
        <w:rPr>
          <w:spacing w:val="-4"/>
        </w:rPr>
        <w:t>公司经营活动的有序开展和公司发展战略和经营目标的全面实施，在公司管理的关键环节和重大事项如关联交易、对外担保、</w:t>
      </w:r>
      <w:r>
        <w:rPr>
          <w:spacing w:val="-44"/>
        </w:rPr>
        <w:t> </w:t>
      </w:r>
      <w:r>
        <w:rPr>
          <w:spacing w:val="-44"/>
        </w:rPr>
      </w:r>
      <w:r>
        <w:rPr>
          <w:spacing w:val="-2"/>
        </w:rPr>
        <w:t>重大投资、信息披露等方面较好地发挥了管理控制作用。随着国家法律法规体系的逐步完善，内外部环境的变化和公司持续</w:t>
      </w:r>
      <w:r>
        <w:rPr>
          <w:spacing w:val="-62"/>
        </w:rPr>
        <w:t> </w:t>
      </w:r>
      <w:r>
        <w:rPr>
          <w:spacing w:val="-62"/>
        </w:rPr>
      </w:r>
      <w:r>
        <w:rPr/>
        <w:t>快速发展的需要，公司的内部控制制度还需进一步健全和完善，并在实际中得以有效的执行和实施。</w:t>
      </w:r>
    </w:p>
    <w:p>
      <w:pPr>
        <w:spacing w:line="240" w:lineRule="auto" w:before="9"/>
        <w:rPr>
          <w:rFonts w:ascii="宋体" w:hAnsi="宋体" w:cs="宋体" w:eastAsia="宋体" w:hint="default"/>
          <w:sz w:val="20"/>
          <w:szCs w:val="20"/>
        </w:rPr>
      </w:pPr>
    </w:p>
    <w:p>
      <w:pPr>
        <w:pStyle w:val="Heading2"/>
        <w:spacing w:line="240" w:lineRule="auto"/>
        <w:ind w:right="1123"/>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50" w:firstLine="360"/>
        <w:jc w:val="both"/>
      </w:pPr>
      <w:r>
        <w:rPr>
          <w:spacing w:val="-7"/>
        </w:rPr>
        <w:t>公司根据《公司法》、《会计法》、《企业会计准则》和监管部门的相关法律法规建立了财务报告内控体系，主要对</w:t>
      </w:r>
      <w:r>
        <w:rPr>
          <w:rFonts w:ascii="Times New Roman" w:hAnsi="Times New Roman" w:cs="Times New Roman" w:eastAsia="Times New Roman" w:hint="default"/>
          <w:spacing w:val="-7"/>
        </w:rPr>
        <w:t>“</w:t>
      </w:r>
      <w:r>
        <w:rPr>
          <w:spacing w:val="-7"/>
        </w:rPr>
        <w:t>不相</w:t>
      </w:r>
      <w:r>
        <w:rPr/>
        <w:t> 容职位分离、授权审批、会计系统与权限、财产保护、预算决算、独立稽核、运营分析</w:t>
      </w:r>
      <w:r>
        <w:rPr>
          <w:rFonts w:ascii="Times New Roman" w:hAnsi="Times New Roman" w:cs="Times New Roman" w:eastAsia="Times New Roman" w:hint="default"/>
        </w:rPr>
        <w:t>”</w:t>
      </w:r>
      <w:r>
        <w:rPr/>
        <w:t>等关键控制点进行了控制。本年度 的财务报告在内部控制等方面不存在重大缺陷。</w:t>
      </w:r>
    </w:p>
    <w:p>
      <w:pPr>
        <w:spacing w:line="240" w:lineRule="auto" w:before="11"/>
        <w:rPr>
          <w:rFonts w:ascii="宋体" w:hAnsi="宋体" w:cs="宋体" w:eastAsia="宋体" w:hint="default"/>
          <w:sz w:val="21"/>
          <w:szCs w:val="21"/>
        </w:rPr>
      </w:pPr>
    </w:p>
    <w:p>
      <w:pPr>
        <w:pStyle w:val="Heading2"/>
        <w:spacing w:line="240" w:lineRule="auto"/>
        <w:ind w:right="1123"/>
        <w:jc w:val="left"/>
        <w:rPr>
          <w:b w:val="0"/>
          <w:bCs w:val="0"/>
        </w:rPr>
      </w:pPr>
      <w:r>
        <w:rPr/>
        <w:t>四、内部控制自我评价报告</w:t>
      </w:r>
      <w:r>
        <w:rPr>
          <w:b w:val="0"/>
          <w:bCs w:val="0"/>
        </w:rPr>
      </w:r>
    </w:p>
    <w:p>
      <w:pPr>
        <w:spacing w:after="0" w:line="240" w:lineRule="auto"/>
        <w:jc w:val="left"/>
        <w:sectPr>
          <w:headerReference w:type="default" r:id="rId26"/>
          <w:footerReference w:type="default" r:id="rId27"/>
          <w:pgSz w:w="11910" w:h="16840"/>
          <w:pgMar w:header="877" w:footer="0" w:top="1060" w:bottom="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报告期内未发现重大内部控制缺陷。</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刊登在巨潮资讯网</w:t>
            </w:r>
            <w:r>
              <w:rPr>
                <w:rFonts w:ascii="宋体" w:hAnsi="宋体" w:cs="宋体" w:eastAsia="宋体" w:hint="default"/>
                <w:spacing w:val="-62"/>
                <w:sz w:val="18"/>
                <w:szCs w:val="18"/>
              </w:rPr>
              <w:t> </w:t>
            </w:r>
            <w:hyperlink r:id="rId9">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上的《安徽鑫龙电器股份有限公司关于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年度内部控制自我评价报告</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五、年度报告重大差错责任追究制度的建立与执行情况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公司已经制</w:t>
      </w:r>
      <w:r>
        <w:rPr>
          <w:spacing w:val="-58"/>
        </w:rPr>
        <w:t>定</w:t>
      </w:r>
      <w:r>
        <w:rPr/>
        <w:t>《年报信息披露重大差错责任追究制度</w:t>
      </w:r>
      <w:r>
        <w:rPr>
          <w:spacing w:val="-92"/>
        </w:rPr>
        <w:t>》</w:t>
      </w:r>
      <w:r>
        <w:rPr/>
        <w:t>。</w:t>
      </w:r>
      <w:r>
        <w:rPr>
          <w:spacing w:val="-56"/>
        </w:rPr>
        <w:t> </w:t>
      </w:r>
      <w:r>
        <w:rPr/>
        <w:t>报告期内公司未发生重大会计差错更正</w:t>
      </w:r>
      <w:r>
        <w:rPr>
          <w:spacing w:val="-58"/>
        </w:rPr>
        <w:t>、</w:t>
      </w:r>
      <w:r>
        <w:rPr/>
        <w:t>重大遗漏信息补充等情况。</w:t>
      </w:r>
    </w:p>
    <w:p>
      <w:pPr>
        <w:spacing w:after="0" w:line="240" w:lineRule="auto"/>
        <w:jc w:val="left"/>
        <w:sectPr>
          <w:footerReference w:type="default" r:id="rId28"/>
          <w:pgSz w:w="11910" w:h="16840"/>
          <w:pgMar w:footer="1340" w:header="877" w:top="1060" w:bottom="1540" w:left="980" w:right="0"/>
          <w:pgNumType w:start="4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17"/>
        <w:jc w:val="center"/>
        <w:rPr>
          <w:b w:val="0"/>
          <w:bCs w:val="0"/>
        </w:rPr>
      </w:pPr>
      <w:r>
        <w:rPr/>
        <w:t>第十节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大华会计师事务所（普通特殊合伙）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[2013]002183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2"/>
        <w:rPr>
          <w:rFonts w:ascii="宋体" w:hAnsi="宋体" w:cs="宋体" w:eastAsia="宋体" w:hint="default"/>
          <w:b/>
          <w:bCs/>
          <w:sz w:val="29"/>
          <w:szCs w:val="29"/>
        </w:rPr>
      </w:pPr>
    </w:p>
    <w:p>
      <w:pPr>
        <w:pStyle w:val="Heading4"/>
        <w:spacing w:line="240" w:lineRule="auto"/>
        <w:ind w:right="0"/>
        <w:jc w:val="left"/>
        <w:rPr>
          <w:b w:val="0"/>
          <w:bCs w:val="0"/>
        </w:rPr>
      </w:pPr>
      <w:r>
        <w:rPr>
          <w:spacing w:val="-1"/>
        </w:rPr>
        <w:t>安徽鑫龙电器股份有限公司全体股东：</w:t>
      </w:r>
      <w:r>
        <w:rPr>
          <w:b w:val="0"/>
          <w:bCs w:val="0"/>
          <w:spacing w:val="-1"/>
        </w:rPr>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540" w:left="980" w:right="0"/>
          <w:cols w:num="2" w:equalWidth="0">
            <w:col w:w="3740" w:space="541"/>
            <w:col w:w="6649"/>
          </w:cols>
        </w:sectPr>
      </w:pPr>
    </w:p>
    <w:p>
      <w:pPr>
        <w:spacing w:line="256" w:lineRule="auto" w:before="37"/>
        <w:ind w:left="152" w:right="1126" w:firstLine="420"/>
        <w:jc w:val="both"/>
        <w:rPr>
          <w:rFonts w:ascii="宋体" w:hAnsi="宋体" w:cs="宋体" w:eastAsia="宋体" w:hint="default"/>
          <w:sz w:val="21"/>
          <w:szCs w:val="21"/>
        </w:rPr>
      </w:pPr>
      <w:r>
        <w:rPr>
          <w:rFonts w:ascii="宋体" w:hAnsi="宋体" w:cs="宋体" w:eastAsia="宋体" w:hint="default"/>
          <w:sz w:val="21"/>
          <w:szCs w:val="21"/>
        </w:rPr>
        <w:t>我们审计了后附的安徽鑫龙电器股份有限公司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以下简称鑫龙电器</w:t>
      </w:r>
      <w:r>
        <w:rPr>
          <w:rFonts w:ascii="Times New Roman" w:hAnsi="Times New Roman" w:cs="Times New Roman" w:eastAsia="Times New Roman" w:hint="default"/>
          <w:sz w:val="21"/>
          <w:szCs w:val="21"/>
        </w:rPr>
        <w:t>)</w:t>
      </w:r>
      <w:r>
        <w:rPr>
          <w:rFonts w:ascii="宋体" w:hAnsi="宋体" w:cs="宋体" w:eastAsia="宋体" w:hint="default"/>
          <w:sz w:val="21"/>
          <w:szCs w:val="21"/>
        </w:rPr>
        <w:t>财务报表，包括</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w:t>
      </w:r>
      <w:r>
        <w:rPr>
          <w:rFonts w:ascii="宋体" w:hAnsi="宋体" w:cs="宋体" w:eastAsia="宋体" w:hint="default"/>
          <w:w w:val="100"/>
          <w:sz w:val="21"/>
          <w:szCs w:val="21"/>
        </w:rPr>
        <w:t> </w:t>
      </w:r>
      <w:r>
        <w:rPr>
          <w:rFonts w:ascii="宋体" w:hAnsi="宋体" w:cs="宋体" w:eastAsia="宋体" w:hint="default"/>
          <w:spacing w:val="-2"/>
          <w:sz w:val="21"/>
          <w:szCs w:val="21"/>
        </w:rPr>
        <w:t>合并及母公司资产负债表，</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年度的合并及母公司利润表、合并及母公司现金流量表、合并及母公司所</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有者权益变动表，以及财务报表附注。</w:t>
      </w:r>
    </w:p>
    <w:p>
      <w:pPr>
        <w:spacing w:line="273" w:lineRule="auto" w:before="22"/>
        <w:ind w:left="573" w:right="1123"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z w:val="21"/>
          <w:szCs w:val="21"/>
        </w:rPr>
        <w:t>编制和公允列报财务报表是鑫龙电器管理层的责任，这种责任包括：（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）按照企业会计准则的规定</w:t>
      </w:r>
    </w:p>
    <w:p>
      <w:pPr>
        <w:spacing w:line="256" w:lineRule="auto" w:before="0"/>
        <w:ind w:left="152" w:right="1123" w:firstLine="0"/>
        <w:jc w:val="left"/>
        <w:rPr>
          <w:rFonts w:ascii="宋体" w:hAnsi="宋体" w:cs="宋体" w:eastAsia="宋体" w:hint="default"/>
          <w:sz w:val="21"/>
          <w:szCs w:val="21"/>
        </w:rPr>
      </w:pPr>
      <w:r>
        <w:rPr>
          <w:rFonts w:ascii="宋体" w:hAnsi="宋体" w:cs="宋体" w:eastAsia="宋体" w:hint="default"/>
          <w:sz w:val="21"/>
          <w:szCs w:val="21"/>
        </w:rPr>
        <w:t>编制财务报表，并使其实现公允反映；（</w:t>
      </w:r>
      <w:r>
        <w:rPr>
          <w:rFonts w:ascii="Times New Roman" w:hAnsi="Times New Roman" w:cs="Times New Roman" w:eastAsia="Times New Roman" w:hint="default"/>
          <w:sz w:val="21"/>
          <w:szCs w:val="21"/>
        </w:rPr>
        <w:t>2</w:t>
      </w:r>
      <w:r>
        <w:rPr>
          <w:rFonts w:ascii="宋体" w:hAnsi="宋体" w:cs="宋体" w:eastAsia="宋体" w:hint="default"/>
          <w:sz w:val="21"/>
          <w:szCs w:val="21"/>
        </w:rPr>
        <w:t>）设计、执行和维护必要的内部控制，以使财务报表不存在由</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于舞弊或错误导致的重大错报。</w:t>
      </w:r>
    </w:p>
    <w:p>
      <w:pPr>
        <w:spacing w:line="273" w:lineRule="auto" w:before="22"/>
        <w:ind w:left="573" w:right="1123"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我们的责任是在执行审计工作的基础上对财务报表发表审计意见。我们按照中国注册会计师审计准则</w:t>
      </w:r>
    </w:p>
    <w:p>
      <w:pPr>
        <w:spacing w:line="273" w:lineRule="auto" w:before="7"/>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的规定执行了审计工作。中国注册会计师审计准则要求我们遵守职业道德守则，计划和执行审计工作以对</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财务报表是否不存在重大错报获取合理保证。</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审计工作涉及实施审计程序，以获取有关财务报表金额和披露的审计证据。选择的审计程序取决于注</w:t>
      </w:r>
      <w:r>
        <w:rPr>
          <w:rFonts w:ascii="宋体" w:hAnsi="宋体" w:cs="宋体" w:eastAsia="宋体" w:hint="default"/>
          <w:w w:val="100"/>
          <w:sz w:val="21"/>
          <w:szCs w:val="21"/>
        </w:rPr>
        <w:t> </w:t>
      </w:r>
      <w:r>
        <w:rPr>
          <w:rFonts w:ascii="宋体" w:hAnsi="宋体" w:cs="宋体" w:eastAsia="宋体" w:hint="default"/>
          <w:spacing w:val="-2"/>
          <w:sz w:val="21"/>
          <w:szCs w:val="21"/>
        </w:rPr>
        <w:t>册会计师的判断，包括对由于舞弊或错误导致的财务报表重大错报风险的评估。在进行风险评估时，注册</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会计师考虑与财务报表编制和公允列报相关的内部控制，以设计恰当的审计程序。审计工作还包括评价管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理层选用会计政策的恰当性和作出会计估计的合理性，以及评价财务报表的总体列报。</w:t>
      </w:r>
    </w:p>
    <w:p>
      <w:pPr>
        <w:spacing w:line="273" w:lineRule="auto" w:before="7"/>
        <w:ind w:left="575" w:right="2829" w:hanging="3"/>
        <w:jc w:val="left"/>
        <w:rPr>
          <w:rFonts w:ascii="宋体" w:hAnsi="宋体" w:cs="宋体" w:eastAsia="宋体" w:hint="default"/>
          <w:sz w:val="21"/>
          <w:szCs w:val="21"/>
        </w:rPr>
      </w:pPr>
      <w:r>
        <w:rPr>
          <w:rFonts w:ascii="宋体" w:hAnsi="宋体" w:cs="宋体" w:eastAsia="宋体" w:hint="default"/>
          <w:spacing w:val="-2"/>
          <w:sz w:val="21"/>
          <w:szCs w:val="21"/>
        </w:rPr>
        <w:t>我们相信，我们获取的审计证据是充分、适当的，为发表审计意见提供了基础。</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b/>
          <w:bCs/>
          <w:sz w:val="21"/>
          <w:szCs w:val="21"/>
        </w:rPr>
        <w:t>三、审计意见</w:t>
      </w:r>
      <w:r>
        <w:rPr>
          <w:rFonts w:ascii="宋体" w:hAnsi="宋体" w:cs="宋体" w:eastAsia="宋体" w:hint="default"/>
          <w:sz w:val="21"/>
          <w:szCs w:val="21"/>
        </w:rPr>
      </w:r>
    </w:p>
    <w:p>
      <w:pPr>
        <w:spacing w:before="7"/>
        <w:ind w:left="573" w:right="0" w:firstLine="0"/>
        <w:jc w:val="left"/>
        <w:rPr>
          <w:rFonts w:ascii="宋体" w:hAnsi="宋体" w:cs="宋体" w:eastAsia="宋体" w:hint="default"/>
          <w:sz w:val="21"/>
          <w:szCs w:val="21"/>
        </w:rPr>
      </w:pPr>
      <w:r>
        <w:rPr>
          <w:rFonts w:ascii="宋体" w:hAnsi="宋体" w:cs="宋体" w:eastAsia="宋体" w:hint="default"/>
          <w:sz w:val="21"/>
          <w:szCs w:val="21"/>
        </w:rPr>
        <w:t>我们认为，鑫龙电器的财务报表在所有重大方面按照企业会计准则的规定编制，公允反映了鑫龙电器</w:t>
      </w:r>
    </w:p>
    <w:p>
      <w:pPr>
        <w:spacing w:before="37"/>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日的合并及母公司财务状况以及</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tbl>
      <w:tblPr>
        <w:tblW w:w="0" w:type="auto"/>
        <w:jc w:val="left"/>
        <w:tblInd w:w="1323" w:type="dxa"/>
        <w:tblLayout w:type="fixed"/>
        <w:tblCellMar>
          <w:top w:w="0" w:type="dxa"/>
          <w:left w:w="0" w:type="dxa"/>
          <w:bottom w:w="0" w:type="dxa"/>
          <w:right w:w="0" w:type="dxa"/>
        </w:tblCellMar>
        <w:tblLook w:val="01E0"/>
      </w:tblPr>
      <w:tblGrid>
        <w:gridCol w:w="4383"/>
        <w:gridCol w:w="3610"/>
      </w:tblGrid>
      <w:tr>
        <w:trPr>
          <w:trHeight w:val="443"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大华会计师事务所</w:t>
            </w:r>
            <w:r>
              <w:rPr>
                <w:rFonts w:ascii="Times New Roman" w:hAnsi="Times New Roman" w:cs="Times New Roman" w:eastAsia="Times New Roman" w:hint="default"/>
                <w:sz w:val="21"/>
                <w:szCs w:val="21"/>
              </w:rPr>
              <w:t>(</w:t>
            </w:r>
            <w:r>
              <w:rPr>
                <w:rFonts w:ascii="宋体" w:hAnsi="宋体" w:cs="宋体" w:eastAsia="宋体" w:hint="default"/>
                <w:sz w:val="21"/>
                <w:szCs w:val="21"/>
              </w:rPr>
              <w:t>特殊普通合伙</w:t>
            </w:r>
            <w:r>
              <w:rPr>
                <w:rFonts w:ascii="Times New Roman" w:hAnsi="Times New Roman" w:cs="Times New Roman" w:eastAsia="Times New Roman" w:hint="default"/>
                <w:sz w:val="21"/>
                <w:szCs w:val="21"/>
              </w:rPr>
              <w:t>)</w:t>
            </w:r>
          </w:p>
        </w:tc>
        <w:tc>
          <w:tcPr>
            <w:tcW w:w="3610" w:type="dxa"/>
            <w:tcBorders>
              <w:top w:val="nil" w:sz="6" w:space="0" w:color="auto"/>
              <w:left w:val="nil" w:sz="6" w:space="0" w:color="auto"/>
              <w:bottom w:val="nil" w:sz="6" w:space="0" w:color="auto"/>
              <w:right w:val="nil" w:sz="6" w:space="0" w:color="auto"/>
            </w:tcBorders>
          </w:tcPr>
          <w:p>
            <w:pPr>
              <w:pStyle w:val="TableParagraph"/>
              <w:spacing w:line="211" w:lineRule="exact"/>
              <w:ind w:right="199"/>
              <w:jc w:val="right"/>
              <w:rPr>
                <w:rFonts w:ascii="宋体" w:hAnsi="宋体" w:cs="宋体" w:eastAsia="宋体" w:hint="default"/>
                <w:sz w:val="21"/>
                <w:szCs w:val="21"/>
              </w:rPr>
            </w:pPr>
            <w:r>
              <w:rPr>
                <w:rFonts w:ascii="宋体" w:hAnsi="宋体" w:cs="宋体" w:eastAsia="宋体" w:hint="default"/>
                <w:spacing w:val="-2"/>
                <w:sz w:val="21"/>
                <w:szCs w:val="21"/>
              </w:rPr>
              <w:t>中国注册会计师：吕勇军</w:t>
            </w:r>
          </w:p>
        </w:tc>
      </w:tr>
      <w:tr>
        <w:trPr>
          <w:trHeight w:val="498"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1375" w:right="0"/>
              <w:jc w:val="left"/>
              <w:rPr>
                <w:rFonts w:ascii="宋体" w:hAnsi="宋体" w:cs="宋体" w:eastAsia="宋体" w:hint="default"/>
                <w:sz w:val="21"/>
                <w:szCs w:val="21"/>
              </w:rPr>
            </w:pPr>
            <w:r>
              <w:rPr>
                <w:rFonts w:ascii="宋体" w:hAnsi="宋体" w:cs="宋体" w:eastAsia="宋体" w:hint="default"/>
                <w:spacing w:val="-23"/>
                <w:sz w:val="21"/>
                <w:szCs w:val="21"/>
              </w:rPr>
              <w:t>中国</w:t>
            </w:r>
            <w:r>
              <w:rPr>
                <w:rFonts w:ascii="Times New Roman" w:hAnsi="Times New Roman" w:cs="Times New Roman" w:eastAsia="Times New Roman" w:hint="default"/>
                <w:b/>
                <w:bCs/>
                <w:spacing w:val="-23"/>
                <w:sz w:val="21"/>
                <w:szCs w:val="21"/>
              </w:rPr>
              <w:t>·</w:t>
            </w:r>
            <w:r>
              <w:rPr>
                <w:rFonts w:ascii="宋体" w:hAnsi="宋体" w:cs="宋体" w:eastAsia="宋体" w:hint="default"/>
                <w:spacing w:val="-23"/>
                <w:sz w:val="21"/>
                <w:szCs w:val="21"/>
              </w:rPr>
              <w:t>北京</w:t>
            </w:r>
          </w:p>
        </w:tc>
        <w:tc>
          <w:tcPr>
            <w:tcW w:w="3610" w:type="dxa"/>
            <w:tcBorders>
              <w:top w:val="nil" w:sz="6" w:space="0" w:color="auto"/>
              <w:left w:val="nil" w:sz="6" w:space="0" w:color="auto"/>
              <w:bottom w:val="nil" w:sz="6" w:space="0" w:color="auto"/>
              <w:right w:val="nil" w:sz="6" w:space="0" w:color="auto"/>
            </w:tcBorders>
          </w:tcPr>
          <w:p>
            <w:pPr/>
          </w:p>
        </w:tc>
      </w:tr>
      <w:tr>
        <w:trPr>
          <w:trHeight w:val="492" w:hRule="exact"/>
        </w:trPr>
        <w:tc>
          <w:tcPr>
            <w:tcW w:w="4383" w:type="dxa"/>
            <w:tcBorders>
              <w:top w:val="nil" w:sz="6" w:space="0" w:color="auto"/>
              <w:left w:val="nil" w:sz="6" w:space="0" w:color="auto"/>
              <w:bottom w:val="nil" w:sz="6" w:space="0" w:color="auto"/>
              <w:right w:val="nil" w:sz="6" w:space="0" w:color="auto"/>
            </w:tcBorders>
          </w:tcPr>
          <w:p>
            <w:pPr/>
          </w:p>
        </w:tc>
        <w:tc>
          <w:tcPr>
            <w:tcW w:w="3610" w:type="dxa"/>
            <w:tcBorders>
              <w:top w:val="nil" w:sz="6" w:space="0" w:color="auto"/>
              <w:left w:val="nil" w:sz="6" w:space="0" w:color="auto"/>
              <w:bottom w:val="nil" w:sz="6" w:space="0" w:color="auto"/>
              <w:right w:val="nil" w:sz="6" w:space="0" w:color="auto"/>
            </w:tcBorders>
          </w:tcPr>
          <w:p>
            <w:pPr>
              <w:pStyle w:val="TableParagraph"/>
              <w:spacing w:line="266" w:lineRule="exact"/>
              <w:ind w:right="199"/>
              <w:jc w:val="right"/>
              <w:rPr>
                <w:rFonts w:ascii="宋体" w:hAnsi="宋体" w:cs="宋体" w:eastAsia="宋体" w:hint="default"/>
                <w:sz w:val="21"/>
                <w:szCs w:val="21"/>
              </w:rPr>
            </w:pPr>
            <w:r>
              <w:rPr>
                <w:rFonts w:ascii="宋体" w:hAnsi="宋体" w:cs="宋体" w:eastAsia="宋体" w:hint="default"/>
                <w:spacing w:val="-2"/>
                <w:sz w:val="21"/>
                <w:szCs w:val="21"/>
              </w:rPr>
              <w:t>中国注册会计师：王海涛</w:t>
            </w:r>
          </w:p>
        </w:tc>
      </w:tr>
      <w:tr>
        <w:trPr>
          <w:trHeight w:val="437" w:hRule="exact"/>
        </w:trPr>
        <w:tc>
          <w:tcPr>
            <w:tcW w:w="4383" w:type="dxa"/>
            <w:tcBorders>
              <w:top w:val="nil" w:sz="6" w:space="0" w:color="auto"/>
              <w:left w:val="nil" w:sz="6" w:space="0" w:color="auto"/>
              <w:bottom w:val="nil" w:sz="6" w:space="0" w:color="auto"/>
              <w:right w:val="nil" w:sz="6" w:space="0" w:color="auto"/>
            </w:tcBorders>
          </w:tcPr>
          <w:p>
            <w:pPr/>
          </w:p>
        </w:tc>
        <w:tc>
          <w:tcPr>
            <w:tcW w:w="3610"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1011" w:right="0"/>
              <w:jc w:val="left"/>
              <w:rPr>
                <w:rFonts w:ascii="宋体" w:hAnsi="宋体" w:cs="宋体" w:eastAsia="宋体" w:hint="default"/>
                <w:sz w:val="21"/>
                <w:szCs w:val="21"/>
              </w:rPr>
            </w:pPr>
            <w:r>
              <w:rPr>
                <w:rFonts w:ascii="宋体" w:hAnsi="宋体" w:cs="宋体" w:eastAsia="宋体" w:hint="default"/>
                <w:sz w:val="21"/>
                <w:szCs w:val="21"/>
              </w:rPr>
              <w:t>二〇一三年四月九日</w:t>
            </w:r>
          </w:p>
        </w:tc>
      </w:tr>
    </w:tbl>
    <w:p>
      <w:pPr>
        <w:spacing w:after="0" w:line="240" w:lineRule="auto"/>
        <w:jc w:val="left"/>
        <w:rPr>
          <w:rFonts w:ascii="宋体" w:hAnsi="宋体" w:cs="宋体" w:eastAsia="宋体" w:hint="default"/>
          <w:sz w:val="21"/>
          <w:szCs w:val="21"/>
        </w:rPr>
        <w:sectPr>
          <w:type w:val="continuous"/>
          <w:pgSz w:w="11910" w:h="16840"/>
          <w:pgMar w:top="1060" w:bottom="1540" w:left="980" w:right="0"/>
        </w:sectPr>
      </w:pPr>
    </w:p>
    <w:p>
      <w:pPr>
        <w:spacing w:line="240" w:lineRule="auto" w:before="8"/>
        <w:rPr>
          <w:rFonts w:ascii="宋体" w:hAnsi="宋体" w:cs="宋体" w:eastAsia="宋体" w:hint="default"/>
          <w:sz w:val="23"/>
          <w:szCs w:val="23"/>
        </w:rPr>
      </w:pPr>
    </w:p>
    <w:p>
      <w:pPr>
        <w:spacing w:before="26"/>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right="1123"/>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3"/>
        <w:jc w:val="left"/>
      </w:pPr>
      <w:r>
        <w:rPr/>
        <w:t>编制单位：安徽鑫龙电器股份有限公司</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506,001,074.97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164,176,029.17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59,190,578.47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69,224,178.71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632,493,016.11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406,596,870.67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34,882,189.40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21,981,879.06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38,506,227.18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26,531,783.82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421,323,545.31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466,082,430.16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1,692,396,631.44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1,154,593,171.59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39,467,709.45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25,854,558.57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234,434,189.87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230,756,100.52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13,522,191.15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46,084,057.12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48,032,864.38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5,276,650.02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2,894,780.12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338,784,797.61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307,538,303.59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2,031,181,429.05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1,462,131,475.18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463,600,000.00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250,274,000.00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197,520,660.99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114,858,239.36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101,940,260.37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43,435,799.42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55,696,805.51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4,173,617.07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4,502,093.44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24,858,374.17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10,813,780.24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4,081,046.12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1,041,956.31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5,470,893.27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3,453,147.92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696,951,969.41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841,368,704.78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143,147,260.54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150,847,260.54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847,799,229.95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889,868,704.78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408,869,000.00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484,880,825.61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174,911,888.10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34,741,070.53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26,629,640.59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235,051,872.69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184,946,442.81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1,163,542,768.83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551,487,971.50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19,839,430.27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20,774,798.90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1,183,382,199.10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572,262,770.40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2,031,181,429.05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1,462,131,475.18</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before="44"/>
        <w:ind w:right="1123"/>
        <w:jc w:val="left"/>
      </w:pPr>
      <w:r>
        <w:rPr/>
        <w:t>法定代表人：束龙胜</w:t>
        <w:tab/>
      </w:r>
      <w:r>
        <w:rPr>
          <w:spacing w:val="-1"/>
        </w:rPr>
        <w:t>主管会计工作负责人：陶黎明</w:t>
        <w:tab/>
      </w:r>
      <w:r>
        <w:rPr/>
        <w:t>会计机构负责人：杨勇</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3"/>
        <w:jc w:val="left"/>
      </w:pPr>
      <w:r>
        <w:rPr/>
        <w:t>编制单位：安徽鑫龙电器股份有限公司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5"/>
        <w:gridCol w:w="3302"/>
        <w:gridCol w:w="3290"/>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38" w:right="0"/>
              <w:jc w:val="left"/>
              <w:rPr>
                <w:rFonts w:ascii="Times New Roman" w:hAnsi="Times New Roman" w:cs="Times New Roman" w:eastAsia="Times New Roman" w:hint="default"/>
                <w:sz w:val="18"/>
                <w:szCs w:val="18"/>
              </w:rPr>
            </w:pPr>
            <w:r>
              <w:rPr>
                <w:rFonts w:ascii="Times New Roman"/>
                <w:sz w:val="18"/>
              </w:rPr>
              <w:t>347,051,749.32</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9" w:right="0"/>
              <w:jc w:val="left"/>
              <w:rPr>
                <w:rFonts w:ascii="Times New Roman" w:hAnsi="Times New Roman" w:cs="Times New Roman" w:eastAsia="Times New Roman" w:hint="default"/>
                <w:sz w:val="18"/>
                <w:szCs w:val="18"/>
              </w:rPr>
            </w:pPr>
            <w:r>
              <w:rPr>
                <w:rFonts w:ascii="Times New Roman"/>
                <w:sz w:val="18"/>
              </w:rPr>
              <w:t>116,432,019.54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53,759,859.39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64,086,818.71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613,882,426.57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400,907,442.60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33,100,511.24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18,901,784.34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34,201,572.74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21,705,684.31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395,698,342.00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427,931,830.99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1,477,694,461.26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1,049,965,580.49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475,403,864.11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274,088,585.67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187,260,473.86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188,224,948.17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13,517,487.15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15,917,318.93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16,166,040.16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5,046,129.20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2,683,940.27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697,145,273.25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481,163,514.27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2,174,839,734.51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1,531,129,094.76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440,600,000.00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250,274,000.00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185,340,660.99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129,888,546.58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168,303,434.74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38,006,727.12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42,454,917.01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3,337,716.18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3,505,575.58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16,972,073.82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3,854,911.60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4,049,379.45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995,079.63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263,407,593.99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144,345,315.31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935,736,037.14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992,199,894.86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143,147,260.54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150,847,260.54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48,500,000.00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1,086,583,297.68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1,040,699,894.86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408,869,000.00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484,553,646.76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174,584,709.25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33,262,960.28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25,151,530.34</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161,570,829.79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125,692,960.31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1,088,256,436.83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490,429,199.90</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2,174,839,734.51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1,531,129,094.76</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before="44"/>
        <w:ind w:right="1123"/>
        <w:jc w:val="left"/>
      </w:pPr>
      <w:r>
        <w:rPr/>
        <w:t>法定代表人：束龙胜</w:t>
        <w:tab/>
      </w:r>
      <w:r>
        <w:rPr>
          <w:spacing w:val="-1"/>
        </w:rPr>
        <w:t>主管会计工作负责人：陶黎明</w:t>
        <w:tab/>
      </w:r>
      <w:r>
        <w:rPr/>
        <w:t>会计机构负责人：杨勇</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r>
        <w:rPr/>
        <w:pict>
          <v:shape style="position:absolute;margin-left:172.083008pt;margin-top:683.26001pt;width:196.65pt;height:19.6pt;mso-position-horizontal-relative:page;mso-position-vertical-relative:page;z-index:-829768" type="#_x0000_t202" filled="false" stroked="false">
            <v:textbox inset="0,0,0,0">
              <w:txbxContent>
                <w:p>
                  <w:pPr>
                    <w:pStyle w:val="BodyText"/>
                    <w:spacing w:line="240" w:lineRule="auto" w:before="49"/>
                    <w:ind w:left="0" w:right="0"/>
                    <w:jc w:val="left"/>
                  </w:pPr>
                  <w:r>
                    <w:rPr/>
                    <w:t>号填列）</w:t>
                  </w:r>
                </w:p>
              </w:txbxContent>
            </v:textbox>
            <w10:wrap type="none"/>
          </v:shape>
        </w:pict>
      </w:r>
    </w:p>
    <w:p>
      <w:pPr>
        <w:pStyle w:val="Heading4"/>
        <w:spacing w:line="240" w:lineRule="auto" w:before="36"/>
        <w:ind w:right="112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3"/>
        <w:jc w:val="left"/>
      </w:pPr>
      <w:r>
        <w:rPr/>
        <w:t>编制单位：安徽鑫龙电器股份有限公司</w:t>
      </w:r>
    </w:p>
    <w:p>
      <w:pPr>
        <w:pStyle w:val="BodyText"/>
        <w:spacing w:line="240" w:lineRule="auto" w:before="115"/>
        <w:ind w:left="0" w:right="1131"/>
        <w:jc w:val="right"/>
      </w:pPr>
      <w:r>
        <w:rPr/>
        <w:pict>
          <v:shape style="position:absolute;margin-left:57pt;margin-top:22.981709pt;width:478.7pt;height:625.8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1116"/>
                    <w:gridCol w:w="2196"/>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146" w:right="0"/>
                          <w:jc w:val="left"/>
                          <w:rPr>
                            <w:rFonts w:ascii="Times New Roman" w:hAnsi="Times New Roman" w:cs="Times New Roman" w:eastAsia="Times New Roman" w:hint="default"/>
                            <w:sz w:val="18"/>
                            <w:szCs w:val="18"/>
                          </w:rPr>
                        </w:pPr>
                        <w:r>
                          <w:rPr>
                            <w:rFonts w:ascii="Times New Roman"/>
                            <w:sz w:val="18"/>
                          </w:rPr>
                          <w:t>944,045,898.95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862,131,195.42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6" w:right="0"/>
                          <w:jc w:val="left"/>
                          <w:rPr>
                            <w:rFonts w:ascii="Times New Roman" w:hAnsi="Times New Roman" w:cs="Times New Roman" w:eastAsia="Times New Roman" w:hint="default"/>
                            <w:sz w:val="18"/>
                            <w:szCs w:val="18"/>
                          </w:rPr>
                        </w:pPr>
                        <w:r>
                          <w:rPr>
                            <w:rFonts w:ascii="Times New Roman"/>
                            <w:sz w:val="18"/>
                          </w:rPr>
                          <w:t>944,045,898.95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862,131,195.42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6" w:right="0"/>
                          <w:jc w:val="left"/>
                          <w:rPr>
                            <w:rFonts w:ascii="Times New Roman" w:hAnsi="Times New Roman" w:cs="Times New Roman" w:eastAsia="Times New Roman" w:hint="default"/>
                            <w:sz w:val="18"/>
                            <w:szCs w:val="18"/>
                          </w:rPr>
                        </w:pPr>
                        <w:r>
                          <w:rPr>
                            <w:rFonts w:ascii="Times New Roman"/>
                            <w:sz w:val="18"/>
                          </w:rPr>
                          <w:t>832,207,870.55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780,348,167.78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146" w:right="0"/>
                          <w:jc w:val="left"/>
                          <w:rPr>
                            <w:rFonts w:ascii="Times New Roman" w:hAnsi="Times New Roman" w:cs="Times New Roman" w:eastAsia="Times New Roman" w:hint="default"/>
                            <w:sz w:val="18"/>
                            <w:szCs w:val="18"/>
                          </w:rPr>
                        </w:pPr>
                        <w:r>
                          <w:rPr>
                            <w:rFonts w:ascii="Times New Roman"/>
                            <w:sz w:val="18"/>
                          </w:rPr>
                          <w:t>561,606,212.97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548,452,389.23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8,516,423.23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5,265,936.23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87,075,213.54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77,843,237.12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153" w:right="0"/>
                          <w:jc w:val="left"/>
                          <w:rPr>
                            <w:rFonts w:ascii="Times New Roman" w:hAnsi="Times New Roman" w:cs="Times New Roman" w:eastAsia="Times New Roman" w:hint="default"/>
                            <w:sz w:val="18"/>
                            <w:szCs w:val="18"/>
                          </w:rPr>
                        </w:pPr>
                        <w:r>
                          <w:rPr>
                            <w:rFonts w:ascii="Times New Roman"/>
                            <w:sz w:val="18"/>
                          </w:rPr>
                          <w:t>113,696,107.73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109,878,054.87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45,075,257.20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30,802,209.03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16,238,655.88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8,106,341.30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-5,833,951.12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-101,641.43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-5,979,951.12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-145,441.43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pacing w:val="-4"/>
                            <w:sz w:val="18"/>
                            <w:szCs w:val="18"/>
                          </w:rPr>
                          <w:t>汇兑收益（损失以“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w:t>
                        </w:r>
                        <w:r>
                          <w:rPr>
                            <w:rFonts w:ascii="宋体" w:hAnsi="宋体" w:cs="宋体" w:eastAsia="宋体" w:hint="default"/>
                            <w:sz w:val="18"/>
                            <w:szCs w:val="18"/>
                          </w:rPr>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三、营业利润（亏损以“－”</w:t>
                        </w:r>
                      </w:p>
                    </w:tc>
                    <w:tc>
                      <w:tcPr>
                        <w:tcW w:w="1116" w:type="dxa"/>
                        <w:tcBorders>
                          <w:top w:val="single" w:sz="4" w:space="0" w:color="000000"/>
                          <w:left w:val="single" w:sz="10" w:space="0" w:color="D2D2D2"/>
                          <w:bottom w:val="single" w:sz="4" w:space="0" w:color="000000"/>
                          <w:right w:val="nil" w:sz="6" w:space="0" w:color="auto"/>
                        </w:tcBorders>
                      </w:tcPr>
                      <w:p>
                        <w:pPr/>
                      </w:p>
                    </w:tc>
                    <w:tc>
                      <w:tcPr>
                        <w:tcW w:w="2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3" w:right="0"/>
                          <w:jc w:val="left"/>
                          <w:rPr>
                            <w:rFonts w:ascii="Times New Roman" w:hAnsi="Times New Roman" w:cs="Times New Roman" w:eastAsia="Times New Roman" w:hint="default"/>
                            <w:sz w:val="18"/>
                            <w:szCs w:val="18"/>
                          </w:rPr>
                        </w:pPr>
                        <w:r>
                          <w:rPr>
                            <w:rFonts w:ascii="Times New Roman"/>
                            <w:sz w:val="18"/>
                          </w:rPr>
                          <w:t>106,004,077.28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81,681,386.21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5,072,966.78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5,086,981.24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204,068.63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159,351.91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51,960.39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1,470.75</w:t>
                        </w:r>
                      </w:p>
                    </w:tc>
                  </w:tr>
                </w:tbl>
                <w:p>
                  <w:pPr/>
                </w:p>
              </w:txbxContent>
            </v:textbox>
            <w10:wrap type="none"/>
          </v:shape>
        </w:pict>
      </w: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line="412" w:lineRule="exact"/>
        <w:ind w:left="3127"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163.35pt;height:20.65pt;mso-position-horizontal-relative:char;mso-position-vertical-relative:line" coordorigin="0,0" coordsize="3267,413">
            <v:group style="position:absolute;left:11;top:11;width:2;height:392" coordorigin="11,11" coordsize="2,392">
              <v:shape style="position:absolute;left:11;top:11;width:2;height:392" coordorigin="11,11" coordsize="0,392" path="m11,11l11,402e" filled="false" stroked="true" strokeweight="1.08pt" strokecolor="#ffffff">
                <v:path arrowok="t"/>
              </v:shape>
            </v:group>
            <v:group style="position:absolute;left:22;top:11;width:3246;height:392" coordorigin="22,11" coordsize="3246,392">
              <v:shape style="position:absolute;left:22;top:11;width:3246;height:392" coordorigin="22,11" coordsize="3246,392" path="m22,402l3267,402,3267,11,22,11,22,402xe" filled="true" fillcolor="#ffffff" stroked="false">
                <v:path arrowok="t"/>
                <v:fill type="solid"/>
              </v:shape>
            </v:group>
          </v:group>
        </w:pict>
      </w:r>
      <w:r>
        <w:rPr>
          <w:rFonts w:ascii="宋体" w:hAnsi="宋体" w:cs="宋体" w:eastAsia="宋体" w:hint="default"/>
          <w:position w:val="-7"/>
          <w:sz w:val="20"/>
          <w:szCs w:val="20"/>
        </w:rPr>
      </w:r>
    </w:p>
    <w:p>
      <w:pPr>
        <w:spacing w:after="0" w:line="412" w:lineRule="exact"/>
        <w:rPr>
          <w:rFonts w:ascii="宋体" w:hAnsi="宋体" w:cs="宋体" w:eastAsia="宋体" w:hint="default"/>
          <w:sz w:val="20"/>
          <w:szCs w:val="20"/>
        </w:rPr>
        <w:sectPr>
          <w:pgSz w:w="11910" w:h="16840"/>
          <w:pgMar w:header="877" w:footer="1340" w:top="1060" w:bottom="1580" w:left="980" w:right="0"/>
        </w:sectPr>
      </w:pPr>
    </w:p>
    <w:p>
      <w:pPr>
        <w:spacing w:line="240" w:lineRule="auto" w:before="6"/>
        <w:rPr>
          <w:rFonts w:ascii="宋体" w:hAnsi="宋体" w:cs="宋体" w:eastAsia="宋体" w:hint="default"/>
          <w:sz w:val="28"/>
          <w:szCs w:val="28"/>
        </w:rPr>
      </w:pPr>
      <w:r>
        <w:rPr/>
        <w:pict>
          <v:shape style="position:absolute;margin-left:172.083008pt;margin-top:146.419983pt;width:196.65pt;height:19.6pt;mso-position-horizontal-relative:page;mso-position-vertical-relative:page;z-index:-829720"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05.369995pt;margin-top:145.87999pt;width:163.35pt;height:20.65pt;mso-position-horizontal-relative:page;mso-position-vertical-relative:page;z-index:-829696" coordorigin="4107,2918" coordsize="3267,413">
            <v:group style="position:absolute;left:4118;top:2928;width:2;height:392" coordorigin="4118,2928" coordsize="2,392">
              <v:shape style="position:absolute;left:4118;top:2928;width:2;height:392" coordorigin="4118,2928" coordsize="0,392" path="m4118,2928l4118,3320e" filled="false" stroked="true" strokeweight="1.08pt" strokecolor="#ffffff">
                <v:path arrowok="t"/>
              </v:shape>
            </v:group>
            <v:group style="position:absolute;left:4129;top:2928;width:3246;height:392" coordorigin="4129,2928" coordsize="3246,392">
              <v:shape style="position:absolute;left:4129;top:2928;width:3246;height:392" coordorigin="4129,2928" coordsize="3246,392" path="m4129,3320l7374,3320,7374,2928,4129,2928,4129,332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2945"/>
        <w:gridCol w:w="1161"/>
        <w:gridCol w:w="2150"/>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四、利润总额（亏损总额以“－”号 填列）</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3" w:right="0"/>
              <w:jc w:val="left"/>
              <w:rPr>
                <w:rFonts w:ascii="Times New Roman" w:hAnsi="Times New Roman" w:cs="Times New Roman" w:eastAsia="Times New Roman" w:hint="default"/>
                <w:sz w:val="18"/>
                <w:szCs w:val="18"/>
              </w:rPr>
            </w:pPr>
            <w:r>
              <w:rPr>
                <w:rFonts w:ascii="Times New Roman"/>
                <w:sz w:val="18"/>
              </w:rPr>
              <w:t>110,872,975.43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86,609,015.54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16,466,484.24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12,771,601.15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五、净利润（净亏损以“－”</w:t>
            </w:r>
          </w:p>
        </w:tc>
        <w:tc>
          <w:tcPr>
            <w:tcW w:w="1161" w:type="dxa"/>
            <w:tcBorders>
              <w:top w:val="single" w:sz="4" w:space="0" w:color="000000"/>
              <w:left w:val="single" w:sz="10" w:space="0" w:color="D2D2D2"/>
              <w:bottom w:val="single" w:sz="4" w:space="0" w:color="000000"/>
              <w:right w:val="nil" w:sz="6" w:space="0" w:color="auto"/>
            </w:tcBorders>
          </w:tcPr>
          <w:p>
            <w:pP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89" w:right="0"/>
              <w:jc w:val="left"/>
              <w:rPr>
                <w:rFonts w:ascii="Times New Roman" w:hAnsi="Times New Roman" w:cs="Times New Roman" w:eastAsia="Times New Roman" w:hint="default"/>
                <w:sz w:val="18"/>
                <w:szCs w:val="18"/>
              </w:rPr>
            </w:pPr>
            <w:r>
              <w:rPr>
                <w:rFonts w:ascii="Times New Roman"/>
                <w:sz w:val="18"/>
              </w:rPr>
              <w:t>94,406,491.19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73,837,414.39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95,341,859.82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72,702,903.49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-935,368.63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1,134,510.90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0.2203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0.2203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94,406,491.19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73,837,414.39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95,341,859.82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72,702,903.49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-935,368.63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1,134,510.90</w:t>
            </w:r>
          </w:p>
        </w:tc>
      </w:tr>
    </w:tbl>
    <w:p>
      <w:pPr>
        <w:pStyle w:val="BodyText"/>
        <w:spacing w:line="240" w:lineRule="auto" w:before="49"/>
        <w:ind w:right="1123"/>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667" w:val="left" w:leader="none"/>
          <w:tab w:pos="7899" w:val="left" w:leader="none"/>
        </w:tabs>
        <w:spacing w:line="240" w:lineRule="auto" w:before="141"/>
        <w:ind w:right="1123"/>
        <w:jc w:val="left"/>
      </w:pPr>
      <w:r>
        <w:rPr/>
        <w:t>法定代表人：束龙胜</w:t>
        <w:tab/>
      </w:r>
      <w:r>
        <w:rPr>
          <w:spacing w:val="-1"/>
        </w:rPr>
        <w:t>主管会计工作负责人：陶黎明</w:t>
        <w:tab/>
      </w:r>
      <w:r>
        <w:rPr/>
        <w:t>会计机构负责人：杨勇</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3"/>
        <w:jc w:val="left"/>
      </w:pPr>
      <w:r>
        <w:rPr/>
        <w:t>编制单位：安徽鑫龙电器股份有限公司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850,229,756.54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786,179,001.85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580,626,511.70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567,820,675.41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6,168,410.60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3,544,243.84</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40,212,456.55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52,111,170.26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79,459,274.43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75,763,009.19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38,046,387.81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23,570,441.16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15,894,425.04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7,615,244.57</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r>
        <w:rPr/>
        <w:pict>
          <v:shape style="position:absolute;margin-left:172.083008pt;margin-top:108.259979pt;width:196.65pt;height:19.6pt;mso-position-horizontal-relative:page;mso-position-vertical-relative:page;z-index:-829672"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72.083008pt;margin-top:244.459976pt;width:196.65pt;height:19.6pt;mso-position-horizontal-relative:page;mso-position-vertical-relative:page;z-index:-829648"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05.25pt;margin-top:107.659981pt;width:163.5pt;height:20.8pt;mso-position-horizontal-relative:page;mso-position-vertical-relative:page;z-index:-829624" coordorigin="4105,2153" coordsize="3270,416">
            <v:group style="position:absolute;left:4117;top:2165;width:2;height:392" coordorigin="4117,2165" coordsize="2,392">
              <v:shape style="position:absolute;left:4117;top:2165;width:2;height:392" coordorigin="4117,2165" coordsize="0,392" path="m4117,2165l4117,2556e" filled="false" stroked="true" strokeweight="1.2pt" strokecolor="#ffffff">
                <v:path arrowok="t"/>
              </v:shape>
            </v:group>
            <v:group style="position:absolute;left:4129;top:2165;width:3246;height:392" coordorigin="4129,2165" coordsize="3246,392">
              <v:shape style="position:absolute;left:4129;top:2165;width:3246;height:392" coordorigin="4129,2165" coordsize="3246,392" path="m4129,2556l7374,2556,7374,2165,4129,2165,4129,2556xe" filled="true" fillcolor="#ffffff" stroked="false">
                <v:path arrowok="t"/>
                <v:fill type="solid"/>
              </v:shape>
            </v:group>
            <w10:wrap type="none"/>
          </v:group>
        </w:pict>
      </w:r>
      <w:r>
        <w:rPr/>
        <w:pict>
          <v:group style="position:absolute;margin-left:205.25pt;margin-top:243.859985pt;width:163.5pt;height:20.8pt;mso-position-horizontal-relative:page;mso-position-vertical-relative:page;z-index:-829600" coordorigin="4105,4877" coordsize="3270,416">
            <v:group style="position:absolute;left:4117;top:4889;width:2;height:392" coordorigin="4117,4889" coordsize="2,392">
              <v:shape style="position:absolute;left:4117;top:4889;width:2;height:392" coordorigin="4117,4889" coordsize="0,392" path="m4117,4889l4117,5280e" filled="false" stroked="true" strokeweight="1.2pt" strokecolor="#ffffff">
                <v:path arrowok="t"/>
              </v:shape>
            </v:group>
            <v:group style="position:absolute;left:4129;top:4889;width:3246;height:392" coordorigin="4129,4889" coordsize="3246,392">
              <v:shape style="position:absolute;left:4129;top:4889;width:3246;height:392" coordorigin="4129,4889" coordsize="3246,392" path="m4129,5280l7374,5280,7374,4889,4129,4889,4129,5280xe" filled="true" fillcolor="#ffffff" stroked="false">
                <v:path arrowok="t"/>
                <v:fill type="solid"/>
              </v:shape>
            </v:group>
            <w10:wrap type="none"/>
          </v:group>
        </w:pict>
      </w:r>
      <w:r>
        <w:rPr/>
        <w:pict>
          <v:group style="position:absolute;margin-left:460.320007pt;margin-top:764.919983pt;width:135pt;height:77pt;mso-position-horizontal-relative:page;mso-position-vertical-relative:page;z-index:-829552"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57</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2942"/>
        <w:gridCol w:w="1165"/>
        <w:gridCol w:w="2149"/>
        <w:gridCol w:w="3303"/>
      </w:tblGrid>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w:t>
            </w:r>
          </w:p>
        </w:tc>
        <w:tc>
          <w:tcPr>
            <w:tcW w:w="1165" w:type="dxa"/>
            <w:tcBorders>
              <w:top w:val="single" w:sz="4" w:space="0" w:color="000000"/>
              <w:left w:val="single" w:sz="10" w:space="0" w:color="D2D2D2"/>
              <w:bottom w:val="single" w:sz="4" w:space="0" w:color="000000"/>
              <w:right w:val="nil" w:sz="6" w:space="0" w:color="auto"/>
            </w:tcBorders>
          </w:tcPr>
          <w:p>
            <w:pPr/>
          </w:p>
        </w:tc>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89,968,290.41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55,798,017.42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3,922,436.15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4,856,742.35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56,422.49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159,054.95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31,485.41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1,470.75</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93,834,304.07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60,495,704.82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12,720,004.65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8,685,288.64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w:t>
            </w:r>
          </w:p>
        </w:tc>
        <w:tc>
          <w:tcPr>
            <w:tcW w:w="1165" w:type="dxa"/>
            <w:tcBorders>
              <w:top w:val="single" w:sz="4" w:space="0" w:color="000000"/>
              <w:left w:val="single" w:sz="10" w:space="0" w:color="D2D2D2"/>
              <w:bottom w:val="single" w:sz="4" w:space="0" w:color="000000"/>
              <w:right w:val="nil" w:sz="6" w:space="0" w:color="auto"/>
            </w:tcBorders>
          </w:tcPr>
          <w:p>
            <w:pPr/>
          </w:p>
        </w:tc>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81,114,299.42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51,810,416.18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0.2234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0.157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0.2217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81,114,299.42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51,810,416.18</w:t>
            </w:r>
          </w:p>
        </w:tc>
      </w:tr>
    </w:tbl>
    <w:p>
      <w:pPr>
        <w:spacing w:line="240" w:lineRule="auto" w:before="2"/>
        <w:rPr>
          <w:rFonts w:ascii="宋体" w:hAnsi="宋体" w:cs="宋体" w:eastAsia="宋体" w:hint="default"/>
          <w:sz w:val="20"/>
          <w:szCs w:val="20"/>
        </w:rPr>
      </w:pPr>
    </w:p>
    <w:p>
      <w:pPr>
        <w:pStyle w:val="BodyText"/>
        <w:tabs>
          <w:tab w:pos="3667" w:val="left" w:leader="none"/>
          <w:tab w:pos="7899" w:val="left" w:leader="none"/>
        </w:tabs>
        <w:spacing w:line="240" w:lineRule="auto" w:before="44"/>
        <w:ind w:right="1123"/>
        <w:jc w:val="left"/>
      </w:pPr>
      <w:r>
        <w:rPr/>
        <w:t>法定代表人：束龙胜</w:t>
        <w:tab/>
      </w:r>
      <w:r>
        <w:rPr>
          <w:spacing w:val="-1"/>
        </w:rPr>
        <w:t>主管会计工作负责人：陶黎明</w:t>
        <w:tab/>
      </w:r>
      <w:r>
        <w:rPr/>
        <w:t>会计机构负责人：杨勇</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3"/>
        <w:jc w:val="left"/>
      </w:pPr>
      <w:r>
        <w:rPr/>
        <w:t>编制单位：安徽鑫龙电器股份有限公司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895,737,071.69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761,835,392.70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9"/>
          <w:footerReference w:type="default" r:id="rId30"/>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829504"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58</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5,447,970.90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4,830,441.89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901,185,042.59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766,665,834.59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576,177,780.36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513,040,265.01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69,792,564.44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67,412,348.12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90,270,010.97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64,789,809.37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118,768,192.13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110,714,870.70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855,008,547.90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755,957,293.20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46,176,494.69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10,708,541.39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43,800.00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121,502.42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299,244.57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267,502.42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343,044.57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40,717,719.47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134,407,258.24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19,593,102.00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60,310,821.47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154,407,258.24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-60,043,319.05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-154,064,213.67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517,399,686.40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4,600,000.00</w:t>
            </w:r>
          </w:p>
        </w:tc>
      </w:tr>
    </w:tbl>
    <w:p>
      <w:pPr>
        <w:spacing w:after="0" w:line="240" w:lineRule="auto"/>
        <w:jc w:val="right"/>
        <w:rPr>
          <w:rFonts w:ascii="Times New Roman" w:hAnsi="Times New Roman" w:cs="Times New Roman" w:eastAsia="Times New Roman" w:hint="default"/>
          <w:sz w:val="18"/>
          <w:szCs w:val="18"/>
        </w:rPr>
        <w:sectPr>
          <w:headerReference w:type="default" r:id="rId31"/>
          <w:footerReference w:type="default" r:id="rId32"/>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829456"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59</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689,012,950.00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545,600,000.00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2,273,619.15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1,513,406.20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1,208,686,255.55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551,713,406.20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804,400,000.00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391,500,000.00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46,326,760.56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44,124,563.71</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2,839,062.89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13,336,315.08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853,565,823.45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448,960,878.79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355,120,432.10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102,752,527.41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341,253,607.74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-40,603,144.87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133,146,358.99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173,749,503.86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474,399,966.73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133,146,358.99</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before="44"/>
        <w:ind w:right="1123"/>
        <w:jc w:val="left"/>
      </w:pPr>
      <w:r>
        <w:rPr/>
        <w:t>法定代表人：束龙胜</w:t>
        <w:tab/>
      </w:r>
      <w:r>
        <w:rPr>
          <w:spacing w:val="-1"/>
        </w:rPr>
        <w:t>主管会计工作负责人：陶黎明</w:t>
        <w:tab/>
      </w:r>
      <w:r>
        <w:rPr/>
        <w:t>会计机构负责人：杨勇</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3"/>
        <w:jc w:val="left"/>
      </w:pPr>
      <w:r>
        <w:rPr/>
        <w:t>编制单位：安徽鑫龙电器股份有限公司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774,981,973.48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671,692,721.53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110,074,329.05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4,600,203.00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885,056,302.53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676,292,924.53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606,081,044.35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480,987,620.74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51,679,115.36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52,181,257.57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64,077,732.19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46,682,925.43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57,874,526.22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47,664,085.90</w:t>
            </w:r>
          </w:p>
        </w:tc>
      </w:tr>
    </w:tbl>
    <w:p>
      <w:pPr>
        <w:spacing w:after="0" w:line="240" w:lineRule="auto"/>
        <w:jc w:val="right"/>
        <w:rPr>
          <w:rFonts w:ascii="Times New Roman" w:hAnsi="Times New Roman" w:cs="Times New Roman" w:eastAsia="Times New Roman" w:hint="default"/>
          <w:sz w:val="18"/>
          <w:szCs w:val="18"/>
        </w:rPr>
        <w:sectPr>
          <w:headerReference w:type="default" r:id="rId33"/>
          <w:footerReference w:type="default" r:id="rId34"/>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829408"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60</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779,712,418.12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627,515,889.64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105,343,884.41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48,777,034.89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71,483.18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299,244.57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217,483.18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343,044.57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44,001,350.86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119,525,771.85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244,001,350.86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266,925,771.85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-243,783,867.68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-266,582,727.28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517,399,686.40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669,012,950.00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502,600,000.00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2,049,416.35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1,226,832.81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1,188,462,052.75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503,826,832.81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781,400,000.00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298,500,000.00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39,087,774.82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36,584,939.86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1,889,062.89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10,846,332.54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822,376,837.71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345,931,272.40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366,085,215.04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157,895,560.41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227,645,231.77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-59,910,131.98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87,839,397.67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147,749,529.65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315,484,629.44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87,839,397.67</w:t>
            </w:r>
          </w:p>
        </w:tc>
      </w:tr>
    </w:tbl>
    <w:p>
      <w:pPr>
        <w:spacing w:after="0" w:line="240" w:lineRule="auto"/>
        <w:jc w:val="right"/>
        <w:rPr>
          <w:rFonts w:ascii="Times New Roman" w:hAnsi="Times New Roman" w:cs="Times New Roman" w:eastAsia="Times New Roman" w:hint="default"/>
          <w:sz w:val="18"/>
          <w:szCs w:val="18"/>
        </w:rPr>
        <w:sectPr>
          <w:headerReference w:type="default" r:id="rId35"/>
          <w:footerReference w:type="default" r:id="rId36"/>
          <w:pgSz w:w="11910" w:h="16840"/>
          <w:pgMar w:header="877" w:footer="0" w:top="1060" w:bottom="0" w:left="980" w:right="0"/>
        </w:sectPr>
      </w:pPr>
    </w:p>
    <w:p>
      <w:pPr>
        <w:spacing w:line="240" w:lineRule="auto" w:before="3"/>
        <w:rPr>
          <w:rFonts w:ascii="Times New Roman" w:hAnsi="Times New Roman" w:cs="Times New Roman" w:eastAsia="Times New Roman" w:hint="default"/>
          <w:sz w:val="29"/>
          <w:szCs w:val="29"/>
        </w:rPr>
      </w:pPr>
    </w:p>
    <w:p>
      <w:pPr>
        <w:pStyle w:val="BodyText"/>
        <w:tabs>
          <w:tab w:pos="3667" w:val="left" w:leader="none"/>
          <w:tab w:pos="7899" w:val="left" w:leader="none"/>
        </w:tabs>
        <w:spacing w:line="240" w:lineRule="auto" w:before="44"/>
        <w:ind w:right="1123"/>
        <w:jc w:val="left"/>
      </w:pPr>
      <w:r>
        <w:rPr/>
        <w:t>法定代表人：束龙胜</w:t>
        <w:tab/>
      </w:r>
      <w:r>
        <w:rPr>
          <w:spacing w:val="-1"/>
        </w:rPr>
        <w:t>主管会计工作负责人：陶黎明</w:t>
        <w:tab/>
      </w:r>
      <w:r>
        <w:rPr/>
        <w:t>会计机构负责人：杨勇</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37"/>
          <w:pgSz w:w="11910" w:h="16840"/>
          <w:pgMar w:footer="1340" w:header="877" w:top="1060" w:bottom="1540" w:left="980" w:right="0"/>
          <w:pgNumType w:start="61"/>
        </w:sectPr>
      </w:pPr>
    </w:p>
    <w:p>
      <w:pPr>
        <w:pStyle w:val="BodyText"/>
        <w:spacing w:line="357" w:lineRule="auto" w:before="44"/>
        <w:ind w:right="-20"/>
        <w:jc w:val="left"/>
      </w:pPr>
      <w:r>
        <w:rPr/>
        <w:t>编制单位：安徽鑫龙电器股份有限公司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3213" w:space="570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165,000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174,911,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888.10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26,629,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640.59</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184,946,</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442.81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20,774,79</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8.90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572,262,77</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0.40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165,000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174,911,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888.10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26,629,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640.59</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184,946,</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442.81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20,774,79</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8.90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572,262,77</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0.40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243,869</w:t>
            </w:r>
          </w:p>
          <w:p>
            <w:pPr>
              <w:pStyle w:val="TableParagraph"/>
              <w:spacing w:line="240" w:lineRule="auto" w:before="102"/>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309,968,</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937.51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8,111,42</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9.94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50,105,4</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29.88</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-935,368.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611,119,42</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8.70</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95,341,8</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59.82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-935,368.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94,406,491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.19</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95,341,8</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59.82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-935,368.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94,406,491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.19</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78,869,</w:t>
            </w:r>
          </w:p>
          <w:p>
            <w:pPr>
              <w:pStyle w:val="TableParagraph"/>
              <w:spacing w:line="240" w:lineRule="auto" w:before="102"/>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441,968,</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937.51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520,837,93</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7.51</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78,869,</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436,641,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623.51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515,510,62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3.51</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5,327,31</w:t>
            </w:r>
          </w:p>
          <w:p>
            <w:pPr>
              <w:pStyle w:val="TableParagraph"/>
              <w:spacing w:line="240" w:lineRule="auto" w:before="103"/>
              <w:ind w:left="340" w:right="0"/>
              <w:jc w:val="left"/>
              <w:rPr>
                <w:rFonts w:ascii="Times New Roman" w:hAnsi="Times New Roman" w:cs="Times New Roman" w:eastAsia="Times New Roman" w:hint="default"/>
                <w:sz w:val="18"/>
                <w:szCs w:val="18"/>
              </w:rPr>
            </w:pPr>
            <w:r>
              <w:rPr>
                <w:rFonts w:ascii="Times New Roman"/>
                <w:sz w:val="18"/>
              </w:rPr>
              <w:t>4.00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5,327,314.</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8,111,42</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9.94</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-12,236,</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429.94</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-4,125,000.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8,111,42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9.94</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-8,111,4</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29.94</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-4,125,0</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-4,125,000.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165,000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-132,00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-33,000,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132,000</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-132,00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33,000,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-33,000,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408,869</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484,880,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825.61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34,741,</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070.53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235,051,</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872.69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19,839,43</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0.27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1,183,382,</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199.10</w:t>
            </w:r>
          </w:p>
        </w:tc>
      </w:tr>
    </w:tbl>
    <w:p>
      <w:pPr>
        <w:pStyle w:val="BodyText"/>
        <w:spacing w:line="240" w:lineRule="auto" w:before="49"/>
        <w:ind w:right="1123"/>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4"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9"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3"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1"/>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2"/>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2"/>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3"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165,000</w:t>
            </w:r>
          </w:p>
          <w:p>
            <w:pPr>
              <w:pStyle w:val="TableParagraph"/>
              <w:spacing w:line="240" w:lineRule="auto" w:before="102"/>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171,611,</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234.10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21,448,</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598.97</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130,624,</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580.94</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3,040,288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491,724,70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2.01</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165,000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171,611,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234.10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21,448,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598.97</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130,624,</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580.94</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3,040,288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491,724,70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2.01</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3,300,65</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4.00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5,181,0</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41.62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54,321,8</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61.87</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17,734,51</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0.90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80,538,068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.39</w:t>
            </w: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6" w:right="0"/>
              <w:jc w:val="left"/>
              <w:rPr>
                <w:rFonts w:ascii="Times New Roman" w:hAnsi="Times New Roman" w:cs="Times New Roman" w:eastAsia="Times New Roman" w:hint="default"/>
                <w:sz w:val="18"/>
                <w:szCs w:val="18"/>
              </w:rPr>
            </w:pPr>
            <w:r>
              <w:rPr>
                <w:rFonts w:ascii="Times New Roman"/>
                <w:sz w:val="18"/>
              </w:rPr>
              <w:t>72,702,9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4" w:right="0"/>
              <w:jc w:val="left"/>
              <w:rPr>
                <w:rFonts w:ascii="Times New Roman" w:hAnsi="Times New Roman" w:cs="Times New Roman" w:eastAsia="Times New Roman" w:hint="default"/>
                <w:sz w:val="18"/>
                <w:szCs w:val="18"/>
              </w:rPr>
            </w:pPr>
            <w:r>
              <w:rPr>
                <w:rFonts w:ascii="Times New Roman"/>
                <w:sz w:val="18"/>
              </w:rPr>
              <w:t>1,134,510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0" w:right="0"/>
              <w:jc w:val="left"/>
              <w:rPr>
                <w:rFonts w:ascii="Times New Roman" w:hAnsi="Times New Roman" w:cs="Times New Roman" w:eastAsia="Times New Roman" w:hint="default"/>
                <w:sz w:val="18"/>
                <w:szCs w:val="18"/>
              </w:rPr>
            </w:pPr>
            <w:r>
              <w:rPr>
                <w:rFonts w:ascii="Times New Roman"/>
                <w:sz w:val="18"/>
              </w:rPr>
              <w:t>73,837,414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36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1" w:right="0"/>
              <w:jc w:val="left"/>
              <w:rPr>
                <w:rFonts w:ascii="Times New Roman" w:hAnsi="Times New Roman" w:cs="Times New Roman" w:eastAsia="Times New Roman" w:hint="default"/>
                <w:sz w:val="18"/>
                <w:szCs w:val="18"/>
              </w:rPr>
            </w:pPr>
            <w:r>
              <w:rPr>
                <w:rFonts w:ascii="Times New Roman"/>
                <w:sz w:val="18"/>
              </w:rPr>
              <w:t>03.49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.39</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72,702,9</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03.49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1,134,510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73,837,414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3,300,65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16,600,00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19,900,654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16,600,00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3,300,65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3,300,654.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5,181,0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41.62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-18,381,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041.62</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-13,200,00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5,181,0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41.62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-5,181,0</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41.62</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-13,200,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-13,200,00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165,000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174,911,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888.10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26,629,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640.59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184,946,</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442.81</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20,774,79</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8.90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572,262,77</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0.40</w:t>
            </w:r>
          </w:p>
        </w:tc>
      </w:tr>
    </w:tbl>
    <w:p>
      <w:pPr>
        <w:spacing w:line="240" w:lineRule="auto" w:before="2"/>
        <w:rPr>
          <w:rFonts w:ascii="宋体" w:hAnsi="宋体" w:cs="宋体" w:eastAsia="宋体" w:hint="default"/>
          <w:sz w:val="20"/>
          <w:szCs w:val="20"/>
        </w:rPr>
      </w:pPr>
    </w:p>
    <w:p>
      <w:pPr>
        <w:pStyle w:val="BodyText"/>
        <w:tabs>
          <w:tab w:pos="3667" w:val="left" w:leader="none"/>
          <w:tab w:pos="7899" w:val="left" w:leader="none"/>
        </w:tabs>
        <w:spacing w:line="240" w:lineRule="auto" w:before="44"/>
        <w:ind w:right="1123"/>
        <w:jc w:val="left"/>
      </w:pPr>
      <w:r>
        <w:rPr/>
        <w:t>法定代表人：束龙胜</w:t>
        <w:tab/>
      </w:r>
      <w:r>
        <w:rPr>
          <w:spacing w:val="-1"/>
        </w:rPr>
        <w:t>主管会计工作负责人：陶黎明</w:t>
        <w:tab/>
      </w:r>
      <w:r>
        <w:rPr/>
        <w:t>会计机构负责人：杨勇</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编制单位：安徽鑫龙电器股份有限公司</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r>
        <w:rPr/>
        <w:pict>
          <v:shape style="position:absolute;margin-left:138.600006pt;margin-top:732.695984pt;width:84.8pt;height:22.05pt;mso-position-horizontal-relative:page;mso-position-vertical-relative:page;z-index:-829384" type="#_x0000_t202" filled="false" stroked="false">
            <v:textbox inset="0,0,0,0">
              <w:txbxContent>
                <w:p>
                  <w:pPr>
                    <w:spacing w:line="240" w:lineRule="auto" w:before="9"/>
                    <w:rPr>
                      <w:rFonts w:ascii="宋体" w:hAnsi="宋体" w:cs="宋体" w:eastAsia="宋体" w:hint="default"/>
                      <w:sz w:val="15"/>
                      <w:szCs w:val="15"/>
                    </w:rPr>
                  </w:pPr>
                </w:p>
                <w:p>
                  <w:pPr>
                    <w:pStyle w:val="BodyText"/>
                    <w:spacing w:line="240" w:lineRule="auto"/>
                    <w:ind w:left="0" w:right="0"/>
                    <w:jc w:val="left"/>
                  </w:pPr>
                  <w:r>
                    <w:rPr/>
                    <w:t>（或股本）</w:t>
                  </w:r>
                </w:p>
              </w:txbxContent>
            </v:textbox>
            <w10:wrap type="none"/>
          </v:shape>
        </w:pict>
      </w:r>
      <w:r>
        <w:rPr/>
        <w:pict>
          <v:group style="position:absolute;margin-left:181.940002pt;margin-top:732.695984pt;width:41.45pt;height:17.650pt;mso-position-horizontal-relative:page;mso-position-vertical-relative:page;z-index:-829360" coordorigin="3639,14654" coordsize="829,353">
            <v:shape style="position:absolute;left:3639;top:14654;width:829;height:353" coordorigin="3639,14654" coordsize="829,353" path="m3639,15007l4467,15007,4467,14654,3639,14654,3639,15007xe" filled="true" fillcolor="#ffffff" stroked="false">
              <v:path arrowok="t"/>
              <v:fill type="solid"/>
            </v:shape>
            <w10:wrap type="none"/>
          </v:group>
        </w:pict>
      </w:r>
      <w:r>
        <w:rPr/>
        <w:pict>
          <v:group style="position:absolute;margin-left:460.320007pt;margin-top:764.919983pt;width:135pt;height:77pt;mso-position-horizontal-relative:page;mso-position-vertical-relative:page;z-index:-829312"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64</w:t>
                    </w:r>
                  </w:p>
                </w:txbxContent>
              </v:textbox>
              <w10:wrap type="none"/>
            </v:shape>
            <w10:wrap type="none"/>
          </v:group>
        </w:pict>
      </w:r>
    </w:p>
    <w:p>
      <w:pPr>
        <w:pStyle w:val="BodyText"/>
        <w:spacing w:line="240" w:lineRule="auto" w:before="44"/>
        <w:ind w:right="1123"/>
        <w:jc w:val="left"/>
      </w:pPr>
      <w:r>
        <w:rPr/>
        <w:t>本期金额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8"/>
        <w:gridCol w:w="890"/>
      </w:tblGrid>
      <w:tr>
        <w:trPr>
          <w:trHeight w:val="398"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99"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165,000,00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174,584,70</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9.25</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25,151,530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125,692,96</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0.31</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490,429,19</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9.90</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165,000,00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174,584,70</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9.25</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25,151,530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125,692,96</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0.31</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490,429,19</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9.90</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以“－”号填列）</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243,869,00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309,968,93</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7.51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8,111,429.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35,877,869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597,827,23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6.93</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81,114,299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.42</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81,114,299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.42</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81,114,299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.42</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81,114,299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.42</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78,869,000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441,968,93</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7.51</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520,837,93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7.51</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78,869,000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436,641,62</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3.51</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515,510,62</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3.51</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5,327,314.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5,327,314.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8,111,429.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-12,236,42</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9.94</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-4,125,000.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8,111,429.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-8,111,429.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890" w:type="dxa"/>
            <w:vMerge w:val="restart"/>
            <w:tcBorders>
              <w:top w:val="single" w:sz="4" w:space="0" w:color="000000"/>
              <w:left w:val="single" w:sz="4" w:space="0" w:color="000000"/>
              <w:right w:val="single" w:sz="4" w:space="0" w:color="000000"/>
            </w:tcBorders>
          </w:tcPr>
          <w:p>
            <w:pP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-4,125,000.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-4,125,000.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165,000,00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-132,000,0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-33,000,00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c>
          <w:tcPr>
            <w:tcW w:w="890" w:type="dxa"/>
            <w:vMerge w:val="restart"/>
            <w:tcBorders>
              <w:top w:val="single" w:sz="4" w:space="0" w:color="000000"/>
              <w:left w:val="single" w:sz="4" w:space="0" w:color="000000"/>
              <w:right w:val="single" w:sz="4" w:space="0" w:color="000000"/>
            </w:tcBorders>
          </w:tcPr>
          <w:p>
            <w:pP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13" w:space="0" w:color="FFFFFF"/>
            </w:tcBorders>
            <w:shd w:val="clear" w:color="auto" w:fill="D2D2D2"/>
          </w:tcPr>
          <w:p>
            <w:pPr/>
          </w:p>
        </w:tc>
        <w:tc>
          <w:tcPr>
            <w:tcW w:w="896" w:type="dxa"/>
            <w:tcBorders>
              <w:top w:val="single" w:sz="4" w:space="0" w:color="000000"/>
              <w:left w:val="single" w:sz="13" w:space="0" w:color="FFFFFF"/>
              <w:bottom w:val="nil" w:sz="6" w:space="0" w:color="auto"/>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-132,000,0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
        </w:tc>
      </w:tr>
      <w:tr>
        <w:trPr>
          <w:trHeight w:val="391" w:hRule="exact"/>
        </w:trPr>
        <w:tc>
          <w:tcPr>
            <w:tcW w:w="2453"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96" w:type="dxa"/>
            <w:tcBorders>
              <w:top w:val="nil" w:sz="6" w:space="0" w:color="auto"/>
              <w:left w:val="single" w:sz="10" w:space="0" w:color="FFFFFF"/>
              <w:bottom w:val="nil" w:sz="6" w:space="0" w:color="auto"/>
              <w:right w:val="single" w:sz="4" w:space="0" w:color="000000"/>
            </w:tcBorders>
          </w:tcPr>
          <w:p>
            <w:pPr>
              <w:pStyle w:val="TableParagraph"/>
              <w:spacing w:line="142" w:lineRule="exact"/>
              <w:ind w:left="45" w:right="0"/>
              <w:jc w:val="left"/>
              <w:rPr>
                <w:rFonts w:ascii="Times New Roman" w:hAnsi="Times New Roman" w:cs="Times New Roman" w:eastAsia="Times New Roman" w:hint="default"/>
                <w:sz w:val="18"/>
                <w:szCs w:val="18"/>
              </w:rPr>
            </w:pPr>
            <w:r>
              <w:rPr>
                <w:rFonts w:ascii="Times New Roman"/>
                <w:sz w:val="18"/>
              </w:rPr>
              <w:t>132,000,00</w:t>
            </w:r>
          </w:p>
          <w:p>
            <w:pPr>
              <w:pStyle w:val="TableParagraph"/>
              <w:spacing w:line="184" w:lineRule="exact"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13" w:space="0" w:color="FFFFFF"/>
            </w:tcBorders>
            <w:shd w:val="clear" w:color="auto" w:fill="D2D2D2"/>
          </w:tcPr>
          <w:p>
            <w:pPr/>
          </w:p>
        </w:tc>
        <w:tc>
          <w:tcPr>
            <w:tcW w:w="896" w:type="dxa"/>
            <w:tcBorders>
              <w:top w:val="nil" w:sz="6" w:space="0" w:color="auto"/>
              <w:left w:val="single" w:sz="13" w:space="0" w:color="FFFFFF"/>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bl>
    <w:p>
      <w:pPr>
        <w:spacing w:after="0"/>
        <w:sectPr>
          <w:headerReference w:type="default" r:id="rId38"/>
          <w:footerReference w:type="default" r:id="rId39"/>
          <w:pgSz w:w="11910" w:h="16840"/>
          <w:pgMar w:header="877" w:footer="0" w:top="1060" w:bottom="0" w:left="980" w:right="0"/>
        </w:sectPr>
      </w:pPr>
    </w:p>
    <w:p>
      <w:pPr>
        <w:spacing w:line="240" w:lineRule="auto" w:before="6"/>
        <w:rPr>
          <w:rFonts w:ascii="宋体" w:hAnsi="宋体" w:cs="宋体" w:eastAsia="宋体" w:hint="default"/>
          <w:sz w:val="28"/>
          <w:szCs w:val="28"/>
        </w:rPr>
      </w:pPr>
      <w:r>
        <w:rPr/>
        <w:pict>
          <v:shape style="position:absolute;margin-left:138.600006pt;margin-top:72.475983pt;width:84.8pt;height:19.6pt;mso-position-horizontal-relative:page;mso-position-vertical-relative:page;z-index:-829264" type="#_x0000_t202" filled="false" stroked="false">
            <v:textbox inset="0,0,0,0">
              <w:txbxContent>
                <w:p>
                  <w:pPr>
                    <w:pStyle w:val="BodyText"/>
                    <w:spacing w:line="240" w:lineRule="auto" w:before="49"/>
                    <w:ind w:left="0" w:right="0"/>
                    <w:jc w:val="left"/>
                  </w:pPr>
                  <w:r>
                    <w:rPr/>
                    <w:t>（或股本）</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415" w:lineRule="exact"/>
              <w:ind w:right="-15"/>
              <w:jc w:val="left"/>
              <w:rPr>
                <w:rFonts w:ascii="宋体" w:hAnsi="宋体" w:cs="宋体" w:eastAsia="宋体" w:hint="default"/>
                <w:sz w:val="20"/>
                <w:szCs w:val="20"/>
              </w:rPr>
            </w:pPr>
            <w:r>
              <w:rPr>
                <w:rFonts w:ascii="宋体" w:hAnsi="宋体" w:cs="宋体" w:eastAsia="宋体" w:hint="default"/>
                <w:position w:val="-7"/>
                <w:sz w:val="20"/>
                <w:szCs w:val="20"/>
              </w:rPr>
              <w:pict>
                <v:group style="width:42.65pt;height:20.8pt;mso-position-horizontal-relative:char;mso-position-vertical-relative:line" coordorigin="0,0" coordsize="853,416">
                  <v:group style="position:absolute;left:12;top:12;width:2;height:392" coordorigin="12,12" coordsize="2,392">
                    <v:shape style="position:absolute;left:12;top:12;width:2;height:392" coordorigin="12,12" coordsize="0,392" path="m12,12l12,404e" filled="false" stroked="true" strokeweight="1.2pt" strokecolor="#ffffff">
                      <v:path arrowok="t"/>
                    </v:shape>
                  </v:group>
                  <v:group style="position:absolute;left:24;top:12;width:829;height:392" coordorigin="24,12" coordsize="829,392">
                    <v:shape style="position:absolute;left:24;top:12;width:829;height:392" coordorigin="24,12" coordsize="829,392" path="m24,404l852,404,852,12,24,12,24,404xe" filled="true" fillcolor="#ffffff" stroked="false">
                      <v:path arrowok="t"/>
                      <v:fill type="solid"/>
                    </v:shape>
                  </v:group>
                </v:group>
              </w:pict>
            </w:r>
            <w:r>
              <w:rPr>
                <w:rFonts w:ascii="宋体" w:hAnsi="宋体" w:cs="宋体" w:eastAsia="宋体" w:hint="default"/>
                <w:position w:val="-7"/>
                <w:sz w:val="20"/>
                <w:szCs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-33,000,00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408,869,00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484,553,64</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6.76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33,262,960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161,570,82</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9.79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1,088,256,</w:t>
            </w:r>
          </w:p>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436.83</w:t>
            </w:r>
          </w:p>
        </w:tc>
      </w:tr>
    </w:tbl>
    <w:p>
      <w:pPr>
        <w:pStyle w:val="BodyText"/>
        <w:spacing w:line="240" w:lineRule="auto" w:before="49"/>
        <w:ind w:right="1123"/>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398"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165,000,00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171,284,05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5.25</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19,970,488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92,263,585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448,518,12</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9.72</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165,000,00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171,284,05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5.25</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19,970,488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92,263,585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448,518,12</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9.72</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3,300,654.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5,181,041.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62</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33,429,374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41,911,070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.18</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51,810,416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51,810,416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51,810,416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51,810,416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3,300,654.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3,300,654.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3,300,654.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3,300,654.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5,181,041.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62</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-18,381,04</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1.62</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-13,200,00</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bl>
    <w:p>
      <w:pPr>
        <w:spacing w:after="0"/>
        <w:sectPr>
          <w:footerReference w:type="default" r:id="rId40"/>
          <w:pgSz w:w="11910" w:h="16840"/>
          <w:pgMar w:footer="1253" w:header="877" w:top="1060" w:bottom="1440" w:left="980" w:right="0"/>
          <w:pgNumType w:start="65"/>
        </w:sectPr>
      </w:pPr>
    </w:p>
    <w:p>
      <w:pPr>
        <w:spacing w:line="240" w:lineRule="auto" w:before="6"/>
        <w:rPr>
          <w:rFonts w:ascii="宋体" w:hAnsi="宋体" w:cs="宋体" w:eastAsia="宋体" w:hint="default"/>
          <w:sz w:val="28"/>
          <w:szCs w:val="28"/>
        </w:rPr>
      </w:pPr>
      <w:r>
        <w:rPr/>
        <w:pict>
          <v:shape style="position:absolute;margin-left:139.554001pt;margin-top:204.259979pt;width:84.8pt;height:19.6pt;mso-position-horizontal-relative:page;mso-position-vertical-relative:page;z-index:-829240"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shape style="position:absolute;margin-left:139.554001pt;margin-top:224.299988pt;width:84.8pt;height:19.6pt;mso-position-horizontal-relative:page;mso-position-vertical-relative:page;z-index:-829216"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2.899994pt;margin-top:204.259979pt;width:41.45pt;height:39.6pt;mso-position-horizontal-relative:page;mso-position-vertical-relative:page;z-index:-829192" coordorigin="3658,4085" coordsize="829,792">
            <v:group style="position:absolute;left:3658;top:4085;width:829;height:392" coordorigin="3658,4085" coordsize="829,392">
              <v:shape style="position:absolute;left:3658;top:4085;width:829;height:392" coordorigin="3658,4085" coordsize="829,392" path="m3658,4476l4486,4476,4486,4085,3658,4085,3658,4476xe" filled="true" fillcolor="#ffffff" stroked="false">
                <v:path arrowok="t"/>
                <v:fill type="solid"/>
              </v:shape>
            </v:group>
            <v:group style="position:absolute;left:3658;top:4486;width:829;height:392" coordorigin="3658,4486" coordsize="829,392">
              <v:shape style="position:absolute;left:3658;top:4486;width:829;height:392" coordorigin="3658,4486" coordsize="829,392" path="m3658,4877l4486,4877,4486,4486,3658,4486,3658,487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5,181,041.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-5,181,041.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-13,200,00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-13,200,00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165,000,00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174,584,70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9.25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25,151,530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125,692,96</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0.31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490,429,19</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9.90</w:t>
            </w:r>
          </w:p>
        </w:tc>
      </w:tr>
    </w:tbl>
    <w:p>
      <w:pPr>
        <w:spacing w:line="240" w:lineRule="auto" w:before="2"/>
        <w:rPr>
          <w:rFonts w:ascii="宋体" w:hAnsi="宋体" w:cs="宋体" w:eastAsia="宋体" w:hint="default"/>
          <w:sz w:val="20"/>
          <w:szCs w:val="20"/>
        </w:rPr>
      </w:pPr>
    </w:p>
    <w:p>
      <w:pPr>
        <w:pStyle w:val="BodyText"/>
        <w:tabs>
          <w:tab w:pos="3667" w:val="left" w:leader="none"/>
          <w:tab w:pos="7899" w:val="left" w:leader="none"/>
        </w:tabs>
        <w:spacing w:line="240" w:lineRule="auto" w:before="44"/>
        <w:ind w:right="1123"/>
        <w:jc w:val="left"/>
      </w:pPr>
      <w:r>
        <w:rPr/>
        <w:t>法定代表人：束龙胜</w:t>
        <w:tab/>
      </w:r>
      <w:r>
        <w:rPr>
          <w:spacing w:val="-1"/>
        </w:rPr>
        <w:t>主管会计工作负责人：陶黎明</w:t>
        <w:tab/>
      </w:r>
      <w:r>
        <w:rPr/>
        <w:t>会计机构负责人：杨勇</w:t>
      </w:r>
    </w:p>
    <w:p>
      <w:pPr>
        <w:spacing w:line="240" w:lineRule="auto" w:before="4"/>
        <w:rPr>
          <w:rFonts w:ascii="宋体" w:hAnsi="宋体" w:cs="宋体" w:eastAsia="宋体" w:hint="default"/>
          <w:sz w:val="25"/>
          <w:szCs w:val="25"/>
        </w:rPr>
      </w:pPr>
    </w:p>
    <w:p>
      <w:pPr>
        <w:pStyle w:val="Heading2"/>
        <w:spacing w:line="240" w:lineRule="auto"/>
        <w:ind w:right="1123"/>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spacing w:line="256" w:lineRule="auto" w:before="0"/>
        <w:ind w:left="152" w:right="1129" w:firstLine="422"/>
        <w:jc w:val="both"/>
        <w:rPr>
          <w:rFonts w:ascii="宋体" w:hAnsi="宋体" w:cs="宋体" w:eastAsia="宋体" w:hint="default"/>
          <w:sz w:val="21"/>
          <w:szCs w:val="21"/>
        </w:rPr>
      </w:pPr>
      <w:r>
        <w:rPr>
          <w:rFonts w:ascii="宋体" w:hAnsi="宋体" w:cs="宋体" w:eastAsia="宋体" w:hint="default"/>
          <w:sz w:val="21"/>
          <w:szCs w:val="21"/>
        </w:rPr>
        <w:t>安徽鑫龙电器股份有限公司（以下简称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宋体" w:hAnsi="宋体" w:cs="宋体" w:eastAsia="宋体" w:hint="default"/>
          <w:spacing w:val="-10"/>
          <w:sz w:val="21"/>
          <w:szCs w:val="21"/>
        </w:rPr>
        <w:t> </w:t>
      </w:r>
      <w:r>
        <w:rPr>
          <w:rFonts w:ascii="宋体" w:hAnsi="宋体" w:cs="宋体" w:eastAsia="宋体" w:hint="default"/>
          <w:sz w:val="21"/>
          <w:szCs w:val="21"/>
        </w:rPr>
        <w:t>成立于</w:t>
      </w:r>
      <w:r>
        <w:rPr>
          <w:rFonts w:ascii="Times New Roman" w:hAnsi="Times New Roman" w:cs="Times New Roman" w:eastAsia="Times New Roman" w:hint="default"/>
          <w:sz w:val="21"/>
          <w:szCs w:val="21"/>
        </w:rPr>
        <w:t>1998</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日，经安徽省工商行政管理局</w:t>
      </w:r>
      <w:r>
        <w:rPr>
          <w:rFonts w:ascii="宋体" w:hAnsi="宋体" w:cs="宋体" w:eastAsia="宋体" w:hint="default"/>
          <w:w w:val="100"/>
          <w:sz w:val="21"/>
          <w:szCs w:val="21"/>
        </w:rPr>
        <w:t> </w:t>
      </w:r>
      <w:r>
        <w:rPr>
          <w:rFonts w:ascii="宋体" w:hAnsi="宋体" w:cs="宋体" w:eastAsia="宋体" w:hint="default"/>
          <w:sz w:val="21"/>
          <w:szCs w:val="21"/>
        </w:rPr>
        <w:t>核准登记注册，企业法人营业执照的注册号为：</w:t>
      </w:r>
      <w:r>
        <w:rPr>
          <w:rFonts w:ascii="Times New Roman" w:hAnsi="Times New Roman" w:cs="Times New Roman" w:eastAsia="Times New Roman" w:hint="default"/>
          <w:sz w:val="21"/>
          <w:szCs w:val="21"/>
        </w:rPr>
        <w:t>3400002400030</w:t>
      </w:r>
      <w:r>
        <w:rPr>
          <w:rFonts w:ascii="宋体" w:hAnsi="宋体" w:cs="宋体" w:eastAsia="宋体" w:hint="default"/>
          <w:sz w:val="21"/>
          <w:szCs w:val="21"/>
        </w:rPr>
        <w:t>，注册资本</w:t>
      </w:r>
      <w:r>
        <w:rPr>
          <w:rFonts w:ascii="Times New Roman" w:hAnsi="Times New Roman" w:cs="Times New Roman" w:eastAsia="Times New Roman" w:hint="default"/>
          <w:sz w:val="21"/>
          <w:szCs w:val="21"/>
        </w:rPr>
        <w:t>8200</w:t>
      </w:r>
      <w:r>
        <w:rPr>
          <w:rFonts w:ascii="宋体" w:hAnsi="宋体" w:cs="宋体" w:eastAsia="宋体" w:hint="default"/>
          <w:sz w:val="21"/>
          <w:szCs w:val="21"/>
        </w:rPr>
        <w:t>万元，注册地址：芜湖市</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经济技术开发区电器部件园（九华北路</w:t>
      </w:r>
      <w:r>
        <w:rPr>
          <w:rFonts w:ascii="Times New Roman" w:hAnsi="Times New Roman" w:cs="Times New Roman" w:eastAsia="Times New Roman" w:hint="default"/>
          <w:sz w:val="21"/>
          <w:szCs w:val="21"/>
        </w:rPr>
        <w:t>118</w:t>
      </w:r>
      <w:r>
        <w:rPr>
          <w:rFonts w:ascii="宋体" w:hAnsi="宋体" w:cs="宋体" w:eastAsia="宋体" w:hint="default"/>
          <w:sz w:val="21"/>
          <w:szCs w:val="21"/>
        </w:rPr>
        <w:t>号），法定代表人：束龙胜。</w:t>
      </w:r>
    </w:p>
    <w:p>
      <w:pPr>
        <w:spacing w:line="256" w:lineRule="auto" w:before="5"/>
        <w:ind w:left="152" w:right="1128" w:firstLine="408"/>
        <w:jc w:val="both"/>
        <w:rPr>
          <w:rFonts w:ascii="宋体" w:hAnsi="宋体" w:cs="宋体" w:eastAsia="宋体" w:hint="default"/>
          <w:sz w:val="21"/>
          <w:szCs w:val="21"/>
        </w:rPr>
      </w:pPr>
      <w:r>
        <w:rPr>
          <w:rFonts w:ascii="宋体" w:hAnsi="宋体" w:cs="宋体" w:eastAsia="宋体" w:hint="default"/>
          <w:sz w:val="21"/>
          <w:szCs w:val="21"/>
        </w:rPr>
        <w:t>根据本公司</w:t>
      </w:r>
      <w:r>
        <w:rPr>
          <w:rFonts w:ascii="Times New Roman" w:hAnsi="Times New Roman" w:cs="Times New Roman" w:eastAsia="Times New Roman" w:hint="default"/>
          <w:sz w:val="21"/>
          <w:szCs w:val="21"/>
        </w:rPr>
        <w:t>2008</w:t>
      </w:r>
      <w:r>
        <w:rPr>
          <w:rFonts w:ascii="宋体" w:hAnsi="宋体" w:cs="宋体" w:eastAsia="宋体" w:hint="default"/>
          <w:sz w:val="21"/>
          <w:szCs w:val="21"/>
        </w:rPr>
        <w:t>年第一次临时股东大会决议及中国证券监督管理委员会证监许可</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0"/>
          <w:sz w:val="21"/>
          <w:szCs w:val="21"/>
        </w:rPr>
        <w:t> </w:t>
      </w:r>
      <w:r>
        <w:rPr>
          <w:rFonts w:ascii="Times New Roman" w:hAnsi="Times New Roman" w:cs="Times New Roman" w:eastAsia="Times New Roman" w:hint="default"/>
          <w:sz w:val="21"/>
          <w:szCs w:val="21"/>
        </w:rPr>
        <w:t>929</w:t>
      </w:r>
      <w:r>
        <w:rPr>
          <w:rFonts w:ascii="宋体" w:hAnsi="宋体" w:cs="宋体" w:eastAsia="宋体" w:hint="default"/>
          <w:sz w:val="21"/>
          <w:szCs w:val="21"/>
        </w:rPr>
        <w:t>号文</w:t>
      </w:r>
      <w:r>
        <w:rPr>
          <w:rFonts w:ascii="Times New Roman" w:hAnsi="Times New Roman" w:cs="Times New Roman" w:eastAsia="Times New Roman" w:hint="default"/>
          <w:sz w:val="21"/>
          <w:szCs w:val="21"/>
        </w:rPr>
        <w:t>“</w:t>
      </w:r>
      <w:r>
        <w:rPr>
          <w:rFonts w:ascii="宋体" w:hAnsi="宋体" w:cs="宋体" w:eastAsia="宋体" w:hint="default"/>
          <w:sz w:val="21"/>
          <w:szCs w:val="21"/>
        </w:rPr>
        <w:t>关于</w:t>
      </w:r>
      <w:r>
        <w:rPr>
          <w:rFonts w:ascii="宋体" w:hAnsi="宋体" w:cs="宋体" w:eastAsia="宋体" w:hint="default"/>
          <w:spacing w:val="-3"/>
          <w:w w:val="100"/>
          <w:sz w:val="21"/>
          <w:szCs w:val="21"/>
        </w:rPr>
        <w:t> </w:t>
      </w:r>
      <w:r>
        <w:rPr>
          <w:rFonts w:ascii="宋体" w:hAnsi="宋体" w:cs="宋体" w:eastAsia="宋体" w:hint="default"/>
          <w:spacing w:val="-2"/>
          <w:sz w:val="21"/>
          <w:szCs w:val="21"/>
        </w:rPr>
        <w:t>核准安徽鑫龙电器股份有限公司首次公开发行股票的批复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，本公司分别于</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18</w:t>
      </w:r>
      <w:r>
        <w:rPr>
          <w:rFonts w:ascii="宋体" w:hAnsi="宋体" w:cs="宋体" w:eastAsia="宋体" w:hint="default"/>
          <w:spacing w:val="-2"/>
          <w:sz w:val="21"/>
          <w:szCs w:val="21"/>
        </w:rPr>
        <w:t>日采用网下配售方</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1"/>
          <w:sz w:val="21"/>
          <w:szCs w:val="21"/>
        </w:rPr>
        <w:t>式向询价对象公开发行人民币普通股（</w:t>
      </w: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股）</w:t>
      </w:r>
      <w:r>
        <w:rPr>
          <w:rFonts w:ascii="Times New Roman" w:hAnsi="Times New Roman" w:cs="Times New Roman" w:eastAsia="Times New Roman" w:hint="default"/>
          <w:spacing w:val="-1"/>
          <w:sz w:val="21"/>
          <w:szCs w:val="21"/>
        </w:rPr>
        <w:t>560</w:t>
      </w:r>
      <w:r>
        <w:rPr>
          <w:rFonts w:ascii="宋体" w:hAnsi="宋体" w:cs="宋体" w:eastAsia="宋体" w:hint="default"/>
          <w:spacing w:val="-1"/>
          <w:sz w:val="21"/>
          <w:szCs w:val="21"/>
        </w:rPr>
        <w:t>万股，</w:t>
      </w:r>
      <w:r>
        <w:rPr>
          <w:rFonts w:ascii="Times New Roman" w:hAnsi="Times New Roman" w:cs="Times New Roman" w:eastAsia="Times New Roman" w:hint="default"/>
          <w:spacing w:val="-1"/>
          <w:sz w:val="21"/>
          <w:szCs w:val="21"/>
        </w:rPr>
        <w:t>2009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18</w:t>
      </w:r>
      <w:r>
        <w:rPr>
          <w:rFonts w:ascii="宋体" w:hAnsi="宋体" w:cs="宋体" w:eastAsia="宋体" w:hint="default"/>
          <w:spacing w:val="-1"/>
          <w:sz w:val="21"/>
          <w:szCs w:val="21"/>
        </w:rPr>
        <w:t>日采用网上定价方式公开发行人民币</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普通股（</w:t>
      </w: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股）</w:t>
      </w:r>
      <w:r>
        <w:rPr>
          <w:rFonts w:ascii="Times New Roman" w:hAnsi="Times New Roman" w:cs="Times New Roman" w:eastAsia="Times New Roman" w:hint="default"/>
          <w:spacing w:val="-3"/>
          <w:sz w:val="21"/>
          <w:szCs w:val="21"/>
        </w:rPr>
        <w:t>2240</w:t>
      </w:r>
      <w:r>
        <w:rPr>
          <w:rFonts w:ascii="宋体" w:hAnsi="宋体" w:cs="宋体" w:eastAsia="宋体" w:hint="default"/>
          <w:spacing w:val="-3"/>
          <w:sz w:val="21"/>
          <w:szCs w:val="21"/>
        </w:rPr>
        <w:t>万股，共计公开发行人民币普通股（</w:t>
      </w: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股）</w:t>
      </w:r>
      <w:r>
        <w:rPr>
          <w:rFonts w:ascii="Times New Roman" w:hAnsi="Times New Roman" w:cs="Times New Roman" w:eastAsia="Times New Roman" w:hint="default"/>
          <w:spacing w:val="-3"/>
          <w:sz w:val="21"/>
          <w:szCs w:val="21"/>
        </w:rPr>
        <w:t>2800</w:t>
      </w:r>
      <w:r>
        <w:rPr>
          <w:rFonts w:ascii="宋体" w:hAnsi="宋体" w:cs="宋体" w:eastAsia="宋体" w:hint="default"/>
          <w:spacing w:val="-3"/>
          <w:sz w:val="21"/>
          <w:szCs w:val="21"/>
        </w:rPr>
        <w:t>万股，每股发行价格为</w:t>
      </w:r>
      <w:r>
        <w:rPr>
          <w:rFonts w:ascii="Times New Roman" w:hAnsi="Times New Roman" w:cs="Times New Roman" w:eastAsia="Times New Roman" w:hint="default"/>
          <w:spacing w:val="-3"/>
          <w:sz w:val="21"/>
          <w:szCs w:val="21"/>
        </w:rPr>
        <w:t>9.50</w:t>
      </w:r>
      <w:r>
        <w:rPr>
          <w:rFonts w:ascii="宋体" w:hAnsi="宋体" w:cs="宋体" w:eastAsia="宋体" w:hint="default"/>
          <w:spacing w:val="-3"/>
          <w:sz w:val="21"/>
          <w:szCs w:val="21"/>
        </w:rPr>
        <w:t>元。公司发</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行后社会公众股为</w:t>
      </w:r>
      <w:r>
        <w:rPr>
          <w:rFonts w:ascii="Times New Roman" w:hAnsi="Times New Roman" w:cs="Times New Roman" w:eastAsia="Times New Roman" w:hint="default"/>
          <w:sz w:val="21"/>
          <w:szCs w:val="21"/>
        </w:rPr>
        <w:t>2800</w:t>
      </w:r>
      <w:r>
        <w:rPr>
          <w:rFonts w:ascii="宋体" w:hAnsi="宋体" w:cs="宋体" w:eastAsia="宋体" w:hint="default"/>
          <w:sz w:val="21"/>
          <w:szCs w:val="21"/>
        </w:rPr>
        <w:t>万股，出资方式全部为货币资金。本次发行后本公司的注册资本为</w:t>
      </w:r>
      <w:r>
        <w:rPr>
          <w:rFonts w:ascii="Times New Roman" w:hAnsi="Times New Roman" w:cs="Times New Roman" w:eastAsia="Times New Roman" w:hint="default"/>
          <w:sz w:val="21"/>
          <w:szCs w:val="21"/>
        </w:rPr>
        <w:t>11000</w:t>
      </w:r>
      <w:r>
        <w:rPr>
          <w:rFonts w:ascii="宋体" w:hAnsi="宋体" w:cs="宋体" w:eastAsia="宋体" w:hint="default"/>
          <w:sz w:val="21"/>
          <w:szCs w:val="21"/>
        </w:rPr>
        <w:t>万元。</w:t>
      </w:r>
    </w:p>
    <w:p>
      <w:pPr>
        <w:spacing w:line="256" w:lineRule="auto" w:before="5"/>
        <w:ind w:left="152" w:right="1127" w:firstLine="408"/>
        <w:jc w:val="both"/>
        <w:rPr>
          <w:rFonts w:ascii="宋体" w:hAnsi="宋体" w:cs="宋体" w:eastAsia="宋体" w:hint="default"/>
          <w:sz w:val="21"/>
          <w:szCs w:val="21"/>
        </w:rPr>
      </w:pPr>
      <w:r>
        <w:rPr>
          <w:rFonts w:ascii="宋体" w:hAnsi="宋体" w:cs="宋体" w:eastAsia="宋体" w:hint="default"/>
          <w:sz w:val="21"/>
          <w:szCs w:val="21"/>
        </w:rPr>
        <w:t>根据本公司</w:t>
      </w:r>
      <w:r>
        <w:rPr>
          <w:rFonts w:ascii="Times New Roman" w:hAnsi="Times New Roman" w:cs="Times New Roman" w:eastAsia="Times New Roman" w:hint="default"/>
          <w:sz w:val="21"/>
          <w:szCs w:val="21"/>
        </w:rPr>
        <w:t>2009</w:t>
      </w:r>
      <w:r>
        <w:rPr>
          <w:rFonts w:ascii="宋体" w:hAnsi="宋体" w:cs="宋体" w:eastAsia="宋体" w:hint="default"/>
          <w:sz w:val="21"/>
          <w:szCs w:val="21"/>
        </w:rPr>
        <w:t>年度股东大会审议通过的《关于公司</w:t>
      </w:r>
      <w:r>
        <w:rPr>
          <w:rFonts w:ascii="Times New Roman" w:hAnsi="Times New Roman" w:cs="Times New Roman" w:eastAsia="Times New Roman" w:hint="default"/>
          <w:sz w:val="21"/>
          <w:szCs w:val="21"/>
        </w:rPr>
        <w:t>2009</w:t>
      </w:r>
      <w:r>
        <w:rPr>
          <w:rFonts w:ascii="宋体" w:hAnsi="宋体" w:cs="宋体" w:eastAsia="宋体" w:hint="default"/>
          <w:sz w:val="21"/>
          <w:szCs w:val="21"/>
        </w:rPr>
        <w:t>年度利润分配的预案》，以</w:t>
      </w:r>
      <w:r>
        <w:rPr>
          <w:rFonts w:ascii="Times New Roman" w:hAnsi="Times New Roman" w:cs="Times New Roman" w:eastAsia="Times New Roman" w:hint="default"/>
          <w:sz w:val="21"/>
          <w:szCs w:val="21"/>
        </w:rPr>
        <w:t>2009</w:t>
      </w:r>
      <w:r>
        <w:rPr>
          <w:rFonts w:ascii="宋体" w:hAnsi="宋体" w:cs="宋体" w:eastAsia="宋体" w:hint="default"/>
          <w:sz w:val="21"/>
          <w:szCs w:val="21"/>
        </w:rPr>
        <w:t>年末</w:t>
      </w:r>
      <w:r>
        <w:rPr>
          <w:rFonts w:ascii="Times New Roman" w:hAnsi="Times New Roman" w:cs="Times New Roman" w:eastAsia="Times New Roman" w:hint="default"/>
          <w:sz w:val="21"/>
          <w:szCs w:val="21"/>
        </w:rPr>
        <w:t>11000</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万股本为基数，以资本公积向全体股东每</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股转增</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股的利润分配方案，公司总股本由</w:t>
      </w:r>
      <w:r>
        <w:rPr>
          <w:rFonts w:ascii="Times New Roman" w:hAnsi="Times New Roman" w:cs="Times New Roman" w:eastAsia="Times New Roman" w:hint="default"/>
          <w:spacing w:val="2"/>
          <w:sz w:val="21"/>
          <w:szCs w:val="21"/>
        </w:rPr>
        <w:t>11000</w:t>
      </w:r>
      <w:r>
        <w:rPr>
          <w:rFonts w:ascii="宋体" w:hAnsi="宋体" w:cs="宋体" w:eastAsia="宋体" w:hint="default"/>
          <w:spacing w:val="2"/>
          <w:sz w:val="21"/>
          <w:szCs w:val="21"/>
        </w:rPr>
        <w:t>万股增加到</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Times New Roman" w:hAnsi="Times New Roman" w:cs="Times New Roman" w:eastAsia="Times New Roman" w:hint="default"/>
          <w:sz w:val="21"/>
          <w:szCs w:val="21"/>
        </w:rPr>
        <w:t>16500</w:t>
      </w:r>
      <w:r>
        <w:rPr>
          <w:rFonts w:ascii="宋体" w:hAnsi="宋体" w:cs="宋体" w:eastAsia="宋体" w:hint="default"/>
          <w:sz w:val="21"/>
          <w:szCs w:val="21"/>
        </w:rPr>
        <w:t>万股。本次资本公积转增资本后公司的注册资本变更为</w:t>
      </w:r>
      <w:r>
        <w:rPr>
          <w:rFonts w:ascii="Times New Roman" w:hAnsi="Times New Roman" w:cs="Times New Roman" w:eastAsia="Times New Roman" w:hint="default"/>
          <w:sz w:val="21"/>
          <w:szCs w:val="21"/>
        </w:rPr>
        <w:t>16500</w:t>
      </w:r>
      <w:r>
        <w:rPr>
          <w:rFonts w:ascii="宋体" w:hAnsi="宋体" w:cs="宋体" w:eastAsia="宋体" w:hint="default"/>
          <w:sz w:val="21"/>
          <w:szCs w:val="21"/>
        </w:rPr>
        <w:t>万元。</w:t>
      </w:r>
    </w:p>
    <w:p>
      <w:pPr>
        <w:spacing w:line="256" w:lineRule="auto" w:before="5"/>
        <w:ind w:left="152" w:right="1128" w:firstLine="408"/>
        <w:jc w:val="both"/>
        <w:rPr>
          <w:rFonts w:ascii="宋体" w:hAnsi="宋体" w:cs="宋体" w:eastAsia="宋体" w:hint="default"/>
          <w:sz w:val="21"/>
          <w:szCs w:val="21"/>
        </w:rPr>
      </w:pPr>
      <w:r>
        <w:rPr>
          <w:rFonts w:ascii="宋体" w:hAnsi="宋体" w:cs="宋体" w:eastAsia="宋体" w:hint="default"/>
          <w:sz w:val="21"/>
          <w:szCs w:val="21"/>
        </w:rPr>
        <w:t>根据本公司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年度股东大会审议通过的《关于公司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年度利润分配的预案》，以</w:t>
      </w:r>
      <w:r>
        <w:rPr>
          <w:rFonts w:ascii="Times New Roman" w:hAnsi="Times New Roman" w:cs="Times New Roman" w:eastAsia="Times New Roman" w:hint="default"/>
          <w:sz w:val="21"/>
          <w:szCs w:val="21"/>
        </w:rPr>
        <w:t>2011</w:t>
      </w:r>
      <w:r>
        <w:rPr>
          <w:rFonts w:ascii="宋体" w:hAnsi="宋体" w:cs="宋体" w:eastAsia="宋体" w:hint="default"/>
          <w:sz w:val="21"/>
          <w:szCs w:val="21"/>
        </w:rPr>
        <w:t>年末</w:t>
      </w:r>
      <w:r>
        <w:rPr>
          <w:rFonts w:ascii="Times New Roman" w:hAnsi="Times New Roman" w:cs="Times New Roman" w:eastAsia="Times New Roman" w:hint="default"/>
          <w:sz w:val="21"/>
          <w:szCs w:val="21"/>
        </w:rPr>
        <w:t>16500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万股本为基数，公司按每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股转增</w:t>
      </w:r>
      <w:r>
        <w:rPr>
          <w:rFonts w:ascii="Times New Roman" w:hAnsi="Times New Roman" w:cs="Times New Roman" w:eastAsia="Times New Roman" w:hint="default"/>
          <w:sz w:val="21"/>
          <w:szCs w:val="21"/>
        </w:rPr>
        <w:t>10</w:t>
      </w:r>
      <w:r>
        <w:rPr>
          <w:rFonts w:ascii="宋体" w:hAnsi="宋体" w:cs="宋体" w:eastAsia="宋体" w:hint="default"/>
          <w:sz w:val="21"/>
          <w:szCs w:val="21"/>
        </w:rPr>
        <w:t>股的比例，以资本公积、未分配利润向全体股东转增股份总额</w:t>
      </w:r>
      <w:r>
        <w:rPr>
          <w:rFonts w:ascii="Times New Roman" w:hAnsi="Times New Roman" w:cs="Times New Roman" w:eastAsia="Times New Roman" w:hint="default"/>
          <w:sz w:val="21"/>
          <w:szCs w:val="21"/>
        </w:rPr>
        <w:t>16500</w:t>
      </w:r>
      <w:r>
        <w:rPr>
          <w:rFonts w:ascii="Times New Roman" w:hAnsi="Times New Roman" w:cs="Times New Roman" w:eastAsia="Times New Roman" w:hint="default"/>
          <w:spacing w:val="31"/>
          <w:sz w:val="21"/>
          <w:szCs w:val="21"/>
        </w:rPr>
        <w:t> </w:t>
      </w:r>
      <w:r>
        <w:rPr>
          <w:rFonts w:ascii="Times New Roman" w:hAnsi="Times New Roman" w:cs="Times New Roman" w:eastAsia="Times New Roman" w:hint="default"/>
          <w:spacing w:val="31"/>
          <w:sz w:val="21"/>
          <w:szCs w:val="21"/>
        </w:rPr>
      </w:r>
      <w:r>
        <w:rPr>
          <w:rFonts w:ascii="宋体" w:hAnsi="宋体" w:cs="宋体" w:eastAsia="宋体" w:hint="default"/>
          <w:sz w:val="21"/>
          <w:szCs w:val="21"/>
        </w:rPr>
        <w:t>万股，其中：由资本公积转增</w:t>
      </w:r>
      <w:r>
        <w:rPr>
          <w:rFonts w:ascii="Times New Roman" w:hAnsi="Times New Roman" w:cs="Times New Roman" w:eastAsia="Times New Roman" w:hint="default"/>
          <w:sz w:val="21"/>
          <w:szCs w:val="21"/>
        </w:rPr>
        <w:t>13200</w:t>
      </w:r>
      <w:r>
        <w:rPr>
          <w:rFonts w:ascii="宋体" w:hAnsi="宋体" w:cs="宋体" w:eastAsia="宋体" w:hint="default"/>
          <w:sz w:val="21"/>
          <w:szCs w:val="21"/>
        </w:rPr>
        <w:t>万股，由未分配利润转增</w:t>
      </w:r>
      <w:r>
        <w:rPr>
          <w:rFonts w:ascii="Times New Roman" w:hAnsi="Times New Roman" w:cs="Times New Roman" w:eastAsia="Times New Roman" w:hint="default"/>
          <w:sz w:val="21"/>
          <w:szCs w:val="21"/>
        </w:rPr>
        <w:t>3300</w:t>
      </w:r>
      <w:r>
        <w:rPr>
          <w:rFonts w:ascii="宋体" w:hAnsi="宋体" w:cs="宋体" w:eastAsia="宋体" w:hint="default"/>
          <w:sz w:val="21"/>
          <w:szCs w:val="21"/>
        </w:rPr>
        <w:t>万股。本次转增资本后公司的注册资本</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变更为</w:t>
      </w:r>
      <w:r>
        <w:rPr>
          <w:rFonts w:ascii="Times New Roman" w:hAnsi="Times New Roman" w:cs="Times New Roman" w:eastAsia="Times New Roman" w:hint="default"/>
          <w:sz w:val="21"/>
          <w:szCs w:val="21"/>
        </w:rPr>
        <w:t>33000</w:t>
      </w:r>
      <w:r>
        <w:rPr>
          <w:rFonts w:ascii="宋体" w:hAnsi="宋体" w:cs="宋体" w:eastAsia="宋体" w:hint="default"/>
          <w:sz w:val="21"/>
          <w:szCs w:val="21"/>
        </w:rPr>
        <w:t>万元。</w:t>
      </w:r>
    </w:p>
    <w:p>
      <w:pPr>
        <w:spacing w:line="256" w:lineRule="auto" w:before="5"/>
        <w:ind w:left="152" w:right="1126" w:firstLine="408"/>
        <w:jc w:val="both"/>
        <w:rPr>
          <w:rFonts w:ascii="宋体" w:hAnsi="宋体" w:cs="宋体" w:eastAsia="宋体" w:hint="default"/>
          <w:sz w:val="21"/>
          <w:szCs w:val="21"/>
        </w:rPr>
      </w:pPr>
      <w:r>
        <w:rPr>
          <w:rFonts w:ascii="宋体" w:hAnsi="宋体" w:cs="宋体" w:eastAsia="宋体" w:hint="default"/>
          <w:spacing w:val="-2"/>
          <w:sz w:val="21"/>
          <w:szCs w:val="21"/>
        </w:rPr>
        <w:t>根据公司第五届董事会第十八次会议、</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年第四次临时股东大会的决议和修改后章程的规定，并经</w:t>
      </w:r>
      <w:r>
        <w:rPr>
          <w:rFonts w:ascii="宋体" w:hAnsi="宋体" w:cs="宋体" w:eastAsia="宋体" w:hint="default"/>
          <w:w w:val="100"/>
          <w:sz w:val="21"/>
          <w:szCs w:val="21"/>
        </w:rPr>
        <w:t> </w:t>
      </w:r>
      <w:r>
        <w:rPr>
          <w:rFonts w:ascii="宋体" w:hAnsi="宋体" w:cs="宋体" w:eastAsia="宋体" w:hint="default"/>
          <w:spacing w:val="-3"/>
          <w:sz w:val="21"/>
          <w:szCs w:val="21"/>
        </w:rPr>
        <w:t>中国证券监督管理委员会证监许可</w:t>
      </w:r>
      <w:r>
        <w:rPr>
          <w:rFonts w:ascii="Times New Roman" w:hAnsi="Times New Roman" w:cs="Times New Roman" w:eastAsia="Times New Roman" w:hint="default"/>
          <w:spacing w:val="-3"/>
          <w:sz w:val="21"/>
          <w:szCs w:val="21"/>
        </w:rPr>
        <w:t>[2012]648</w:t>
      </w:r>
      <w:r>
        <w:rPr>
          <w:rFonts w:ascii="宋体" w:hAnsi="宋体" w:cs="宋体" w:eastAsia="宋体" w:hint="default"/>
          <w:spacing w:val="-3"/>
          <w:sz w:val="21"/>
          <w:szCs w:val="21"/>
        </w:rPr>
        <w:t>号文《关于核准安徽鑫龙电器股份有限公司非公开发行股票的</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批复》核准，鑫龙电器公司于</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15</w:t>
      </w:r>
      <w:r>
        <w:rPr>
          <w:rFonts w:ascii="宋体" w:hAnsi="宋体" w:cs="宋体" w:eastAsia="宋体" w:hint="default"/>
          <w:spacing w:val="-3"/>
          <w:sz w:val="21"/>
          <w:szCs w:val="21"/>
        </w:rPr>
        <w:t>日向特定对象定价发行人民币普通股</w:t>
      </w: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股</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pacing w:val="-4"/>
          <w:sz w:val="21"/>
          <w:szCs w:val="21"/>
        </w:rPr>
        <w:t>7886.90</w:t>
      </w:r>
      <w:r>
        <w:rPr>
          <w:rFonts w:ascii="宋体" w:hAnsi="宋体" w:cs="宋体" w:eastAsia="宋体" w:hint="default"/>
          <w:spacing w:val="-4"/>
          <w:sz w:val="21"/>
          <w:szCs w:val="21"/>
        </w:rPr>
        <w:t>万股，每股发</w:t>
      </w:r>
    </w:p>
    <w:p>
      <w:pPr>
        <w:spacing w:after="0" w:line="256" w:lineRule="auto"/>
        <w:jc w:val="both"/>
        <w:rPr>
          <w:rFonts w:ascii="宋体" w:hAnsi="宋体" w:cs="宋体" w:eastAsia="宋体" w:hint="default"/>
          <w:sz w:val="21"/>
          <w:szCs w:val="21"/>
        </w:rPr>
        <w:sectPr>
          <w:pgSz w:w="11910" w:h="16840"/>
          <w:pgMar w:header="877" w:footer="1253" w:top="1060" w:bottom="1540" w:left="980" w:right="0"/>
        </w:sectPr>
      </w:pPr>
    </w:p>
    <w:p>
      <w:pPr>
        <w:spacing w:line="240" w:lineRule="auto" w:before="10"/>
        <w:rPr>
          <w:rFonts w:ascii="宋体" w:hAnsi="宋体" w:cs="宋体" w:eastAsia="宋体" w:hint="default"/>
          <w:sz w:val="24"/>
          <w:szCs w:val="24"/>
        </w:rPr>
      </w:pPr>
    </w:p>
    <w:p>
      <w:pPr>
        <w:spacing w:line="256" w:lineRule="auto" w:before="36"/>
        <w:ind w:left="561" w:right="1123" w:hanging="409"/>
        <w:jc w:val="left"/>
        <w:rPr>
          <w:rFonts w:ascii="宋体" w:hAnsi="宋体" w:cs="宋体" w:eastAsia="宋体" w:hint="default"/>
          <w:sz w:val="21"/>
          <w:szCs w:val="21"/>
        </w:rPr>
      </w:pPr>
      <w:r>
        <w:rPr>
          <w:rFonts w:ascii="宋体" w:hAnsi="宋体" w:cs="宋体" w:eastAsia="宋体" w:hint="default"/>
          <w:sz w:val="21"/>
          <w:szCs w:val="21"/>
        </w:rPr>
        <w:t>行认购价格为人民币</w:t>
      </w:r>
      <w:r>
        <w:rPr>
          <w:rFonts w:ascii="Times New Roman" w:hAnsi="Times New Roman" w:cs="Times New Roman" w:eastAsia="Times New Roman" w:hint="default"/>
          <w:sz w:val="21"/>
          <w:szCs w:val="21"/>
        </w:rPr>
        <w:t>6.72</w:t>
      </w:r>
      <w:r>
        <w:rPr>
          <w:rFonts w:ascii="宋体" w:hAnsi="宋体" w:cs="宋体" w:eastAsia="宋体" w:hint="default"/>
          <w:sz w:val="21"/>
          <w:szCs w:val="21"/>
        </w:rPr>
        <w:t>元。经此发行后，注册资本变更为人民币</w:t>
      </w:r>
      <w:r>
        <w:rPr>
          <w:rFonts w:ascii="Times New Roman" w:hAnsi="Times New Roman" w:cs="Times New Roman" w:eastAsia="Times New Roman" w:hint="default"/>
          <w:sz w:val="21"/>
          <w:szCs w:val="21"/>
        </w:rPr>
        <w:t>40886.90</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pacing w:val="-2"/>
          <w:sz w:val="21"/>
          <w:szCs w:val="21"/>
        </w:rPr>
        <w:t>本公司属于输配电及控制设备制造业。经营范围主要包括：电气机械及器材制造﹑工业过程控制及监</w:t>
      </w:r>
    </w:p>
    <w:p>
      <w:pPr>
        <w:spacing w:line="273" w:lineRule="auto" w:before="22"/>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控系统﹑计算机应用服务与综合信息网络工程、电子声像工程﹑各种智能化系统和技术防范工程设计、制</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造、施工、安装、维修、调试、销售及技术服务等。</w:t>
      </w:r>
    </w:p>
    <w:p>
      <w:pPr>
        <w:spacing w:line="273" w:lineRule="auto" w:before="7"/>
        <w:ind w:left="152" w:right="1123" w:firstLine="408"/>
        <w:jc w:val="left"/>
        <w:rPr>
          <w:rFonts w:ascii="宋体" w:hAnsi="宋体" w:cs="宋体" w:eastAsia="宋体" w:hint="default"/>
          <w:sz w:val="21"/>
          <w:szCs w:val="21"/>
        </w:rPr>
      </w:pPr>
      <w:r>
        <w:rPr>
          <w:rFonts w:ascii="宋体" w:hAnsi="宋体" w:cs="宋体" w:eastAsia="宋体" w:hint="default"/>
          <w:spacing w:val="-2"/>
          <w:sz w:val="21"/>
          <w:szCs w:val="21"/>
        </w:rPr>
        <w:t>本公司的主要产品包括：高、低压成套开关设备、元器件、自动化产品等，主要应用于发电厂、变电</w:t>
      </w:r>
      <w:r>
        <w:rPr>
          <w:rFonts w:ascii="宋体" w:hAnsi="宋体" w:cs="宋体" w:eastAsia="宋体" w:hint="default"/>
          <w:w w:val="100"/>
          <w:sz w:val="21"/>
          <w:szCs w:val="21"/>
        </w:rPr>
        <w:t> </w:t>
      </w:r>
      <w:r>
        <w:rPr>
          <w:rFonts w:ascii="宋体" w:hAnsi="宋体" w:cs="宋体" w:eastAsia="宋体" w:hint="default"/>
          <w:sz w:val="21"/>
          <w:szCs w:val="21"/>
        </w:rPr>
        <w:t>所及城市、农村、工矿企业、交通运输、高层建筑、公用设施等领域的变、配电时接受和分配电能等。</w:t>
      </w:r>
    </w:p>
    <w:p>
      <w:pPr>
        <w:spacing w:line="501" w:lineRule="auto" w:before="7"/>
        <w:ind w:left="152" w:right="5935" w:firstLine="408"/>
        <w:jc w:val="left"/>
        <w:rPr>
          <w:rFonts w:ascii="宋体" w:hAnsi="宋体" w:cs="宋体" w:eastAsia="宋体" w:hint="default"/>
          <w:sz w:val="21"/>
          <w:szCs w:val="21"/>
        </w:rPr>
      </w:pPr>
      <w:r>
        <w:rPr>
          <w:rFonts w:ascii="宋体" w:hAnsi="宋体" w:cs="宋体" w:eastAsia="宋体" w:hint="default"/>
          <w:sz w:val="21"/>
          <w:szCs w:val="21"/>
        </w:rPr>
        <w:t>公司在报告期间内主营业务未发生变更。</w:t>
      </w:r>
      <w:r>
        <w:rPr>
          <w:rFonts w:ascii="宋体" w:hAnsi="宋体" w:cs="宋体" w:eastAsia="宋体" w:hint="default"/>
          <w:w w:val="100"/>
          <w:sz w:val="21"/>
          <w:szCs w:val="21"/>
        </w:rPr>
        <w:t> </w:t>
      </w:r>
      <w:r>
        <w:rPr>
          <w:rFonts w:ascii="宋体" w:hAnsi="宋体" w:cs="宋体" w:eastAsia="宋体" w:hint="default"/>
          <w:b/>
          <w:bCs/>
          <w:sz w:val="24"/>
          <w:szCs w:val="24"/>
        </w:rPr>
        <w:t>四、公司主要会计政策、会计估计和前期差错</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sz w:val="21"/>
          <w:szCs w:val="21"/>
        </w:rPr>
      </w:r>
    </w:p>
    <w:p>
      <w:pPr>
        <w:spacing w:line="256" w:lineRule="auto" w:before="68"/>
        <w:ind w:left="152" w:right="1128" w:firstLine="420"/>
        <w:jc w:val="both"/>
        <w:rPr>
          <w:rFonts w:ascii="宋体" w:hAnsi="宋体" w:cs="宋体" w:eastAsia="宋体" w:hint="default"/>
          <w:sz w:val="21"/>
          <w:szCs w:val="21"/>
        </w:rPr>
      </w:pPr>
      <w:r>
        <w:rPr>
          <w:rFonts w:ascii="宋体" w:hAnsi="宋体" w:cs="宋体" w:eastAsia="宋体" w:hint="default"/>
          <w:sz w:val="21"/>
          <w:szCs w:val="21"/>
        </w:rPr>
        <w:t>公司以持续经营为基础，根据实际发生的交易和事项，按照财政部于</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日颁布的《企业会</w:t>
      </w:r>
      <w:r>
        <w:rPr>
          <w:rFonts w:ascii="宋体" w:hAnsi="宋体" w:cs="宋体" w:eastAsia="宋体" w:hint="default"/>
          <w:w w:val="100"/>
          <w:sz w:val="21"/>
          <w:szCs w:val="21"/>
        </w:rPr>
        <w:t> </w:t>
      </w:r>
      <w:r>
        <w:rPr>
          <w:rFonts w:ascii="宋体" w:hAnsi="宋体" w:cs="宋体" w:eastAsia="宋体" w:hint="default"/>
          <w:spacing w:val="-2"/>
          <w:sz w:val="21"/>
          <w:szCs w:val="21"/>
        </w:rPr>
        <w:t>计准则</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基本准则》和</w:t>
      </w:r>
      <w:r>
        <w:rPr>
          <w:rFonts w:ascii="Times New Roman" w:hAnsi="Times New Roman" w:cs="Times New Roman" w:eastAsia="Times New Roman" w:hint="default"/>
          <w:spacing w:val="-2"/>
          <w:sz w:val="21"/>
          <w:szCs w:val="21"/>
        </w:rPr>
        <w:t>38</w:t>
      </w:r>
      <w:r>
        <w:rPr>
          <w:rFonts w:ascii="宋体" w:hAnsi="宋体" w:cs="宋体" w:eastAsia="宋体" w:hint="default"/>
          <w:spacing w:val="-2"/>
          <w:sz w:val="21"/>
          <w:szCs w:val="21"/>
        </w:rPr>
        <w:t>项具体会计准则、其后颁布的企业会计准则应用指南、企业会计准则解释及其</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他相关规定</w:t>
      </w:r>
      <w:r>
        <w:rPr>
          <w:rFonts w:ascii="Times New Roman" w:hAnsi="Times New Roman" w:cs="Times New Roman" w:eastAsia="Times New Roman" w:hint="default"/>
          <w:sz w:val="21"/>
          <w:szCs w:val="21"/>
        </w:rPr>
        <w:t>(</w:t>
      </w:r>
      <w:r>
        <w:rPr>
          <w:rFonts w:ascii="宋体" w:hAnsi="宋体" w:cs="宋体" w:eastAsia="宋体" w:hint="default"/>
          <w:sz w:val="21"/>
          <w:szCs w:val="21"/>
        </w:rPr>
        <w:t>以下合称</w:t>
      </w:r>
      <w:r>
        <w:rPr>
          <w:rFonts w:ascii="Times New Roman" w:hAnsi="Times New Roman" w:cs="Times New Roman" w:eastAsia="Times New Roman" w:hint="default"/>
          <w:sz w:val="21"/>
          <w:szCs w:val="21"/>
        </w:rPr>
        <w:t>“</w:t>
      </w:r>
      <w:r>
        <w:rPr>
          <w:rFonts w:ascii="宋体" w:hAnsi="宋体" w:cs="宋体" w:eastAsia="宋体" w:hint="default"/>
          <w:sz w:val="21"/>
          <w:szCs w:val="21"/>
        </w:rPr>
        <w:t>企业会计准则</w:t>
      </w:r>
      <w:r>
        <w:rPr>
          <w:rFonts w:ascii="Times New Roman" w:hAnsi="Times New Roman" w:cs="Times New Roman" w:eastAsia="Times New Roman" w:hint="default"/>
          <w:sz w:val="21"/>
          <w:szCs w:val="21"/>
        </w:rPr>
        <w:t>”)</w:t>
      </w:r>
      <w:r>
        <w:rPr>
          <w:rFonts w:ascii="宋体" w:hAnsi="宋体" w:cs="宋体" w:eastAsia="宋体" w:hint="default"/>
          <w:sz w:val="21"/>
          <w:szCs w:val="21"/>
        </w:rPr>
        <w:t>、中国证券监督管理委员会《公开发行证券的公司信息披露编报规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则第</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财务报告的一般规定》</w:t>
      </w:r>
      <w:r>
        <w:rPr>
          <w:rFonts w:ascii="Times New Roman" w:hAnsi="Times New Roman" w:cs="Times New Roman" w:eastAsia="Times New Roman" w:hint="default"/>
          <w:sz w:val="21"/>
          <w:szCs w:val="21"/>
        </w:rPr>
        <w:t>(2010</w:t>
      </w:r>
      <w:r>
        <w:rPr>
          <w:rFonts w:ascii="宋体" w:hAnsi="宋体" w:cs="宋体" w:eastAsia="宋体" w:hint="default"/>
          <w:sz w:val="21"/>
          <w:szCs w:val="21"/>
        </w:rPr>
        <w:t>年修订</w:t>
      </w:r>
      <w:r>
        <w:rPr>
          <w:rFonts w:ascii="Times New Roman" w:hAnsi="Times New Roman" w:cs="Times New Roman" w:eastAsia="Times New Roman" w:hint="default"/>
          <w:sz w:val="21"/>
          <w:szCs w:val="21"/>
        </w:rPr>
        <w:t>)</w:t>
      </w:r>
      <w:r>
        <w:rPr>
          <w:rFonts w:ascii="宋体" w:hAnsi="宋体" w:cs="宋体" w:eastAsia="宋体" w:hint="default"/>
          <w:sz w:val="21"/>
          <w:szCs w:val="21"/>
        </w:rPr>
        <w:t>进行确认和计量，在此基础上编制财务报表。</w:t>
      </w:r>
    </w:p>
    <w:p>
      <w:pPr>
        <w:spacing w:line="614" w:lineRule="exact" w:before="59"/>
        <w:ind w:left="573" w:right="112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公司所编制的财务报表符合企业会计准则的要求，真实、完整地反映了报告期公司的财务状况、经营</w:t>
      </w:r>
    </w:p>
    <w:p>
      <w:pPr>
        <w:spacing w:line="219" w:lineRule="exact" w:before="0"/>
        <w:ind w:left="152" w:right="1123" w:firstLine="0"/>
        <w:jc w:val="left"/>
        <w:rPr>
          <w:rFonts w:ascii="宋体" w:hAnsi="宋体" w:cs="宋体" w:eastAsia="宋体" w:hint="default"/>
          <w:sz w:val="21"/>
          <w:szCs w:val="21"/>
        </w:rPr>
      </w:pPr>
      <w:r>
        <w:rPr>
          <w:rFonts w:ascii="宋体" w:hAnsi="宋体" w:cs="宋体" w:eastAsia="宋体" w:hint="default"/>
          <w:sz w:val="21"/>
          <w:szCs w:val="21"/>
        </w:rPr>
        <w:t>成果、现金流量等有关信息。</w:t>
      </w:r>
    </w:p>
    <w:p>
      <w:pPr>
        <w:spacing w:line="240" w:lineRule="auto" w:before="10"/>
        <w:rPr>
          <w:rFonts w:ascii="宋体" w:hAnsi="宋体" w:cs="宋体" w:eastAsia="宋体" w:hint="default"/>
          <w:sz w:val="25"/>
          <w:szCs w:val="25"/>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573" w:right="1123" w:firstLine="0"/>
        <w:jc w:val="left"/>
        <w:rPr>
          <w:rFonts w:ascii="宋体" w:hAnsi="宋体" w:cs="宋体" w:eastAsia="宋体" w:hint="default"/>
          <w:sz w:val="21"/>
          <w:szCs w:val="21"/>
        </w:rPr>
      </w:pPr>
      <w:r>
        <w:rPr>
          <w:rFonts w:ascii="宋体" w:hAnsi="宋体" w:cs="宋体" w:eastAsia="宋体" w:hint="default"/>
          <w:sz w:val="21"/>
          <w:szCs w:val="21"/>
        </w:rPr>
        <w:t>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日止为一个会计年度。</w:t>
      </w:r>
    </w:p>
    <w:p>
      <w:pPr>
        <w:spacing w:line="240" w:lineRule="auto" w:before="7"/>
        <w:rPr>
          <w:rFonts w:ascii="宋体" w:hAnsi="宋体" w:cs="宋体" w:eastAsia="宋体" w:hint="default"/>
          <w:sz w:val="24"/>
          <w:szCs w:val="24"/>
        </w:rPr>
      </w:pPr>
    </w:p>
    <w:p>
      <w:pPr>
        <w:spacing w:line="506" w:lineRule="auto" w:before="0"/>
        <w:ind w:left="453" w:right="7874" w:hanging="30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pacing w:val="-2"/>
          <w:sz w:val="21"/>
          <w:szCs w:val="21"/>
        </w:rPr>
        <w:t>采用人民币为记账本位币。</w:t>
      </w:r>
    </w:p>
    <w:p>
      <w:pPr>
        <w:spacing w:before="104"/>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600" w:lineRule="atLeast" w:before="12"/>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对于同一控制下的企业合并，合并方在企业合并中取得的资产和负债，按照合并日在被合并方的账面</w:t>
      </w:r>
    </w:p>
    <w:p>
      <w:pPr>
        <w:spacing w:line="273" w:lineRule="auto" w:before="37"/>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价值计量。合并方取得的净资产账面价值与支付的合并对价账面价值（或发行股份面值总额）的差额，调</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整资本公积；资本公积不足冲减的，调整留存收益。</w:t>
      </w:r>
    </w:p>
    <w:p>
      <w:pPr>
        <w:spacing w:line="273" w:lineRule="auto" w:before="7"/>
        <w:ind w:left="152" w:right="1123" w:firstLine="252"/>
        <w:jc w:val="left"/>
        <w:rPr>
          <w:rFonts w:ascii="宋体" w:hAnsi="宋体" w:cs="宋体" w:eastAsia="宋体" w:hint="default"/>
          <w:sz w:val="21"/>
          <w:szCs w:val="21"/>
        </w:rPr>
      </w:pPr>
      <w:r>
        <w:rPr>
          <w:rFonts w:ascii="宋体" w:hAnsi="宋体" w:cs="宋体" w:eastAsia="宋体" w:hint="default"/>
          <w:spacing w:val="-3"/>
          <w:sz w:val="21"/>
          <w:szCs w:val="21"/>
        </w:rPr>
        <w:t>被合并各方采用的会计政策与本公司不一致的，本公司在合并日按照本公司会计政策进行调整，在此基</w:t>
      </w:r>
      <w:r>
        <w:rPr>
          <w:rFonts w:ascii="宋体" w:hAnsi="宋体" w:cs="宋体" w:eastAsia="宋体" w:hint="default"/>
          <w:w w:val="100"/>
          <w:sz w:val="21"/>
          <w:szCs w:val="21"/>
        </w:rPr>
        <w:t> </w:t>
      </w:r>
      <w:r>
        <w:rPr>
          <w:rFonts w:ascii="宋体" w:hAnsi="宋体" w:cs="宋体" w:eastAsia="宋体" w:hint="default"/>
          <w:sz w:val="21"/>
          <w:szCs w:val="21"/>
        </w:rPr>
        <w:t>础上按照企业会计准则规定确认。</w:t>
      </w:r>
    </w:p>
    <w:p>
      <w:pPr>
        <w:spacing w:line="590" w:lineRule="atLeast" w:before="8"/>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对于非同一控制下的企业合并，合并成本为购买方在购买日为取得对被购买方的控制权而付出的资</w:t>
      </w:r>
    </w:p>
    <w:p>
      <w:pPr>
        <w:spacing w:line="273" w:lineRule="auto" w:before="37"/>
        <w:ind w:left="573" w:right="1123" w:hanging="421"/>
        <w:jc w:val="left"/>
        <w:rPr>
          <w:rFonts w:ascii="宋体" w:hAnsi="宋体" w:cs="宋体" w:eastAsia="宋体" w:hint="default"/>
          <w:sz w:val="21"/>
          <w:szCs w:val="21"/>
        </w:rPr>
      </w:pPr>
      <w:r>
        <w:rPr>
          <w:rFonts w:ascii="宋体" w:hAnsi="宋体" w:cs="宋体" w:eastAsia="宋体" w:hint="default"/>
          <w:sz w:val="21"/>
          <w:szCs w:val="21"/>
        </w:rPr>
        <w:t>产、发生或承担的负债以及发行的权益性证券的公允价值。</w:t>
      </w:r>
      <w:r>
        <w:rPr>
          <w:rFonts w:ascii="宋体" w:hAnsi="宋体" w:cs="宋体" w:eastAsia="宋体" w:hint="default"/>
          <w:w w:val="100"/>
          <w:sz w:val="21"/>
          <w:szCs w:val="21"/>
        </w:rPr>
        <w:t> </w:t>
      </w:r>
      <w:r>
        <w:rPr>
          <w:rFonts w:ascii="宋体" w:hAnsi="宋体" w:cs="宋体" w:eastAsia="宋体" w:hint="default"/>
          <w:spacing w:val="-2"/>
          <w:sz w:val="21"/>
          <w:szCs w:val="21"/>
        </w:rPr>
        <w:t>通过多次交换交易分步实现的非同一控制下企业合并，区分个别财务报表和合并财务报表进行相关会</w:t>
      </w:r>
    </w:p>
    <w:p>
      <w:pPr>
        <w:spacing w:after="0" w:line="273" w:lineRule="auto"/>
        <w:jc w:val="left"/>
        <w:rPr>
          <w:rFonts w:ascii="宋体" w:hAnsi="宋体" w:cs="宋体" w:eastAsia="宋体" w:hint="default"/>
          <w:sz w:val="21"/>
          <w:szCs w:val="21"/>
        </w:rPr>
        <w:sectPr>
          <w:pgSz w:w="11910" w:h="16840"/>
          <w:pgMar w:header="877" w:footer="1253" w:top="1060" w:bottom="1540" w:left="980" w:right="0"/>
        </w:sectPr>
      </w:pPr>
    </w:p>
    <w:p>
      <w:pPr>
        <w:spacing w:line="240" w:lineRule="auto" w:before="10"/>
        <w:rPr>
          <w:rFonts w:ascii="宋体" w:hAnsi="宋体" w:cs="宋体" w:eastAsia="宋体" w:hint="default"/>
          <w:sz w:val="24"/>
          <w:szCs w:val="24"/>
        </w:rPr>
      </w:pPr>
    </w:p>
    <w:p>
      <w:pPr>
        <w:spacing w:before="36"/>
        <w:ind w:left="152" w:right="1123" w:firstLine="0"/>
        <w:jc w:val="left"/>
        <w:rPr>
          <w:rFonts w:ascii="宋体" w:hAnsi="宋体" w:cs="宋体" w:eastAsia="宋体" w:hint="default"/>
          <w:sz w:val="21"/>
          <w:szCs w:val="21"/>
        </w:rPr>
      </w:pPr>
      <w:r>
        <w:rPr>
          <w:rFonts w:ascii="宋体" w:hAnsi="宋体" w:cs="宋体" w:eastAsia="宋体" w:hint="default"/>
          <w:sz w:val="21"/>
          <w:szCs w:val="21"/>
        </w:rPr>
        <w:t>计处理：</w:t>
      </w:r>
    </w:p>
    <w:p>
      <w:pPr>
        <w:spacing w:line="266" w:lineRule="auto" w:before="37"/>
        <w:ind w:left="152"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）在个别财务报表中，以购买日之前所持被购买方的股权投资的账面价值与购买日新增投资成本</w:t>
      </w:r>
      <w:r>
        <w:rPr>
          <w:rFonts w:ascii="宋体" w:hAnsi="宋体" w:cs="宋体" w:eastAsia="宋体" w:hint="default"/>
          <w:w w:val="100"/>
          <w:sz w:val="21"/>
          <w:szCs w:val="21"/>
        </w:rPr>
        <w:t> </w:t>
      </w:r>
      <w:r>
        <w:rPr>
          <w:rFonts w:ascii="宋体" w:hAnsi="宋体" w:cs="宋体" w:eastAsia="宋体" w:hint="default"/>
          <w:spacing w:val="-2"/>
          <w:sz w:val="21"/>
          <w:szCs w:val="21"/>
        </w:rPr>
        <w:t>之和，作为该项投资的初始投资成本；购买日之前持有的被购买方的股权涉及其他综合收益的，在处置该</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5"/>
          <w:sz w:val="21"/>
          <w:szCs w:val="21"/>
        </w:rPr>
        <w:t>项投资时将与其相关的其他综合收益（例如，可供出售金融资产公允价值变动计入资本公积的部分，下同） </w:t>
      </w:r>
      <w:r>
        <w:rPr>
          <w:rFonts w:ascii="宋体" w:hAnsi="宋体" w:cs="宋体" w:eastAsia="宋体" w:hint="default"/>
          <w:spacing w:val="-5"/>
          <w:sz w:val="21"/>
          <w:szCs w:val="21"/>
        </w:rPr>
      </w:r>
      <w:r>
        <w:rPr>
          <w:rFonts w:ascii="宋体" w:hAnsi="宋体" w:cs="宋体" w:eastAsia="宋体" w:hint="default"/>
          <w:sz w:val="21"/>
          <w:szCs w:val="21"/>
        </w:rPr>
        <w:t>转入当期投资收益。</w:t>
      </w:r>
    </w:p>
    <w:p>
      <w:pPr>
        <w:spacing w:line="264" w:lineRule="auto" w:before="14"/>
        <w:ind w:left="152" w:right="112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）在合并财务报表中，对于购买日之前持有的被购买方的股权，按照该股权在购买日的公允价值</w:t>
      </w:r>
      <w:r>
        <w:rPr>
          <w:rFonts w:ascii="宋体" w:hAnsi="宋体" w:cs="宋体" w:eastAsia="宋体" w:hint="default"/>
          <w:w w:val="100"/>
          <w:sz w:val="21"/>
          <w:szCs w:val="21"/>
        </w:rPr>
        <w:t> </w:t>
      </w:r>
      <w:r>
        <w:rPr>
          <w:rFonts w:ascii="宋体" w:hAnsi="宋体" w:cs="宋体" w:eastAsia="宋体" w:hint="default"/>
          <w:spacing w:val="-2"/>
          <w:sz w:val="21"/>
          <w:szCs w:val="21"/>
        </w:rPr>
        <w:t>进行重新计量，公允价值与其账面价值的差额计入当期投资收益；购买日之前持有的被购买方的股权涉及</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其他综合收益的，与其相关的其他综合收益转为购买日所属当期投资收益。</w:t>
      </w:r>
    </w:p>
    <w:p>
      <w:pPr>
        <w:spacing w:line="273" w:lineRule="auto" w:before="16"/>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购买方为进行企业合并发生的审计、法律服务、评估咨询等中介费用以及其他相关管理费用，于发生</w:t>
      </w:r>
      <w:r>
        <w:rPr>
          <w:rFonts w:ascii="宋体" w:hAnsi="宋体" w:cs="宋体" w:eastAsia="宋体" w:hint="default"/>
          <w:w w:val="100"/>
          <w:sz w:val="21"/>
          <w:szCs w:val="21"/>
        </w:rPr>
        <w:t> </w:t>
      </w:r>
      <w:r>
        <w:rPr>
          <w:rFonts w:ascii="宋体" w:hAnsi="宋体" w:cs="宋体" w:eastAsia="宋体" w:hint="default"/>
          <w:spacing w:val="-2"/>
          <w:sz w:val="21"/>
          <w:szCs w:val="21"/>
        </w:rPr>
        <w:t>时计入当期损益；购买方作为合并对价发行的权益性证券或债务性证券的交易费用，计入权益性证券或债</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务性证券的初始确认金额。</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购买方对合并成本大于合并中取得的被购买方可辨认净资产公允价值份额的差额，确认为商誉。购买</w:t>
      </w:r>
      <w:r>
        <w:rPr>
          <w:rFonts w:ascii="宋体" w:hAnsi="宋体" w:cs="宋体" w:eastAsia="宋体" w:hint="default"/>
          <w:w w:val="100"/>
          <w:sz w:val="21"/>
          <w:szCs w:val="21"/>
        </w:rPr>
        <w:t> </w:t>
      </w:r>
      <w:r>
        <w:rPr>
          <w:rFonts w:ascii="宋体" w:hAnsi="宋体" w:cs="宋体" w:eastAsia="宋体" w:hint="default"/>
          <w:spacing w:val="-2"/>
          <w:sz w:val="21"/>
          <w:szCs w:val="21"/>
        </w:rPr>
        <w:t>方对合并成本小于合并中取得的被购买方可辨认净资产公允价值份额的，经复核后合并成本仍小于合并中</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取得的被购买方可辨认净资产公允价值份额的差额，计入当期损益。</w:t>
      </w:r>
    </w:p>
    <w:p>
      <w:pPr>
        <w:spacing w:line="240" w:lineRule="auto" w:before="7"/>
        <w:rPr>
          <w:rFonts w:ascii="宋体" w:hAnsi="宋体" w:cs="宋体" w:eastAsia="宋体" w:hint="default"/>
          <w:sz w:val="23"/>
          <w:szCs w:val="23"/>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73" w:lineRule="auto" w:before="0"/>
        <w:ind w:left="573" w:right="1123" w:firstLine="0"/>
        <w:jc w:val="left"/>
        <w:rPr>
          <w:rFonts w:ascii="宋体" w:hAnsi="宋体" w:cs="宋体" w:eastAsia="宋体" w:hint="default"/>
          <w:sz w:val="21"/>
          <w:szCs w:val="21"/>
        </w:rPr>
      </w:pPr>
      <w:r>
        <w:rPr>
          <w:rFonts w:ascii="宋体" w:hAnsi="宋体" w:cs="宋体" w:eastAsia="宋体" w:hint="default"/>
          <w:sz w:val="21"/>
          <w:szCs w:val="21"/>
        </w:rPr>
        <w:t>本公司合并财务报表的合并范围以控制为基础确定，所有子公司均纳入合并财务报表。</w:t>
      </w:r>
      <w:r>
        <w:rPr>
          <w:rFonts w:ascii="宋体" w:hAnsi="宋体" w:cs="宋体" w:eastAsia="宋体" w:hint="default"/>
          <w:w w:val="100"/>
          <w:sz w:val="21"/>
          <w:szCs w:val="21"/>
        </w:rPr>
        <w:t> </w:t>
      </w:r>
      <w:r>
        <w:rPr>
          <w:rFonts w:ascii="宋体" w:hAnsi="宋体" w:cs="宋体" w:eastAsia="宋体" w:hint="default"/>
          <w:spacing w:val="-2"/>
          <w:sz w:val="21"/>
          <w:szCs w:val="21"/>
        </w:rPr>
        <w:t>所有纳入合并财务报表合并范围的子公司所采用的会计政策、会计期间与本公司一致，如子公司采用</w:t>
      </w:r>
    </w:p>
    <w:p>
      <w:pPr>
        <w:spacing w:line="273" w:lineRule="auto" w:before="7"/>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的会计政策、会计期间与本公司不一致的，在编制合并财务报表时，按本公司的会计政策、会计期间进行</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必要的调整。</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合并财务报表以本公司及子公司的财务报表为基础，根据其他有关资料，按照权益法调整对子公司的</w:t>
      </w:r>
      <w:r>
        <w:rPr>
          <w:rFonts w:ascii="宋体" w:hAnsi="宋体" w:cs="宋体" w:eastAsia="宋体" w:hint="default"/>
          <w:w w:val="100"/>
          <w:sz w:val="21"/>
          <w:szCs w:val="21"/>
        </w:rPr>
        <w:t> </w:t>
      </w:r>
      <w:r>
        <w:rPr>
          <w:rFonts w:ascii="宋体" w:hAnsi="宋体" w:cs="宋体" w:eastAsia="宋体" w:hint="default"/>
          <w:sz w:val="21"/>
          <w:szCs w:val="21"/>
        </w:rPr>
        <w:t>长期股权投资后，由本公司编制。</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合并财务报表时抵销本公司与各子公司、各子公司相互之间发生的内部交易对合并资产负债表、合并</w:t>
      </w:r>
      <w:r>
        <w:rPr>
          <w:rFonts w:ascii="宋体" w:hAnsi="宋体" w:cs="宋体" w:eastAsia="宋体" w:hint="default"/>
          <w:w w:val="100"/>
          <w:sz w:val="21"/>
          <w:szCs w:val="21"/>
        </w:rPr>
        <w:t> </w:t>
      </w:r>
      <w:r>
        <w:rPr>
          <w:rFonts w:ascii="宋体" w:hAnsi="宋体" w:cs="宋体" w:eastAsia="宋体" w:hint="default"/>
          <w:sz w:val="21"/>
          <w:szCs w:val="21"/>
        </w:rPr>
        <w:t>利润表、合并现金流量表、合并所有者权益变动表的影响。</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子公司少数股东分担的当期亏损超过了少数股东在该子公司期初所有者权益中所享有的份额的，其余</w:t>
      </w:r>
      <w:r>
        <w:rPr>
          <w:rFonts w:ascii="宋体" w:hAnsi="宋体" w:cs="宋体" w:eastAsia="宋体" w:hint="default"/>
          <w:w w:val="100"/>
          <w:sz w:val="21"/>
          <w:szCs w:val="21"/>
        </w:rPr>
        <w:t> </w:t>
      </w:r>
      <w:r>
        <w:rPr>
          <w:rFonts w:ascii="宋体" w:hAnsi="宋体" w:cs="宋体" w:eastAsia="宋体" w:hint="default"/>
          <w:sz w:val="21"/>
          <w:szCs w:val="21"/>
        </w:rPr>
        <w:t>额仍应当冲减少数股东权益。</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在报告期内，若因同一控制下企业合并增加子公司的，则调整合并资产负债表的期初数；将子公司合</w:t>
      </w:r>
      <w:r>
        <w:rPr>
          <w:rFonts w:ascii="宋体" w:hAnsi="宋体" w:cs="宋体" w:eastAsia="宋体" w:hint="default"/>
          <w:w w:val="100"/>
          <w:sz w:val="21"/>
          <w:szCs w:val="21"/>
        </w:rPr>
        <w:t> </w:t>
      </w:r>
      <w:r>
        <w:rPr>
          <w:rFonts w:ascii="宋体" w:hAnsi="宋体" w:cs="宋体" w:eastAsia="宋体" w:hint="default"/>
          <w:spacing w:val="-2"/>
          <w:sz w:val="21"/>
          <w:szCs w:val="21"/>
        </w:rPr>
        <w:t>并当期期初至报告期末的收入、费用、利润纳入合并利润表；将子公司合并当期期初至报告期末的现金流</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量纳入合并现金流量表。</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在报告期内，若因非同一控制下企业合并增加子公司的，则不调整合并资产负债表期初数；将子公司</w:t>
      </w:r>
      <w:r>
        <w:rPr>
          <w:rFonts w:ascii="宋体" w:hAnsi="宋体" w:cs="宋体" w:eastAsia="宋体" w:hint="default"/>
          <w:w w:val="100"/>
          <w:sz w:val="21"/>
          <w:szCs w:val="21"/>
        </w:rPr>
        <w:t> </w:t>
      </w:r>
      <w:r>
        <w:rPr>
          <w:rFonts w:ascii="宋体" w:hAnsi="宋体" w:cs="宋体" w:eastAsia="宋体" w:hint="default"/>
          <w:spacing w:val="-2"/>
          <w:sz w:val="21"/>
          <w:szCs w:val="21"/>
        </w:rPr>
        <w:t>自购买日至报告期末的收入、费用、利润纳入合并利润表；该子公司自购买日至报告期末的现金流量纳入</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合并现金流量表。</w:t>
      </w:r>
    </w:p>
    <w:p>
      <w:pPr>
        <w:spacing w:line="273" w:lineRule="auto" w:before="8"/>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在报告期内，本公司处置子公司，则该子公司期初至处置日的收入、费用、利润纳入合并利润表；该</w:t>
      </w:r>
      <w:r>
        <w:rPr>
          <w:rFonts w:ascii="宋体" w:hAnsi="宋体" w:cs="宋体" w:eastAsia="宋体" w:hint="default"/>
          <w:w w:val="100"/>
          <w:sz w:val="21"/>
          <w:szCs w:val="21"/>
        </w:rPr>
        <w:t> </w:t>
      </w:r>
      <w:r>
        <w:rPr>
          <w:rFonts w:ascii="宋体" w:hAnsi="宋体" w:cs="宋体" w:eastAsia="宋体" w:hint="default"/>
          <w:sz w:val="21"/>
          <w:szCs w:val="21"/>
        </w:rPr>
        <w:t>子公司期初至处置日的现金流量纳入合并现金流量表。</w:t>
      </w:r>
    </w:p>
    <w:p>
      <w:pPr>
        <w:spacing w:line="273" w:lineRule="auto" w:before="7"/>
        <w:ind w:left="152" w:right="1034" w:firstLine="420"/>
        <w:jc w:val="left"/>
        <w:rPr>
          <w:rFonts w:ascii="宋体" w:hAnsi="宋体" w:cs="宋体" w:eastAsia="宋体" w:hint="default"/>
          <w:sz w:val="21"/>
          <w:szCs w:val="21"/>
        </w:rPr>
      </w:pPr>
      <w:r>
        <w:rPr>
          <w:rFonts w:ascii="宋体" w:hAnsi="宋体" w:cs="宋体" w:eastAsia="宋体" w:hint="default"/>
          <w:sz w:val="21"/>
          <w:szCs w:val="21"/>
        </w:rPr>
        <w:t>企业因处置部分股权投资或其他原因丧失了对原有子公司控制权的，在合并财务报表中，对于剩余股</w:t>
      </w:r>
      <w:r>
        <w:rPr>
          <w:rFonts w:ascii="宋体" w:hAnsi="宋体" w:cs="宋体" w:eastAsia="宋体" w:hint="default"/>
          <w:w w:val="100"/>
          <w:sz w:val="21"/>
          <w:szCs w:val="21"/>
        </w:rPr>
        <w:t> </w:t>
      </w:r>
      <w:r>
        <w:rPr>
          <w:rFonts w:ascii="宋体" w:hAnsi="宋体" w:cs="宋体" w:eastAsia="宋体" w:hint="default"/>
          <w:spacing w:val="-5"/>
          <w:sz w:val="21"/>
          <w:szCs w:val="21"/>
        </w:rPr>
        <w:t>权，应当按照其在丧失控制权日的公允价值进行重新计量。处置股权取得的对价与剩余股权公允价值之和，</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pacing w:val="-2"/>
          <w:sz w:val="21"/>
          <w:szCs w:val="21"/>
        </w:rPr>
        <w:t>减去按原持股比例计算应享有原有子公司自购买日开始持续计算的净资产的份额之间的差额，计入丧失控</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制权当期的投资收益。与原有子公司股权投资相关的其他综合收益，应当在丧失控制权时转为当期投资收</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益。</w:t>
      </w:r>
    </w:p>
    <w:p>
      <w:pPr>
        <w:spacing w:after="0" w:line="273" w:lineRule="auto"/>
        <w:jc w:val="left"/>
        <w:rPr>
          <w:rFonts w:ascii="宋体" w:hAnsi="宋体" w:cs="宋体" w:eastAsia="宋体" w:hint="default"/>
          <w:sz w:val="21"/>
          <w:szCs w:val="21"/>
        </w:rPr>
        <w:sectPr>
          <w:pgSz w:w="11910" w:h="16840"/>
          <w:pgMar w:header="877" w:footer="1253" w:top="1060" w:bottom="1540" w:left="980" w:right="0"/>
        </w:sectPr>
      </w:pPr>
    </w:p>
    <w:p>
      <w:pPr>
        <w:spacing w:line="240" w:lineRule="auto" w:before="10"/>
        <w:rPr>
          <w:rFonts w:ascii="宋体" w:hAnsi="宋体" w:cs="宋体" w:eastAsia="宋体" w:hint="default"/>
          <w:sz w:val="24"/>
          <w:szCs w:val="24"/>
        </w:rPr>
      </w:pPr>
    </w:p>
    <w:p>
      <w:pPr>
        <w:spacing w:before="36"/>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在编制现金流量表时，将本公司库存现金以及可以随时用于支付的存款确认为现金。将同时具备期限</w:t>
      </w:r>
      <w:r>
        <w:rPr>
          <w:rFonts w:ascii="宋体" w:hAnsi="宋体" w:cs="宋体" w:eastAsia="宋体" w:hint="default"/>
          <w:w w:val="100"/>
          <w:sz w:val="21"/>
          <w:szCs w:val="21"/>
        </w:rPr>
        <w:t> </w:t>
      </w:r>
      <w:r>
        <w:rPr>
          <w:rFonts w:ascii="宋体" w:hAnsi="宋体" w:cs="宋体" w:eastAsia="宋体" w:hint="default"/>
          <w:spacing w:val="-2"/>
          <w:sz w:val="21"/>
          <w:szCs w:val="21"/>
        </w:rPr>
        <w:t>短（一般从购买日起，三个月内到期）、流动性强、易于转换为已知现金、价值变动风险很小四个条件的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投资，确定为现金等价物。</w:t>
      </w:r>
    </w:p>
    <w:p>
      <w:pPr>
        <w:spacing w:line="240" w:lineRule="auto" w:before="7"/>
        <w:rPr>
          <w:rFonts w:ascii="宋体" w:hAnsi="宋体" w:cs="宋体" w:eastAsia="宋体" w:hint="default"/>
          <w:sz w:val="23"/>
          <w:szCs w:val="23"/>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573" w:right="1123" w:firstLine="0"/>
        <w:jc w:val="left"/>
        <w:rPr>
          <w:rFonts w:ascii="宋体" w:hAnsi="宋体" w:cs="宋体" w:eastAsia="宋体" w:hint="default"/>
          <w:sz w:val="21"/>
          <w:szCs w:val="21"/>
        </w:rPr>
      </w:pPr>
      <w:r>
        <w:rPr>
          <w:rFonts w:ascii="宋体" w:hAnsi="宋体" w:cs="宋体" w:eastAsia="宋体" w:hint="default"/>
          <w:sz w:val="21"/>
          <w:szCs w:val="21"/>
        </w:rPr>
        <w:t>外币业务采用交易发生日的即期汇率作为折算汇率折合成人民币记账。</w:t>
      </w:r>
      <w:r>
        <w:rPr>
          <w:rFonts w:ascii="宋体" w:hAnsi="宋体" w:cs="宋体" w:eastAsia="宋体" w:hint="default"/>
          <w:w w:val="100"/>
          <w:sz w:val="21"/>
          <w:szCs w:val="21"/>
        </w:rPr>
        <w:t> </w:t>
      </w:r>
      <w:r>
        <w:rPr>
          <w:rFonts w:ascii="宋体" w:hAnsi="宋体" w:cs="宋体" w:eastAsia="宋体" w:hint="default"/>
          <w:spacing w:val="-2"/>
          <w:sz w:val="21"/>
          <w:szCs w:val="21"/>
        </w:rPr>
        <w:t>外币货币性项目余额按资产负债表日即期汇率折算，由此产生的汇兑差额，除属于与购建符合资本化</w:t>
      </w:r>
    </w:p>
    <w:p>
      <w:pPr>
        <w:spacing w:line="273" w:lineRule="auto" w:before="8"/>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条件的资产相关的外币专门借款产生的汇兑差额按照借款费用资本化的原则处理外，均计入当期损益。以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历史成本计量的外币非货币性项目，仍采用交易发生日的即期汇率折算，不改变其记账本位币金额。以公</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允价值计量的外币非货币性项目，采用公允价值确定日的即期汇率折算，由此产生的汇兑差额计入当期损</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益或资本公积。</w:t>
      </w:r>
    </w:p>
    <w:p>
      <w:pPr>
        <w:spacing w:line="240" w:lineRule="auto" w:before="7"/>
        <w:rPr>
          <w:rFonts w:ascii="宋体" w:hAnsi="宋体" w:cs="宋体" w:eastAsia="宋体" w:hint="default"/>
          <w:sz w:val="23"/>
          <w:szCs w:val="23"/>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73" w:right="1123" w:firstLine="0"/>
        <w:jc w:val="left"/>
        <w:rPr>
          <w:rFonts w:ascii="宋体" w:hAnsi="宋体" w:cs="宋体" w:eastAsia="宋体" w:hint="default"/>
          <w:sz w:val="21"/>
          <w:szCs w:val="21"/>
        </w:rPr>
      </w:pPr>
      <w:r>
        <w:rPr>
          <w:rFonts w:ascii="宋体" w:hAnsi="宋体" w:cs="宋体" w:eastAsia="宋体" w:hint="default"/>
          <w:sz w:val="21"/>
          <w:szCs w:val="21"/>
        </w:rPr>
        <w:t>金融工具包括金融资产、金融负债和权益工具。</w:t>
      </w:r>
    </w:p>
    <w:p>
      <w:pPr>
        <w:spacing w:line="600" w:lineRule="atLeast" w:before="28"/>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b/>
          <w:bCs/>
          <w:w w:val="100"/>
          <w:sz w:val="21"/>
          <w:szCs w:val="21"/>
        </w:rPr>
        <w:t> </w:t>
      </w:r>
      <w:r>
        <w:rPr>
          <w:rFonts w:ascii="宋体" w:hAnsi="宋体" w:cs="宋体" w:eastAsia="宋体" w:hint="default"/>
          <w:spacing w:val="-2"/>
          <w:sz w:val="21"/>
          <w:szCs w:val="21"/>
        </w:rPr>
        <w:t>管理层按照取得持有金融资产和承担金融负债的目的，将其划分为：以公允价值计量且其变动计入当</w:t>
      </w:r>
    </w:p>
    <w:p>
      <w:pPr>
        <w:spacing w:line="273" w:lineRule="auto" w:before="37"/>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期损益的金融资产或金融负债，包括交易性金融资产或金融负债（和直接指定为以公允价值计量且其变动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计入当期损益的金融资产或金融负债）；持有至到期投资；应收款项；可供出售金融资产；其他金融负债</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等。</w:t>
      </w:r>
    </w:p>
    <w:p>
      <w:pPr>
        <w:spacing w:line="240" w:lineRule="auto" w:before="7"/>
        <w:rPr>
          <w:rFonts w:ascii="宋体" w:hAnsi="宋体" w:cs="宋体" w:eastAsia="宋体" w:hint="default"/>
          <w:sz w:val="23"/>
          <w:szCs w:val="23"/>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56" w:lineRule="auto" w:before="0"/>
        <w:ind w:left="537" w:right="1123" w:hanging="385"/>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以公允价值计量且其变动计入当期损益的金融资产（金融负债）</w:t>
      </w:r>
      <w:r>
        <w:rPr>
          <w:rFonts w:ascii="宋体" w:hAnsi="宋体" w:cs="宋体" w:eastAsia="宋体" w:hint="default"/>
          <w:w w:val="100"/>
          <w:sz w:val="21"/>
          <w:szCs w:val="21"/>
        </w:rPr>
        <w:t> </w:t>
      </w:r>
      <w:r>
        <w:rPr>
          <w:rFonts w:ascii="宋体" w:hAnsi="宋体" w:cs="宋体" w:eastAsia="宋体" w:hint="default"/>
          <w:spacing w:val="-1"/>
          <w:sz w:val="21"/>
          <w:szCs w:val="21"/>
        </w:rPr>
        <w:t>取得时以公允价值（扣除已宣告但尚未发放的现金股利或已到付息期但尚未领取的债券利息）作为初</w:t>
      </w:r>
    </w:p>
    <w:p>
      <w:pPr>
        <w:spacing w:line="273" w:lineRule="auto" w:before="22"/>
        <w:ind w:left="537" w:right="1123" w:hanging="385"/>
        <w:jc w:val="left"/>
        <w:rPr>
          <w:rFonts w:ascii="宋体" w:hAnsi="宋体" w:cs="宋体" w:eastAsia="宋体" w:hint="default"/>
          <w:sz w:val="21"/>
          <w:szCs w:val="21"/>
        </w:rPr>
      </w:pPr>
      <w:r>
        <w:rPr>
          <w:rFonts w:ascii="宋体" w:hAnsi="宋体" w:cs="宋体" w:eastAsia="宋体" w:hint="default"/>
          <w:sz w:val="21"/>
          <w:szCs w:val="21"/>
        </w:rPr>
        <w:t>始确认金额，相关的交易费用计入当期损益。</w:t>
      </w:r>
      <w:r>
        <w:rPr>
          <w:rFonts w:ascii="宋体" w:hAnsi="宋体" w:cs="宋体" w:eastAsia="宋体" w:hint="default"/>
          <w:w w:val="100"/>
          <w:sz w:val="21"/>
          <w:szCs w:val="21"/>
        </w:rPr>
        <w:t> </w:t>
      </w:r>
      <w:r>
        <w:rPr>
          <w:rFonts w:ascii="宋体" w:hAnsi="宋体" w:cs="宋体" w:eastAsia="宋体" w:hint="default"/>
          <w:sz w:val="21"/>
          <w:szCs w:val="21"/>
        </w:rPr>
        <w:t>持有期间将取得的利息或现金股利确认为投资收益，期末将公允价值变动计入当期损益。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处置时，其公允价值与初始入账金额之间的差额确认为投资收益，同时调整公允价值变动损益。</w:t>
      </w:r>
    </w:p>
    <w:p>
      <w:pPr>
        <w:spacing w:line="264" w:lineRule="auto" w:before="8"/>
        <w:ind w:left="537" w:right="0" w:hanging="385"/>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持有至到期投资</w:t>
      </w:r>
      <w:r>
        <w:rPr>
          <w:rFonts w:ascii="宋体" w:hAnsi="宋体" w:cs="宋体" w:eastAsia="宋体" w:hint="default"/>
          <w:w w:val="100"/>
          <w:sz w:val="21"/>
          <w:szCs w:val="21"/>
        </w:rPr>
        <w:t> </w:t>
      </w:r>
      <w:r>
        <w:rPr>
          <w:rFonts w:ascii="宋体" w:hAnsi="宋体" w:cs="宋体" w:eastAsia="宋体" w:hint="default"/>
          <w:spacing w:val="-4"/>
          <w:sz w:val="21"/>
          <w:szCs w:val="21"/>
        </w:rPr>
        <w:t>取得时按公允价值（扣除已到付息期但尚未领取的债券利息）和相关交易费用之和作为初始确认金额。</w:t>
      </w:r>
      <w:r>
        <w:rPr>
          <w:rFonts w:ascii="宋体" w:hAnsi="宋体" w:cs="宋体" w:eastAsia="宋体" w:hint="default"/>
          <w:w w:val="100"/>
          <w:sz w:val="21"/>
          <w:szCs w:val="21"/>
        </w:rPr>
        <w:t> </w:t>
      </w:r>
      <w:r>
        <w:rPr>
          <w:rFonts w:ascii="宋体" w:hAnsi="宋体" w:cs="宋体" w:eastAsia="宋体" w:hint="default"/>
          <w:sz w:val="21"/>
          <w:szCs w:val="21"/>
        </w:rPr>
        <w:t>持有期间按照摊余成本和实际利率计算确认利息收入，计入投资收益。实际利率在取得时确定，在该</w:t>
      </w:r>
    </w:p>
    <w:p>
      <w:pPr>
        <w:spacing w:line="273" w:lineRule="auto" w:before="16"/>
        <w:ind w:left="537" w:right="1123" w:hanging="385"/>
        <w:jc w:val="left"/>
        <w:rPr>
          <w:rFonts w:ascii="宋体" w:hAnsi="宋体" w:cs="宋体" w:eastAsia="宋体" w:hint="default"/>
          <w:sz w:val="21"/>
          <w:szCs w:val="21"/>
        </w:rPr>
      </w:pPr>
      <w:r>
        <w:rPr>
          <w:rFonts w:ascii="宋体" w:hAnsi="宋体" w:cs="宋体" w:eastAsia="宋体" w:hint="default"/>
          <w:sz w:val="21"/>
          <w:szCs w:val="21"/>
        </w:rPr>
        <w:t>预期存续期间或适用的更短期间内保持不变。</w:t>
      </w:r>
      <w:r>
        <w:rPr>
          <w:rFonts w:ascii="宋体" w:hAnsi="宋体" w:cs="宋体" w:eastAsia="宋体" w:hint="default"/>
          <w:w w:val="100"/>
          <w:sz w:val="21"/>
          <w:szCs w:val="21"/>
        </w:rPr>
        <w:t> </w:t>
      </w:r>
      <w:r>
        <w:rPr>
          <w:rFonts w:ascii="宋体" w:hAnsi="宋体" w:cs="宋体" w:eastAsia="宋体" w:hint="default"/>
          <w:spacing w:val="-2"/>
          <w:sz w:val="21"/>
          <w:szCs w:val="21"/>
        </w:rPr>
        <w:t>处置时，将所取得价款与该投资账面价值之间的差额计入投资收益。</w:t>
      </w:r>
    </w:p>
    <w:p>
      <w:pPr>
        <w:spacing w:before="7"/>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应收款项</w:t>
      </w:r>
    </w:p>
    <w:p>
      <w:pPr>
        <w:spacing w:line="273" w:lineRule="auto" w:before="21"/>
        <w:ind w:left="152" w:right="1126" w:firstLine="384"/>
        <w:jc w:val="both"/>
        <w:rPr>
          <w:rFonts w:ascii="宋体" w:hAnsi="宋体" w:cs="宋体" w:eastAsia="宋体" w:hint="default"/>
          <w:sz w:val="21"/>
          <w:szCs w:val="21"/>
        </w:rPr>
      </w:pPr>
      <w:r>
        <w:rPr>
          <w:rFonts w:ascii="宋体" w:hAnsi="宋体" w:cs="宋体" w:eastAsia="宋体" w:hint="default"/>
          <w:spacing w:val="-1"/>
          <w:sz w:val="21"/>
          <w:szCs w:val="21"/>
        </w:rPr>
        <w:t>公司对外销售商品或提供劳务形成的应收债权，以及公司持有的其他企业的不包括在活跃市场上有报</w:t>
      </w:r>
      <w:r>
        <w:rPr>
          <w:rFonts w:ascii="宋体" w:hAnsi="宋体" w:cs="宋体" w:eastAsia="宋体" w:hint="default"/>
          <w:w w:val="100"/>
          <w:sz w:val="21"/>
          <w:szCs w:val="21"/>
        </w:rPr>
        <w:t> </w:t>
      </w:r>
      <w:r>
        <w:rPr>
          <w:rFonts w:ascii="宋体" w:hAnsi="宋体" w:cs="宋体" w:eastAsia="宋体" w:hint="default"/>
          <w:spacing w:val="-2"/>
          <w:sz w:val="21"/>
          <w:szCs w:val="21"/>
        </w:rPr>
        <w:t>价的债务工具的债权，包括应收账款、其他应收款等，以向购货方应收的合同或协议价款作为初始确认金</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额；具有融资性质的，按其现值进行初始确认。</w:t>
      </w:r>
    </w:p>
    <w:p>
      <w:pPr>
        <w:spacing w:before="7"/>
        <w:ind w:left="537" w:right="1123" w:firstLine="0"/>
        <w:jc w:val="left"/>
        <w:rPr>
          <w:rFonts w:ascii="宋体" w:hAnsi="宋体" w:cs="宋体" w:eastAsia="宋体" w:hint="default"/>
          <w:sz w:val="21"/>
          <w:szCs w:val="21"/>
        </w:rPr>
      </w:pPr>
      <w:r>
        <w:rPr>
          <w:rFonts w:ascii="宋体" w:hAnsi="宋体" w:cs="宋体" w:eastAsia="宋体" w:hint="default"/>
          <w:sz w:val="21"/>
          <w:szCs w:val="21"/>
        </w:rPr>
        <w:t>收回或处置时，将取得的价款与该应收款项账面价值之间的差额计入当期损益。</w:t>
      </w:r>
    </w:p>
    <w:p>
      <w:pPr>
        <w:spacing w:after="0"/>
        <w:jc w:val="left"/>
        <w:rPr>
          <w:rFonts w:ascii="宋体" w:hAnsi="宋体" w:cs="宋体" w:eastAsia="宋体" w:hint="default"/>
          <w:sz w:val="21"/>
          <w:szCs w:val="21"/>
        </w:rPr>
        <w:sectPr>
          <w:pgSz w:w="11910" w:h="16840"/>
          <w:pgMar w:header="877" w:footer="1253" w:top="1060" w:bottom="1480" w:left="980" w:right="0"/>
        </w:sectPr>
      </w:pPr>
    </w:p>
    <w:p>
      <w:pPr>
        <w:spacing w:line="240" w:lineRule="auto" w:before="10"/>
        <w:rPr>
          <w:rFonts w:ascii="宋体" w:hAnsi="宋体" w:cs="宋体" w:eastAsia="宋体" w:hint="default"/>
          <w:sz w:val="24"/>
          <w:szCs w:val="24"/>
        </w:rPr>
      </w:pPr>
    </w:p>
    <w:p>
      <w:pPr>
        <w:spacing w:line="256" w:lineRule="auto" w:before="36"/>
        <w:ind w:left="537" w:right="1123" w:hanging="385"/>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pacing w:val="-1"/>
          <w:sz w:val="21"/>
          <w:szCs w:val="21"/>
        </w:rPr>
        <w:t>取得时按公允价值（扣除已宣告但尚未发放的现金股利或已到付息期但尚未领取的债券利息）和相关</w:t>
      </w:r>
    </w:p>
    <w:p>
      <w:pPr>
        <w:spacing w:line="273" w:lineRule="auto" w:before="22"/>
        <w:ind w:left="537" w:right="1123" w:hanging="385"/>
        <w:jc w:val="left"/>
        <w:rPr>
          <w:rFonts w:ascii="宋体" w:hAnsi="宋体" w:cs="宋体" w:eastAsia="宋体" w:hint="default"/>
          <w:sz w:val="21"/>
          <w:szCs w:val="21"/>
        </w:rPr>
      </w:pPr>
      <w:r>
        <w:rPr>
          <w:rFonts w:ascii="宋体" w:hAnsi="宋体" w:cs="宋体" w:eastAsia="宋体" w:hint="default"/>
          <w:sz w:val="21"/>
          <w:szCs w:val="21"/>
        </w:rPr>
        <w:t>交易费用之和作为初始确认金额。</w:t>
      </w:r>
      <w:r>
        <w:rPr>
          <w:rFonts w:ascii="宋体" w:hAnsi="宋体" w:cs="宋体" w:eastAsia="宋体" w:hint="default"/>
          <w:w w:val="100"/>
          <w:sz w:val="21"/>
          <w:szCs w:val="21"/>
        </w:rPr>
        <w:t> </w:t>
      </w:r>
      <w:r>
        <w:rPr>
          <w:rFonts w:ascii="宋体" w:hAnsi="宋体" w:cs="宋体" w:eastAsia="宋体" w:hint="default"/>
          <w:spacing w:val="-1"/>
          <w:sz w:val="21"/>
          <w:szCs w:val="21"/>
        </w:rPr>
        <w:t>持有期间将取得的利息或现金股利确认为投资收益。期末以公允价值计量且将公允价值变动计入资本</w:t>
      </w:r>
    </w:p>
    <w:p>
      <w:pPr>
        <w:spacing w:line="273" w:lineRule="auto" w:before="7"/>
        <w:ind w:left="537" w:right="1123" w:hanging="385"/>
        <w:jc w:val="left"/>
        <w:rPr>
          <w:rFonts w:ascii="宋体" w:hAnsi="宋体" w:cs="宋体" w:eastAsia="宋体" w:hint="default"/>
          <w:sz w:val="21"/>
          <w:szCs w:val="21"/>
        </w:rPr>
      </w:pPr>
      <w:r>
        <w:rPr>
          <w:rFonts w:ascii="宋体" w:hAnsi="宋体" w:cs="宋体" w:eastAsia="宋体" w:hint="default"/>
          <w:sz w:val="21"/>
          <w:szCs w:val="21"/>
        </w:rPr>
        <w:t>公积（其他资本公积）。</w:t>
      </w:r>
      <w:r>
        <w:rPr>
          <w:rFonts w:ascii="宋体" w:hAnsi="宋体" w:cs="宋体" w:eastAsia="宋体" w:hint="default"/>
          <w:w w:val="100"/>
          <w:sz w:val="21"/>
          <w:szCs w:val="21"/>
        </w:rPr>
        <w:t> </w:t>
      </w:r>
      <w:r>
        <w:rPr>
          <w:rFonts w:ascii="宋体" w:hAnsi="宋体" w:cs="宋体" w:eastAsia="宋体" w:hint="default"/>
          <w:spacing w:val="-1"/>
          <w:sz w:val="21"/>
          <w:szCs w:val="21"/>
        </w:rPr>
        <w:t>处置时，将取得的价款与该金融资产账面价值之间的差额，计入投资损益；同时，将原直接计入所有</w:t>
      </w:r>
    </w:p>
    <w:p>
      <w:pPr>
        <w:spacing w:before="7"/>
        <w:ind w:left="152" w:right="1123" w:firstLine="0"/>
        <w:jc w:val="left"/>
        <w:rPr>
          <w:rFonts w:ascii="宋体" w:hAnsi="宋体" w:cs="宋体" w:eastAsia="宋体" w:hint="default"/>
          <w:sz w:val="21"/>
          <w:szCs w:val="21"/>
        </w:rPr>
      </w:pPr>
      <w:r>
        <w:rPr>
          <w:rFonts w:ascii="宋体" w:hAnsi="宋体" w:cs="宋体" w:eastAsia="宋体" w:hint="default"/>
          <w:sz w:val="21"/>
          <w:szCs w:val="21"/>
        </w:rPr>
        <w:t>者权益的公允价值变动累计额对应处置部分的金额转出，计入投资损益。</w:t>
      </w:r>
    </w:p>
    <w:p>
      <w:pPr>
        <w:spacing w:line="256" w:lineRule="auto" w:before="37"/>
        <w:ind w:left="489" w:right="1795" w:hanging="337"/>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其他金融负债</w:t>
      </w:r>
      <w:r>
        <w:rPr>
          <w:rFonts w:ascii="宋体" w:hAnsi="宋体" w:cs="宋体" w:eastAsia="宋体" w:hint="default"/>
          <w:w w:val="100"/>
          <w:sz w:val="21"/>
          <w:szCs w:val="21"/>
        </w:rPr>
        <w:t> </w:t>
      </w:r>
      <w:r>
        <w:rPr>
          <w:rFonts w:ascii="宋体" w:hAnsi="宋体" w:cs="宋体" w:eastAsia="宋体" w:hint="default"/>
          <w:spacing w:val="-2"/>
          <w:sz w:val="21"/>
          <w:szCs w:val="21"/>
        </w:rPr>
        <w:t>按其公允价值和相关交易费用之和作为初始确认金额。采用摊余成本进行后续计量。</w:t>
      </w:r>
    </w:p>
    <w:p>
      <w:pPr>
        <w:spacing w:line="600" w:lineRule="atLeast" w:before="13"/>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公司发生金融资产转移时，如已将金融资产所有权上几乎所有的风险和报酬转移给转入方，则终止确</w:t>
      </w:r>
    </w:p>
    <w:p>
      <w:pPr>
        <w:spacing w:line="273" w:lineRule="auto" w:before="37"/>
        <w:ind w:left="573" w:right="1123" w:hanging="421"/>
        <w:jc w:val="left"/>
        <w:rPr>
          <w:rFonts w:ascii="宋体" w:hAnsi="宋体" w:cs="宋体" w:eastAsia="宋体" w:hint="default"/>
          <w:sz w:val="21"/>
          <w:szCs w:val="21"/>
        </w:rPr>
      </w:pPr>
      <w:r>
        <w:rPr>
          <w:rFonts w:ascii="宋体" w:hAnsi="宋体" w:cs="宋体" w:eastAsia="宋体" w:hint="default"/>
          <w:sz w:val="21"/>
          <w:szCs w:val="21"/>
        </w:rPr>
        <w:t>认该金融资产；如保留了金融资产所有权上几乎所有的风险和报酬的，则不终止确认该金融资产。</w:t>
      </w:r>
      <w:r>
        <w:rPr>
          <w:rFonts w:ascii="宋体" w:hAnsi="宋体" w:cs="宋体" w:eastAsia="宋体" w:hint="default"/>
          <w:w w:val="100"/>
          <w:sz w:val="21"/>
          <w:szCs w:val="21"/>
        </w:rPr>
        <w:t> </w:t>
      </w:r>
      <w:r>
        <w:rPr>
          <w:rFonts w:ascii="宋体" w:hAnsi="宋体" w:cs="宋体" w:eastAsia="宋体" w:hint="default"/>
          <w:spacing w:val="-2"/>
          <w:sz w:val="21"/>
          <w:szCs w:val="21"/>
        </w:rPr>
        <w:t>在判断金融资产转移是否满足上述金融资产终止确认条件时，采用实质重于形式的原则。公司将金融</w:t>
      </w:r>
    </w:p>
    <w:p>
      <w:pPr>
        <w:spacing w:line="273" w:lineRule="auto" w:before="7"/>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资产转移区分为金融资产整体转移和部分转移。金融资产整体转移满足终止确认条件的，将下列两项金额</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的差额计入当期损益：</w:t>
      </w:r>
    </w:p>
    <w:p>
      <w:pPr>
        <w:spacing w:before="7"/>
        <w:ind w:left="573"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）所转移金融资产的账面价值；</w:t>
      </w:r>
    </w:p>
    <w:p>
      <w:pPr>
        <w:spacing w:line="256" w:lineRule="auto" w:before="21"/>
        <w:ind w:left="152" w:right="113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）因转移而收到的对价，与原直接计入所有者权益的公允价值变动累计额（涉及转移的金融资产</w:t>
      </w:r>
      <w:r>
        <w:rPr>
          <w:rFonts w:ascii="宋体" w:hAnsi="宋体" w:cs="宋体" w:eastAsia="宋体" w:hint="default"/>
          <w:w w:val="100"/>
          <w:sz w:val="21"/>
          <w:szCs w:val="21"/>
        </w:rPr>
        <w:t> </w:t>
      </w:r>
      <w:r>
        <w:rPr>
          <w:rFonts w:ascii="宋体" w:hAnsi="宋体" w:cs="宋体" w:eastAsia="宋体" w:hint="default"/>
          <w:sz w:val="21"/>
          <w:szCs w:val="21"/>
        </w:rPr>
        <w:t>为可供出售金融资产的情形）之和。</w:t>
      </w:r>
    </w:p>
    <w:p>
      <w:pPr>
        <w:spacing w:line="273" w:lineRule="auto" w:before="22"/>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金融资产部分转移满足终止确认条件的，将所转移金融资产整体的账面价值，在终止确认部分和未终</w:t>
      </w:r>
      <w:r>
        <w:rPr>
          <w:rFonts w:ascii="宋体" w:hAnsi="宋体" w:cs="宋体" w:eastAsia="宋体" w:hint="default"/>
          <w:w w:val="100"/>
          <w:sz w:val="21"/>
          <w:szCs w:val="21"/>
        </w:rPr>
        <w:t> </w:t>
      </w:r>
      <w:r>
        <w:rPr>
          <w:rFonts w:ascii="宋体" w:hAnsi="宋体" w:cs="宋体" w:eastAsia="宋体" w:hint="default"/>
          <w:sz w:val="21"/>
          <w:szCs w:val="21"/>
        </w:rPr>
        <w:t>止确认部分之间，按照各自的相对公允价值进行分摊，并将下列两项金额的差额计入当期损益：</w:t>
      </w:r>
    </w:p>
    <w:p>
      <w:pPr>
        <w:spacing w:before="7"/>
        <w:ind w:left="573"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）终止确认部分的账面价值；</w:t>
      </w:r>
    </w:p>
    <w:p>
      <w:pPr>
        <w:spacing w:line="256" w:lineRule="auto" w:before="21"/>
        <w:ind w:left="152" w:right="113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）终止确认部分的对价，与原直接计入所有者权益的公允价值变动累计额中对应终止确认部分的</w:t>
      </w:r>
      <w:r>
        <w:rPr>
          <w:rFonts w:ascii="宋体" w:hAnsi="宋体" w:cs="宋体" w:eastAsia="宋体" w:hint="default"/>
          <w:w w:val="100"/>
          <w:sz w:val="21"/>
          <w:szCs w:val="21"/>
        </w:rPr>
        <w:t> </w:t>
      </w:r>
      <w:r>
        <w:rPr>
          <w:rFonts w:ascii="宋体" w:hAnsi="宋体" w:cs="宋体" w:eastAsia="宋体" w:hint="default"/>
          <w:sz w:val="21"/>
          <w:szCs w:val="21"/>
        </w:rPr>
        <w:t>金额（涉及转移的金融资产为可供出售金融资产的情形）之和。</w:t>
      </w:r>
    </w:p>
    <w:p>
      <w:pPr>
        <w:spacing w:before="22"/>
        <w:ind w:left="573" w:right="1123" w:firstLine="0"/>
        <w:jc w:val="left"/>
        <w:rPr>
          <w:rFonts w:ascii="宋体" w:hAnsi="宋体" w:cs="宋体" w:eastAsia="宋体" w:hint="default"/>
          <w:sz w:val="21"/>
          <w:szCs w:val="21"/>
        </w:rPr>
      </w:pPr>
      <w:r>
        <w:rPr>
          <w:rFonts w:ascii="宋体" w:hAnsi="宋体" w:cs="宋体" w:eastAsia="宋体" w:hint="default"/>
          <w:sz w:val="21"/>
          <w:szCs w:val="21"/>
        </w:rPr>
        <w:t>金融资产转移不满足终止确认条件的，继续确认该金融资产，所收到的对价确认为一项金融负债。</w:t>
      </w:r>
    </w:p>
    <w:p>
      <w:pPr>
        <w:spacing w:line="590" w:lineRule="atLeast" w:before="38"/>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金融负债的的现时义务全部或部分已经解除的，则终止确认该金融负债或其一部分；公司若与债权人</w:t>
      </w:r>
    </w:p>
    <w:p>
      <w:pPr>
        <w:spacing w:line="273" w:lineRule="auto" w:before="37"/>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签定协议，以承担新金融负债方式替换现存金融负债，且新金融负债与现存金融负债的合同条款实质上不</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同的，则终止确认现存金融负债，并同时确认新金融负债。</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对现存金融负债全部或部分合同条款作出实质性修改的，则终止确认现存金融负债或其一部分，同时</w:t>
      </w:r>
      <w:r>
        <w:rPr>
          <w:rFonts w:ascii="宋体" w:hAnsi="宋体" w:cs="宋体" w:eastAsia="宋体" w:hint="default"/>
          <w:w w:val="100"/>
          <w:sz w:val="21"/>
          <w:szCs w:val="21"/>
        </w:rPr>
        <w:t> </w:t>
      </w:r>
      <w:r>
        <w:rPr>
          <w:rFonts w:ascii="宋体" w:hAnsi="宋体" w:cs="宋体" w:eastAsia="宋体" w:hint="default"/>
          <w:sz w:val="21"/>
          <w:szCs w:val="21"/>
        </w:rPr>
        <w:t>将修改条款后的金融负债确认为一项新金融负债。</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金融负债全部或部分终止确认时，终止确认的金融负债账面价值与支付对价（包括转出的非现金资产</w:t>
      </w:r>
      <w:r>
        <w:rPr>
          <w:rFonts w:ascii="宋体" w:hAnsi="宋体" w:cs="宋体" w:eastAsia="宋体" w:hint="default"/>
          <w:w w:val="100"/>
          <w:sz w:val="21"/>
          <w:szCs w:val="21"/>
        </w:rPr>
        <w:t> </w:t>
      </w:r>
      <w:r>
        <w:rPr>
          <w:rFonts w:ascii="宋体" w:hAnsi="宋体" w:cs="宋体" w:eastAsia="宋体" w:hint="default"/>
          <w:sz w:val="21"/>
          <w:szCs w:val="21"/>
        </w:rPr>
        <w:t>或承担的新金融负债）之间的差额，计入当期损益。</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公司若回购部分金融负债的，在回购日按照继续确认部分与终止确认部分的相对公允价值，将该金融</w:t>
      </w:r>
      <w:r>
        <w:rPr>
          <w:rFonts w:ascii="宋体" w:hAnsi="宋体" w:cs="宋体" w:eastAsia="宋体" w:hint="default"/>
          <w:w w:val="100"/>
          <w:sz w:val="21"/>
          <w:szCs w:val="21"/>
        </w:rPr>
        <w:t> </w:t>
      </w:r>
      <w:r>
        <w:rPr>
          <w:rFonts w:ascii="宋体" w:hAnsi="宋体" w:cs="宋体" w:eastAsia="宋体" w:hint="default"/>
          <w:spacing w:val="-2"/>
          <w:sz w:val="21"/>
          <w:szCs w:val="21"/>
        </w:rPr>
        <w:t>负债整体的账面价值进行分配。分配给终止确认部分的账面价值与支付的对价（包括转出的非现金资产或</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承担的新金融负债）之间的差额，计入当期损益。</w:t>
      </w:r>
    </w:p>
    <w:p>
      <w:pPr>
        <w:spacing w:line="600" w:lineRule="atLeast" w:before="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公司采用公允价值计量的金融资产和金融负债存在活跃市场的金融资产或金融负债，以活跃市场的报</w:t>
      </w:r>
    </w:p>
    <w:p>
      <w:pPr>
        <w:spacing w:line="273" w:lineRule="auto" w:before="37"/>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价确定其公允价值；不存在活跃市场的金融资产或金融负债，采用估值技术（包括参考熟悉情况并自愿交</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易的各方最近进行的市场交易中使用的价格、参照实质上相同的其他金融工具的当前公允价值、现金流量</w:t>
      </w:r>
    </w:p>
    <w:p>
      <w:pPr>
        <w:spacing w:after="0" w:line="273" w:lineRule="auto"/>
        <w:jc w:val="left"/>
        <w:rPr>
          <w:rFonts w:ascii="宋体" w:hAnsi="宋体" w:cs="宋体" w:eastAsia="宋体" w:hint="default"/>
          <w:sz w:val="21"/>
          <w:szCs w:val="21"/>
        </w:rPr>
        <w:sectPr>
          <w:pgSz w:w="11910" w:h="16840"/>
          <w:pgMar w:header="877" w:footer="1253" w:top="1060" w:bottom="1440" w:left="980" w:right="0"/>
        </w:sectPr>
      </w:pPr>
    </w:p>
    <w:p>
      <w:pPr>
        <w:spacing w:line="240" w:lineRule="auto" w:before="10"/>
        <w:rPr>
          <w:rFonts w:ascii="宋体" w:hAnsi="宋体" w:cs="宋体" w:eastAsia="宋体" w:hint="default"/>
          <w:sz w:val="24"/>
          <w:szCs w:val="24"/>
        </w:rPr>
      </w:pPr>
    </w:p>
    <w:p>
      <w:pPr>
        <w:spacing w:line="273" w:lineRule="auto" w:before="36"/>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折现法和期权定价模型等）确定其公允价值；初始取得或源生的金融资产或承担的金融负债，以市场交易</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价格作为确定其公允价值的基础。</w:t>
      </w:r>
    </w:p>
    <w:p>
      <w:pPr>
        <w:spacing w:line="600" w:lineRule="atLeast" w:before="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资产负债表日对以公允价值计量且其变动计入当期损益的金融资产以外的金融资产的账面价值进行</w:t>
      </w:r>
    </w:p>
    <w:p>
      <w:pPr>
        <w:spacing w:before="37"/>
        <w:ind w:left="152" w:right="1123" w:firstLine="0"/>
        <w:jc w:val="left"/>
        <w:rPr>
          <w:rFonts w:ascii="宋体" w:hAnsi="宋体" w:cs="宋体" w:eastAsia="宋体" w:hint="default"/>
          <w:sz w:val="21"/>
          <w:szCs w:val="21"/>
        </w:rPr>
      </w:pPr>
      <w:r>
        <w:rPr>
          <w:rFonts w:ascii="宋体" w:hAnsi="宋体" w:cs="宋体" w:eastAsia="宋体" w:hint="default"/>
          <w:sz w:val="21"/>
          <w:szCs w:val="21"/>
        </w:rPr>
        <w:t>检查，如有客观证据表明该金融资产发生减值的，计提减值准备。</w:t>
      </w:r>
    </w:p>
    <w:p>
      <w:pPr>
        <w:spacing w:line="256" w:lineRule="auto" w:before="37"/>
        <w:ind w:left="573" w:right="1123"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）可供出售金融资产的减值准备：</w:t>
      </w:r>
      <w:r>
        <w:rPr>
          <w:rFonts w:ascii="宋体" w:hAnsi="宋体" w:cs="宋体" w:eastAsia="宋体" w:hint="default"/>
          <w:w w:val="100"/>
          <w:sz w:val="21"/>
          <w:szCs w:val="21"/>
        </w:rPr>
        <w:t> </w:t>
      </w:r>
      <w:r>
        <w:rPr>
          <w:rFonts w:ascii="宋体" w:hAnsi="宋体" w:cs="宋体" w:eastAsia="宋体" w:hint="default"/>
          <w:spacing w:val="-2"/>
          <w:sz w:val="21"/>
          <w:szCs w:val="21"/>
        </w:rPr>
        <w:t>期末如果可供出售金融资产的公允价值发生较大幅度下降，或在综合考虑各种相关因素后，预期这种</w:t>
      </w:r>
    </w:p>
    <w:p>
      <w:pPr>
        <w:spacing w:line="273" w:lineRule="auto" w:before="22"/>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下降趋势属于非暂时性的，就认定其已发生减值，将原直接计入所有者权益的公允价值下降形成的累计损</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失一并转出，确认减值损失。</w:t>
      </w:r>
    </w:p>
    <w:p>
      <w:pPr>
        <w:spacing w:line="268" w:lineRule="auto" w:before="7"/>
        <w:ind w:left="1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）持有至到期投资的减值准备：</w:t>
      </w:r>
      <w:r>
        <w:rPr>
          <w:rFonts w:ascii="宋体" w:hAnsi="宋体" w:cs="宋体" w:eastAsia="宋体" w:hint="default"/>
          <w:w w:val="100"/>
          <w:sz w:val="21"/>
          <w:szCs w:val="21"/>
        </w:rPr>
        <w:t> </w:t>
      </w:r>
      <w:r>
        <w:rPr>
          <w:rFonts w:ascii="宋体" w:hAnsi="宋体" w:cs="宋体" w:eastAsia="宋体" w:hint="default"/>
          <w:spacing w:val="-2"/>
          <w:sz w:val="21"/>
          <w:szCs w:val="21"/>
        </w:rPr>
        <w:t>对于持有至到期投资，有客观证据表明其发生了减值的，根据其账面价值与预计未来现金流量现值之间差</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5"/>
          <w:sz w:val="21"/>
          <w:szCs w:val="21"/>
        </w:rPr>
        <w:t>额计算确认减值损失；计提后如有证据表明其价值已恢复，原确认的减值损失可予以转回，记入当期损益， </w:t>
      </w:r>
      <w:r>
        <w:rPr>
          <w:rFonts w:ascii="宋体" w:hAnsi="宋体" w:cs="宋体" w:eastAsia="宋体" w:hint="default"/>
          <w:spacing w:val="-5"/>
          <w:sz w:val="21"/>
          <w:szCs w:val="21"/>
        </w:rPr>
      </w:r>
      <w:r>
        <w:rPr>
          <w:rFonts w:ascii="宋体" w:hAnsi="宋体" w:cs="宋体" w:eastAsia="宋体" w:hint="default"/>
          <w:sz w:val="21"/>
          <w:szCs w:val="21"/>
        </w:rPr>
        <w:t>但该转回的账面价值不超过假定不计提减值准备情况下该金融资产在转回日的摊余成本。</w:t>
      </w:r>
    </w:p>
    <w:p>
      <w:pPr>
        <w:spacing w:line="590" w:lineRule="atLeast" w:before="12"/>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、应收款项坏账准备的确认标准和计提方法</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5"/>
          <w:sz w:val="21"/>
          <w:szCs w:val="21"/>
        </w:rPr>
        <w:t>本公司对合并报表范围内的应收款项不计提坏账准备。除此外，按下列方法对应收款项进行减值测试，</w:t>
      </w:r>
    </w:p>
    <w:p>
      <w:pPr>
        <w:spacing w:before="37"/>
        <w:ind w:left="152" w:right="1123" w:firstLine="0"/>
        <w:jc w:val="left"/>
        <w:rPr>
          <w:rFonts w:ascii="宋体" w:hAnsi="宋体" w:cs="宋体" w:eastAsia="宋体" w:hint="default"/>
          <w:sz w:val="21"/>
          <w:szCs w:val="21"/>
        </w:rPr>
      </w:pPr>
      <w:r>
        <w:rPr>
          <w:rFonts w:ascii="宋体" w:hAnsi="宋体" w:cs="宋体" w:eastAsia="宋体" w:hint="default"/>
          <w:sz w:val="21"/>
          <w:szCs w:val="21"/>
        </w:rPr>
        <w:t>并计提坏账准备。</w:t>
      </w:r>
    </w:p>
    <w:p>
      <w:pPr>
        <w:spacing w:line="240" w:lineRule="auto" w:before="10"/>
        <w:rPr>
          <w:rFonts w:ascii="宋体" w:hAnsi="宋体" w:cs="宋体" w:eastAsia="宋体" w:hint="default"/>
          <w:sz w:val="25"/>
          <w:szCs w:val="25"/>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）单项金额重大的应收款项坏账准备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401"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金额在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w:t>
            </w:r>
          </w:p>
        </w:tc>
      </w:tr>
      <w:tr>
        <w:trPr>
          <w:trHeight w:val="1027"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pacing w:val="-2"/>
                <w:sz w:val="18"/>
                <w:szCs w:val="18"/>
              </w:rPr>
              <w:t>单独进行减值测试，按预计未来现金流量现值低于其账面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价值的差额计提坏账准备，计入当期损益。单独测试未发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生减值的应收款项，将其归入相应组合计提坏账准备。</w:t>
            </w:r>
          </w:p>
        </w:tc>
      </w:tr>
    </w:tbl>
    <w:p>
      <w:pPr>
        <w:spacing w:line="240" w:lineRule="auto" w:before="3"/>
        <w:rPr>
          <w:rFonts w:ascii="宋体" w:hAnsi="宋体" w:cs="宋体" w:eastAsia="宋体" w:hint="default"/>
          <w:b/>
          <w:bCs/>
          <w:sz w:val="19"/>
          <w:szCs w:val="19"/>
        </w:rPr>
      </w:pPr>
    </w:p>
    <w:p>
      <w:pPr>
        <w:spacing w:before="36"/>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102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信用风险特征组合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8"/>
              <w:jc w:val="both"/>
              <w:rPr>
                <w:rFonts w:ascii="宋体" w:hAnsi="宋体" w:cs="宋体" w:eastAsia="宋体" w:hint="default"/>
                <w:sz w:val="18"/>
                <w:szCs w:val="18"/>
              </w:rPr>
            </w:pPr>
            <w:r>
              <w:rPr>
                <w:rFonts w:ascii="宋体" w:hAnsi="宋体" w:cs="宋体" w:eastAsia="宋体" w:hint="default"/>
                <w:sz w:val="18"/>
                <w:szCs w:val="18"/>
              </w:rPr>
              <w:t>对于单项金额不重大的应收款项，与经单独测试后未减值的 应收款项一起按账龄组合计提坏账准备，采用账龄分析法计 提坏账准备。</w:t>
            </w:r>
          </w:p>
        </w:tc>
      </w:tr>
    </w:tbl>
    <w:p>
      <w:pPr>
        <w:pStyle w:val="BodyText"/>
        <w:spacing w:line="240" w:lineRule="auto" w:before="49"/>
        <w:ind w:right="1123"/>
        <w:jc w:val="left"/>
      </w:pPr>
      <w:r>
        <w:rPr/>
        <w:t>组合中，采用账龄分析法计提坏账准备的</w:t>
      </w:r>
    </w:p>
    <w:p>
      <w:pPr>
        <w:pStyle w:val="BodyText"/>
        <w:spacing w:line="240"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53" w:top="1060" w:bottom="14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98"/>
        <w:gridCol w:w="2977"/>
        <w:gridCol w:w="3994"/>
      </w:tblGrid>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bl>
    <w:p>
      <w:pPr>
        <w:pStyle w:val="BodyText"/>
        <w:spacing w:line="240" w:lineRule="auto" w:before="49"/>
        <w:ind w:right="1123"/>
        <w:jc w:val="left"/>
      </w:pPr>
      <w:r>
        <w:rPr/>
        <w:t>组合中，采用余额百分比法计提坏账准备的</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39"/>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BodyText"/>
        <w:spacing w:line="240" w:lineRule="auto"/>
        <w:ind w:left="0" w:right="1138"/>
        <w:jc w:val="right"/>
      </w:pPr>
      <w:r>
        <w:rPr/>
        <w:pict>
          <v:shape style="position:absolute;margin-left:56.459999pt;margin-top:-18.528288pt;width:479.2pt;height:67.5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5"/>
                    <w:gridCol w:w="6215"/>
                  </w:tblGrid>
                  <w:tr>
                    <w:trPr>
                      <w:trHeight w:val="1340"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本公司将单户金额在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万元以下的应收款项，确定为单项金额不重大的应收</w:t>
                        </w:r>
                      </w:p>
                      <w:p>
                        <w:pPr>
                          <w:pStyle w:val="TableParagraph"/>
                          <w:spacing w:line="309" w:lineRule="auto" w:before="63"/>
                          <w:ind w:left="23" w:right="60"/>
                          <w:jc w:val="both"/>
                          <w:rPr>
                            <w:rFonts w:ascii="宋体" w:hAnsi="宋体" w:cs="宋体" w:eastAsia="宋体" w:hint="default"/>
                            <w:sz w:val="18"/>
                            <w:szCs w:val="18"/>
                          </w:rPr>
                        </w:pPr>
                        <w:r>
                          <w:rPr>
                            <w:rFonts w:ascii="宋体" w:hAnsi="宋体" w:cs="宋体" w:eastAsia="宋体" w:hint="default"/>
                            <w:spacing w:val="-3"/>
                            <w:sz w:val="18"/>
                            <w:szCs w:val="18"/>
                          </w:rPr>
                          <w:t>款项，若其帐龄在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年以上，在资产负债表日，本公司对其单独进行减值测试 经测试发生了减值的，按其未来现金流量现值低于其账面价值的差额，确定减 值损失，计提坏账准备。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Heading4"/>
        <w:spacing w:line="240" w:lineRule="auto" w:before="36"/>
        <w:ind w:right="0"/>
        <w:jc w:val="both"/>
        <w:rPr>
          <w:b w:val="0"/>
          <w:bCs w:val="0"/>
        </w:rPr>
      </w:pP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16" w:lineRule="auto"/>
        <w:ind w:right="1131" w:firstLine="180"/>
        <w:jc w:val="both"/>
      </w:pPr>
      <w:r>
        <w:rPr>
          <w:spacing w:val="-2"/>
        </w:rPr>
        <w:t>存货是指公司在日常活动中持有以备出售的产成品或商品、处在生产过程中的在产品、在生产过程或提供劳务过程中耗用</w:t>
      </w:r>
      <w:r>
        <w:rPr/>
        <w:t> </w:t>
      </w:r>
      <w:r>
        <w:rPr>
          <w:spacing w:val="-2"/>
        </w:rPr>
        <w:t>的材料和物料等。主要包括原材料、周转材料、委托加工材料、包装物、低值易耗品、在产品、自制半成品、产成品（库存</w:t>
      </w:r>
      <w:r>
        <w:rPr>
          <w:spacing w:val="-67"/>
        </w:rPr>
        <w:t> </w:t>
      </w:r>
      <w:r>
        <w:rPr>
          <w:spacing w:val="-67"/>
        </w:rPr>
      </w:r>
      <w:r>
        <w:rPr/>
        <w:t>商品）等。</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计价方法：加权平均法</w:t>
      </w:r>
    </w:p>
    <w:p>
      <w:pPr>
        <w:spacing w:line="273" w:lineRule="auto" w:before="96"/>
        <w:ind w:left="152" w:right="1131" w:firstLine="420"/>
        <w:jc w:val="both"/>
        <w:rPr>
          <w:rFonts w:ascii="宋体" w:hAnsi="宋体" w:cs="宋体" w:eastAsia="宋体" w:hint="default"/>
          <w:sz w:val="21"/>
          <w:szCs w:val="21"/>
        </w:rPr>
      </w:pPr>
      <w:r>
        <w:rPr>
          <w:rFonts w:ascii="宋体" w:hAnsi="宋体" w:cs="宋体" w:eastAsia="宋体" w:hint="default"/>
          <w:spacing w:val="-3"/>
          <w:sz w:val="21"/>
          <w:szCs w:val="21"/>
        </w:rPr>
        <w:t>存货在取得时，按成本进行初始计量，包括采购成本、加工成本和其他成本。存货发出时按加权平均</w:t>
      </w:r>
      <w:r>
        <w:rPr>
          <w:rFonts w:ascii="宋体" w:hAnsi="宋体" w:cs="宋体" w:eastAsia="宋体" w:hint="default"/>
          <w:w w:val="100"/>
          <w:sz w:val="21"/>
          <w:szCs w:val="21"/>
        </w:rPr>
        <w:t> </w:t>
      </w:r>
      <w:r>
        <w:rPr>
          <w:rFonts w:ascii="宋体" w:hAnsi="宋体" w:cs="宋体" w:eastAsia="宋体" w:hint="default"/>
          <w:sz w:val="21"/>
          <w:szCs w:val="21"/>
        </w:rPr>
        <w:t>法计价。</w:t>
      </w:r>
    </w:p>
    <w:p>
      <w:pPr>
        <w:spacing w:line="590" w:lineRule="atLeast" w:before="8"/>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期末对存货进行全面清查后，按存货的成本与可变现净值孰低提取或调整存货跌价准备。产成品、库</w:t>
      </w:r>
    </w:p>
    <w:p>
      <w:pPr>
        <w:spacing w:line="273" w:lineRule="auto" w:before="37"/>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存商品和用于出售的材料等直接用于出售的商品存货，在正常生产经营过程中，以该存货的估计售价减去</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估计的销售费用和相关税费后的金额，确定其可变现净值；需要经过加工的材料存货，在正常生产经营过</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程中，以所生产的产成品的估计售价减去至完工时估计将要发生的成本、估计的销售费用和相关税费后的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金额，确定其可变现净值；为执行销售合同或者劳务合同而持有的存货，其可变现净值以合同价格为基础</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计算，若持有存货的数量多于销售合同订购数量的，超出部分的存货的可变现净值以一般销售价格为基础</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计算。</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期末按照单个存货项目计提存货跌价准备；但对于数量繁多、单价较低的存货，按照存货类别计提存</w:t>
      </w:r>
      <w:r>
        <w:rPr>
          <w:rFonts w:ascii="宋体" w:hAnsi="宋体" w:cs="宋体" w:eastAsia="宋体" w:hint="default"/>
          <w:w w:val="100"/>
          <w:sz w:val="21"/>
          <w:szCs w:val="21"/>
        </w:rPr>
        <w:t> </w:t>
      </w:r>
      <w:r>
        <w:rPr>
          <w:rFonts w:ascii="宋体" w:hAnsi="宋体" w:cs="宋体" w:eastAsia="宋体" w:hint="default"/>
          <w:spacing w:val="-2"/>
          <w:sz w:val="21"/>
          <w:szCs w:val="21"/>
        </w:rPr>
        <w:t>货跌价准备；与在同一地区生产和销售的产品系列相关、具有相同或类似最终用途或目的，且难以与其他</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项目分开计量的存货，则合并计提存货跌价准备。</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以前减记存货价值的影响因素已经消失的，减记的金额予以恢复，并在原已计提的存货跌价准备金额</w:t>
      </w:r>
      <w:r>
        <w:rPr>
          <w:rFonts w:ascii="宋体" w:hAnsi="宋体" w:cs="宋体" w:eastAsia="宋体" w:hint="default"/>
          <w:w w:val="100"/>
          <w:sz w:val="21"/>
          <w:szCs w:val="21"/>
        </w:rPr>
        <w:t> </w:t>
      </w:r>
      <w:r>
        <w:rPr>
          <w:rFonts w:ascii="宋体" w:hAnsi="宋体" w:cs="宋体" w:eastAsia="宋体" w:hint="default"/>
          <w:sz w:val="21"/>
          <w:szCs w:val="21"/>
        </w:rPr>
        <w:t>内转回，转回的金额计入当期损益。</w:t>
      </w:r>
    </w:p>
    <w:p>
      <w:pPr>
        <w:spacing w:after="0" w:line="273" w:lineRule="auto"/>
        <w:jc w:val="both"/>
        <w:rPr>
          <w:rFonts w:ascii="宋体" w:hAnsi="宋体" w:cs="宋体" w:eastAsia="宋体" w:hint="default"/>
          <w:sz w:val="21"/>
          <w:szCs w:val="21"/>
        </w:rPr>
        <w:sectPr>
          <w:pgSz w:w="11910" w:h="16840"/>
          <w:pgMar w:header="877" w:footer="1253" w:top="1060" w:bottom="1440" w:left="980" w:right="0"/>
        </w:sectPr>
      </w:pPr>
    </w:p>
    <w:p>
      <w:pPr>
        <w:spacing w:line="240" w:lineRule="auto" w:before="10"/>
        <w:rPr>
          <w:rFonts w:ascii="宋体" w:hAnsi="宋体" w:cs="宋体" w:eastAsia="宋体" w:hint="default"/>
          <w:sz w:val="24"/>
          <w:szCs w:val="24"/>
        </w:rPr>
      </w:pPr>
    </w:p>
    <w:p>
      <w:pPr>
        <w:spacing w:before="36"/>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240" w:lineRule="auto"/>
        <w:ind w:right="1123"/>
        <w:jc w:val="left"/>
      </w:pPr>
      <w:r>
        <w:rPr/>
        <w:t>盘存制度：永续盘存制</w:t>
      </w:r>
    </w:p>
    <w:p>
      <w:pPr>
        <w:spacing w:before="94"/>
        <w:ind w:left="575" w:right="1123" w:firstLine="0"/>
        <w:jc w:val="left"/>
        <w:rPr>
          <w:rFonts w:ascii="宋体" w:hAnsi="宋体" w:cs="宋体" w:eastAsia="宋体" w:hint="default"/>
          <w:sz w:val="21"/>
          <w:szCs w:val="21"/>
        </w:rPr>
      </w:pPr>
      <w:r>
        <w:rPr>
          <w:rFonts w:ascii="宋体" w:hAnsi="宋体" w:cs="宋体" w:eastAsia="宋体" w:hint="default"/>
          <w:sz w:val="21"/>
          <w:szCs w:val="21"/>
        </w:rPr>
        <w:t>本公司定期对存货进行清查，盘盈利得和盘亏损失计入当期损益。</w:t>
      </w:r>
    </w:p>
    <w:p>
      <w:pPr>
        <w:spacing w:line="240" w:lineRule="auto" w:before="10"/>
        <w:rPr>
          <w:rFonts w:ascii="宋体" w:hAnsi="宋体" w:cs="宋体" w:eastAsia="宋体" w:hint="default"/>
          <w:sz w:val="25"/>
          <w:szCs w:val="25"/>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57" w:lineRule="auto"/>
        <w:ind w:right="8954"/>
        <w:jc w:val="left"/>
      </w:pPr>
      <w:r>
        <w:rPr/>
        <w:t>低值易耗品 摊销方法：一次摊销法</w:t>
      </w:r>
    </w:p>
    <w:p>
      <w:pPr>
        <w:spacing w:before="8"/>
        <w:ind w:left="573" w:right="1123" w:firstLine="0"/>
        <w:jc w:val="left"/>
        <w:rPr>
          <w:rFonts w:ascii="宋体" w:hAnsi="宋体" w:cs="宋体" w:eastAsia="宋体" w:hint="default"/>
          <w:sz w:val="21"/>
          <w:szCs w:val="21"/>
        </w:rPr>
      </w:pPr>
      <w:r>
        <w:rPr>
          <w:rFonts w:ascii="宋体" w:hAnsi="宋体" w:cs="宋体" w:eastAsia="宋体" w:hint="default"/>
          <w:sz w:val="21"/>
          <w:szCs w:val="21"/>
        </w:rPr>
        <w:t>低值易耗品采用一次转销法。</w:t>
      </w:r>
    </w:p>
    <w:p>
      <w:pPr>
        <w:spacing w:line="240" w:lineRule="auto" w:before="0"/>
        <w:rPr>
          <w:rFonts w:ascii="宋体" w:hAnsi="宋体" w:cs="宋体" w:eastAsia="宋体" w:hint="default"/>
          <w:sz w:val="20"/>
          <w:szCs w:val="20"/>
        </w:rPr>
      </w:pPr>
    </w:p>
    <w:p>
      <w:pPr>
        <w:pStyle w:val="BodyText"/>
        <w:spacing w:line="357" w:lineRule="auto" w:before="149"/>
        <w:ind w:right="8954"/>
        <w:jc w:val="left"/>
      </w:pPr>
      <w:r>
        <w:rPr/>
        <w:t>包装物 摊销方法：一次摊销法</w:t>
      </w:r>
    </w:p>
    <w:p>
      <w:pPr>
        <w:spacing w:before="8"/>
        <w:ind w:left="575" w:right="1123" w:firstLine="0"/>
        <w:jc w:val="left"/>
        <w:rPr>
          <w:rFonts w:ascii="宋体" w:hAnsi="宋体" w:cs="宋体" w:eastAsia="宋体" w:hint="default"/>
          <w:sz w:val="21"/>
          <w:szCs w:val="21"/>
        </w:rPr>
      </w:pPr>
      <w:r>
        <w:rPr>
          <w:rFonts w:ascii="宋体" w:hAnsi="宋体" w:cs="宋体" w:eastAsia="宋体" w:hint="default"/>
          <w:sz w:val="21"/>
          <w:szCs w:val="21"/>
        </w:rPr>
        <w:t>包装物采用一次转销法。</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tabs>
          <w:tab w:pos="3086" w:val="left" w:leader="none"/>
        </w:tabs>
        <w:spacing w:line="314" w:lineRule="auto"/>
        <w:ind w:right="1040"/>
        <w:jc w:val="left"/>
      </w:pPr>
      <w:r>
        <w:rPr/>
        <w:t>（</w:t>
      </w:r>
      <w:r>
        <w:rPr>
          <w:rFonts w:ascii="Times New Roman" w:hAnsi="Times New Roman" w:cs="Times New Roman" w:eastAsia="Times New Roman" w:hint="default"/>
        </w:rPr>
        <w:t>1</w:t>
      </w:r>
      <w:r>
        <w:rPr/>
        <w:t>）企业合并形成的长期股权投资 同一控制下的企业合并：公司以支付现金、转让非现金资产或承担债务方式以及以发 行权益性证券作为合并对价的，在合并日按照取得被合并方所有者权益账面价值的份额作为长期股权投资的初始投资成本。 </w:t>
      </w:r>
      <w:r>
        <w:rPr>
          <w:spacing w:val="-2"/>
        </w:rPr>
        <w:t>长期股权投资初始投资成本与支付合并对价之间的差额，调整资本公积；资本公积不足冲减的，调整留存收益。合并发生的</w:t>
      </w:r>
      <w:r>
        <w:rPr>
          <w:spacing w:val="-64"/>
        </w:rPr>
        <w:t> </w:t>
      </w:r>
      <w:r>
        <w:rPr>
          <w:spacing w:val="-64"/>
        </w:rPr>
      </w:r>
      <w:r>
        <w:rPr>
          <w:spacing w:val="-2"/>
        </w:rPr>
        <w:t>各项直接相关费用，包括为进行合并而支付的审计费用、评估费用、法律服务费用等，于发生时计入当期损益。被合并方存</w:t>
      </w:r>
      <w:r>
        <w:rPr>
          <w:spacing w:val="-67"/>
        </w:rPr>
        <w:t> </w:t>
      </w:r>
      <w:r>
        <w:rPr>
          <w:spacing w:val="-67"/>
        </w:rPr>
      </w:r>
      <w:r>
        <w:rPr/>
        <w:t>在合并财务报表，则以合并日被合并方合并财务报表所有者权益为基础确定长期股权投资的初始投资成本。</w:t>
      </w:r>
      <w:r>
        <w:rPr>
          <w:spacing w:val="27"/>
        </w:rPr>
        <w:t> </w:t>
      </w:r>
      <w:r>
        <w:rPr/>
        <w:t>非同一控制下</w:t>
      </w:r>
      <w:r>
        <w:rPr/>
        <w:t> </w:t>
      </w:r>
      <w:r>
        <w:rPr>
          <w:spacing w:val="-2"/>
        </w:rPr>
        <w:t>的企业合并：合并成本为购买日购买方为取得对被购买方的控制权而付出的资产、发生或承担的负债以及发行的权益性证券</w:t>
      </w:r>
      <w:r>
        <w:rPr>
          <w:spacing w:val="-63"/>
        </w:rPr>
        <w:t> </w:t>
      </w:r>
      <w:r>
        <w:rPr>
          <w:spacing w:val="-63"/>
        </w:rPr>
      </w:r>
      <w:r>
        <w:rPr>
          <w:spacing w:val="-2"/>
        </w:rPr>
        <w:t>的公允价值，公司为进行企业合并而发生的各项直接相关费用，包括为进行企业合并而支付的审计、法律服务、评估咨询等</w:t>
      </w:r>
      <w:r>
        <w:rPr>
          <w:spacing w:val="-64"/>
        </w:rPr>
        <w:t> </w:t>
      </w:r>
      <w:r>
        <w:rPr>
          <w:spacing w:val="-64"/>
        </w:rPr>
      </w:r>
      <w:r>
        <w:rPr>
          <w:spacing w:val="-2"/>
        </w:rPr>
        <w:t>中介费用以及其他相关管理费用于发生时计入当期损益，作为合并对价发行的权益性证券或债务性证券的交易费用，计入权</w:t>
      </w:r>
      <w:r>
        <w:rPr>
          <w:spacing w:val="-64"/>
        </w:rPr>
        <w:t> </w:t>
      </w:r>
      <w:r>
        <w:rPr>
          <w:spacing w:val="-64"/>
        </w:rPr>
      </w:r>
      <w:r>
        <w:rPr/>
        <w:t>益性证券或债务性证券的初始确认金额。</w:t>
      </w:r>
      <w:r>
        <w:rPr>
          <w:spacing w:val="26"/>
        </w:rPr>
        <w:t> </w:t>
      </w:r>
      <w:r>
        <w:rPr/>
        <w:t>企业通过多次交易分步实现非同一控制下企业合并的，应当区分个别财务报表和</w:t>
      </w:r>
      <w:r>
        <w:rPr/>
        <w:t> 合并财务报表进行相关会计处理</w:t>
      </w:r>
      <w:r>
        <w:rPr>
          <w:rFonts w:ascii="Times New Roman" w:hAnsi="Times New Roman" w:cs="Times New Roman" w:eastAsia="Times New Roman" w:hint="default"/>
        </w:rPr>
        <w:t>:</w:t>
        <w:tab/>
      </w:r>
      <w:r>
        <w:rPr/>
        <w:t>在个别财务报表中，应当以购买日之前所持被购买方的股权投资的账面价值与购买日 </w:t>
      </w:r>
      <w:r>
        <w:rPr>
          <w:spacing w:val="-2"/>
        </w:rPr>
        <w:t>新增投资成本之和，作为该项投资的初始投资成本，购买日之前持有的被购买方的股权涉及其他综合收益的，应当在处置该</w:t>
      </w:r>
      <w:r>
        <w:rPr>
          <w:spacing w:val="-63"/>
        </w:rPr>
        <w:t> </w:t>
      </w:r>
      <w:r>
        <w:rPr>
          <w:spacing w:val="-63"/>
        </w:rPr>
      </w:r>
      <w:r>
        <w:rPr>
          <w:spacing w:val="-2"/>
        </w:rPr>
        <w:t>项投资时将与其相关的其他综合收益</w:t>
      </w:r>
      <w:r>
        <w:rPr>
          <w:rFonts w:ascii="Times New Roman" w:hAnsi="Times New Roman" w:cs="Times New Roman" w:eastAsia="Times New Roman" w:hint="default"/>
          <w:spacing w:val="-2"/>
        </w:rPr>
        <w:t>(</w:t>
      </w:r>
      <w:r>
        <w:rPr>
          <w:spacing w:val="-2"/>
        </w:rPr>
        <w:t>例如，可供出售金融资产公允价值变动计入资本公积的部分，下同</w:t>
      </w:r>
      <w:r>
        <w:rPr>
          <w:rFonts w:ascii="Times New Roman" w:hAnsi="Times New Roman" w:cs="Times New Roman" w:eastAsia="Times New Roman" w:hint="default"/>
          <w:spacing w:val="-2"/>
        </w:rPr>
        <w:t>)</w:t>
      </w:r>
      <w:r>
        <w:rPr>
          <w:spacing w:val="-2"/>
        </w:rPr>
        <w:t>转入当期投资收益。</w:t>
      </w:r>
    </w:p>
    <w:p>
      <w:pPr>
        <w:pStyle w:val="BodyText"/>
        <w:tabs>
          <w:tab w:pos="7627" w:val="left" w:leader="none"/>
        </w:tabs>
        <w:spacing w:line="316" w:lineRule="auto" w:before="1"/>
        <w:ind w:right="1044" w:firstLine="180"/>
        <w:jc w:val="left"/>
      </w:pPr>
      <w:r>
        <w:rPr>
          <w:spacing w:val="-2"/>
        </w:rPr>
        <w:t>在合并财务报表中，对于购买日之前持有的被购买方的股权，应当按照该股权在购买日的公允价值进行重新计量，公允价</w:t>
      </w:r>
      <w:r>
        <w:rPr/>
        <w:t> </w:t>
      </w:r>
      <w:r>
        <w:rPr>
          <w:spacing w:val="-2"/>
        </w:rPr>
        <w:t>值与其账面价值的差额计入当期投资收益。购买日之前持有的被购买方的股权涉及其他综合收益的，与其相关的其他综合收</w:t>
      </w:r>
      <w:r>
        <w:rPr>
          <w:spacing w:val="-64"/>
        </w:rPr>
        <w:t> </w:t>
      </w:r>
      <w:r>
        <w:rPr>
          <w:spacing w:val="-64"/>
        </w:rPr>
      </w:r>
      <w:r>
        <w:rPr>
          <w:spacing w:val="-2"/>
        </w:rPr>
        <w:t>益应当转为购买日所属当期投资收益。在合并合同中对可能影响合并成本的未来事项作出约定的，购买日如果估计未来事项</w:t>
      </w:r>
      <w:r>
        <w:rPr>
          <w:spacing w:val="-62"/>
        </w:rPr>
        <w:t> </w:t>
      </w:r>
      <w:r>
        <w:rPr>
          <w:spacing w:val="-62"/>
        </w:rPr>
      </w:r>
      <w:r>
        <w:rPr>
          <w:spacing w:val="-4"/>
        </w:rPr>
        <w:t>很可能发生并且对合并成本的影响金额能够可靠计量的，也计入合并成本。（</w:t>
      </w:r>
      <w:r>
        <w:rPr>
          <w:rFonts w:ascii="Times New Roman" w:hAnsi="Times New Roman" w:cs="Times New Roman" w:eastAsia="Times New Roman" w:hint="default"/>
          <w:spacing w:val="-4"/>
        </w:rPr>
        <w:t>2</w:t>
      </w:r>
      <w:r>
        <w:rPr>
          <w:spacing w:val="-4"/>
        </w:rPr>
        <w:t>）其他方式取得的长期股权投资</w:t>
      </w:r>
      <w:r>
        <w:rPr/>
        <w:t> </w:t>
      </w:r>
      <w:r>
        <w:rPr>
          <w:spacing w:val="-1"/>
        </w:rPr>
        <w:t>以支付现金</w:t>
      </w:r>
      <w:r>
        <w:rPr>
          <w:spacing w:val="-62"/>
        </w:rPr>
        <w:t> </w:t>
      </w:r>
      <w:r>
        <w:rPr>
          <w:spacing w:val="-62"/>
        </w:rPr>
      </w:r>
      <w:r>
        <w:rPr/>
        <w:t>方式取得的长期股权投资，按照实际支付的购买价款作为初始投资成本。</w:t>
      </w:r>
      <w:r>
        <w:rPr>
          <w:spacing w:val="31"/>
        </w:rPr>
        <w:t> </w:t>
      </w:r>
      <w:r>
        <w:rPr/>
        <w:t>以发行权益性证券取得的长期股权投资，按照发</w:t>
      </w:r>
      <w:r>
        <w:rPr/>
        <w:t> 行权益性证券的公允价值作为初始投资成本。</w:t>
      </w:r>
      <w:r>
        <w:rPr>
          <w:spacing w:val="31"/>
        </w:rPr>
        <w:t> </w:t>
      </w:r>
      <w:r>
        <w:rPr/>
        <w:t>投资者投入的长期股权投资，按照投资合同或协议约定的价值（扣除已宣告</w:t>
      </w:r>
      <w:r>
        <w:rPr/>
        <w:t> 但尚未发放的现金股利或利润）作为初始投资成本，但合同或协议约定价值不公允的除外。</w:t>
        <w:tab/>
        <w:t>在非货币性资产交换具备商 </w:t>
      </w:r>
      <w:r>
        <w:rPr>
          <w:spacing w:val="-2"/>
        </w:rPr>
        <w:t>业实质和换入资产或换出资产的公允价值能够可靠计量的前提下，非货币性资产交换换入的长期股权投资以换出资产的公允</w:t>
      </w:r>
      <w:r>
        <w:rPr>
          <w:spacing w:val="-63"/>
        </w:rPr>
        <w:t> </w:t>
      </w:r>
      <w:r>
        <w:rPr>
          <w:spacing w:val="-63"/>
        </w:rPr>
      </w:r>
      <w:r>
        <w:rPr>
          <w:spacing w:val="-4"/>
        </w:rPr>
        <w:t>价值为基础确定其初始投资成本，除非有确凿证据表明换入资产的公允价值更加可靠；不满足上述前提的非货币性资产交换，</w:t>
      </w:r>
      <w:r>
        <w:rPr>
          <w:spacing w:val="-44"/>
        </w:rPr>
        <w:t> </w:t>
      </w:r>
      <w:r>
        <w:rPr>
          <w:spacing w:val="-44"/>
        </w:rPr>
      </w:r>
      <w:r>
        <w:rPr/>
        <w:t>以换出资产的账面价值和应支付的相关税费作为换入长期股权投资的初始投资成本。 通过债务重组取得的长期股权投资，</w:t>
      </w:r>
      <w:r>
        <w:rPr/>
        <w:t> 其初始投资成本按照公允价值为基础确定。</w:t>
      </w:r>
    </w:p>
    <w:p>
      <w:pPr>
        <w:spacing w:after="0" w:line="316" w:lineRule="auto"/>
        <w:jc w:val="left"/>
        <w:sectPr>
          <w:pgSz w:w="11910" w:h="16840"/>
          <w:pgMar w:header="877" w:footer="1253" w:top="1060" w:bottom="14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034"/>
        <w:jc w:val="left"/>
      </w:pPr>
      <w:r>
        <w:rPr/>
        <w:t>（</w:t>
      </w:r>
      <w:r>
        <w:rPr>
          <w:rFonts w:ascii="Times New Roman" w:hAnsi="Times New Roman" w:cs="Times New Roman" w:eastAsia="Times New Roman" w:hint="default"/>
        </w:rPr>
        <w:t>1</w:t>
      </w:r>
      <w:r>
        <w:rPr/>
        <w:t>）后续计量 公司对子公司的长期股权投资，采用成本法核算，编制合并财务报表时按照权益法进行调整。</w:t>
      </w:r>
      <w:r>
        <w:rPr>
          <w:spacing w:val="1"/>
        </w:rPr>
        <w:t> </w:t>
      </w:r>
      <w:r>
        <w:rPr/>
        <w:t>对被投资</w:t>
      </w:r>
      <w:r>
        <w:rPr/>
        <w:t> 单位不具有共同控制或重大影响，并且在活跃市场中没有报价、公允价值不能可靠计量的长期股权投资，采用成本法核算。 </w:t>
      </w:r>
      <w:r>
        <w:rPr>
          <w:spacing w:val="-2"/>
        </w:rPr>
        <w:t>对被投资单位具有共同控制或重大影响的长期股权投资，采用权益法核算。初始投资成本大于投资时应享有被投资单位可辨</w:t>
      </w:r>
      <w:r>
        <w:rPr>
          <w:spacing w:val="-64"/>
        </w:rPr>
        <w:t> </w:t>
      </w:r>
      <w:r>
        <w:rPr>
          <w:spacing w:val="-64"/>
        </w:rPr>
      </w:r>
      <w:r>
        <w:rPr>
          <w:spacing w:val="-2"/>
        </w:rPr>
        <w:t>认净资产公允价值份额的差额，不调整长期股权投资的初始投资成本；初始投资成本小于投资时应享有被投资单位可辨认净</w:t>
      </w:r>
      <w:r>
        <w:rPr>
          <w:spacing w:val="-64"/>
        </w:rPr>
        <w:t> </w:t>
      </w:r>
      <w:r>
        <w:rPr>
          <w:spacing w:val="-64"/>
        </w:rPr>
      </w:r>
      <w:r>
        <w:rPr/>
        <w:t>资产公允价值份额的差额，计入当期损益。</w:t>
      </w:r>
      <w:r>
        <w:rPr>
          <w:spacing w:val="30"/>
        </w:rPr>
        <w:t> </w:t>
      </w:r>
      <w:r>
        <w:rPr/>
        <w:t>被投资单位除净损益以外所有者权益其他变动的处理：对于被投资单位除净损</w:t>
      </w:r>
      <w:r>
        <w:rPr/>
        <w:t> </w:t>
      </w:r>
      <w:r>
        <w:rPr>
          <w:spacing w:val="-2"/>
        </w:rPr>
        <w:t>益以外所有者权益的其他变动，在持股比例不变的情况下，公司按照持股比例计算应享有或承担的部分，调整长期股权投资</w:t>
      </w:r>
      <w:r>
        <w:rPr>
          <w:spacing w:val="-65"/>
        </w:rPr>
        <w:t> </w:t>
      </w:r>
      <w:r>
        <w:rPr>
          <w:spacing w:val="-65"/>
        </w:rPr>
      </w:r>
      <w:r>
        <w:rPr>
          <w:spacing w:val="-2"/>
        </w:rPr>
        <w:t>的账面价值，同时增加或减少资本公积（其他资本公积）。在持有投资期间，被投资单位能够提供合并财务报表的，应当以</w:t>
      </w:r>
      <w:r>
        <w:rPr>
          <w:spacing w:val="-72"/>
        </w:rPr>
        <w:t> </w:t>
      </w:r>
      <w:r>
        <w:rPr>
          <w:spacing w:val="-72"/>
        </w:rPr>
      </w:r>
      <w:r>
        <w:rPr>
          <w:spacing w:val="-5"/>
        </w:rPr>
        <w:t>合并财务报表，净利润和其他投资变动为基础进行核算。（</w:t>
      </w:r>
      <w:r>
        <w:rPr>
          <w:rFonts w:ascii="Times New Roman" w:hAnsi="Times New Roman" w:cs="Times New Roman" w:eastAsia="Times New Roman" w:hint="default"/>
          <w:spacing w:val="-5"/>
        </w:rPr>
        <w:t>2</w:t>
      </w:r>
      <w:r>
        <w:rPr>
          <w:spacing w:val="-5"/>
        </w:rPr>
        <w:t>）损益确认</w:t>
      </w:r>
      <w:r>
        <w:rPr>
          <w:spacing w:val="8"/>
        </w:rPr>
        <w:t> </w:t>
      </w:r>
      <w:r>
        <w:rPr>
          <w:spacing w:val="-1"/>
        </w:rPr>
        <w:t>成本法下，除取得投资时实际支付的价款或对价中</w:t>
      </w:r>
      <w:r>
        <w:rPr>
          <w:spacing w:val="-88"/>
        </w:rPr>
        <w:t> </w:t>
      </w:r>
      <w:r>
        <w:rPr>
          <w:spacing w:val="-88"/>
        </w:rPr>
      </w:r>
      <w:r>
        <w:rPr/>
        <w:t>包含的已宣告但尚未发放的现金股利或利润外，公司按照享有被投资单位宣告发放的现金股利或利润确认投资收益。</w:t>
      </w:r>
      <w:r>
        <w:rPr>
          <w:spacing w:val="25"/>
        </w:rPr>
        <w:t> </w:t>
      </w:r>
      <w:r>
        <w:rPr/>
        <w:t>权益</w:t>
      </w:r>
      <w:r>
        <w:rPr/>
        <w:t> </w:t>
      </w:r>
      <w:r>
        <w:rPr>
          <w:spacing w:val="-2"/>
        </w:rPr>
        <w:t>法下，投资企业在确认应享有被投资单位的净利润或净亏损时，以取得投资时被投资单位各项可辨认资产等的公允价值为基</w:t>
      </w:r>
      <w:r>
        <w:rPr>
          <w:spacing w:val="-64"/>
        </w:rPr>
        <w:t> </w:t>
      </w:r>
      <w:r>
        <w:rPr>
          <w:spacing w:val="-64"/>
        </w:rPr>
      </w:r>
      <w:r>
        <w:rPr>
          <w:spacing w:val="-2"/>
        </w:rPr>
        <w:t>础，对被投资单位的净利润进行调整后确认，投资企业与联营企业及合营企业之间发生的内部交易损益按照持股比例计算归</w:t>
      </w:r>
      <w:r>
        <w:rPr>
          <w:spacing w:val="-62"/>
        </w:rPr>
        <w:t> </w:t>
      </w:r>
      <w:r>
        <w:rPr>
          <w:spacing w:val="-62"/>
        </w:rPr>
      </w:r>
      <w:r>
        <w:rPr>
          <w:spacing w:val="-2"/>
        </w:rPr>
        <w:t>属于投资企业的部分，应当予以抵销，在此基础上确认投资损益；在公司确认应分担被投资单位发生的亏损时，按照以下顺</w:t>
      </w:r>
      <w:r>
        <w:rPr>
          <w:spacing w:val="-65"/>
        </w:rPr>
        <w:t> </w:t>
      </w:r>
      <w:r>
        <w:rPr>
          <w:spacing w:val="-65"/>
        </w:rPr>
      </w:r>
      <w:r>
        <w:rPr>
          <w:spacing w:val="-2"/>
        </w:rPr>
        <w:t>序进行处理：首先，冲减长期股权投资的账面价值。其次，长期股权投资的账面价值不足以冲减的，以其他实质上构成对被</w:t>
      </w:r>
      <w:r>
        <w:rPr>
          <w:spacing w:val="-67"/>
        </w:rPr>
        <w:t> </w:t>
      </w:r>
      <w:r>
        <w:rPr>
          <w:spacing w:val="-67"/>
        </w:rPr>
      </w:r>
      <w:r>
        <w:rPr>
          <w:spacing w:val="-2"/>
        </w:rPr>
        <w:t>投资单位净投资的长期权益账面价值为限继续确认投资损失，冲减长期应收项目等的账面价值。最后，经过上述处理，按照</w:t>
      </w:r>
      <w:r>
        <w:rPr>
          <w:spacing w:val="-66"/>
        </w:rPr>
        <w:t> </w:t>
      </w:r>
      <w:r>
        <w:rPr>
          <w:spacing w:val="-66"/>
        </w:rPr>
      </w:r>
      <w:r>
        <w:rPr/>
        <w:t>投资合同或协议约定企业仍承担额外义务的，按预计承担的义务确认预计负债，计入当期投资损失。</w:t>
      </w:r>
      <w:r>
        <w:rPr>
          <w:spacing w:val="31"/>
        </w:rPr>
        <w:t> </w:t>
      </w:r>
      <w:r>
        <w:rPr/>
        <w:t>被投资单位以后期间</w:t>
      </w:r>
      <w:r>
        <w:rPr/>
        <w:t> </w:t>
      </w:r>
      <w:r>
        <w:rPr>
          <w:spacing w:val="-2"/>
        </w:rPr>
        <w:t>实现盈利的，公司在扣除未确认的亏损分担额后，按与上述相反的顺序处理，减记已确认预计负债的账面余额、恢复其他实</w:t>
      </w:r>
      <w:r>
        <w:rPr>
          <w:spacing w:val="-64"/>
        </w:rPr>
        <w:t> </w:t>
      </w:r>
      <w:r>
        <w:rPr>
          <w:spacing w:val="-64"/>
        </w:rPr>
      </w:r>
      <w:r>
        <w:rPr/>
        <w:t>质上构成对被投资单位净投资的长期权益及长期股权投资的账面价值，同时确认投资收益。</w:t>
      </w:r>
    </w:p>
    <w:p>
      <w:pPr>
        <w:spacing w:line="240" w:lineRule="auto" w:before="8"/>
        <w:rPr>
          <w:rFonts w:ascii="宋体" w:hAnsi="宋体" w:cs="宋体" w:eastAsia="宋体" w:hint="default"/>
          <w:sz w:val="22"/>
          <w:szCs w:val="22"/>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0" w:firstLine="180"/>
        <w:jc w:val="both"/>
      </w:pPr>
      <w:r>
        <w:rPr>
          <w:spacing w:val="-2"/>
        </w:rPr>
        <w:t>按照合同约定对某项经济活动所共有的控制，仅在与该项经济活动相关的重要财务和经营决策需要分享控制权的投资方一</w:t>
      </w:r>
      <w:r>
        <w:rPr/>
        <w:t> </w:t>
      </w:r>
      <w:r>
        <w:rPr>
          <w:spacing w:val="-2"/>
        </w:rPr>
        <w:t>致同意时存在，则视为与其他方对被投资单位实施共同控制；对一个企业的财务和经营决策有参与决策的权力，但并不能够</w:t>
      </w:r>
      <w:r>
        <w:rPr>
          <w:spacing w:val="-63"/>
        </w:rPr>
        <w:t> </w:t>
      </w:r>
      <w:r>
        <w:rPr>
          <w:spacing w:val="-63"/>
        </w:rPr>
      </w:r>
      <w:r>
        <w:rPr/>
        <w:t>控制或者与其他方一起共同控制这些政策的制定，则视为投资企业能够对被投资单位施加重大影响。</w:t>
      </w:r>
    </w:p>
    <w:p>
      <w:pPr>
        <w:spacing w:line="614" w:lineRule="exact" w:before="5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资产负债表日，若因市价持续下跌或被投资单位经营状况恶化等原因使长期股权投资存在减值迹象</w:t>
      </w:r>
    </w:p>
    <w:p>
      <w:pPr>
        <w:spacing w:line="219" w:lineRule="exact"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时，根据单项长期股权投资的公允价值减去处置费用后的净额与长期股权投资预计未来现金流量的现值两</w:t>
      </w:r>
    </w:p>
    <w:p>
      <w:pPr>
        <w:spacing w:line="273" w:lineRule="auto" w:before="37"/>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者之间较高者确定长期股权投资的可收回金额。长期股权投资的可收回金额低于账面价值时，将资产的账</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面价值减记至可收回金额，减记的金额确认为资产减值损失，计入当期损益，同时计提相应的资产减值准</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备。</w:t>
      </w:r>
    </w:p>
    <w:p>
      <w:pPr>
        <w:spacing w:line="273" w:lineRule="auto" w:before="7"/>
        <w:ind w:left="152" w:right="1123" w:firstLine="420"/>
        <w:jc w:val="left"/>
        <w:rPr>
          <w:rFonts w:ascii="宋体" w:hAnsi="宋体" w:cs="宋体" w:eastAsia="宋体" w:hint="default"/>
          <w:sz w:val="21"/>
          <w:szCs w:val="21"/>
        </w:rPr>
      </w:pPr>
      <w:r>
        <w:rPr>
          <w:rFonts w:ascii="宋体" w:hAnsi="宋体" w:cs="宋体" w:eastAsia="宋体" w:hint="default"/>
          <w:spacing w:val="-2"/>
          <w:sz w:val="21"/>
          <w:szCs w:val="21"/>
        </w:rPr>
        <w:t>重大影响以下的、在活跃市场中没有报价、公允价值不能可靠计量的长期股权投资，其减值损失是根</w:t>
      </w:r>
      <w:r>
        <w:rPr>
          <w:rFonts w:ascii="宋体" w:hAnsi="宋体" w:cs="宋体" w:eastAsia="宋体" w:hint="default"/>
          <w:w w:val="100"/>
          <w:sz w:val="21"/>
          <w:szCs w:val="21"/>
        </w:rPr>
        <w:t> </w:t>
      </w:r>
      <w:r>
        <w:rPr>
          <w:rFonts w:ascii="宋体" w:hAnsi="宋体" w:cs="宋体" w:eastAsia="宋体" w:hint="default"/>
          <w:sz w:val="21"/>
          <w:szCs w:val="21"/>
        </w:rPr>
        <w:t>据其账面价值与按类似金融资产当时市场收益率对未来现金流量折现确定的现值之间的差额进行确定。</w:t>
      </w:r>
    </w:p>
    <w:p>
      <w:pPr>
        <w:spacing w:line="273" w:lineRule="auto" w:before="8"/>
        <w:ind w:left="152" w:right="1123" w:firstLine="420"/>
        <w:jc w:val="left"/>
        <w:rPr>
          <w:rFonts w:ascii="宋体" w:hAnsi="宋体" w:cs="宋体" w:eastAsia="宋体" w:hint="default"/>
          <w:sz w:val="21"/>
          <w:szCs w:val="21"/>
        </w:rPr>
      </w:pPr>
      <w:r>
        <w:rPr>
          <w:rFonts w:ascii="宋体" w:hAnsi="宋体" w:cs="宋体" w:eastAsia="宋体" w:hint="default"/>
          <w:spacing w:val="2"/>
          <w:sz w:val="21"/>
          <w:szCs w:val="21"/>
        </w:rPr>
        <w:t>除因企业合并形成的商誉以外的存在减值迹象的其他长期股权投资，如果可收回金额的计量结果表</w:t>
      </w:r>
      <w:r>
        <w:rPr>
          <w:rFonts w:ascii="宋体" w:hAnsi="宋体" w:cs="宋体" w:eastAsia="宋体" w:hint="default"/>
          <w:w w:val="100"/>
          <w:sz w:val="21"/>
          <w:szCs w:val="21"/>
        </w:rPr>
        <w:t> </w:t>
      </w:r>
      <w:r>
        <w:rPr>
          <w:rFonts w:ascii="宋体" w:hAnsi="宋体" w:cs="宋体" w:eastAsia="宋体" w:hint="default"/>
          <w:sz w:val="21"/>
          <w:szCs w:val="21"/>
        </w:rPr>
        <w:t>明，该长期股权投资的可收回金额低于其账面价值的，将差额确认为减值损失。</w:t>
      </w:r>
    </w:p>
    <w:p>
      <w:pPr>
        <w:spacing w:line="273" w:lineRule="auto" w:before="7"/>
        <w:ind w:left="152" w:right="1123" w:firstLine="420"/>
        <w:jc w:val="left"/>
        <w:rPr>
          <w:rFonts w:ascii="宋体" w:hAnsi="宋体" w:cs="宋体" w:eastAsia="宋体" w:hint="default"/>
          <w:sz w:val="21"/>
          <w:szCs w:val="21"/>
        </w:rPr>
      </w:pPr>
      <w:r>
        <w:rPr>
          <w:rFonts w:ascii="宋体" w:hAnsi="宋体" w:cs="宋体" w:eastAsia="宋体" w:hint="default"/>
          <w:spacing w:val="-2"/>
          <w:sz w:val="21"/>
          <w:szCs w:val="21"/>
        </w:rPr>
        <w:t>采用成本法核算的长期股权投资，因被投资单位宣告分派现金股利或利润确认投资收益后，考虑长期</w:t>
      </w:r>
      <w:r>
        <w:rPr>
          <w:rFonts w:ascii="宋体" w:hAnsi="宋体" w:cs="宋体" w:eastAsia="宋体" w:hint="default"/>
          <w:w w:val="100"/>
          <w:sz w:val="21"/>
          <w:szCs w:val="21"/>
        </w:rPr>
        <w:t> </w:t>
      </w:r>
      <w:r>
        <w:rPr>
          <w:rFonts w:ascii="宋体" w:hAnsi="宋体" w:cs="宋体" w:eastAsia="宋体" w:hint="default"/>
          <w:sz w:val="21"/>
          <w:szCs w:val="21"/>
        </w:rPr>
        <w:t>股权投资是否发生减值。</w:t>
      </w:r>
    </w:p>
    <w:p>
      <w:pPr>
        <w:spacing w:before="7"/>
        <w:ind w:left="573" w:right="1123" w:firstLine="0"/>
        <w:jc w:val="left"/>
        <w:rPr>
          <w:rFonts w:ascii="宋体" w:hAnsi="宋体" w:cs="宋体" w:eastAsia="宋体" w:hint="default"/>
          <w:sz w:val="21"/>
          <w:szCs w:val="21"/>
        </w:rPr>
      </w:pPr>
      <w:r>
        <w:rPr>
          <w:rFonts w:ascii="宋体" w:hAnsi="宋体" w:cs="宋体" w:eastAsia="宋体" w:hint="default"/>
          <w:sz w:val="21"/>
          <w:szCs w:val="21"/>
        </w:rPr>
        <w:t>长期股权投资减值损失一经确认，不再转回。</w:t>
      </w:r>
    </w:p>
    <w:p>
      <w:pPr>
        <w:spacing w:after="0"/>
        <w:jc w:val="left"/>
        <w:rPr>
          <w:rFonts w:ascii="宋体" w:hAnsi="宋体" w:cs="宋体" w:eastAsia="宋体" w:hint="default"/>
          <w:sz w:val="21"/>
          <w:szCs w:val="21"/>
        </w:rPr>
        <w:sectPr>
          <w:pgSz w:w="11910" w:h="16840"/>
          <w:pgMar w:header="877" w:footer="1253" w:top="1060" w:bottom="1440" w:left="980" w:right="0"/>
        </w:sectPr>
      </w:pPr>
    </w:p>
    <w:p>
      <w:pPr>
        <w:spacing w:line="240" w:lineRule="auto" w:before="10"/>
        <w:rPr>
          <w:rFonts w:ascii="宋体" w:hAnsi="宋体" w:cs="宋体" w:eastAsia="宋体" w:hint="default"/>
          <w:sz w:val="24"/>
          <w:szCs w:val="24"/>
        </w:rPr>
      </w:pPr>
    </w:p>
    <w:p>
      <w:pPr>
        <w:spacing w:before="36"/>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right="0" w:firstLine="182"/>
        <w:jc w:val="left"/>
      </w:pPr>
      <w:r>
        <w:rPr>
          <w:spacing w:val="-2"/>
        </w:rPr>
        <w:t>固定资产指为生产商品、提供劳务、出租或经营管理而持有，并且使用寿命超过一个会计年度的有形资产。固定资产在同</w:t>
      </w:r>
      <w:r>
        <w:rPr/>
        <w:t> </w:t>
      </w:r>
      <w:r>
        <w:rPr>
          <w:spacing w:val="-4"/>
        </w:rPr>
        <w:t>时满足下列条件时予以确认：（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4"/>
        <w:rPr>
          <w:rFonts w:ascii="宋体" w:hAnsi="宋体" w:cs="宋体" w:eastAsia="宋体" w:hint="default"/>
          <w:sz w:val="21"/>
          <w:szCs w:val="21"/>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0" w:firstLine="360"/>
        <w:jc w:val="left"/>
      </w:pPr>
      <w:r>
        <w:rPr>
          <w:spacing w:val="-4"/>
        </w:rPr>
        <w:t>当公司租入的固定资产符合下列一项或数项标准时，确认为融资租入固定资产：（</w:t>
      </w:r>
      <w:r>
        <w:rPr>
          <w:rFonts w:ascii="Times New Roman" w:hAnsi="Times New Roman" w:cs="Times New Roman" w:eastAsia="Times New Roman" w:hint="default"/>
          <w:spacing w:val="-4"/>
        </w:rPr>
        <w:t>1</w:t>
      </w:r>
      <w:r>
        <w:rPr>
          <w:spacing w:val="-4"/>
        </w:rPr>
        <w:t>）在租赁期届满时，租赁资产的所有</w:t>
      </w:r>
      <w:r>
        <w:rPr/>
        <w:t> </w:t>
      </w:r>
      <w:r>
        <w:rPr>
          <w:spacing w:val="-4"/>
        </w:rPr>
        <w:t>权转移给公司。（</w:t>
      </w:r>
      <w:r>
        <w:rPr>
          <w:rFonts w:ascii="Times New Roman" w:hAnsi="Times New Roman" w:cs="Times New Roman" w:eastAsia="Times New Roman" w:hint="default"/>
          <w:spacing w:val="-4"/>
        </w:rPr>
        <w:t>2</w:t>
      </w:r>
      <w:r>
        <w:rPr>
          <w:spacing w:val="-4"/>
        </w:rPr>
        <w:t>）公司有购买租赁资产的选择权，所订立的购买价款预计将远低于行使选择权时租赁资产的公允价值，因</w:t>
      </w:r>
      <w:r>
        <w:rPr>
          <w:spacing w:val="-44"/>
        </w:rPr>
        <w:t> </w:t>
      </w:r>
      <w:r>
        <w:rPr>
          <w:spacing w:val="-44"/>
        </w:rPr>
      </w:r>
      <w:r>
        <w:rPr>
          <w:spacing w:val="-4"/>
        </w:rPr>
        <w:t>而在租赁开始日就可以合理确定公司将会行使这种选择权。（</w:t>
      </w:r>
      <w:r>
        <w:rPr>
          <w:rFonts w:ascii="Times New Roman" w:hAnsi="Times New Roman" w:cs="Times New Roman" w:eastAsia="Times New Roman" w:hint="default"/>
          <w:spacing w:val="-4"/>
        </w:rPr>
        <w:t>3</w:t>
      </w:r>
      <w:r>
        <w:rPr>
          <w:spacing w:val="-4"/>
        </w:rPr>
        <w:t>）即使资产的所有权不转移，但租赁期占租赁资产使用寿命的</w:t>
      </w:r>
      <w:r>
        <w:rPr>
          <w:spacing w:val="-43"/>
        </w:rPr>
        <w:t> </w:t>
      </w:r>
      <w:r>
        <w:rPr>
          <w:spacing w:val="-43"/>
        </w:rPr>
      </w:r>
      <w:r>
        <w:rPr>
          <w:spacing w:val="-7"/>
        </w:rPr>
        <w:t>大部分。（</w:t>
      </w:r>
      <w:r>
        <w:rPr>
          <w:rFonts w:ascii="Times New Roman" w:hAnsi="Times New Roman" w:cs="Times New Roman" w:eastAsia="Times New Roman" w:hint="default"/>
          <w:spacing w:val="-7"/>
        </w:rPr>
        <w:t>4</w:t>
      </w:r>
      <w:r>
        <w:rPr>
          <w:spacing w:val="-7"/>
        </w:rPr>
        <w:t>）公司在租赁开始日的最低租赁付款额现值，几乎相当于租赁开始日租赁资产公允价值。（</w:t>
      </w:r>
      <w:r>
        <w:rPr>
          <w:rFonts w:ascii="Times New Roman" w:hAnsi="Times New Roman" w:cs="Times New Roman" w:eastAsia="Times New Roman" w:hint="default"/>
          <w:spacing w:val="-7"/>
        </w:rPr>
        <w:t>5</w:t>
      </w:r>
      <w:r>
        <w:rPr>
          <w:spacing w:val="-7"/>
        </w:rPr>
        <w:t>）租赁资产性质特殊，</w:t>
      </w:r>
      <w:r>
        <w:rPr>
          <w:spacing w:val="-46"/>
        </w:rPr>
        <w:t> </w:t>
      </w:r>
      <w:r>
        <w:rPr>
          <w:spacing w:val="-46"/>
        </w:rPr>
      </w:r>
      <w:r>
        <w:rPr/>
        <w:t>如果不作较大改造，只有公司才能使用。</w:t>
      </w:r>
      <w:r>
        <w:rPr>
          <w:spacing w:val="31"/>
        </w:rPr>
        <w:t> </w:t>
      </w:r>
      <w:r>
        <w:rPr/>
        <w:t>融资租赁租入的固定资产，按租赁开始日租赁资产公允价值与最低租赁付款额的</w:t>
      </w:r>
      <w:r>
        <w:rPr/>
        <w:t> </w:t>
      </w:r>
      <w:r>
        <w:rPr>
          <w:spacing w:val="-2"/>
        </w:rPr>
        <w:t>现值两者中较低者，作为入账价值。最低租赁付款额作为长期应付款的入账价值，其差额作为未确认融资费用。在租赁谈判</w:t>
      </w:r>
      <w:r>
        <w:rPr>
          <w:spacing w:val="-65"/>
        </w:rPr>
        <w:t> </w:t>
      </w:r>
      <w:r>
        <w:rPr>
          <w:spacing w:val="-65"/>
        </w:rPr>
      </w:r>
      <w:r>
        <w:rPr>
          <w:spacing w:val="-4"/>
        </w:rPr>
        <w:t>和签订租赁合同过程中发生的，可归属于租赁项目的手续费、律师费、差旅费、印花税等初始直接费用，计入租入资产价值。</w:t>
      </w:r>
      <w:r>
        <w:rPr>
          <w:spacing w:val="-45"/>
        </w:rPr>
        <w:t> </w:t>
      </w:r>
      <w:r>
        <w:rPr>
          <w:spacing w:val="-45"/>
        </w:rPr>
      </w:r>
      <w:r>
        <w:rPr/>
        <w:t>未确认融资费用在租赁期内各个期间采用实际利率法进行分摊。</w:t>
      </w:r>
      <w:r>
        <w:rPr>
          <w:spacing w:val="9"/>
        </w:rPr>
        <w:t> </w:t>
      </w:r>
      <w:r>
        <w:rPr/>
        <w:t>公司采用与自有固定资产相一致的折旧政策计提融资租入</w:t>
      </w:r>
      <w:r>
        <w:rPr/>
        <w:t> </w:t>
      </w:r>
      <w:r>
        <w:rPr>
          <w:spacing w:val="-2"/>
        </w:rPr>
        <w:t>固定资产折旧。能够合理确定租赁期届满时取得租赁资产所有权的，在租赁资产使用寿命内计提折旧。无法合理确定租赁期</w:t>
      </w:r>
      <w:r>
        <w:rPr>
          <w:spacing w:val="-63"/>
        </w:rPr>
        <w:t> </w:t>
      </w:r>
      <w:r>
        <w:rPr>
          <w:spacing w:val="-63"/>
        </w:rPr>
      </w:r>
      <w:r>
        <w:rPr/>
        <w:t>届满时能够取得租赁资产所有权的，在租赁期与租赁资产使用寿命两者中较短的期间内计提折旧。</w:t>
      </w:r>
    </w:p>
    <w:p>
      <w:pPr>
        <w:spacing w:line="614" w:lineRule="exact" w:before="55"/>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）各类固定资产的折旧方法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除已提足折旧仍继续使用的固定资产之外，固定资产折旧采用年限平均法分类计提，根据固定资产类</w:t>
      </w:r>
    </w:p>
    <w:p>
      <w:pPr>
        <w:spacing w:line="219" w:lineRule="exact" w:before="0"/>
        <w:ind w:left="152" w:right="1123" w:firstLine="0"/>
        <w:jc w:val="left"/>
        <w:rPr>
          <w:rFonts w:ascii="宋体" w:hAnsi="宋体" w:cs="宋体" w:eastAsia="宋体" w:hint="default"/>
          <w:sz w:val="21"/>
          <w:szCs w:val="21"/>
        </w:rPr>
      </w:pPr>
      <w:r>
        <w:rPr>
          <w:rFonts w:ascii="宋体" w:hAnsi="宋体" w:cs="宋体" w:eastAsia="宋体" w:hint="default"/>
          <w:sz w:val="21"/>
          <w:szCs w:val="21"/>
        </w:rPr>
        <w:t>别、预计使用寿命和预计净残值率确定折旧率。</w:t>
      </w:r>
    </w:p>
    <w:p>
      <w:pPr>
        <w:spacing w:line="273" w:lineRule="auto" w:before="3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融资租赁方式租入的固定资产，能合理确定租赁期届满时将会取得租赁资产所有权的，在租赁资产尚</w:t>
      </w:r>
      <w:r>
        <w:rPr>
          <w:rFonts w:ascii="宋体" w:hAnsi="宋体" w:cs="宋体" w:eastAsia="宋体" w:hint="default"/>
          <w:w w:val="100"/>
          <w:sz w:val="21"/>
          <w:szCs w:val="21"/>
        </w:rPr>
        <w:t> </w:t>
      </w:r>
      <w:r>
        <w:rPr>
          <w:rFonts w:ascii="宋体" w:hAnsi="宋体" w:cs="宋体" w:eastAsia="宋体" w:hint="default"/>
          <w:spacing w:val="-2"/>
          <w:sz w:val="21"/>
          <w:szCs w:val="21"/>
        </w:rPr>
        <w:t>可使用年限内计提折旧；无法合理确定租赁期届满时能够取得租赁资产所有权的，在租赁期与租赁资产尚</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可使用年限两者中较短的期间内计提折旧。</w:t>
      </w:r>
    </w:p>
    <w:p>
      <w:pPr>
        <w:spacing w:line="273" w:lineRule="auto" w:before="7"/>
        <w:ind w:left="152" w:right="1123" w:firstLine="420"/>
        <w:jc w:val="left"/>
        <w:rPr>
          <w:rFonts w:ascii="宋体" w:hAnsi="宋体" w:cs="宋体" w:eastAsia="宋体" w:hint="default"/>
          <w:sz w:val="21"/>
          <w:szCs w:val="21"/>
        </w:rPr>
      </w:pPr>
      <w:r>
        <w:rPr>
          <w:rFonts w:ascii="宋体" w:hAnsi="宋体" w:cs="宋体" w:eastAsia="宋体" w:hint="default"/>
          <w:spacing w:val="-2"/>
          <w:sz w:val="21"/>
          <w:szCs w:val="21"/>
        </w:rPr>
        <w:t>利用专项储备支出形成的固定资产，按照形成固定资产的成本冲减专项储备，并确认相同金额的累计</w:t>
      </w:r>
      <w:r>
        <w:rPr>
          <w:rFonts w:ascii="宋体" w:hAnsi="宋体" w:cs="宋体" w:eastAsia="宋体" w:hint="default"/>
          <w:w w:val="100"/>
          <w:sz w:val="21"/>
          <w:szCs w:val="21"/>
        </w:rPr>
        <w:t> </w:t>
      </w:r>
      <w:r>
        <w:rPr>
          <w:rFonts w:ascii="宋体" w:hAnsi="宋体" w:cs="宋体" w:eastAsia="宋体" w:hint="default"/>
          <w:sz w:val="21"/>
          <w:szCs w:val="21"/>
        </w:rPr>
        <w:t>折旧。该固定资产在以后期间不再计提折旧。</w:t>
      </w:r>
    </w:p>
    <w:p>
      <w:pPr>
        <w:spacing w:line="273" w:lineRule="auto" w:before="7"/>
        <w:ind w:left="152" w:right="1123" w:firstLine="420"/>
        <w:jc w:val="left"/>
        <w:rPr>
          <w:rFonts w:ascii="宋体" w:hAnsi="宋体" w:cs="宋体" w:eastAsia="宋体" w:hint="default"/>
          <w:sz w:val="21"/>
          <w:szCs w:val="21"/>
        </w:rPr>
      </w:pPr>
      <w:r>
        <w:rPr>
          <w:rFonts w:ascii="宋体" w:hAnsi="宋体" w:cs="宋体" w:eastAsia="宋体" w:hint="default"/>
          <w:spacing w:val="-2"/>
          <w:sz w:val="21"/>
          <w:szCs w:val="21"/>
        </w:rPr>
        <w:t>公司根据固定资产的性质和使用情况，确定固定资产的使用寿命和预计净残值。并在年度终了，对固</w:t>
      </w:r>
      <w:r>
        <w:rPr>
          <w:rFonts w:ascii="宋体" w:hAnsi="宋体" w:cs="宋体" w:eastAsia="宋体" w:hint="default"/>
          <w:w w:val="100"/>
          <w:sz w:val="21"/>
          <w:szCs w:val="21"/>
        </w:rPr>
        <w:t> </w:t>
      </w:r>
      <w:r>
        <w:rPr>
          <w:rFonts w:ascii="宋体" w:hAnsi="宋体" w:cs="宋体" w:eastAsia="宋体" w:hint="default"/>
          <w:sz w:val="21"/>
          <w:szCs w:val="21"/>
        </w:rPr>
        <w:t>定资产的使用寿命、预计净残值和折旧方法进行复核，如与原先估计数存在差异的，进行相应的调整。</w:t>
      </w:r>
    </w:p>
    <w:p>
      <w:pPr>
        <w:spacing w:before="7"/>
        <w:ind w:left="573" w:right="1123" w:firstLine="0"/>
        <w:jc w:val="left"/>
        <w:rPr>
          <w:rFonts w:ascii="宋体" w:hAnsi="宋体" w:cs="宋体" w:eastAsia="宋体" w:hint="default"/>
          <w:sz w:val="21"/>
          <w:szCs w:val="21"/>
        </w:rPr>
      </w:pPr>
      <w:r>
        <w:rPr>
          <w:rFonts w:ascii="宋体" w:hAnsi="宋体" w:cs="宋体" w:eastAsia="宋体" w:hint="default"/>
          <w:sz w:val="21"/>
          <w:szCs w:val="21"/>
        </w:rPr>
        <w:t>各类固定资产折旧年限和年折旧率如下：</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w:t>
            </w: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w:t>
            </w:r>
            <w:r>
              <w:rPr>
                <w:rFonts w:ascii="Times New Roman"/>
                <w:sz w:val="18"/>
              </w:rPr>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9.5-19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sz w:val="19"/>
          <w:szCs w:val="19"/>
        </w:rPr>
      </w:pPr>
    </w:p>
    <w:p>
      <w:pPr>
        <w:spacing w:before="36"/>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）固定资产的减值测试方法、减值准备计提方法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73" w:lineRule="auto" w:before="0"/>
        <w:ind w:left="573" w:right="1123" w:firstLine="0"/>
        <w:jc w:val="left"/>
        <w:rPr>
          <w:rFonts w:ascii="宋体" w:hAnsi="宋体" w:cs="宋体" w:eastAsia="宋体" w:hint="default"/>
          <w:sz w:val="21"/>
          <w:szCs w:val="21"/>
        </w:rPr>
      </w:pPr>
      <w:r>
        <w:rPr>
          <w:rFonts w:ascii="宋体" w:hAnsi="宋体" w:cs="宋体" w:eastAsia="宋体" w:hint="default"/>
          <w:sz w:val="21"/>
          <w:szCs w:val="21"/>
        </w:rPr>
        <w:t>公司在每期末判断固定资产是否存在可能发生减值的迹象。</w:t>
      </w:r>
      <w:r>
        <w:rPr>
          <w:rFonts w:ascii="宋体" w:hAnsi="宋体" w:cs="宋体" w:eastAsia="宋体" w:hint="default"/>
          <w:w w:val="100"/>
          <w:sz w:val="21"/>
          <w:szCs w:val="21"/>
        </w:rPr>
        <w:t> </w:t>
      </w:r>
      <w:r>
        <w:rPr>
          <w:rFonts w:ascii="宋体" w:hAnsi="宋体" w:cs="宋体" w:eastAsia="宋体" w:hint="default"/>
          <w:spacing w:val="-2"/>
          <w:sz w:val="21"/>
          <w:szCs w:val="21"/>
        </w:rPr>
        <w:t>固定资产存在减值迹象的，估计其可收回金额。可收回金额根据固定资产的公允价值减去处置费用后</w:t>
      </w:r>
    </w:p>
    <w:p>
      <w:pPr>
        <w:spacing w:before="7"/>
        <w:ind w:left="152" w:right="1123" w:firstLine="0"/>
        <w:jc w:val="left"/>
        <w:rPr>
          <w:rFonts w:ascii="宋体" w:hAnsi="宋体" w:cs="宋体" w:eastAsia="宋体" w:hint="default"/>
          <w:sz w:val="21"/>
          <w:szCs w:val="21"/>
        </w:rPr>
      </w:pPr>
      <w:r>
        <w:rPr>
          <w:rFonts w:ascii="宋体" w:hAnsi="宋体" w:cs="宋体" w:eastAsia="宋体" w:hint="default"/>
          <w:sz w:val="21"/>
          <w:szCs w:val="21"/>
        </w:rPr>
        <w:t>的净额与固定资产预计未来现金流量的现值两者之间较高者确定。</w:t>
      </w:r>
    </w:p>
    <w:p>
      <w:pPr>
        <w:spacing w:after="0"/>
        <w:jc w:val="left"/>
        <w:rPr>
          <w:rFonts w:ascii="宋体" w:hAnsi="宋体" w:cs="宋体" w:eastAsia="宋体" w:hint="default"/>
          <w:sz w:val="21"/>
          <w:szCs w:val="21"/>
        </w:rPr>
        <w:sectPr>
          <w:pgSz w:w="11910" w:h="16840"/>
          <w:pgMar w:header="877" w:footer="1253" w:top="1060" w:bottom="1440" w:left="980" w:right="0"/>
        </w:sectPr>
      </w:pPr>
    </w:p>
    <w:p>
      <w:pPr>
        <w:spacing w:line="240" w:lineRule="auto" w:before="10"/>
        <w:rPr>
          <w:rFonts w:ascii="宋体" w:hAnsi="宋体" w:cs="宋体" w:eastAsia="宋体" w:hint="default"/>
          <w:sz w:val="24"/>
          <w:szCs w:val="24"/>
        </w:rPr>
      </w:pPr>
    </w:p>
    <w:p>
      <w:pPr>
        <w:spacing w:line="273" w:lineRule="auto" w:before="36"/>
        <w:ind w:left="152" w:right="1123" w:firstLine="420"/>
        <w:jc w:val="left"/>
        <w:rPr>
          <w:rFonts w:ascii="宋体" w:hAnsi="宋体" w:cs="宋体" w:eastAsia="宋体" w:hint="default"/>
          <w:sz w:val="21"/>
          <w:szCs w:val="21"/>
        </w:rPr>
      </w:pPr>
      <w:r>
        <w:rPr>
          <w:rFonts w:ascii="宋体" w:hAnsi="宋体" w:cs="宋体" w:eastAsia="宋体" w:hint="default"/>
          <w:spacing w:val="-2"/>
          <w:sz w:val="21"/>
          <w:szCs w:val="21"/>
        </w:rPr>
        <w:t>当固定资产的可收回金额低于其账面价值的，将固定资产的账面价值减记至可收回金额，减记的金额</w:t>
      </w:r>
      <w:r>
        <w:rPr>
          <w:rFonts w:ascii="宋体" w:hAnsi="宋体" w:cs="宋体" w:eastAsia="宋体" w:hint="default"/>
          <w:w w:val="100"/>
          <w:sz w:val="21"/>
          <w:szCs w:val="21"/>
        </w:rPr>
        <w:t> </w:t>
      </w:r>
      <w:r>
        <w:rPr>
          <w:rFonts w:ascii="宋体" w:hAnsi="宋体" w:cs="宋体" w:eastAsia="宋体" w:hint="default"/>
          <w:sz w:val="21"/>
          <w:szCs w:val="21"/>
        </w:rPr>
        <w:t>确认为固定资产减值损失，计入当期损益，同时计提相应的固定资产减值准备。</w:t>
      </w:r>
    </w:p>
    <w:p>
      <w:pPr>
        <w:spacing w:line="273" w:lineRule="auto" w:before="7"/>
        <w:ind w:left="152" w:right="1123" w:firstLine="420"/>
        <w:jc w:val="left"/>
        <w:rPr>
          <w:rFonts w:ascii="宋体" w:hAnsi="宋体" w:cs="宋体" w:eastAsia="宋体" w:hint="default"/>
          <w:sz w:val="21"/>
          <w:szCs w:val="21"/>
        </w:rPr>
      </w:pPr>
      <w:r>
        <w:rPr>
          <w:rFonts w:ascii="宋体" w:hAnsi="宋体" w:cs="宋体" w:eastAsia="宋体" w:hint="default"/>
          <w:spacing w:val="-2"/>
          <w:sz w:val="21"/>
          <w:szCs w:val="21"/>
        </w:rPr>
        <w:t>固定资产减值损失确认后，减值固定资产的折旧在未来期间作相应调整，以使该固定资产在剩余使用</w:t>
      </w:r>
      <w:r>
        <w:rPr>
          <w:rFonts w:ascii="宋体" w:hAnsi="宋体" w:cs="宋体" w:eastAsia="宋体" w:hint="default"/>
          <w:w w:val="100"/>
          <w:sz w:val="21"/>
          <w:szCs w:val="21"/>
        </w:rPr>
        <w:t> </w:t>
      </w:r>
      <w:r>
        <w:rPr>
          <w:rFonts w:ascii="宋体" w:hAnsi="宋体" w:cs="宋体" w:eastAsia="宋体" w:hint="default"/>
          <w:sz w:val="21"/>
          <w:szCs w:val="21"/>
        </w:rPr>
        <w:t>寿命内，系统地分摊调整后的固定资产账面价值（扣除预计净残值）。</w:t>
      </w:r>
    </w:p>
    <w:p>
      <w:pPr>
        <w:spacing w:line="273" w:lineRule="auto" w:before="7"/>
        <w:ind w:left="573" w:right="1123" w:firstLine="0"/>
        <w:jc w:val="left"/>
        <w:rPr>
          <w:rFonts w:ascii="宋体" w:hAnsi="宋体" w:cs="宋体" w:eastAsia="宋体" w:hint="default"/>
          <w:sz w:val="21"/>
          <w:szCs w:val="21"/>
        </w:rPr>
      </w:pPr>
      <w:r>
        <w:rPr>
          <w:rFonts w:ascii="宋体" w:hAnsi="宋体" w:cs="宋体" w:eastAsia="宋体" w:hint="default"/>
          <w:sz w:val="21"/>
          <w:szCs w:val="21"/>
        </w:rPr>
        <w:t>固定资产的减值损失一经确认，在以后会计期间不再转回。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2"/>
          <w:sz w:val="21"/>
          <w:szCs w:val="21"/>
        </w:rPr>
        <w:t>有迹象表明一项固定资产可能发生减值的，企业以单项固定资产为基础估计其可收回金额。企业难以</w:t>
      </w:r>
    </w:p>
    <w:p>
      <w:pPr>
        <w:spacing w:before="7"/>
        <w:ind w:left="152" w:right="0" w:firstLine="0"/>
        <w:jc w:val="left"/>
        <w:rPr>
          <w:rFonts w:ascii="宋体" w:hAnsi="宋体" w:cs="宋体" w:eastAsia="宋体" w:hint="default"/>
          <w:sz w:val="21"/>
          <w:szCs w:val="21"/>
        </w:rPr>
      </w:pPr>
      <w:r>
        <w:rPr>
          <w:rFonts w:ascii="宋体" w:hAnsi="宋体" w:cs="宋体" w:eastAsia="宋体" w:hint="default"/>
          <w:sz w:val="21"/>
          <w:szCs w:val="21"/>
        </w:rPr>
        <w:t>对单项固定资产的可收回金额进行估计的，以该固定资产所属的资产组为基础确定资产组的可收回金额。</w:t>
      </w:r>
    </w:p>
    <w:p>
      <w:pPr>
        <w:spacing w:line="240" w:lineRule="auto" w:before="10"/>
        <w:rPr>
          <w:rFonts w:ascii="宋体" w:hAnsi="宋体" w:cs="宋体" w:eastAsia="宋体" w:hint="default"/>
          <w:sz w:val="25"/>
          <w:szCs w:val="25"/>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right="1131" w:firstLine="182"/>
        <w:jc w:val="both"/>
      </w:pPr>
      <w:r>
        <w:rPr>
          <w:spacing w:val="-2"/>
        </w:rPr>
        <w:t>公司自行建造的在建工程按实际成本计价，实际成本由建造该项资产达到预定可使用状态前所发生的必要支出构成。公司</w:t>
      </w:r>
      <w:r>
        <w:rPr/>
        <w:t> 的在建工程以项目分类核算。</w:t>
      </w:r>
    </w:p>
    <w:p>
      <w:pPr>
        <w:spacing w:line="240" w:lineRule="auto" w:before="10"/>
        <w:rPr>
          <w:rFonts w:ascii="宋体" w:hAnsi="宋体" w:cs="宋体" w:eastAsia="宋体" w:hint="default"/>
          <w:sz w:val="22"/>
          <w:szCs w:val="22"/>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180"/>
        <w:jc w:val="both"/>
      </w:pPr>
      <w:r>
        <w:rPr>
          <w:spacing w:val="-2"/>
        </w:rPr>
        <w:t>在建工程项目按建造该项资产达到预定可使用状态前所发生的全部支出，作为固定资产的入账价值。所建造的固定资产在</w:t>
      </w:r>
      <w:r>
        <w:rPr/>
        <w:t> </w:t>
      </w:r>
      <w:r>
        <w:rPr>
          <w:spacing w:val="-2"/>
        </w:rPr>
        <w:t>建工程已达到预定可使用状态，但尚未办理竣工决算的，自达到预定可使用状态之日起，根据工程预算、造价或者工程实际</w:t>
      </w:r>
      <w:r>
        <w:rPr>
          <w:spacing w:val="-64"/>
        </w:rPr>
        <w:t> </w:t>
      </w:r>
      <w:r>
        <w:rPr>
          <w:spacing w:val="-64"/>
        </w:rPr>
      </w:r>
      <w:r>
        <w:rPr>
          <w:spacing w:val="-2"/>
        </w:rPr>
        <w:t>成本等，按估计的价值转入固定资产，并按公司固定资产折旧政策计提固定资产的折旧，待办理竣工决算后，再按实际成本</w:t>
      </w:r>
      <w:r>
        <w:rPr>
          <w:spacing w:val="-65"/>
        </w:rPr>
        <w:t> </w:t>
      </w:r>
      <w:r>
        <w:rPr>
          <w:spacing w:val="-65"/>
        </w:rPr>
      </w:r>
      <w:r>
        <w:rPr/>
        <w:t>调整原来的暂估价值，但不调整原已计提的折旧额。</w:t>
      </w:r>
    </w:p>
    <w:p>
      <w:pPr>
        <w:spacing w:line="240" w:lineRule="auto" w:before="8"/>
        <w:rPr>
          <w:rFonts w:ascii="宋体" w:hAnsi="宋体" w:cs="宋体" w:eastAsia="宋体" w:hint="default"/>
          <w:sz w:val="22"/>
          <w:szCs w:val="22"/>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10"/>
        <w:rPr>
          <w:rFonts w:ascii="宋体" w:hAnsi="宋体" w:cs="宋体" w:eastAsia="宋体" w:hint="default"/>
          <w:b/>
          <w:bCs/>
          <w:sz w:val="24"/>
          <w:szCs w:val="24"/>
        </w:rPr>
      </w:pPr>
    </w:p>
    <w:p>
      <w:pPr>
        <w:spacing w:line="273" w:lineRule="auto" w:before="0"/>
        <w:ind w:left="573" w:right="1123" w:firstLine="0"/>
        <w:jc w:val="left"/>
        <w:rPr>
          <w:rFonts w:ascii="宋体" w:hAnsi="宋体" w:cs="宋体" w:eastAsia="宋体" w:hint="default"/>
          <w:sz w:val="21"/>
          <w:szCs w:val="21"/>
        </w:rPr>
      </w:pPr>
      <w:r>
        <w:rPr>
          <w:rFonts w:ascii="宋体" w:hAnsi="宋体" w:cs="宋体" w:eastAsia="宋体" w:hint="default"/>
          <w:sz w:val="21"/>
          <w:szCs w:val="21"/>
        </w:rPr>
        <w:t>公司在每期末判断在建工程是否存在可能发生减值的迹象。</w:t>
      </w:r>
      <w:r>
        <w:rPr>
          <w:rFonts w:ascii="宋体" w:hAnsi="宋体" w:cs="宋体" w:eastAsia="宋体" w:hint="default"/>
          <w:w w:val="100"/>
          <w:sz w:val="21"/>
          <w:szCs w:val="21"/>
        </w:rPr>
        <w:t> </w:t>
      </w:r>
      <w:r>
        <w:rPr>
          <w:rFonts w:ascii="宋体" w:hAnsi="宋体" w:cs="宋体" w:eastAsia="宋体" w:hint="default"/>
          <w:spacing w:val="-2"/>
          <w:sz w:val="21"/>
          <w:szCs w:val="21"/>
        </w:rPr>
        <w:t>在建工程存在减值迹象的，估计其可收回金额。可收回金额根据在建工程的公允价值减去处置费用后</w:t>
      </w:r>
    </w:p>
    <w:p>
      <w:pPr>
        <w:spacing w:line="273" w:lineRule="auto" w:before="7"/>
        <w:ind w:left="573" w:right="1123" w:hanging="421"/>
        <w:jc w:val="left"/>
        <w:rPr>
          <w:rFonts w:ascii="宋体" w:hAnsi="宋体" w:cs="宋体" w:eastAsia="宋体" w:hint="default"/>
          <w:sz w:val="21"/>
          <w:szCs w:val="21"/>
        </w:rPr>
      </w:pPr>
      <w:r>
        <w:rPr>
          <w:rFonts w:ascii="宋体" w:hAnsi="宋体" w:cs="宋体" w:eastAsia="宋体" w:hint="default"/>
          <w:sz w:val="21"/>
          <w:szCs w:val="21"/>
        </w:rPr>
        <w:t>的净额与在建工程预计未来现金流量的现值两者之间较高者确定。</w:t>
      </w:r>
      <w:r>
        <w:rPr>
          <w:rFonts w:ascii="宋体" w:hAnsi="宋体" w:cs="宋体" w:eastAsia="宋体" w:hint="default"/>
          <w:w w:val="100"/>
          <w:sz w:val="21"/>
          <w:szCs w:val="21"/>
        </w:rPr>
        <w:t> </w:t>
      </w:r>
      <w:r>
        <w:rPr>
          <w:rFonts w:ascii="宋体" w:hAnsi="宋体" w:cs="宋体" w:eastAsia="宋体" w:hint="default"/>
          <w:spacing w:val="-2"/>
          <w:sz w:val="21"/>
          <w:szCs w:val="21"/>
        </w:rPr>
        <w:t>当在建工程的可收回金额低于其账面价值的，将在建工程的账面价值减记至可收回金额，减记的金额</w:t>
      </w:r>
    </w:p>
    <w:p>
      <w:pPr>
        <w:spacing w:line="273" w:lineRule="auto" w:before="7"/>
        <w:ind w:left="573" w:right="1123" w:hanging="421"/>
        <w:jc w:val="left"/>
        <w:rPr>
          <w:rFonts w:ascii="宋体" w:hAnsi="宋体" w:cs="宋体" w:eastAsia="宋体" w:hint="default"/>
          <w:sz w:val="21"/>
          <w:szCs w:val="21"/>
        </w:rPr>
      </w:pPr>
      <w:r>
        <w:rPr>
          <w:rFonts w:ascii="宋体" w:hAnsi="宋体" w:cs="宋体" w:eastAsia="宋体" w:hint="default"/>
          <w:sz w:val="21"/>
          <w:szCs w:val="21"/>
        </w:rPr>
        <w:t>确认为在建工程减值损失，计入当期损益，同时计提相应的在建工程减值准备。</w:t>
      </w:r>
      <w:r>
        <w:rPr>
          <w:rFonts w:ascii="宋体" w:hAnsi="宋体" w:cs="宋体" w:eastAsia="宋体" w:hint="default"/>
          <w:w w:val="100"/>
          <w:sz w:val="21"/>
          <w:szCs w:val="21"/>
        </w:rPr>
        <w:t> </w:t>
      </w:r>
      <w:r>
        <w:rPr>
          <w:rFonts w:ascii="宋体" w:hAnsi="宋体" w:cs="宋体" w:eastAsia="宋体" w:hint="default"/>
          <w:sz w:val="21"/>
          <w:szCs w:val="21"/>
        </w:rPr>
        <w:t>在建工程的减值损失一经确认，在以后会计期间不再转回。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2"/>
          <w:sz w:val="21"/>
          <w:szCs w:val="21"/>
        </w:rPr>
        <w:t>有迹象表明一项在建工程可能发生减值的，企业以单项在建工程为基础估计其可收回金额。企业难以</w:t>
      </w:r>
    </w:p>
    <w:p>
      <w:pPr>
        <w:spacing w:before="7"/>
        <w:ind w:left="152" w:right="0" w:firstLine="0"/>
        <w:jc w:val="left"/>
        <w:rPr>
          <w:rFonts w:ascii="宋体" w:hAnsi="宋体" w:cs="宋体" w:eastAsia="宋体" w:hint="default"/>
          <w:sz w:val="21"/>
          <w:szCs w:val="21"/>
        </w:rPr>
      </w:pPr>
      <w:r>
        <w:rPr>
          <w:rFonts w:ascii="宋体" w:hAnsi="宋体" w:cs="宋体" w:eastAsia="宋体" w:hint="default"/>
          <w:sz w:val="21"/>
          <w:szCs w:val="21"/>
        </w:rPr>
        <w:t>对单项在建工程的可收回金额进行估计的，以该在建工程所属的资产组为基础确定资产组的可收回金额。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right="1199" w:firstLine="211"/>
        <w:jc w:val="both"/>
      </w:pPr>
      <w:r>
        <w:rPr/>
        <w:t>公司发生的借款费用，可直接归属于符合资本化条件的资产的购建或者生产的，予以资本化，计入相关资产成本；其他 借款费用，在发生时根据其发生额确认为费用，计入当期损益。</w:t>
      </w:r>
    </w:p>
    <w:p>
      <w:pPr>
        <w:spacing w:line="273" w:lineRule="auto" w:before="0"/>
        <w:ind w:left="152" w:right="1123" w:firstLine="420"/>
        <w:jc w:val="left"/>
        <w:rPr>
          <w:rFonts w:ascii="宋体" w:hAnsi="宋体" w:cs="宋体" w:eastAsia="宋体" w:hint="default"/>
          <w:sz w:val="21"/>
          <w:szCs w:val="21"/>
        </w:rPr>
      </w:pPr>
      <w:r>
        <w:rPr>
          <w:rFonts w:ascii="宋体" w:hAnsi="宋体" w:cs="宋体" w:eastAsia="宋体" w:hint="default"/>
          <w:spacing w:val="-2"/>
          <w:sz w:val="21"/>
          <w:szCs w:val="21"/>
        </w:rPr>
        <w:t>符合资本化条件的资产，是指需要经过相当长时间的购建或者生产活动才能达到预定可使用或者可销</w:t>
      </w:r>
      <w:r>
        <w:rPr>
          <w:rFonts w:ascii="宋体" w:hAnsi="宋体" w:cs="宋体" w:eastAsia="宋体" w:hint="default"/>
          <w:w w:val="100"/>
          <w:sz w:val="21"/>
          <w:szCs w:val="21"/>
        </w:rPr>
        <w:t> </w:t>
      </w:r>
      <w:r>
        <w:rPr>
          <w:rFonts w:ascii="宋体" w:hAnsi="宋体" w:cs="宋体" w:eastAsia="宋体" w:hint="default"/>
          <w:sz w:val="21"/>
          <w:szCs w:val="21"/>
        </w:rPr>
        <w:t>售状态的固定资产、投资性房地产和存货等资产。</w:t>
      </w:r>
    </w:p>
    <w:p>
      <w:pPr>
        <w:spacing w:before="7"/>
        <w:ind w:left="573" w:right="1123" w:firstLine="0"/>
        <w:jc w:val="left"/>
        <w:rPr>
          <w:rFonts w:ascii="宋体" w:hAnsi="宋体" w:cs="宋体" w:eastAsia="宋体" w:hint="default"/>
          <w:sz w:val="21"/>
          <w:szCs w:val="21"/>
        </w:rPr>
      </w:pPr>
      <w:r>
        <w:rPr>
          <w:rFonts w:ascii="宋体" w:hAnsi="宋体" w:cs="宋体" w:eastAsia="宋体" w:hint="default"/>
          <w:sz w:val="21"/>
          <w:szCs w:val="21"/>
        </w:rPr>
        <w:t>借款费用同时满足下列条件时开始资本化：</w:t>
      </w:r>
    </w:p>
    <w:p>
      <w:pPr>
        <w:spacing w:line="256" w:lineRule="auto" w:before="37"/>
        <w:ind w:left="152" w:right="1123" w:firstLine="30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）资产支出已经发生，资产支出包括为购建或者生产符合资本化条件的资产而以支付现金、转移非</w:t>
      </w:r>
      <w:r>
        <w:rPr>
          <w:rFonts w:ascii="宋体" w:hAnsi="宋体" w:cs="宋体" w:eastAsia="宋体" w:hint="default"/>
          <w:w w:val="100"/>
          <w:sz w:val="21"/>
          <w:szCs w:val="21"/>
        </w:rPr>
        <w:t> </w:t>
      </w:r>
      <w:r>
        <w:rPr>
          <w:rFonts w:ascii="宋体" w:hAnsi="宋体" w:cs="宋体" w:eastAsia="宋体" w:hint="default"/>
          <w:sz w:val="21"/>
          <w:szCs w:val="21"/>
        </w:rPr>
        <w:t>现金资产或者承担带息债务形式发生的支出；</w:t>
      </w:r>
    </w:p>
    <w:p>
      <w:pPr>
        <w:spacing w:after="0" w:line="256" w:lineRule="auto"/>
        <w:jc w:val="left"/>
        <w:rPr>
          <w:rFonts w:ascii="宋体" w:hAnsi="宋体" w:cs="宋体" w:eastAsia="宋体" w:hint="default"/>
          <w:sz w:val="21"/>
          <w:szCs w:val="21"/>
        </w:rPr>
        <w:sectPr>
          <w:pgSz w:w="11910" w:h="16840"/>
          <w:pgMar w:header="877" w:footer="1253" w:top="1060" w:bottom="1440" w:left="980" w:right="0"/>
        </w:sectPr>
      </w:pPr>
    </w:p>
    <w:p>
      <w:pPr>
        <w:spacing w:line="240" w:lineRule="auto" w:before="10"/>
        <w:rPr>
          <w:rFonts w:ascii="宋体" w:hAnsi="宋体" w:cs="宋体" w:eastAsia="宋体" w:hint="default"/>
          <w:sz w:val="24"/>
          <w:szCs w:val="24"/>
        </w:rPr>
      </w:pPr>
    </w:p>
    <w:p>
      <w:pPr>
        <w:spacing w:before="36"/>
        <w:ind w:left="453"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）借款费用已经发生；</w:t>
      </w:r>
    </w:p>
    <w:p>
      <w:pPr>
        <w:spacing w:before="21"/>
        <w:ind w:left="405"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）为使资产达到预定可使用或者可销售状态所必要的购建或者生产活动已经开始。</w:t>
      </w:r>
    </w:p>
    <w:p>
      <w:pPr>
        <w:spacing w:line="600" w:lineRule="atLeast" w:before="12"/>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资本化期间，指从借款费用开始资本化时点到停止资本化时点的期间，借款费用暂停资本化的期间不</w:t>
      </w:r>
    </w:p>
    <w:p>
      <w:pPr>
        <w:spacing w:before="37"/>
        <w:ind w:left="152" w:right="1123" w:firstLine="0"/>
        <w:jc w:val="left"/>
        <w:rPr>
          <w:rFonts w:ascii="宋体" w:hAnsi="宋体" w:cs="宋体" w:eastAsia="宋体" w:hint="default"/>
          <w:sz w:val="21"/>
          <w:szCs w:val="21"/>
        </w:rPr>
      </w:pPr>
      <w:r>
        <w:rPr>
          <w:rFonts w:ascii="宋体" w:hAnsi="宋体" w:cs="宋体" w:eastAsia="宋体" w:hint="default"/>
          <w:sz w:val="21"/>
          <w:szCs w:val="21"/>
        </w:rPr>
        <w:t>包括在内。</w:t>
      </w:r>
    </w:p>
    <w:p>
      <w:pPr>
        <w:spacing w:line="273" w:lineRule="auto" w:before="37"/>
        <w:ind w:left="573" w:right="1123" w:firstLine="0"/>
        <w:jc w:val="left"/>
        <w:rPr>
          <w:rFonts w:ascii="宋体" w:hAnsi="宋体" w:cs="宋体" w:eastAsia="宋体" w:hint="default"/>
          <w:sz w:val="21"/>
          <w:szCs w:val="21"/>
        </w:rPr>
      </w:pPr>
      <w:r>
        <w:rPr>
          <w:rFonts w:ascii="宋体" w:hAnsi="宋体" w:cs="宋体" w:eastAsia="宋体" w:hint="default"/>
          <w:sz w:val="21"/>
          <w:szCs w:val="21"/>
        </w:rPr>
        <w:t>当购建或者生产符合资本化条件的资产达到预定可使用或者可销售状态时，借款费用停止资本化。</w:t>
      </w:r>
      <w:r>
        <w:rPr>
          <w:rFonts w:ascii="宋体" w:hAnsi="宋体" w:cs="宋体" w:eastAsia="宋体" w:hint="default"/>
          <w:w w:val="100"/>
          <w:sz w:val="21"/>
          <w:szCs w:val="21"/>
        </w:rPr>
        <w:t> </w:t>
      </w:r>
      <w:r>
        <w:rPr>
          <w:rFonts w:ascii="宋体" w:hAnsi="宋体" w:cs="宋体" w:eastAsia="宋体" w:hint="default"/>
          <w:spacing w:val="-2"/>
          <w:sz w:val="21"/>
          <w:szCs w:val="21"/>
        </w:rPr>
        <w:t>当购建或者生产符合资本化条件的资产中部分项目分别完工且可单独使用时，该部分资产借款费用停</w:t>
      </w:r>
    </w:p>
    <w:p>
      <w:pPr>
        <w:spacing w:before="7"/>
        <w:ind w:left="152" w:right="1123" w:firstLine="0"/>
        <w:jc w:val="left"/>
        <w:rPr>
          <w:rFonts w:ascii="宋体" w:hAnsi="宋体" w:cs="宋体" w:eastAsia="宋体" w:hint="default"/>
          <w:sz w:val="21"/>
          <w:szCs w:val="21"/>
        </w:rPr>
      </w:pPr>
      <w:r>
        <w:rPr>
          <w:rFonts w:ascii="宋体" w:hAnsi="宋体" w:cs="宋体" w:eastAsia="宋体" w:hint="default"/>
          <w:sz w:val="21"/>
          <w:szCs w:val="21"/>
        </w:rPr>
        <w:t>止资本化。</w:t>
      </w:r>
    </w:p>
    <w:p>
      <w:pPr>
        <w:spacing w:line="273" w:lineRule="auto" w:before="37"/>
        <w:ind w:left="152" w:right="1123" w:firstLine="420"/>
        <w:jc w:val="left"/>
        <w:rPr>
          <w:rFonts w:ascii="宋体" w:hAnsi="宋体" w:cs="宋体" w:eastAsia="宋体" w:hint="default"/>
          <w:sz w:val="21"/>
          <w:szCs w:val="21"/>
        </w:rPr>
      </w:pPr>
      <w:r>
        <w:rPr>
          <w:rFonts w:ascii="宋体" w:hAnsi="宋体" w:cs="宋体" w:eastAsia="宋体" w:hint="default"/>
          <w:spacing w:val="-2"/>
          <w:sz w:val="21"/>
          <w:szCs w:val="21"/>
        </w:rPr>
        <w:t>购建或者生产的资产的各部分分别完工，但必须等到整体完工后才可使用或可对外销售的，在该资产</w:t>
      </w:r>
      <w:r>
        <w:rPr>
          <w:rFonts w:ascii="宋体" w:hAnsi="宋体" w:cs="宋体" w:eastAsia="宋体" w:hint="default"/>
          <w:w w:val="100"/>
          <w:sz w:val="21"/>
          <w:szCs w:val="21"/>
        </w:rPr>
        <w:t> </w:t>
      </w:r>
      <w:r>
        <w:rPr>
          <w:rFonts w:ascii="宋体" w:hAnsi="宋体" w:cs="宋体" w:eastAsia="宋体" w:hint="default"/>
          <w:sz w:val="21"/>
          <w:szCs w:val="21"/>
        </w:rPr>
        <w:t>整体完工时停止借款费用资本化。</w:t>
      </w:r>
    </w:p>
    <w:p>
      <w:pPr>
        <w:spacing w:line="612" w:lineRule="exact" w:before="64"/>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）暂停资本化期间</w:t>
      </w:r>
      <w:r>
        <w:rPr>
          <w:rFonts w:ascii="宋体" w:hAnsi="宋体" w:cs="宋体" w:eastAsia="宋体" w:hint="default"/>
          <w:b/>
          <w:bCs/>
          <w:w w:val="100"/>
          <w:sz w:val="21"/>
          <w:szCs w:val="21"/>
        </w:rPr>
        <w:t> </w:t>
      </w:r>
      <w:r>
        <w:rPr>
          <w:rFonts w:ascii="宋体" w:hAnsi="宋体" w:cs="宋体" w:eastAsia="宋体" w:hint="default"/>
          <w:sz w:val="21"/>
          <w:szCs w:val="21"/>
        </w:rPr>
        <w:t>符合资本化条件的资产在购建或生产过程中发生的非正常中断、且中断时间连续超过</w:t>
      </w:r>
      <w:r>
        <w:rPr>
          <w:rFonts w:ascii="Times New Roman" w:hAnsi="Times New Roman" w:cs="Times New Roman" w:eastAsia="Times New Roman" w:hint="default"/>
          <w:sz w:val="21"/>
          <w:szCs w:val="21"/>
        </w:rPr>
        <w:t>3</w:t>
      </w:r>
      <w:r>
        <w:rPr>
          <w:rFonts w:ascii="宋体" w:hAnsi="宋体" w:cs="宋体" w:eastAsia="宋体" w:hint="default"/>
          <w:sz w:val="21"/>
          <w:szCs w:val="21"/>
        </w:rPr>
        <w:t>个月的，则借</w:t>
      </w:r>
    </w:p>
    <w:p>
      <w:pPr>
        <w:spacing w:line="219" w:lineRule="exact"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款费用暂停资本化；该项中断如是所购建或生产的符合资本化条件的资产达到预定可使用状态或者可销售</w:t>
      </w:r>
    </w:p>
    <w:p>
      <w:pPr>
        <w:spacing w:line="273" w:lineRule="auto" w:before="37"/>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状态必要的程序，则借款费用继续资本化。在中断期间发生的借款费用确认为当期损益，直至资产的购建</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或者生产活动重新开始后借款费用继续资本化。</w:t>
      </w:r>
    </w:p>
    <w:p>
      <w:pPr>
        <w:spacing w:line="600" w:lineRule="atLeast" w:before="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专门借款的利息费用（扣除尚未动用的借款资金存入银行取得的利息收入或者进行暂时性投资取得的</w:t>
      </w:r>
    </w:p>
    <w:p>
      <w:pPr>
        <w:spacing w:line="273" w:lineRule="auto" w:before="37"/>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投资收益）及其辅助费用在所购建或者生产的符合资本化条件的资产达到预定可使用或者可销售状态前，</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予以资本化。</w:t>
      </w:r>
    </w:p>
    <w:p>
      <w:pPr>
        <w:spacing w:line="273" w:lineRule="auto" w:before="7"/>
        <w:ind w:left="152" w:right="1123" w:firstLine="420"/>
        <w:jc w:val="left"/>
        <w:rPr>
          <w:rFonts w:ascii="宋体" w:hAnsi="宋体" w:cs="宋体" w:eastAsia="宋体" w:hint="default"/>
          <w:sz w:val="21"/>
          <w:szCs w:val="21"/>
        </w:rPr>
      </w:pPr>
      <w:r>
        <w:rPr>
          <w:rFonts w:ascii="宋体" w:hAnsi="宋体" w:cs="宋体" w:eastAsia="宋体" w:hint="default"/>
          <w:spacing w:val="-2"/>
          <w:sz w:val="21"/>
          <w:szCs w:val="21"/>
        </w:rPr>
        <w:t>根据累计资产支出超过专门借款部分的资产支出加权平均数乘以所占用一般借款的资本化率，计算确</w:t>
      </w:r>
      <w:r>
        <w:rPr>
          <w:rFonts w:ascii="宋体" w:hAnsi="宋体" w:cs="宋体" w:eastAsia="宋体" w:hint="default"/>
          <w:w w:val="100"/>
          <w:sz w:val="21"/>
          <w:szCs w:val="21"/>
        </w:rPr>
        <w:t> </w:t>
      </w:r>
      <w:r>
        <w:rPr>
          <w:rFonts w:ascii="宋体" w:hAnsi="宋体" w:cs="宋体" w:eastAsia="宋体" w:hint="default"/>
          <w:sz w:val="21"/>
          <w:szCs w:val="21"/>
        </w:rPr>
        <w:t>定一般借款应予资本化的利息金额。资本化率根据一般借款加权平均利率计算确定。</w:t>
      </w:r>
      <w:r>
        <w:rPr>
          <w:rFonts w:ascii="宋体" w:hAnsi="宋体" w:cs="宋体" w:eastAsia="宋体" w:hint="default"/>
          <w:w w:val="100"/>
          <w:sz w:val="21"/>
          <w:szCs w:val="21"/>
        </w:rPr>
        <w:t> </w:t>
      </w:r>
      <w:r>
        <w:rPr>
          <w:rFonts w:ascii="宋体" w:hAnsi="宋体" w:cs="宋体" w:eastAsia="宋体" w:hint="default"/>
          <w:spacing w:val="-2"/>
          <w:sz w:val="21"/>
          <w:szCs w:val="21"/>
        </w:rPr>
        <w:t>借款存在折价或者溢价的，按照实际利率法确定每一会计期间应摊销的折价或者溢价金额，调整每期利息</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金额。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573" w:right="1123" w:firstLine="0"/>
        <w:jc w:val="left"/>
        <w:rPr>
          <w:rFonts w:ascii="宋体" w:hAnsi="宋体" w:cs="宋体" w:eastAsia="宋体" w:hint="default"/>
          <w:sz w:val="21"/>
          <w:szCs w:val="21"/>
        </w:rPr>
      </w:pPr>
      <w:r>
        <w:rPr>
          <w:rFonts w:ascii="宋体" w:hAnsi="宋体" w:cs="宋体" w:eastAsia="宋体" w:hint="default"/>
          <w:spacing w:val="-2"/>
          <w:sz w:val="21"/>
          <w:szCs w:val="21"/>
        </w:rPr>
        <w:t>无形资产是指公司拥有或者控制的没有实物形态的可辨认非货币性资产，包括土地使用权等。</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无形资产的计价方法：</w:t>
      </w:r>
    </w:p>
    <w:p>
      <w:pPr>
        <w:spacing w:line="256" w:lineRule="auto" w:before="7"/>
        <w:ind w:left="573"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）公司取得无形资产时按成本进行初始计量；</w:t>
      </w:r>
      <w:r>
        <w:rPr>
          <w:rFonts w:ascii="宋体" w:hAnsi="宋体" w:cs="宋体" w:eastAsia="宋体" w:hint="default"/>
          <w:w w:val="100"/>
          <w:sz w:val="21"/>
          <w:szCs w:val="21"/>
        </w:rPr>
        <w:t> </w:t>
      </w:r>
      <w:r>
        <w:rPr>
          <w:rFonts w:ascii="宋体" w:hAnsi="宋体" w:cs="宋体" w:eastAsia="宋体" w:hint="default"/>
          <w:spacing w:val="-2"/>
          <w:sz w:val="21"/>
          <w:szCs w:val="21"/>
        </w:rPr>
        <w:t>外购无形资产的成本，包括购买价款、相关税费以及直接归属于使该项资产达到预定用途所发生的其</w:t>
      </w:r>
    </w:p>
    <w:p>
      <w:pPr>
        <w:spacing w:line="273" w:lineRule="auto" w:before="22"/>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他支出。购买无形资产的价款超过正常信用条件延期支付，实质上具有融资性质的，无形资产的成本以购</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买价款的现值为基础确定。</w:t>
      </w:r>
    </w:p>
    <w:p>
      <w:pPr>
        <w:spacing w:line="273" w:lineRule="auto" w:before="7"/>
        <w:ind w:left="152" w:right="1123" w:firstLine="420"/>
        <w:jc w:val="left"/>
        <w:rPr>
          <w:rFonts w:ascii="宋体" w:hAnsi="宋体" w:cs="宋体" w:eastAsia="宋体" w:hint="default"/>
          <w:sz w:val="21"/>
          <w:szCs w:val="21"/>
        </w:rPr>
      </w:pPr>
      <w:r>
        <w:rPr>
          <w:rFonts w:ascii="宋体" w:hAnsi="宋体" w:cs="宋体" w:eastAsia="宋体" w:hint="default"/>
          <w:spacing w:val="-2"/>
          <w:sz w:val="21"/>
          <w:szCs w:val="21"/>
        </w:rPr>
        <w:t>债务重组取得债务人用以抵债的无形资产，以该无形资产的公允价值为基础确定其入账价值，并将重</w:t>
      </w:r>
      <w:r>
        <w:rPr>
          <w:rFonts w:ascii="宋体" w:hAnsi="宋体" w:cs="宋体" w:eastAsia="宋体" w:hint="default"/>
          <w:w w:val="100"/>
          <w:sz w:val="21"/>
          <w:szCs w:val="21"/>
        </w:rPr>
        <w:t> </w:t>
      </w:r>
      <w:r>
        <w:rPr>
          <w:rFonts w:ascii="宋体" w:hAnsi="宋体" w:cs="宋体" w:eastAsia="宋体" w:hint="default"/>
          <w:sz w:val="21"/>
          <w:szCs w:val="21"/>
        </w:rPr>
        <w:t>组债务的账面价值与该用以抵债的无形资产公允价值之间的差额，计入当期损益。</w:t>
      </w:r>
    </w:p>
    <w:p>
      <w:pPr>
        <w:spacing w:line="273" w:lineRule="auto" w:before="7"/>
        <w:ind w:left="152" w:right="1123" w:firstLine="420"/>
        <w:jc w:val="left"/>
        <w:rPr>
          <w:rFonts w:ascii="宋体" w:hAnsi="宋体" w:cs="宋体" w:eastAsia="宋体" w:hint="default"/>
          <w:sz w:val="21"/>
          <w:szCs w:val="21"/>
        </w:rPr>
      </w:pPr>
      <w:r>
        <w:rPr>
          <w:rFonts w:ascii="宋体" w:hAnsi="宋体" w:cs="宋体" w:eastAsia="宋体" w:hint="default"/>
          <w:spacing w:val="-2"/>
          <w:sz w:val="21"/>
          <w:szCs w:val="21"/>
        </w:rPr>
        <w:t>在非货币性资产交换具备商业实质且换入资产或换出资产的公允价值能够可靠计量的前提下，非货币</w:t>
      </w:r>
      <w:r>
        <w:rPr>
          <w:rFonts w:ascii="宋体" w:hAnsi="宋体" w:cs="宋体" w:eastAsia="宋体" w:hint="default"/>
          <w:w w:val="100"/>
          <w:sz w:val="21"/>
          <w:szCs w:val="21"/>
        </w:rPr>
        <w:t> </w:t>
      </w:r>
      <w:r>
        <w:rPr>
          <w:rFonts w:ascii="宋体" w:hAnsi="宋体" w:cs="宋体" w:eastAsia="宋体" w:hint="default"/>
          <w:spacing w:val="-2"/>
          <w:sz w:val="21"/>
          <w:szCs w:val="21"/>
        </w:rPr>
        <w:t>性资产交换换入的无形资产以换出资产的公允价值为基础确定其入账价值，除非有确凿证据表明换入资产</w:t>
      </w:r>
    </w:p>
    <w:p>
      <w:pPr>
        <w:spacing w:after="0" w:line="273" w:lineRule="auto"/>
        <w:jc w:val="left"/>
        <w:rPr>
          <w:rFonts w:ascii="宋体" w:hAnsi="宋体" w:cs="宋体" w:eastAsia="宋体" w:hint="default"/>
          <w:sz w:val="21"/>
          <w:szCs w:val="21"/>
        </w:rPr>
        <w:sectPr>
          <w:pgSz w:w="11910" w:h="16840"/>
          <w:pgMar w:header="877" w:footer="1253" w:top="1060" w:bottom="1440" w:left="980" w:right="0"/>
        </w:sectPr>
      </w:pPr>
    </w:p>
    <w:p>
      <w:pPr>
        <w:spacing w:line="240" w:lineRule="auto" w:before="10"/>
        <w:rPr>
          <w:rFonts w:ascii="宋体" w:hAnsi="宋体" w:cs="宋体" w:eastAsia="宋体" w:hint="default"/>
          <w:sz w:val="24"/>
          <w:szCs w:val="24"/>
        </w:rPr>
      </w:pPr>
    </w:p>
    <w:p>
      <w:pPr>
        <w:spacing w:line="273" w:lineRule="auto" w:before="36"/>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的公允价值更加可靠；不满足上述前提的非货币性资产交换，以换出资产的账面价值和应支付的相关税费</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作为换入无形资产的成本，不确认损益。</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以同一控制下的企业吸收合并方式取得的无形资产按被合并方的账面价值确定其入账价值；以非同一</w:t>
      </w:r>
      <w:r>
        <w:rPr>
          <w:rFonts w:ascii="宋体" w:hAnsi="宋体" w:cs="宋体" w:eastAsia="宋体" w:hint="default"/>
          <w:w w:val="100"/>
          <w:sz w:val="21"/>
          <w:szCs w:val="21"/>
        </w:rPr>
        <w:t> </w:t>
      </w:r>
      <w:r>
        <w:rPr>
          <w:rFonts w:ascii="宋体" w:hAnsi="宋体" w:cs="宋体" w:eastAsia="宋体" w:hint="default"/>
          <w:sz w:val="21"/>
          <w:szCs w:val="21"/>
        </w:rPr>
        <w:t>控制下的企业吸收合并方式取得的无形资产按公允价值确定其入账价值。</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内部自行开发的无形资产，其成本包括：开发该无形资产时耗用的材料、劳务成本、注册费、在开发</w:t>
      </w:r>
      <w:r>
        <w:rPr>
          <w:rFonts w:ascii="宋体" w:hAnsi="宋体" w:cs="宋体" w:eastAsia="宋体" w:hint="default"/>
          <w:w w:val="100"/>
          <w:sz w:val="21"/>
          <w:szCs w:val="21"/>
        </w:rPr>
        <w:t> </w:t>
      </w:r>
      <w:r>
        <w:rPr>
          <w:rFonts w:ascii="宋体" w:hAnsi="宋体" w:cs="宋体" w:eastAsia="宋体" w:hint="default"/>
          <w:spacing w:val="-2"/>
          <w:sz w:val="21"/>
          <w:szCs w:val="21"/>
        </w:rPr>
        <w:t>过程中使用的其他专利权和特许权的摊销以及满足资本化条件的利息费用，以及为使该无形资产达到预定</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用途前所发生的其他直接费用。</w:t>
      </w:r>
    </w:p>
    <w:p>
      <w:pPr>
        <w:spacing w:line="256" w:lineRule="auto" w:before="7"/>
        <w:ind w:left="573" w:right="643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）后续计量</w:t>
      </w:r>
      <w:r>
        <w:rPr>
          <w:rFonts w:ascii="宋体" w:hAnsi="宋体" w:cs="宋体" w:eastAsia="宋体" w:hint="default"/>
          <w:w w:val="100"/>
          <w:sz w:val="21"/>
          <w:szCs w:val="21"/>
        </w:rPr>
        <w:t> </w:t>
      </w:r>
      <w:r>
        <w:rPr>
          <w:rFonts w:ascii="宋体" w:hAnsi="宋体" w:cs="宋体" w:eastAsia="宋体" w:hint="default"/>
          <w:spacing w:val="-2"/>
          <w:sz w:val="21"/>
          <w:szCs w:val="21"/>
        </w:rPr>
        <w:t>在取得无形资产时分析判断其使用寿命。</w:t>
      </w:r>
    </w:p>
    <w:p>
      <w:pPr>
        <w:spacing w:line="273" w:lineRule="auto" w:before="22"/>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对于使用寿命有限的无形资产，在为企业带来经济利益的期限内按直线法摊销；无法预见无形资产为</w:t>
      </w:r>
      <w:r>
        <w:rPr>
          <w:rFonts w:ascii="宋体" w:hAnsi="宋体" w:cs="宋体" w:eastAsia="宋体" w:hint="default"/>
          <w:w w:val="100"/>
          <w:sz w:val="21"/>
          <w:szCs w:val="21"/>
        </w:rPr>
        <w:t> </w:t>
      </w:r>
      <w:r>
        <w:rPr>
          <w:rFonts w:ascii="宋体" w:hAnsi="宋体" w:cs="宋体" w:eastAsia="宋体" w:hint="default"/>
          <w:sz w:val="21"/>
          <w:szCs w:val="21"/>
        </w:rPr>
        <w:t>企业带来经济利益期限的，视为使用寿命不确定的无形资产，不予摊销。</w:t>
      </w:r>
    </w:p>
    <w:p>
      <w:pPr>
        <w:spacing w:line="240" w:lineRule="auto" w:before="7"/>
        <w:rPr>
          <w:rFonts w:ascii="宋体" w:hAnsi="宋体" w:cs="宋体" w:eastAsia="宋体" w:hint="default"/>
          <w:sz w:val="23"/>
          <w:szCs w:val="23"/>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573" w:right="1123" w:firstLine="0"/>
        <w:jc w:val="left"/>
        <w:rPr>
          <w:rFonts w:ascii="宋体" w:hAnsi="宋体" w:cs="宋体" w:eastAsia="宋体" w:hint="default"/>
          <w:sz w:val="21"/>
          <w:szCs w:val="21"/>
        </w:rPr>
      </w:pPr>
      <w:r>
        <w:rPr>
          <w:rFonts w:ascii="宋体" w:hAnsi="宋体" w:cs="宋体" w:eastAsia="宋体" w:hint="default"/>
          <w:sz w:val="21"/>
          <w:szCs w:val="21"/>
        </w:rPr>
        <w:t>每期末，对使用寿命有限的无形资产的使用寿命及摊销方法进行复核。</w:t>
      </w:r>
      <w:r>
        <w:rPr>
          <w:rFonts w:ascii="宋体" w:hAnsi="宋体" w:cs="宋体" w:eastAsia="宋体" w:hint="default"/>
          <w:w w:val="100"/>
          <w:sz w:val="21"/>
          <w:szCs w:val="21"/>
        </w:rPr>
        <w:t> </w:t>
      </w:r>
      <w:r>
        <w:rPr>
          <w:rFonts w:ascii="宋体" w:hAnsi="宋体" w:cs="宋体" w:eastAsia="宋体" w:hint="default"/>
          <w:spacing w:val="-2"/>
          <w:sz w:val="21"/>
          <w:szCs w:val="21"/>
        </w:rPr>
        <w:t>经复核，本期期末无形资产的使用寿命及摊销方法与以前估计未有不同。</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使用寿命有限的无形资产摊销方法如下：</w:t>
      </w:r>
    </w:p>
    <w:tbl>
      <w:tblPr>
        <w:tblW w:w="0" w:type="auto"/>
        <w:jc w:val="left"/>
        <w:tblInd w:w="148" w:type="dxa"/>
        <w:tblLayout w:type="fixed"/>
        <w:tblCellMar>
          <w:top w:w="0" w:type="dxa"/>
          <w:left w:w="0" w:type="dxa"/>
          <w:bottom w:w="0" w:type="dxa"/>
          <w:right w:w="0" w:type="dxa"/>
        </w:tblCellMar>
        <w:tblLook w:val="01E0"/>
      </w:tblPr>
      <w:tblGrid>
        <w:gridCol w:w="2280"/>
        <w:gridCol w:w="2216"/>
        <w:gridCol w:w="5075"/>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直线法</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直线法</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10"/>
        <w:rPr>
          <w:rFonts w:ascii="宋体" w:hAnsi="宋体" w:cs="宋体" w:eastAsia="宋体" w:hint="default"/>
          <w:sz w:val="20"/>
          <w:szCs w:val="20"/>
        </w:rPr>
      </w:pPr>
    </w:p>
    <w:p>
      <w:pPr>
        <w:spacing w:before="36"/>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）无形资产减值准备的计提</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273" w:lineRule="auto" w:before="0"/>
        <w:ind w:left="573" w:right="1123" w:firstLine="0"/>
        <w:jc w:val="left"/>
        <w:rPr>
          <w:rFonts w:ascii="宋体" w:hAnsi="宋体" w:cs="宋体" w:eastAsia="宋体" w:hint="default"/>
          <w:sz w:val="21"/>
          <w:szCs w:val="21"/>
        </w:rPr>
      </w:pPr>
      <w:r>
        <w:rPr>
          <w:rFonts w:ascii="宋体" w:hAnsi="宋体" w:cs="宋体" w:eastAsia="宋体" w:hint="default"/>
          <w:sz w:val="21"/>
          <w:szCs w:val="21"/>
        </w:rPr>
        <w:t>对于使用寿命确定的无形资产，如有明显减值迹象的，期末进行减值测试。</w:t>
      </w:r>
      <w:r>
        <w:rPr>
          <w:rFonts w:ascii="宋体" w:hAnsi="宋体" w:cs="宋体" w:eastAsia="宋体" w:hint="default"/>
          <w:w w:val="100"/>
          <w:sz w:val="21"/>
          <w:szCs w:val="21"/>
        </w:rPr>
        <w:t> </w:t>
      </w:r>
      <w:r>
        <w:rPr>
          <w:rFonts w:ascii="宋体" w:hAnsi="宋体" w:cs="宋体" w:eastAsia="宋体" w:hint="default"/>
          <w:sz w:val="21"/>
          <w:szCs w:val="21"/>
        </w:rPr>
        <w:t>对于使用寿命不确定的无形资产，每期末进行减值测试。</w:t>
      </w:r>
      <w:r>
        <w:rPr>
          <w:rFonts w:ascii="宋体" w:hAnsi="宋体" w:cs="宋体" w:eastAsia="宋体" w:hint="default"/>
          <w:w w:val="100"/>
          <w:sz w:val="21"/>
          <w:szCs w:val="21"/>
        </w:rPr>
        <w:t> </w:t>
      </w:r>
      <w:r>
        <w:rPr>
          <w:rFonts w:ascii="宋体" w:hAnsi="宋体" w:cs="宋体" w:eastAsia="宋体" w:hint="default"/>
          <w:spacing w:val="-2"/>
          <w:sz w:val="21"/>
          <w:szCs w:val="21"/>
        </w:rPr>
        <w:t>对无形资产进行减值测试，估计其可收回金额。可收回金额根据无形资产的公允价值减去处置费用后</w:t>
      </w:r>
    </w:p>
    <w:p>
      <w:pPr>
        <w:spacing w:line="273" w:lineRule="auto" w:before="7"/>
        <w:ind w:left="573" w:right="1123" w:hanging="421"/>
        <w:jc w:val="left"/>
        <w:rPr>
          <w:rFonts w:ascii="宋体" w:hAnsi="宋体" w:cs="宋体" w:eastAsia="宋体" w:hint="default"/>
          <w:sz w:val="21"/>
          <w:szCs w:val="21"/>
        </w:rPr>
      </w:pPr>
      <w:r>
        <w:rPr>
          <w:rFonts w:ascii="宋体" w:hAnsi="宋体" w:cs="宋体" w:eastAsia="宋体" w:hint="default"/>
          <w:sz w:val="21"/>
          <w:szCs w:val="21"/>
        </w:rPr>
        <w:t>的净额与无形资产预计未来现金流量的现值两者之间较高者确定。</w:t>
      </w:r>
      <w:r>
        <w:rPr>
          <w:rFonts w:ascii="宋体" w:hAnsi="宋体" w:cs="宋体" w:eastAsia="宋体" w:hint="default"/>
          <w:w w:val="100"/>
          <w:sz w:val="21"/>
          <w:szCs w:val="21"/>
        </w:rPr>
        <w:t> </w:t>
      </w:r>
      <w:r>
        <w:rPr>
          <w:rFonts w:ascii="宋体" w:hAnsi="宋体" w:cs="宋体" w:eastAsia="宋体" w:hint="default"/>
          <w:spacing w:val="-2"/>
          <w:sz w:val="21"/>
          <w:szCs w:val="21"/>
        </w:rPr>
        <w:t>当无形资产的可收回金额低于其账面价值的，将无形资产的账面价值减记至可收回金额，减记的金额</w:t>
      </w:r>
    </w:p>
    <w:p>
      <w:pPr>
        <w:spacing w:line="273" w:lineRule="auto" w:before="7"/>
        <w:ind w:left="573" w:right="1123" w:hanging="421"/>
        <w:jc w:val="left"/>
        <w:rPr>
          <w:rFonts w:ascii="宋体" w:hAnsi="宋体" w:cs="宋体" w:eastAsia="宋体" w:hint="default"/>
          <w:sz w:val="21"/>
          <w:szCs w:val="21"/>
        </w:rPr>
      </w:pPr>
      <w:r>
        <w:rPr>
          <w:rFonts w:ascii="宋体" w:hAnsi="宋体" w:cs="宋体" w:eastAsia="宋体" w:hint="default"/>
          <w:sz w:val="21"/>
          <w:szCs w:val="21"/>
        </w:rPr>
        <w:t>确认为无形资产减值损失，计入当期损益，同时计提相应的无形资产减值准备。</w:t>
      </w:r>
      <w:r>
        <w:rPr>
          <w:rFonts w:ascii="宋体" w:hAnsi="宋体" w:cs="宋体" w:eastAsia="宋体" w:hint="default"/>
          <w:w w:val="100"/>
          <w:sz w:val="21"/>
          <w:szCs w:val="21"/>
        </w:rPr>
        <w:t> </w:t>
      </w:r>
      <w:r>
        <w:rPr>
          <w:rFonts w:ascii="宋体" w:hAnsi="宋体" w:cs="宋体" w:eastAsia="宋体" w:hint="default"/>
          <w:spacing w:val="-2"/>
          <w:sz w:val="21"/>
          <w:szCs w:val="21"/>
        </w:rPr>
        <w:t>无形资产减值损失确认后，减值无形资产的折耗或者摊销费用在未来期间作相应调整，以使该无形资</w:t>
      </w:r>
    </w:p>
    <w:p>
      <w:pPr>
        <w:spacing w:line="273" w:lineRule="auto" w:before="7"/>
        <w:ind w:left="573" w:right="1123" w:hanging="421"/>
        <w:jc w:val="left"/>
        <w:rPr>
          <w:rFonts w:ascii="宋体" w:hAnsi="宋体" w:cs="宋体" w:eastAsia="宋体" w:hint="default"/>
          <w:sz w:val="21"/>
          <w:szCs w:val="21"/>
        </w:rPr>
      </w:pPr>
      <w:r>
        <w:rPr>
          <w:rFonts w:ascii="宋体" w:hAnsi="宋体" w:cs="宋体" w:eastAsia="宋体" w:hint="default"/>
          <w:sz w:val="21"/>
          <w:szCs w:val="21"/>
        </w:rPr>
        <w:t>产在剩余使用寿命内，系统地分摊调整后的无形资产账面价值（扣除预计净残值）。</w:t>
      </w:r>
      <w:r>
        <w:rPr>
          <w:rFonts w:ascii="宋体" w:hAnsi="宋体" w:cs="宋体" w:eastAsia="宋体" w:hint="default"/>
          <w:w w:val="100"/>
          <w:sz w:val="21"/>
          <w:szCs w:val="21"/>
        </w:rPr>
        <w:t> </w:t>
      </w:r>
      <w:r>
        <w:rPr>
          <w:rFonts w:ascii="宋体" w:hAnsi="宋体" w:cs="宋体" w:eastAsia="宋体" w:hint="default"/>
          <w:sz w:val="21"/>
          <w:szCs w:val="21"/>
        </w:rPr>
        <w:t>无形资产的减值损失一经确认，在以后会计期间不再转回。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2"/>
          <w:sz w:val="21"/>
          <w:szCs w:val="21"/>
        </w:rPr>
        <w:t>有迹象表明一项无形资产可能发生减值的，公司以单项无形资产为基础估计其可收回金额。公司难以</w:t>
      </w:r>
    </w:p>
    <w:p>
      <w:pPr>
        <w:spacing w:before="8"/>
        <w:ind w:left="152" w:right="0" w:firstLine="0"/>
        <w:jc w:val="left"/>
        <w:rPr>
          <w:rFonts w:ascii="宋体" w:hAnsi="宋体" w:cs="宋体" w:eastAsia="宋体" w:hint="default"/>
          <w:sz w:val="21"/>
          <w:szCs w:val="21"/>
        </w:rPr>
      </w:pPr>
      <w:r>
        <w:rPr>
          <w:rFonts w:ascii="宋体" w:hAnsi="宋体" w:cs="宋体" w:eastAsia="宋体" w:hint="default"/>
          <w:sz w:val="21"/>
          <w:szCs w:val="21"/>
        </w:rPr>
        <w:t>对单项资产的可收回金额进行估计的，以该无形资产所属的资产组为基础确定无形资产组的可收回金额。</w:t>
      </w:r>
    </w:p>
    <w:p>
      <w:pPr>
        <w:spacing w:line="240" w:lineRule="auto" w:before="10"/>
        <w:rPr>
          <w:rFonts w:ascii="宋体" w:hAnsi="宋体" w:cs="宋体" w:eastAsia="宋体" w:hint="default"/>
          <w:sz w:val="25"/>
          <w:szCs w:val="25"/>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573" w:right="1123" w:firstLine="2"/>
        <w:jc w:val="left"/>
        <w:rPr>
          <w:rFonts w:ascii="宋体" w:hAnsi="宋体" w:cs="宋体" w:eastAsia="宋体" w:hint="default"/>
          <w:sz w:val="21"/>
          <w:szCs w:val="21"/>
        </w:rPr>
      </w:pPr>
      <w:r>
        <w:rPr>
          <w:rFonts w:ascii="宋体" w:hAnsi="宋体" w:cs="宋体" w:eastAsia="宋体" w:hint="default"/>
          <w:sz w:val="21"/>
          <w:szCs w:val="21"/>
        </w:rPr>
        <w:t>研究阶段：为获取并理解新的科学或技术知识等而进行的独创性的有计划调查、研究活动的阶段。</w:t>
      </w:r>
      <w:r>
        <w:rPr>
          <w:rFonts w:ascii="宋体" w:hAnsi="宋体" w:cs="宋体" w:eastAsia="宋体" w:hint="default"/>
          <w:w w:val="100"/>
          <w:sz w:val="21"/>
          <w:szCs w:val="21"/>
        </w:rPr>
        <w:t> </w:t>
      </w:r>
      <w:r>
        <w:rPr>
          <w:rFonts w:ascii="宋体" w:hAnsi="宋体" w:cs="宋体" w:eastAsia="宋体" w:hint="default"/>
          <w:spacing w:val="-2"/>
          <w:sz w:val="21"/>
          <w:szCs w:val="21"/>
        </w:rPr>
        <w:t>开发阶段：在进行商业性生产或使用前，将研究成果或其他知识应用于某项计划或设计，以生产出新</w:t>
      </w:r>
    </w:p>
    <w:p>
      <w:pPr>
        <w:spacing w:line="273" w:lineRule="auto" w:before="7"/>
        <w:ind w:left="573" w:right="1123" w:hanging="421"/>
        <w:jc w:val="left"/>
        <w:rPr>
          <w:rFonts w:ascii="宋体" w:hAnsi="宋体" w:cs="宋体" w:eastAsia="宋体" w:hint="default"/>
          <w:sz w:val="21"/>
          <w:szCs w:val="21"/>
        </w:rPr>
      </w:pPr>
      <w:r>
        <w:rPr>
          <w:rFonts w:ascii="宋体" w:hAnsi="宋体" w:cs="宋体" w:eastAsia="宋体" w:hint="default"/>
          <w:sz w:val="21"/>
          <w:szCs w:val="21"/>
        </w:rPr>
        <w:t>的或具有实质性改进的材料、装置、产品等活动的阶段。</w:t>
      </w:r>
      <w:r>
        <w:rPr>
          <w:rFonts w:ascii="宋体" w:hAnsi="宋体" w:cs="宋体" w:eastAsia="宋体" w:hint="default"/>
          <w:w w:val="100"/>
          <w:sz w:val="21"/>
          <w:szCs w:val="21"/>
        </w:rPr>
        <w:t> </w:t>
      </w:r>
      <w:r>
        <w:rPr>
          <w:rFonts w:ascii="宋体" w:hAnsi="宋体" w:cs="宋体" w:eastAsia="宋体" w:hint="default"/>
          <w:spacing w:val="-2"/>
          <w:sz w:val="21"/>
          <w:szCs w:val="21"/>
        </w:rPr>
        <w:t>内部研究开发项目研究阶段的支出，在发生时计入当期损益。</w:t>
      </w:r>
    </w:p>
    <w:p>
      <w:pPr>
        <w:spacing w:after="0" w:line="273" w:lineRule="auto"/>
        <w:jc w:val="left"/>
        <w:rPr>
          <w:rFonts w:ascii="宋体" w:hAnsi="宋体" w:cs="宋体" w:eastAsia="宋体" w:hint="default"/>
          <w:sz w:val="21"/>
          <w:szCs w:val="21"/>
        </w:rPr>
        <w:sectPr>
          <w:pgSz w:w="11910" w:h="16840"/>
          <w:pgMar w:header="877" w:footer="1253" w:top="1060" w:bottom="1440" w:left="980" w:right="0"/>
        </w:sectPr>
      </w:pPr>
    </w:p>
    <w:p>
      <w:pPr>
        <w:spacing w:line="240" w:lineRule="auto" w:before="10"/>
        <w:rPr>
          <w:rFonts w:ascii="宋体" w:hAnsi="宋体" w:cs="宋体" w:eastAsia="宋体" w:hint="default"/>
          <w:sz w:val="24"/>
          <w:szCs w:val="24"/>
        </w:rPr>
      </w:pPr>
    </w:p>
    <w:p>
      <w:pPr>
        <w:spacing w:before="36"/>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）内部研究开发项目支出的核算</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73" w:right="1123" w:firstLine="0"/>
        <w:jc w:val="left"/>
        <w:rPr>
          <w:rFonts w:ascii="宋体" w:hAnsi="宋体" w:cs="宋体" w:eastAsia="宋体" w:hint="default"/>
          <w:sz w:val="21"/>
          <w:szCs w:val="21"/>
        </w:rPr>
      </w:pPr>
      <w:r>
        <w:rPr>
          <w:rFonts w:ascii="宋体" w:hAnsi="宋体" w:cs="宋体" w:eastAsia="宋体" w:hint="default"/>
          <w:sz w:val="21"/>
          <w:szCs w:val="21"/>
        </w:rPr>
        <w:t>内部研究开发项目开发阶段的支出，同时满足下列条件时确认为无形资产：</w:t>
      </w:r>
    </w:p>
    <w:p>
      <w:pPr>
        <w:spacing w:before="37"/>
        <w:ind w:left="15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）完成该无形资产以使其能够使用或出售在技术上具有可行性；</w:t>
      </w:r>
    </w:p>
    <w:p>
      <w:pPr>
        <w:spacing w:before="21"/>
        <w:ind w:left="15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）具有完成该无形资产并使用或出售的意图；</w:t>
      </w:r>
    </w:p>
    <w:p>
      <w:pPr>
        <w:spacing w:line="256" w:lineRule="auto" w:before="21"/>
        <w:ind w:left="15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）无形资产产生经济利益的方式，包括能够证明运用该无形资产生产的产品存在市场或无形资产自身</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存在市场，无形资产将在内部使用的，能够证明其有用性；</w:t>
      </w:r>
    </w:p>
    <w:p>
      <w:pPr>
        <w:spacing w:line="256" w:lineRule="auto" w:before="22"/>
        <w:ind w:left="15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）有足够的技术、财务资源和其他资源支持，以完成该无形资产的开发，并有能力使用或出售该无形</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资产；</w:t>
      </w:r>
    </w:p>
    <w:p>
      <w:pPr>
        <w:spacing w:before="22"/>
        <w:ind w:left="152"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）归属于该无形资产开发阶段的支出能够可靠地计量。</w:t>
      </w:r>
    </w:p>
    <w:p>
      <w:pPr>
        <w:spacing w:line="612" w:lineRule="exact" w:before="77"/>
        <w:ind w:left="573" w:right="112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、长期待摊费用</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本公司长期待摊费用是指已经支出，但受益期限在</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年以上（不含</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年）的各项费用，有明确受益期限</w:t>
      </w:r>
    </w:p>
    <w:p>
      <w:pPr>
        <w:spacing w:line="235" w:lineRule="exact" w:before="0"/>
        <w:ind w:left="152" w:right="1123" w:firstLine="0"/>
        <w:jc w:val="left"/>
        <w:rPr>
          <w:rFonts w:ascii="宋体" w:hAnsi="宋体" w:cs="宋体" w:eastAsia="宋体" w:hint="default"/>
          <w:sz w:val="21"/>
          <w:szCs w:val="21"/>
        </w:rPr>
      </w:pPr>
      <w:r>
        <w:rPr>
          <w:rFonts w:ascii="宋体" w:hAnsi="宋体" w:cs="宋体" w:eastAsia="宋体" w:hint="default"/>
          <w:sz w:val="21"/>
          <w:szCs w:val="21"/>
        </w:rPr>
        <w:t>的，按受益期限平均摊销；无明确受益期的，分</w:t>
      </w:r>
      <w:r>
        <w:rPr>
          <w:rFonts w:ascii="Times New Roman" w:hAnsi="Times New Roman" w:cs="Times New Roman" w:eastAsia="Times New Roman" w:hint="default"/>
          <w:sz w:val="21"/>
          <w:szCs w:val="21"/>
        </w:rPr>
        <w:t>5</w:t>
      </w:r>
      <w:r>
        <w:rPr>
          <w:rFonts w:ascii="宋体" w:hAnsi="宋体" w:cs="宋体" w:eastAsia="宋体" w:hint="default"/>
          <w:sz w:val="21"/>
          <w:szCs w:val="21"/>
        </w:rPr>
        <w:t>年平均摊销，一旦预计对以后会计期间不能带来经济利</w:t>
      </w:r>
    </w:p>
    <w:p>
      <w:pPr>
        <w:spacing w:before="21"/>
        <w:ind w:left="152" w:right="1123" w:firstLine="0"/>
        <w:jc w:val="left"/>
        <w:rPr>
          <w:rFonts w:ascii="宋体" w:hAnsi="宋体" w:cs="宋体" w:eastAsia="宋体" w:hint="default"/>
          <w:sz w:val="21"/>
          <w:szCs w:val="21"/>
        </w:rPr>
      </w:pPr>
      <w:r>
        <w:rPr>
          <w:rFonts w:ascii="宋体" w:hAnsi="宋体" w:cs="宋体" w:eastAsia="宋体" w:hint="default"/>
          <w:sz w:val="21"/>
          <w:szCs w:val="21"/>
        </w:rPr>
        <w:t>益流入，就将摊余价值一次性计入当期损益。</w:t>
      </w:r>
    </w:p>
    <w:p>
      <w:pPr>
        <w:spacing w:line="240" w:lineRule="auto" w:before="10"/>
        <w:rPr>
          <w:rFonts w:ascii="宋体" w:hAnsi="宋体" w:cs="宋体" w:eastAsia="宋体" w:hint="default"/>
          <w:sz w:val="25"/>
          <w:szCs w:val="25"/>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280" w:lineRule="auto" w:before="0"/>
        <w:ind w:left="573" w:right="5142" w:hanging="209"/>
        <w:jc w:val="left"/>
        <w:rPr>
          <w:rFonts w:ascii="宋体" w:hAnsi="宋体" w:cs="宋体" w:eastAsia="宋体" w:hint="default"/>
          <w:sz w:val="21"/>
          <w:szCs w:val="21"/>
        </w:rPr>
      </w:pPr>
      <w:r>
        <w:rPr>
          <w:rFonts w:ascii="宋体" w:hAnsi="宋体" w:cs="宋体" w:eastAsia="宋体" w:hint="default"/>
          <w:sz w:val="18"/>
          <w:szCs w:val="18"/>
        </w:rPr>
        <w:t>与或有事项相关的义务同时满足下列条件时，公司确认为预计负债： </w:t>
      </w:r>
      <w:r>
        <w:rPr>
          <w:rFonts w:ascii="宋体" w:hAnsi="宋体" w:cs="宋体" w:eastAsia="宋体" w:hint="default"/>
          <w:sz w:val="21"/>
          <w:szCs w:val="21"/>
        </w:rPr>
        <w:t>该义务是公司承担的现时义务；</w:t>
      </w:r>
      <w:r>
        <w:rPr>
          <w:rFonts w:ascii="宋体" w:hAnsi="宋体" w:cs="宋体" w:eastAsia="宋体" w:hint="default"/>
          <w:w w:val="100"/>
          <w:sz w:val="21"/>
          <w:szCs w:val="21"/>
        </w:rPr>
        <w:t> </w:t>
      </w:r>
      <w:r>
        <w:rPr>
          <w:rFonts w:ascii="宋体" w:hAnsi="宋体" w:cs="宋体" w:eastAsia="宋体" w:hint="default"/>
          <w:sz w:val="21"/>
          <w:szCs w:val="21"/>
        </w:rPr>
        <w:t>履行该义务很可能导致经济利益流出公司；</w:t>
      </w:r>
      <w:r>
        <w:rPr>
          <w:rFonts w:ascii="宋体" w:hAnsi="宋体" w:cs="宋体" w:eastAsia="宋体" w:hint="default"/>
          <w:w w:val="100"/>
          <w:sz w:val="21"/>
          <w:szCs w:val="21"/>
        </w:rPr>
        <w:t> </w:t>
      </w:r>
      <w:r>
        <w:rPr>
          <w:rFonts w:ascii="宋体" w:hAnsi="宋体" w:cs="宋体" w:eastAsia="宋体" w:hint="default"/>
          <w:sz w:val="21"/>
          <w:szCs w:val="21"/>
        </w:rPr>
        <w:t>该义务的金额能够可靠地计量。</w:t>
      </w:r>
    </w:p>
    <w:p>
      <w:pPr>
        <w:spacing w:line="614" w:lineRule="exact" w:before="55"/>
        <w:ind w:left="573" w:right="2829"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公司预计负债按履行相关现时义务所需的支出的最佳估计数进行初始计量。</w:t>
      </w:r>
    </w:p>
    <w:p>
      <w:pPr>
        <w:spacing w:line="219" w:lineRule="exact"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公司在确定最佳估计数时，综合考虑与或有事项有关的风险、不确定性和货币时间价值等因素。对于</w:t>
      </w:r>
    </w:p>
    <w:p>
      <w:pPr>
        <w:spacing w:line="273" w:lineRule="auto" w:before="37"/>
        <w:ind w:left="573" w:right="1123" w:hanging="421"/>
        <w:jc w:val="left"/>
        <w:rPr>
          <w:rFonts w:ascii="宋体" w:hAnsi="宋体" w:cs="宋体" w:eastAsia="宋体" w:hint="default"/>
          <w:sz w:val="21"/>
          <w:szCs w:val="21"/>
        </w:rPr>
      </w:pPr>
      <w:r>
        <w:rPr>
          <w:rFonts w:ascii="宋体" w:hAnsi="宋体" w:cs="宋体" w:eastAsia="宋体" w:hint="default"/>
          <w:sz w:val="21"/>
          <w:szCs w:val="21"/>
        </w:rPr>
        <w:t>货币时间价值影响重大的，通过对相关未来现金流出进行折现后确定最佳估计数。</w:t>
      </w:r>
      <w:r>
        <w:rPr>
          <w:rFonts w:ascii="宋体" w:hAnsi="宋体" w:cs="宋体" w:eastAsia="宋体" w:hint="default"/>
          <w:w w:val="100"/>
          <w:sz w:val="21"/>
          <w:szCs w:val="21"/>
        </w:rPr>
        <w:t> </w:t>
      </w:r>
      <w:r>
        <w:rPr>
          <w:rFonts w:ascii="宋体" w:hAnsi="宋体" w:cs="宋体" w:eastAsia="宋体" w:hint="default"/>
          <w:sz w:val="21"/>
          <w:szCs w:val="21"/>
        </w:rPr>
        <w:t>最佳估计数分别以下情况处理：</w:t>
      </w:r>
      <w:r>
        <w:rPr>
          <w:rFonts w:ascii="宋体" w:hAnsi="宋体" w:cs="宋体" w:eastAsia="宋体" w:hint="default"/>
          <w:w w:val="100"/>
          <w:sz w:val="21"/>
          <w:szCs w:val="21"/>
        </w:rPr>
        <w:t> </w:t>
      </w:r>
      <w:r>
        <w:rPr>
          <w:rFonts w:ascii="宋体" w:hAnsi="宋体" w:cs="宋体" w:eastAsia="宋体" w:hint="default"/>
          <w:spacing w:val="-2"/>
          <w:sz w:val="21"/>
          <w:szCs w:val="21"/>
        </w:rPr>
        <w:t>所需支出存在一个连续范围（或区间），且该范围内各种结果发生的可能性相同的，则最佳估计数按</w:t>
      </w:r>
    </w:p>
    <w:p>
      <w:pPr>
        <w:spacing w:line="273" w:lineRule="auto" w:before="7"/>
        <w:ind w:left="573" w:right="1123" w:hanging="421"/>
        <w:jc w:val="left"/>
        <w:rPr>
          <w:rFonts w:ascii="宋体" w:hAnsi="宋体" w:cs="宋体" w:eastAsia="宋体" w:hint="default"/>
          <w:sz w:val="21"/>
          <w:szCs w:val="21"/>
        </w:rPr>
      </w:pPr>
      <w:r>
        <w:rPr>
          <w:rFonts w:ascii="宋体" w:hAnsi="宋体" w:cs="宋体" w:eastAsia="宋体" w:hint="default"/>
          <w:sz w:val="21"/>
          <w:szCs w:val="21"/>
        </w:rPr>
        <w:t>照该范围的中间值即上下限金额的平均数确定。</w:t>
      </w:r>
      <w:r>
        <w:rPr>
          <w:rFonts w:ascii="宋体" w:hAnsi="宋体" w:cs="宋体" w:eastAsia="宋体" w:hint="default"/>
          <w:w w:val="100"/>
          <w:sz w:val="21"/>
          <w:szCs w:val="21"/>
        </w:rPr>
        <w:t> </w:t>
      </w:r>
      <w:r>
        <w:rPr>
          <w:rFonts w:ascii="宋体" w:hAnsi="宋体" w:cs="宋体" w:eastAsia="宋体" w:hint="default"/>
          <w:spacing w:val="-2"/>
          <w:sz w:val="21"/>
          <w:szCs w:val="21"/>
        </w:rPr>
        <w:t>所需支出不存在一个连续范围（或区间），或虽然存在一个连续范围但该范围内各种结果发生的可能</w:t>
      </w:r>
    </w:p>
    <w:p>
      <w:pPr>
        <w:spacing w:line="273" w:lineRule="auto" w:before="8"/>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性不相同的，如或有事项涉及单个项目的，则最佳估计数按照最可能发生金额确定；如或有事项涉及多个</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项目的，则最佳估计数按各种可能结果及相关概率计算确定。</w:t>
      </w:r>
      <w:r>
        <w:rPr>
          <w:rFonts w:ascii="宋体" w:hAnsi="宋体" w:cs="宋体" w:eastAsia="宋体" w:hint="default"/>
          <w:w w:val="100"/>
          <w:sz w:val="21"/>
          <w:szCs w:val="21"/>
        </w:rPr>
        <w:t> </w:t>
      </w:r>
      <w:r>
        <w:rPr>
          <w:rFonts w:ascii="宋体" w:hAnsi="宋体" w:cs="宋体" w:eastAsia="宋体" w:hint="default"/>
          <w:spacing w:val="-2"/>
          <w:sz w:val="21"/>
          <w:szCs w:val="21"/>
        </w:rPr>
        <w:t>公司清偿预计负债所需支出全部或部分预期由第三方补偿的，补偿金额在基本确定能够收到时，作为资产</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单独确认，确认的补偿金额不超过预计负债的账面价值。</w:t>
      </w:r>
    </w:p>
    <w:p>
      <w:pPr>
        <w:spacing w:line="240" w:lineRule="auto" w:before="7"/>
        <w:rPr>
          <w:rFonts w:ascii="宋体" w:hAnsi="宋体" w:cs="宋体" w:eastAsia="宋体" w:hint="default"/>
          <w:sz w:val="23"/>
          <w:szCs w:val="23"/>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、股份支付及权益工具</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513" w:right="1123"/>
        <w:jc w:val="left"/>
      </w:pPr>
      <w:r>
        <w:rPr/>
        <w:t>本公司的股份支付为以权益结算的股份支付。</w:t>
      </w:r>
    </w:p>
    <w:p>
      <w:pPr>
        <w:spacing w:after="0" w:line="240" w:lineRule="auto"/>
        <w:jc w:val="left"/>
        <w:sectPr>
          <w:pgSz w:w="11910" w:h="16840"/>
          <w:pgMar w:header="877" w:footer="1253" w:top="1060" w:bottom="14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10"/>
        <w:rPr>
          <w:rFonts w:ascii="宋体" w:hAnsi="宋体" w:cs="宋体" w:eastAsia="宋体" w:hint="default"/>
          <w:b/>
          <w:bCs/>
          <w:sz w:val="24"/>
          <w:szCs w:val="24"/>
        </w:rPr>
      </w:pPr>
    </w:p>
    <w:p>
      <w:pPr>
        <w:spacing w:line="266" w:lineRule="auto" w:before="0"/>
        <w:ind w:left="152" w:right="0" w:firstLine="420"/>
        <w:jc w:val="left"/>
        <w:rPr>
          <w:rFonts w:ascii="宋体" w:hAnsi="宋体" w:cs="宋体" w:eastAsia="宋体" w:hint="default"/>
          <w:sz w:val="21"/>
          <w:szCs w:val="21"/>
        </w:rPr>
      </w:pPr>
      <w:r>
        <w:rPr>
          <w:rFonts w:ascii="宋体" w:hAnsi="宋体" w:cs="宋体" w:eastAsia="宋体" w:hint="default"/>
          <w:sz w:val="21"/>
          <w:szCs w:val="21"/>
        </w:rPr>
        <w:t>对于授予的存在活跃市场的期权等权益工具，按照活跃市场中的报价确定其公允价值。对于授予的不</w:t>
      </w:r>
      <w:r>
        <w:rPr>
          <w:rFonts w:ascii="宋体" w:hAnsi="宋体" w:cs="宋体" w:eastAsia="宋体" w:hint="default"/>
          <w:w w:val="100"/>
          <w:sz w:val="21"/>
          <w:szCs w:val="21"/>
        </w:rPr>
        <w:t> </w:t>
      </w:r>
      <w:r>
        <w:rPr>
          <w:rFonts w:ascii="宋体" w:hAnsi="宋体" w:cs="宋体" w:eastAsia="宋体" w:hint="default"/>
          <w:spacing w:val="-2"/>
          <w:sz w:val="21"/>
          <w:szCs w:val="21"/>
        </w:rPr>
        <w:t>存在活跃市场的期权等权益工具，采用期权定价模型等确定其公允价值，选用的期权定价模型考虑以下因</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6"/>
          <w:sz w:val="21"/>
          <w:szCs w:val="21"/>
        </w:rPr>
        <w:t>素：（</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）期权的行权价格；（</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）期权的有效期；（</w:t>
      </w: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）标的股份的现行价格；（</w:t>
      </w:r>
      <w:r>
        <w:rPr>
          <w:rFonts w:ascii="Times New Roman" w:hAnsi="Times New Roman" w:cs="Times New Roman" w:eastAsia="Times New Roman" w:hint="default"/>
          <w:spacing w:val="-6"/>
          <w:sz w:val="21"/>
          <w:szCs w:val="21"/>
        </w:rPr>
        <w:t>4</w:t>
      </w:r>
      <w:r>
        <w:rPr>
          <w:rFonts w:ascii="宋体" w:hAnsi="宋体" w:cs="宋体" w:eastAsia="宋体" w:hint="default"/>
          <w:spacing w:val="-6"/>
          <w:sz w:val="21"/>
          <w:szCs w:val="21"/>
        </w:rPr>
        <w:t>）股价预计波动率；（</w:t>
      </w:r>
      <w:r>
        <w:rPr>
          <w:rFonts w:ascii="Times New Roman" w:hAnsi="Times New Roman" w:cs="Times New Roman" w:eastAsia="Times New Roman" w:hint="default"/>
          <w:spacing w:val="-6"/>
          <w:sz w:val="21"/>
          <w:szCs w:val="21"/>
        </w:rPr>
        <w:t>5</w:t>
      </w:r>
      <w:r>
        <w:rPr>
          <w:rFonts w:ascii="宋体" w:hAnsi="宋体" w:cs="宋体" w:eastAsia="宋体" w:hint="default"/>
          <w:spacing w:val="-6"/>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股份的预计股利；（</w:t>
      </w:r>
      <w:r>
        <w:rPr>
          <w:rFonts w:ascii="Times New Roman" w:hAnsi="Times New Roman" w:cs="Times New Roman" w:eastAsia="Times New Roman" w:hint="default"/>
          <w:sz w:val="21"/>
          <w:szCs w:val="21"/>
        </w:rPr>
        <w:t>6</w:t>
      </w:r>
      <w:r>
        <w:rPr>
          <w:rFonts w:ascii="宋体" w:hAnsi="宋体" w:cs="宋体" w:eastAsia="宋体" w:hint="default"/>
          <w:sz w:val="21"/>
          <w:szCs w:val="21"/>
        </w:rPr>
        <w:t>）期权有效期内的无风险利率。</w:t>
      </w:r>
    </w:p>
    <w:p>
      <w:pPr>
        <w:spacing w:line="273" w:lineRule="auto" w:before="0"/>
        <w:ind w:left="152" w:right="1126" w:firstLine="422"/>
        <w:jc w:val="both"/>
        <w:rPr>
          <w:rFonts w:ascii="宋体" w:hAnsi="宋体" w:cs="宋体" w:eastAsia="宋体" w:hint="default"/>
          <w:sz w:val="21"/>
          <w:szCs w:val="21"/>
        </w:rPr>
      </w:pPr>
      <w:r>
        <w:rPr>
          <w:rFonts w:ascii="宋体" w:hAnsi="宋体" w:cs="宋体" w:eastAsia="宋体" w:hint="default"/>
          <w:spacing w:val="-2"/>
          <w:sz w:val="21"/>
          <w:szCs w:val="21"/>
        </w:rPr>
        <w:t>在确定权益工具授予日的公允价值时，考虑股份支付协议规定的可行权条件中的市场条件和非可行权</w:t>
      </w:r>
      <w:r>
        <w:rPr>
          <w:rFonts w:ascii="宋体" w:hAnsi="宋体" w:cs="宋体" w:eastAsia="宋体" w:hint="default"/>
          <w:w w:val="100"/>
          <w:sz w:val="21"/>
          <w:szCs w:val="21"/>
        </w:rPr>
        <w:t> </w:t>
      </w:r>
      <w:r>
        <w:rPr>
          <w:rFonts w:ascii="宋体" w:hAnsi="宋体" w:cs="宋体" w:eastAsia="宋体" w:hint="default"/>
          <w:spacing w:val="-7"/>
          <w:sz w:val="21"/>
          <w:szCs w:val="21"/>
        </w:rPr>
        <w:t>条件的影响。股份支付存在非可行权条件的，只要职工或其他方满足了所有可行权条件中的非市场条件（如</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服务期限等），即确认已得到服务相对应的成本费用。</w:t>
      </w:r>
    </w:p>
    <w:p>
      <w:pPr>
        <w:spacing w:line="240" w:lineRule="auto" w:before="7"/>
        <w:rPr>
          <w:rFonts w:ascii="宋体" w:hAnsi="宋体" w:cs="宋体" w:eastAsia="宋体" w:hint="default"/>
          <w:sz w:val="23"/>
          <w:szCs w:val="23"/>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right="1123" w:firstLine="180"/>
        <w:jc w:val="left"/>
      </w:pPr>
      <w:r>
        <w:rPr>
          <w:spacing w:val="-2"/>
        </w:rPr>
        <w:t>等待期内每个资产负债表日，根据最新取得的可行权职工人数变动等后续信息作出最佳估计，修正预计可行权的权益工具</w:t>
      </w:r>
      <w:r>
        <w:rPr/>
        <w:t> 数量。在可行权日，最终预计可行权权益工具的数量与实际可行权数量一致。</w:t>
      </w:r>
    </w:p>
    <w:p>
      <w:pPr>
        <w:spacing w:line="614" w:lineRule="exact" w:before="52"/>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）实施、修改、终止股份支付计划的相关会计处理</w:t>
      </w:r>
      <w:r>
        <w:rPr>
          <w:rFonts w:ascii="宋体" w:hAnsi="宋体" w:cs="宋体" w:eastAsia="宋体" w:hint="default"/>
          <w:b/>
          <w:bCs/>
          <w:w w:val="100"/>
          <w:sz w:val="21"/>
          <w:szCs w:val="21"/>
        </w:rPr>
        <w:t> </w:t>
      </w:r>
      <w:r>
        <w:rPr>
          <w:rFonts w:ascii="宋体" w:hAnsi="宋体" w:cs="宋体" w:eastAsia="宋体" w:hint="default"/>
          <w:spacing w:val="-2"/>
          <w:sz w:val="21"/>
          <w:szCs w:val="21"/>
        </w:rPr>
        <w:t>以权益结算的股份支付，按授予职工权益工具的公允价值计量。授予后立即可行权的，在授予日按照</w:t>
      </w:r>
    </w:p>
    <w:p>
      <w:pPr>
        <w:spacing w:line="219" w:lineRule="exact"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权益工具的公允价值计入相关成本或费用，相应增加资本公积。在完成等待期内的服务或达到规定业绩条</w:t>
      </w:r>
    </w:p>
    <w:p>
      <w:pPr>
        <w:spacing w:line="273" w:lineRule="auto" w:before="37"/>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件才可行权的，在等待期内的每个资产负债表日，以对可行权权益工具数量的最佳估计为基础，按照权益</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工具授予日的公允价值，将当期取得的服务计入相关成本或费用和资本公积。在可行权日之后不再对已确</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认的相关成本或费用和所有者权益总额进行调整。</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若在等待期内取消了授予的权益工具，本公司对取消所授予的权益性工具作为加速行权处理，将剩余</w:t>
      </w:r>
      <w:r>
        <w:rPr>
          <w:rFonts w:ascii="宋体" w:hAnsi="宋体" w:cs="宋体" w:eastAsia="宋体" w:hint="default"/>
          <w:w w:val="100"/>
          <w:sz w:val="21"/>
          <w:szCs w:val="21"/>
        </w:rPr>
        <w:t> </w:t>
      </w:r>
      <w:r>
        <w:rPr>
          <w:rFonts w:ascii="宋体" w:hAnsi="宋体" w:cs="宋体" w:eastAsia="宋体" w:hint="default"/>
          <w:spacing w:val="-2"/>
          <w:sz w:val="21"/>
          <w:szCs w:val="21"/>
        </w:rPr>
        <w:t>等待期内应确认的金额立即计入当期损益，同时确认资本公积。职工或其他方能够选择满足非可行权条件</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但在等待期内未满足的，本公司将其作为授予权益工具的取消处理。</w:t>
      </w:r>
    </w:p>
    <w:p>
      <w:pPr>
        <w:spacing w:line="240" w:lineRule="auto" w:before="7"/>
        <w:rPr>
          <w:rFonts w:ascii="宋体" w:hAnsi="宋体" w:cs="宋体" w:eastAsia="宋体" w:hint="default"/>
          <w:sz w:val="23"/>
          <w:szCs w:val="23"/>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19" w:lineRule="auto"/>
        <w:ind w:right="1130" w:firstLine="360"/>
        <w:jc w:val="both"/>
      </w:pPr>
      <w:r>
        <w:rPr>
          <w:spacing w:val="-2"/>
        </w:rPr>
        <w:t>公司已将商品所有权上的主要风险和报酬转移给购买方；公司既没有保留与所有权相联系的继续管理权，也没有对已售</w:t>
      </w:r>
      <w:r>
        <w:rPr/>
        <w:t> </w:t>
      </w: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w:t>
      </w:r>
      <w:r>
        <w:rPr>
          <w:spacing w:val="8"/>
        </w:rPr>
        <w:t> </w:t>
      </w:r>
      <w:r>
        <w:rPr/>
        <w:t>具体地，成套开关设备收入确认的时点是：本公司与客户签订销售合同后，根</w:t>
      </w:r>
      <w:r>
        <w:rPr/>
        <w:t> </w:t>
      </w:r>
      <w:r>
        <w:rPr>
          <w:spacing w:val="-2"/>
        </w:rPr>
        <w:t>据合同要求组织生产，产品完工后验收入库，根据客户要求开具出库单将产品发到指定地点进行安装调试，安装调试达到验</w:t>
      </w:r>
      <w:r>
        <w:rPr>
          <w:spacing w:val="-63"/>
        </w:rPr>
        <w:t> </w:t>
      </w:r>
      <w:r>
        <w:rPr>
          <w:spacing w:val="-63"/>
        </w:rPr>
      </w:r>
      <w:r>
        <w:rPr/>
        <w:t>收标准后即获得收取货款的权利，据此开具发票确认收入。</w:t>
      </w:r>
      <w:r>
        <w:rPr>
          <w:spacing w:val="9"/>
        </w:rPr>
        <w:t> </w:t>
      </w:r>
      <w:r>
        <w:rPr/>
        <w:t>其他产品确认的时点是：本公司根据合同要求组织生产，于</w:t>
      </w:r>
      <w:r>
        <w:rPr/>
        <w:t> 仓库发出产品，开具出库单，获得收取货款的权利，据此开具发票确认收入。</w:t>
      </w:r>
    </w:p>
    <w:p>
      <w:pPr>
        <w:spacing w:line="614" w:lineRule="exact" w:before="48"/>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与交易相关的经济利益很可能流入企业，收入的金额能够可靠地计量时。分别下列情况确定让渡资产</w:t>
      </w:r>
    </w:p>
    <w:p>
      <w:pPr>
        <w:spacing w:line="219" w:lineRule="exact" w:before="0"/>
        <w:ind w:left="152" w:right="1123" w:firstLine="0"/>
        <w:jc w:val="left"/>
        <w:rPr>
          <w:rFonts w:ascii="宋体" w:hAnsi="宋体" w:cs="宋体" w:eastAsia="宋体" w:hint="default"/>
          <w:sz w:val="21"/>
          <w:szCs w:val="21"/>
        </w:rPr>
      </w:pPr>
      <w:r>
        <w:rPr>
          <w:rFonts w:ascii="宋体" w:hAnsi="宋体" w:cs="宋体" w:eastAsia="宋体" w:hint="default"/>
          <w:sz w:val="21"/>
          <w:szCs w:val="21"/>
        </w:rPr>
        <w:t>使用权收入金额：</w:t>
      </w:r>
    </w:p>
    <w:p>
      <w:pPr>
        <w:spacing w:before="37"/>
        <w:ind w:left="573"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）利息收入金额，按照他人使用本企业货币资金的时间和实际利率计算确定。</w:t>
      </w:r>
    </w:p>
    <w:p>
      <w:pPr>
        <w:spacing w:before="21"/>
        <w:ind w:left="573"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）使用费收入金额，按照有关合同或协议约定的收费时间和方法计算确定。</w:t>
      </w:r>
    </w:p>
    <w:p>
      <w:pPr>
        <w:spacing w:after="0"/>
        <w:jc w:val="left"/>
        <w:rPr>
          <w:rFonts w:ascii="宋体" w:hAnsi="宋体" w:cs="宋体" w:eastAsia="宋体" w:hint="default"/>
          <w:sz w:val="21"/>
          <w:szCs w:val="21"/>
        </w:rPr>
        <w:sectPr>
          <w:pgSz w:w="11910" w:h="16840"/>
          <w:pgMar w:header="877" w:footer="1253" w:top="1060" w:bottom="1440" w:left="980" w:right="0"/>
        </w:sectPr>
      </w:pPr>
    </w:p>
    <w:p>
      <w:pPr>
        <w:spacing w:line="240" w:lineRule="auto" w:before="10"/>
        <w:rPr>
          <w:rFonts w:ascii="宋体" w:hAnsi="宋体" w:cs="宋体" w:eastAsia="宋体" w:hint="default"/>
          <w:sz w:val="24"/>
          <w:szCs w:val="24"/>
        </w:rPr>
      </w:pPr>
    </w:p>
    <w:p>
      <w:pPr>
        <w:spacing w:before="36"/>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）确认提供劳务收入的依据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152" w:right="0" w:firstLine="420"/>
        <w:jc w:val="left"/>
        <w:rPr>
          <w:rFonts w:ascii="宋体" w:hAnsi="宋体" w:cs="宋体" w:eastAsia="宋体" w:hint="default"/>
          <w:sz w:val="21"/>
          <w:szCs w:val="21"/>
        </w:rPr>
      </w:pPr>
      <w:r>
        <w:rPr>
          <w:rFonts w:ascii="宋体" w:hAnsi="宋体" w:cs="宋体" w:eastAsia="宋体" w:hint="default"/>
          <w:sz w:val="21"/>
          <w:szCs w:val="21"/>
        </w:rPr>
        <w:t>在资产负债表日提供劳务交易的结果能够可靠估计的，采用完工百分比法确认提供劳务收入。本公司</w:t>
      </w:r>
      <w:r>
        <w:rPr>
          <w:rFonts w:ascii="宋体" w:hAnsi="宋体" w:cs="宋体" w:eastAsia="宋体" w:hint="default"/>
          <w:w w:val="100"/>
          <w:sz w:val="21"/>
          <w:szCs w:val="21"/>
        </w:rPr>
        <w:t> </w:t>
      </w:r>
      <w:r>
        <w:rPr>
          <w:rFonts w:ascii="宋体" w:hAnsi="宋体" w:cs="宋体" w:eastAsia="宋体" w:hint="default"/>
          <w:spacing w:val="-9"/>
          <w:w w:val="100"/>
          <w:sz w:val="21"/>
          <w:szCs w:val="21"/>
        </w:rPr>
        <w:t>根据已完工作的测量（已经发生的成本占估计总成本的比例）确定提供劳务交易的完工进度（完工百分比）。</w:t>
      </w:r>
    </w:p>
    <w:p>
      <w:pPr>
        <w:spacing w:before="7"/>
        <w:ind w:left="573" w:right="1123" w:firstLine="0"/>
        <w:jc w:val="left"/>
        <w:rPr>
          <w:rFonts w:ascii="宋体" w:hAnsi="宋体" w:cs="宋体" w:eastAsia="宋体" w:hint="default"/>
          <w:sz w:val="21"/>
          <w:szCs w:val="21"/>
        </w:rPr>
      </w:pPr>
      <w:r>
        <w:rPr>
          <w:rFonts w:ascii="宋体" w:hAnsi="宋体" w:cs="宋体" w:eastAsia="宋体" w:hint="default"/>
          <w:sz w:val="21"/>
          <w:szCs w:val="21"/>
        </w:rPr>
        <w:t>在资产负债表日提供劳务交易结果不能够可靠估计的，分别下列情况处理：</w:t>
      </w:r>
    </w:p>
    <w:p>
      <w:pPr>
        <w:spacing w:line="256" w:lineRule="auto" w:before="37"/>
        <w:ind w:left="152" w:right="1132"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、已经发生的劳务成本预计能够得到补偿的，按照已经发生的劳务成本金额确认提供劳务收入，并</w:t>
      </w:r>
      <w:r>
        <w:rPr>
          <w:rFonts w:ascii="宋体" w:hAnsi="宋体" w:cs="宋体" w:eastAsia="宋体" w:hint="default"/>
          <w:w w:val="100"/>
          <w:sz w:val="21"/>
          <w:szCs w:val="21"/>
        </w:rPr>
        <w:t> </w:t>
      </w:r>
      <w:r>
        <w:rPr>
          <w:rFonts w:ascii="宋体" w:hAnsi="宋体" w:cs="宋体" w:eastAsia="宋体" w:hint="default"/>
          <w:sz w:val="21"/>
          <w:szCs w:val="21"/>
        </w:rPr>
        <w:t>按相同金额结转劳务成本。</w:t>
      </w:r>
    </w:p>
    <w:p>
      <w:pPr>
        <w:spacing w:line="256" w:lineRule="auto" w:before="22"/>
        <w:ind w:left="152" w:right="112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、已经发生的劳务成本预计不能够得到补偿的，将已经发生的劳务成本计入当期损益，不确认提供</w:t>
      </w:r>
      <w:r>
        <w:rPr>
          <w:rFonts w:ascii="宋体" w:hAnsi="宋体" w:cs="宋体" w:eastAsia="宋体" w:hint="default"/>
          <w:w w:val="100"/>
          <w:sz w:val="21"/>
          <w:szCs w:val="21"/>
        </w:rPr>
        <w:t> </w:t>
      </w:r>
      <w:r>
        <w:rPr>
          <w:rFonts w:ascii="宋体" w:hAnsi="宋体" w:cs="宋体" w:eastAsia="宋体" w:hint="default"/>
          <w:sz w:val="21"/>
          <w:szCs w:val="21"/>
        </w:rPr>
        <w:t>劳务收入。</w:t>
      </w:r>
    </w:p>
    <w:p>
      <w:pPr>
        <w:spacing w:line="273" w:lineRule="auto" w:before="22"/>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本公司与其他企业签订的合同或协议包括销售商品和提供劳务时，销售商品部分和提供劳务部分能够</w:t>
      </w:r>
      <w:r>
        <w:rPr>
          <w:rFonts w:ascii="宋体" w:hAnsi="宋体" w:cs="宋体" w:eastAsia="宋体" w:hint="default"/>
          <w:w w:val="100"/>
          <w:sz w:val="21"/>
          <w:szCs w:val="21"/>
        </w:rPr>
        <w:t> </w:t>
      </w:r>
      <w:r>
        <w:rPr>
          <w:rFonts w:ascii="宋体" w:hAnsi="宋体" w:cs="宋体" w:eastAsia="宋体" w:hint="default"/>
          <w:spacing w:val="-2"/>
          <w:sz w:val="21"/>
          <w:szCs w:val="21"/>
        </w:rPr>
        <w:t>区分且能够单独计量的，将销售商品的部分作为销售商品处理，将提供劳务的部分作为提供劳务处理。销</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售商品部分和提供劳务部分不能够区分，或虽能区分但不能够单独计量的，将销售商品部分和提供劳务部</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分全部作为销售商品处理。</w:t>
      </w:r>
    </w:p>
    <w:p>
      <w:pPr>
        <w:spacing w:line="240" w:lineRule="auto" w:before="7"/>
        <w:rPr>
          <w:rFonts w:ascii="宋体" w:hAnsi="宋体" w:cs="宋体" w:eastAsia="宋体" w:hint="default"/>
          <w:sz w:val="23"/>
          <w:szCs w:val="23"/>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）类型</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16" w:lineRule="auto"/>
        <w:ind w:right="1128" w:firstLine="360"/>
        <w:jc w:val="both"/>
      </w:pPr>
      <w:r>
        <w:rPr>
          <w:spacing w:val="-2"/>
        </w:rPr>
        <w:t>政府补助，是公司从政府无偿取得的货币性资产与非货币性资产，但不包括政府作为企业所有者投入的资本。分为与资</w:t>
      </w:r>
      <w:r>
        <w:rPr/>
        <w:t> </w:t>
      </w:r>
      <w:r>
        <w:rPr>
          <w:spacing w:val="-2"/>
        </w:rPr>
        <w:t>产相关的政府补助和与收益相关的政府补助。政府补助为货币性资产的，按照收到或应收的金额计量；政府补助为非货币性</w:t>
      </w:r>
      <w:r>
        <w:rPr>
          <w:spacing w:val="-63"/>
        </w:rPr>
        <w:t> </w:t>
      </w:r>
      <w:r>
        <w:rPr>
          <w:spacing w:val="-63"/>
        </w:rPr>
      </w:r>
      <w:r>
        <w:rPr/>
        <w:t>资产的，按照公允价值计量；公允价值不能可靠取得的，按照名义金额（人民币</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元）计量。</w:t>
      </w:r>
    </w:p>
    <w:p>
      <w:pPr>
        <w:spacing w:line="614" w:lineRule="exact" w:before="3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）会计处理方法</w:t>
      </w:r>
      <w:r>
        <w:rPr>
          <w:rFonts w:ascii="宋体" w:hAnsi="宋体" w:cs="宋体" w:eastAsia="宋体" w:hint="default"/>
          <w:b/>
          <w:bCs/>
          <w:spacing w:val="-104"/>
          <w:sz w:val="21"/>
          <w:szCs w:val="21"/>
        </w:rPr>
        <w:t> </w:t>
      </w:r>
      <w:r>
        <w:rPr>
          <w:rFonts w:ascii="宋体" w:hAnsi="宋体" w:cs="宋体" w:eastAsia="宋体" w:hint="default"/>
          <w:spacing w:val="-2"/>
          <w:sz w:val="21"/>
          <w:szCs w:val="21"/>
        </w:rPr>
        <w:t>与购建固定资产、无形资产等长期资产相关的政府补助，确认为递延收益，按照所建造或购买的资产</w:t>
      </w:r>
    </w:p>
    <w:p>
      <w:pPr>
        <w:spacing w:line="219" w:lineRule="exact" w:before="0"/>
        <w:ind w:left="152" w:right="1123" w:firstLine="0"/>
        <w:jc w:val="left"/>
        <w:rPr>
          <w:rFonts w:ascii="宋体" w:hAnsi="宋体" w:cs="宋体" w:eastAsia="宋体" w:hint="default"/>
          <w:sz w:val="21"/>
          <w:szCs w:val="21"/>
        </w:rPr>
      </w:pPr>
      <w:r>
        <w:rPr>
          <w:rFonts w:ascii="宋体" w:hAnsi="宋体" w:cs="宋体" w:eastAsia="宋体" w:hint="default"/>
          <w:sz w:val="21"/>
          <w:szCs w:val="21"/>
        </w:rPr>
        <w:t>使用年限分期计入营业外收入；</w:t>
      </w:r>
    </w:p>
    <w:p>
      <w:pPr>
        <w:spacing w:line="273" w:lineRule="auto" w:before="3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与收益相关的政府补助，用于补偿企业以后期间的相关费用或损失的，取得时确认为递延收益，在确</w:t>
      </w:r>
      <w:r>
        <w:rPr>
          <w:rFonts w:ascii="宋体" w:hAnsi="宋体" w:cs="宋体" w:eastAsia="宋体" w:hint="default"/>
          <w:w w:val="100"/>
          <w:sz w:val="21"/>
          <w:szCs w:val="21"/>
        </w:rPr>
        <w:t> </w:t>
      </w:r>
      <w:r>
        <w:rPr>
          <w:rFonts w:ascii="宋体" w:hAnsi="宋体" w:cs="宋体" w:eastAsia="宋体" w:hint="default"/>
          <w:spacing w:val="-2"/>
          <w:sz w:val="21"/>
          <w:szCs w:val="21"/>
        </w:rPr>
        <w:t>认相关费用的期间计入当期营业外收入；用于补偿企业已发生的相关费用或损失的，取得时直接计入当期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营业外收入。</w:t>
      </w:r>
    </w:p>
    <w:p>
      <w:pPr>
        <w:spacing w:line="240" w:lineRule="auto" w:before="7"/>
        <w:rPr>
          <w:rFonts w:ascii="宋体" w:hAnsi="宋体" w:cs="宋体" w:eastAsia="宋体" w:hint="default"/>
          <w:sz w:val="23"/>
          <w:szCs w:val="23"/>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公司以很可能取得用来抵扣可抵扣暂时性差异的应纳税所得额为限，确认由可抵扣暂时性差异产生的递延所得税资产。</w:t>
      </w:r>
    </w:p>
    <w:p>
      <w:pPr>
        <w:spacing w:line="240" w:lineRule="auto" w:before="0"/>
        <w:rPr>
          <w:rFonts w:ascii="宋体" w:hAnsi="宋体" w:cs="宋体" w:eastAsia="宋体" w:hint="default"/>
          <w:sz w:val="18"/>
          <w:szCs w:val="18"/>
        </w:rPr>
      </w:pPr>
    </w:p>
    <w:p>
      <w:pPr>
        <w:pStyle w:val="Heading4"/>
        <w:spacing w:line="240" w:lineRule="auto" w:before="121"/>
        <w:ind w:right="1123"/>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公司将当期与以前期间应交未交的应纳税暂时性差异确认为递延所得税负债。但不包括商誉、非企业合并形成的交易且</w:t>
      </w:r>
      <w:r>
        <w:rPr/>
        <w:t> 该交易发生时既不影响会计利润也不影响应纳税所得额所形成的暂时性差异。</w:t>
      </w:r>
    </w:p>
    <w:p>
      <w:pPr>
        <w:spacing w:line="240" w:lineRule="auto" w:before="8"/>
        <w:rPr>
          <w:rFonts w:ascii="宋体" w:hAnsi="宋体" w:cs="宋体" w:eastAsia="宋体" w:hint="default"/>
          <w:sz w:val="22"/>
          <w:szCs w:val="22"/>
        </w:rPr>
      </w:pPr>
    </w:p>
    <w:p>
      <w:pPr>
        <w:pStyle w:val="Heading4"/>
        <w:tabs>
          <w:tab w:pos="889" w:val="left" w:leader="none"/>
        </w:tabs>
        <w:spacing w:line="240" w:lineRule="auto"/>
        <w:ind w:right="1123"/>
        <w:jc w:val="left"/>
        <w:rPr>
          <w:b w:val="0"/>
          <w:bCs w:val="0"/>
        </w:rPr>
      </w:pPr>
      <w:r>
        <w:rPr>
          <w:spacing w:val="-1"/>
        </w:rPr>
        <w:t>（</w:t>
      </w:r>
      <w:r>
        <w:rPr>
          <w:rFonts w:ascii="Times New Roman" w:hAnsi="Times New Roman" w:cs="Times New Roman" w:eastAsia="Times New Roman" w:hint="default"/>
          <w:spacing w:val="-1"/>
        </w:rPr>
        <w:t>3</w:t>
      </w:r>
      <w:r>
        <w:rPr>
          <w:spacing w:val="-1"/>
        </w:rPr>
        <w:t>）</w:t>
        <w:tab/>
        <w:t>同时满足下列条件时，将递延所得税资产及递延所得税负债以抵销后的净额列示</w:t>
      </w:r>
      <w:r>
        <w:rPr>
          <w:b w:val="0"/>
          <w:bCs w:val="0"/>
          <w:spacing w:val="-1"/>
        </w:rPr>
      </w:r>
    </w:p>
    <w:p>
      <w:pPr>
        <w:spacing w:line="240" w:lineRule="auto" w:before="10"/>
        <w:rPr>
          <w:rFonts w:ascii="宋体" w:hAnsi="宋体" w:cs="宋体" w:eastAsia="宋体" w:hint="default"/>
          <w:b/>
          <w:bCs/>
          <w:sz w:val="24"/>
          <w:szCs w:val="24"/>
        </w:rPr>
      </w:pPr>
    </w:p>
    <w:p>
      <w:pPr>
        <w:spacing w:before="0"/>
        <w:ind w:left="573"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）企业拥有以净额结算当期所得税资产及当期所得税负债的法定权利；</w:t>
      </w:r>
    </w:p>
    <w:p>
      <w:pPr>
        <w:spacing w:before="21"/>
        <w:ind w:left="573"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）递延所得税资产和递延所得税负债是与同一税收征管部门对同一纳税主体征收的所得税相关或</w:t>
      </w:r>
    </w:p>
    <w:p>
      <w:pPr>
        <w:spacing w:after="0"/>
        <w:jc w:val="left"/>
        <w:rPr>
          <w:rFonts w:ascii="宋体" w:hAnsi="宋体" w:cs="宋体" w:eastAsia="宋体" w:hint="default"/>
          <w:sz w:val="21"/>
          <w:szCs w:val="21"/>
        </w:rPr>
        <w:sectPr>
          <w:pgSz w:w="11910" w:h="16840"/>
          <w:pgMar w:header="877" w:footer="1253" w:top="1060" w:bottom="1440" w:left="980" w:right="0"/>
        </w:sectPr>
      </w:pPr>
    </w:p>
    <w:p>
      <w:pPr>
        <w:spacing w:line="240" w:lineRule="auto" w:before="10"/>
        <w:rPr>
          <w:rFonts w:ascii="宋体" w:hAnsi="宋体" w:cs="宋体" w:eastAsia="宋体" w:hint="default"/>
          <w:sz w:val="24"/>
          <w:szCs w:val="24"/>
        </w:rPr>
      </w:pPr>
    </w:p>
    <w:p>
      <w:pPr>
        <w:spacing w:line="273" w:lineRule="auto" w:before="36"/>
        <w:ind w:left="152" w:right="1123" w:firstLine="0"/>
        <w:jc w:val="left"/>
        <w:rPr>
          <w:rFonts w:ascii="宋体" w:hAnsi="宋体" w:cs="宋体" w:eastAsia="宋体" w:hint="default"/>
          <w:sz w:val="21"/>
          <w:szCs w:val="21"/>
        </w:rPr>
      </w:pPr>
      <w:r>
        <w:rPr>
          <w:rFonts w:ascii="宋体" w:hAnsi="宋体" w:cs="宋体" w:eastAsia="宋体" w:hint="default"/>
          <w:spacing w:val="-2"/>
          <w:sz w:val="21"/>
          <w:szCs w:val="21"/>
        </w:rPr>
        <w:t>者对不同的纳税主体相关，但在未来每一具有重要性的递延所得税资产和递延所得税负债转回的期间内，</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涉及的纳税主体体意图以净额结算当期所得税资产及当期所得税负债或是同时取得资产、清偿债务。</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一般情况下，在个别财务报表中，当期所得税资产与负债及递延所得税资产及递延所得税负债可以以</w:t>
      </w:r>
      <w:r>
        <w:rPr>
          <w:rFonts w:ascii="宋体" w:hAnsi="宋体" w:cs="宋体" w:eastAsia="宋体" w:hint="default"/>
          <w:w w:val="100"/>
          <w:sz w:val="21"/>
          <w:szCs w:val="21"/>
        </w:rPr>
        <w:t> </w:t>
      </w:r>
      <w:r>
        <w:rPr>
          <w:rFonts w:ascii="宋体" w:hAnsi="宋体" w:cs="宋体" w:eastAsia="宋体" w:hint="default"/>
          <w:spacing w:val="-2"/>
          <w:sz w:val="21"/>
          <w:szCs w:val="21"/>
        </w:rPr>
        <w:t>抵销后的净额列示。在合并财务报表中，纳入合并范围的企业中，一方的当期所得税资产或递延所得税资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产与另一方的当期所得税负债或递延所得税负债一般不能予以抵销，除非所涉及的企业具有以净额结算的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法定权利并且意图以净额结算。</w:t>
      </w:r>
    </w:p>
    <w:p>
      <w:pPr>
        <w:spacing w:line="240" w:lineRule="auto" w:before="7"/>
        <w:rPr>
          <w:rFonts w:ascii="宋体" w:hAnsi="宋体" w:cs="宋体" w:eastAsia="宋体" w:hint="default"/>
          <w:sz w:val="23"/>
          <w:szCs w:val="23"/>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、经营租赁、融资租赁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59" w:lineRule="auto" w:before="0"/>
        <w:ind w:left="152" w:right="113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）公司租入资产所支付的租赁费，在不扣除免租期的整个租赁期内，按直线法进行分摊，计入当</w:t>
      </w:r>
      <w:r>
        <w:rPr>
          <w:rFonts w:ascii="宋体" w:hAnsi="宋体" w:cs="宋体" w:eastAsia="宋体" w:hint="default"/>
          <w:w w:val="100"/>
          <w:sz w:val="21"/>
          <w:szCs w:val="21"/>
        </w:rPr>
        <w:t> </w:t>
      </w:r>
      <w:r>
        <w:rPr>
          <w:rFonts w:ascii="宋体" w:hAnsi="宋体" w:cs="宋体" w:eastAsia="宋体" w:hint="default"/>
          <w:sz w:val="21"/>
          <w:szCs w:val="21"/>
        </w:rPr>
        <w:t>期费用。公司支付的与租赁交易相关的初始直接费用，计入当期费用。</w:t>
      </w:r>
    </w:p>
    <w:p>
      <w:pPr>
        <w:spacing w:line="273" w:lineRule="auto" w:before="20"/>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资产出租方承担了应由公司承担的与租赁相关的费用时，公司将该部分费用从租金总额中扣除，按扣</w:t>
      </w:r>
      <w:r>
        <w:rPr>
          <w:rFonts w:ascii="宋体" w:hAnsi="宋体" w:cs="宋体" w:eastAsia="宋体" w:hint="default"/>
          <w:w w:val="100"/>
          <w:sz w:val="21"/>
          <w:szCs w:val="21"/>
        </w:rPr>
        <w:t> </w:t>
      </w:r>
      <w:r>
        <w:rPr>
          <w:rFonts w:ascii="宋体" w:hAnsi="宋体" w:cs="宋体" w:eastAsia="宋体" w:hint="default"/>
          <w:sz w:val="21"/>
          <w:szCs w:val="21"/>
        </w:rPr>
        <w:t>除后的租金费用在租赁期内分摊，计入当期费用。</w:t>
      </w:r>
    </w:p>
    <w:p>
      <w:pPr>
        <w:spacing w:line="264" w:lineRule="auto" w:before="7"/>
        <w:ind w:left="152" w:right="1105"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）公司出租资产所收取的租赁费，在不扣除免租期的整个租赁期内，按直线法进行分摊，确认为</w:t>
      </w:r>
      <w:r>
        <w:rPr>
          <w:rFonts w:ascii="宋体" w:hAnsi="宋体" w:cs="宋体" w:eastAsia="宋体" w:hint="default"/>
          <w:w w:val="100"/>
          <w:sz w:val="21"/>
          <w:szCs w:val="21"/>
        </w:rPr>
        <w:t> </w:t>
      </w:r>
      <w:r>
        <w:rPr>
          <w:rFonts w:ascii="宋体" w:hAnsi="宋体" w:cs="宋体" w:eastAsia="宋体" w:hint="default"/>
          <w:spacing w:val="-2"/>
          <w:sz w:val="21"/>
          <w:szCs w:val="21"/>
        </w:rPr>
        <w:t>租赁收入。公司支付的与租赁交易相关的初始直接费用，计入当期费用；如金额较大的，则予以资本化，</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在整个租赁期间内按照与租赁收入确认相同的基础分期计入当期收益。</w:t>
      </w:r>
    </w:p>
    <w:p>
      <w:pPr>
        <w:spacing w:line="273" w:lineRule="auto" w:before="16"/>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公司承担了应由承租方承担的与租赁相关的费用时，公司将该部分费用从租金收入总额中扣除，按扣</w:t>
      </w:r>
      <w:r>
        <w:rPr>
          <w:rFonts w:ascii="宋体" w:hAnsi="宋体" w:cs="宋体" w:eastAsia="宋体" w:hint="default"/>
          <w:w w:val="100"/>
          <w:sz w:val="21"/>
          <w:szCs w:val="21"/>
        </w:rPr>
        <w:t> </w:t>
      </w:r>
      <w:r>
        <w:rPr>
          <w:rFonts w:ascii="宋体" w:hAnsi="宋体" w:cs="宋体" w:eastAsia="宋体" w:hint="default"/>
          <w:sz w:val="21"/>
          <w:szCs w:val="21"/>
        </w:rPr>
        <w:t>除后的租金费用在租赁期内分配。</w:t>
      </w:r>
    </w:p>
    <w:p>
      <w:pPr>
        <w:spacing w:line="240" w:lineRule="auto" w:before="7"/>
        <w:rPr>
          <w:rFonts w:ascii="宋体" w:hAnsi="宋体" w:cs="宋体" w:eastAsia="宋体" w:hint="default"/>
          <w:sz w:val="23"/>
          <w:szCs w:val="23"/>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）融资租赁会计处理</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56" w:lineRule="auto" w:before="0"/>
        <w:ind w:left="152"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）融资租入资产：公司在承租开始日，将租赁资产公允价值与最低租赁付款额现值两者中较低者</w:t>
      </w:r>
      <w:r>
        <w:rPr>
          <w:rFonts w:ascii="宋体" w:hAnsi="宋体" w:cs="宋体" w:eastAsia="宋体" w:hint="default"/>
          <w:w w:val="100"/>
          <w:sz w:val="21"/>
          <w:szCs w:val="21"/>
        </w:rPr>
        <w:t> </w:t>
      </w:r>
      <w:r>
        <w:rPr>
          <w:rFonts w:ascii="宋体" w:hAnsi="宋体" w:cs="宋体" w:eastAsia="宋体" w:hint="default"/>
          <w:spacing w:val="-5"/>
          <w:sz w:val="21"/>
          <w:szCs w:val="21"/>
        </w:rPr>
        <w:t>作为租入资产的入账价值，将最低租赁付款额作为长期应付款的入账价值，其差额作为未确认的融资费用。</w:t>
      </w:r>
    </w:p>
    <w:p>
      <w:pPr>
        <w:spacing w:before="22"/>
        <w:ind w:left="573" w:right="1123" w:firstLine="0"/>
        <w:jc w:val="left"/>
        <w:rPr>
          <w:rFonts w:ascii="宋体" w:hAnsi="宋体" w:cs="宋体" w:eastAsia="宋体" w:hint="default"/>
          <w:sz w:val="21"/>
          <w:szCs w:val="21"/>
        </w:rPr>
      </w:pPr>
      <w:r>
        <w:rPr>
          <w:rFonts w:ascii="宋体" w:hAnsi="宋体" w:cs="宋体" w:eastAsia="宋体" w:hint="default"/>
          <w:sz w:val="21"/>
          <w:szCs w:val="21"/>
        </w:rPr>
        <w:t>公司采用实际利率法对未确认的融资费用，在资产租赁期间内摊销，计入财务费用。</w:t>
      </w:r>
    </w:p>
    <w:p>
      <w:pPr>
        <w:spacing w:line="264" w:lineRule="auto" w:before="37"/>
        <w:ind w:left="152" w:right="1126" w:firstLine="425"/>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）融资租出资产：公司在租赁开始日，将应收融资租赁款，未担保余值之和与其现值的差额确认</w:t>
      </w:r>
      <w:r>
        <w:rPr>
          <w:rFonts w:ascii="宋体" w:hAnsi="宋体" w:cs="宋体" w:eastAsia="宋体" w:hint="default"/>
          <w:w w:val="100"/>
          <w:sz w:val="21"/>
          <w:szCs w:val="21"/>
        </w:rPr>
        <w:t> </w:t>
      </w:r>
      <w:r>
        <w:rPr>
          <w:rFonts w:ascii="宋体" w:hAnsi="宋体" w:cs="宋体" w:eastAsia="宋体" w:hint="default"/>
          <w:spacing w:val="-2"/>
          <w:sz w:val="21"/>
          <w:szCs w:val="21"/>
        </w:rPr>
        <w:t>为未实现融资收益，在将来收到租金的各期间内确认为租赁收入，公司发生的与出租交易相关的初始直接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费用，计入应收融资租赁款的初始计量中，并减少租赁期内确认的收益金额。</w:t>
      </w:r>
    </w:p>
    <w:p>
      <w:pPr>
        <w:spacing w:line="240" w:lineRule="auto" w:before="2"/>
        <w:rPr>
          <w:rFonts w:ascii="宋体" w:hAnsi="宋体" w:cs="宋体" w:eastAsia="宋体" w:hint="default"/>
          <w:sz w:val="24"/>
          <w:szCs w:val="24"/>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1123"/>
        <w:jc w:val="left"/>
      </w:pPr>
      <w:r>
        <w:rPr/>
        <w:t>本报告期主要会计政策、会计估计是否变更</w:t>
      </w:r>
    </w:p>
    <w:p>
      <w:pPr>
        <w:pStyle w:val="BodyText"/>
        <w:spacing w:line="240" w:lineRule="auto" w:before="117"/>
        <w:ind w:right="112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本报告期主要会计政策是否变更</w:t>
      </w:r>
    </w:p>
    <w:p>
      <w:pPr>
        <w:pStyle w:val="BodyText"/>
        <w:spacing w:line="240" w:lineRule="auto" w:before="117"/>
        <w:ind w:right="1123"/>
        <w:jc w:val="left"/>
      </w:pPr>
      <w:r>
        <w:rPr/>
        <w:t>□ 是 √</w:t>
      </w:r>
      <w:r>
        <w:rPr>
          <w:spacing w:val="3"/>
        </w:rPr>
        <w:t> </w:t>
      </w:r>
      <w:r>
        <w:rPr/>
        <w:t>否</w:t>
      </w:r>
    </w:p>
    <w:p>
      <w:pPr>
        <w:spacing w:before="96"/>
        <w:ind w:left="152" w:right="1123" w:firstLine="0"/>
        <w:jc w:val="left"/>
        <w:rPr>
          <w:rFonts w:ascii="宋体" w:hAnsi="宋体" w:cs="宋体" w:eastAsia="宋体" w:hint="default"/>
          <w:sz w:val="21"/>
          <w:szCs w:val="21"/>
        </w:rPr>
      </w:pPr>
      <w:r>
        <w:rPr>
          <w:rFonts w:ascii="宋体" w:hAnsi="宋体" w:cs="宋体" w:eastAsia="宋体" w:hint="default"/>
          <w:sz w:val="21"/>
          <w:szCs w:val="21"/>
        </w:rPr>
        <w:t>本报告期主要会计政策未变更。</w:t>
      </w:r>
    </w:p>
    <w:p>
      <w:pPr>
        <w:spacing w:line="240" w:lineRule="auto" w:before="10"/>
        <w:rPr>
          <w:rFonts w:ascii="宋体" w:hAnsi="宋体" w:cs="宋体" w:eastAsia="宋体" w:hint="default"/>
          <w:sz w:val="25"/>
          <w:szCs w:val="25"/>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1123"/>
        <w:jc w:val="left"/>
      </w:pPr>
      <w:r>
        <w:rPr/>
        <w:t>本报告期主要会计估计是否变更</w:t>
      </w:r>
    </w:p>
    <w:p>
      <w:pPr>
        <w:spacing w:after="0" w:line="240" w:lineRule="auto"/>
        <w:jc w:val="left"/>
        <w:sectPr>
          <w:pgSz w:w="11910" w:h="16840"/>
          <w:pgMar w:header="877" w:footer="1253" w:top="1060" w:bottom="14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before="83"/>
        <w:ind w:left="573" w:right="1123" w:firstLine="0"/>
        <w:jc w:val="left"/>
        <w:rPr>
          <w:rFonts w:ascii="宋体" w:hAnsi="宋体" w:cs="宋体" w:eastAsia="宋体" w:hint="default"/>
          <w:sz w:val="21"/>
          <w:szCs w:val="21"/>
        </w:rPr>
      </w:pPr>
      <w:r>
        <w:rPr>
          <w:rFonts w:ascii="宋体" w:hAnsi="宋体" w:cs="宋体" w:eastAsia="宋体" w:hint="default"/>
          <w:sz w:val="21"/>
          <w:szCs w:val="21"/>
        </w:rPr>
        <w:t>本报告期主要会计估计未变更。</w:t>
      </w:r>
    </w:p>
    <w:p>
      <w:pPr>
        <w:spacing w:line="240" w:lineRule="auto" w:before="10"/>
        <w:rPr>
          <w:rFonts w:ascii="宋体" w:hAnsi="宋体" w:cs="宋体" w:eastAsia="宋体" w:hint="default"/>
          <w:sz w:val="25"/>
          <w:szCs w:val="25"/>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1123"/>
        <w:jc w:val="left"/>
      </w:pPr>
      <w:r>
        <w:rPr/>
        <w:t>本报告期是否发现前期会计差错</w:t>
      </w:r>
    </w:p>
    <w:p>
      <w:pPr>
        <w:pStyle w:val="BodyText"/>
        <w:spacing w:line="240" w:lineRule="auto" w:before="117"/>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73" w:lineRule="auto" w:before="83"/>
        <w:ind w:left="573" w:right="3749" w:firstLine="0"/>
        <w:jc w:val="left"/>
        <w:rPr>
          <w:rFonts w:ascii="宋体" w:hAnsi="宋体" w:cs="宋体" w:eastAsia="宋体" w:hint="default"/>
          <w:sz w:val="21"/>
          <w:szCs w:val="21"/>
        </w:rPr>
      </w:pPr>
      <w:r>
        <w:rPr>
          <w:rFonts w:ascii="宋体" w:hAnsi="宋体" w:cs="宋体" w:eastAsia="宋体" w:hint="default"/>
          <w:sz w:val="21"/>
          <w:szCs w:val="21"/>
        </w:rPr>
        <w:t>本报告期未发现采用追溯重述法的前期差错。</w:t>
      </w:r>
      <w:r>
        <w:rPr>
          <w:rFonts w:ascii="宋体" w:hAnsi="宋体" w:cs="宋体" w:eastAsia="宋体" w:hint="default"/>
          <w:w w:val="100"/>
          <w:sz w:val="21"/>
          <w:szCs w:val="21"/>
        </w:rPr>
        <w:t> </w:t>
      </w:r>
      <w:r>
        <w:rPr>
          <w:rFonts w:ascii="宋体" w:hAnsi="宋体" w:cs="宋体" w:eastAsia="宋体" w:hint="default"/>
          <w:spacing w:val="-2"/>
          <w:sz w:val="21"/>
          <w:szCs w:val="21"/>
        </w:rPr>
        <w:t>本报告期未发现采用未来适用法的前期会计差错。</w:t>
      </w:r>
    </w:p>
    <w:p>
      <w:pPr>
        <w:spacing w:line="240" w:lineRule="auto" w:before="8"/>
        <w:rPr>
          <w:rFonts w:ascii="宋体" w:hAnsi="宋体" w:cs="宋体" w:eastAsia="宋体" w:hint="default"/>
          <w:sz w:val="21"/>
          <w:szCs w:val="21"/>
        </w:rPr>
      </w:pPr>
    </w:p>
    <w:p>
      <w:pPr>
        <w:spacing w:before="0"/>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五、税项</w:t>
      </w:r>
      <w:r>
        <w:rPr>
          <w:rFonts w:ascii="宋体" w:hAnsi="宋体" w:cs="宋体" w:eastAsia="宋体" w:hint="default"/>
          <w:sz w:val="24"/>
          <w:szCs w:val="24"/>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、公司主要税种和税率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17"/>
        <w:gridCol w:w="3024"/>
        <w:gridCol w:w="3027"/>
      </w:tblGrid>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销售货物或提供加工、修理修配劳务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服务等收入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024"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安徽鑫龙电器股份有限公司本部</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w:t>
            </w:r>
          </w:p>
        </w:tc>
      </w:tr>
      <w:tr>
        <w:trPr>
          <w:trHeight w:val="71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1"/>
              <w:jc w:val="left"/>
              <w:rPr>
                <w:rFonts w:ascii="宋体" w:hAnsi="宋体" w:cs="宋体" w:eastAsia="宋体" w:hint="default"/>
                <w:sz w:val="18"/>
                <w:szCs w:val="18"/>
              </w:rPr>
            </w:pPr>
            <w:r>
              <w:rPr>
                <w:rFonts w:ascii="宋体" w:hAnsi="宋体" w:cs="宋体" w:eastAsia="宋体" w:hint="default"/>
                <w:sz w:val="18"/>
                <w:szCs w:val="18"/>
              </w:rPr>
              <w:t>安徽鑫龙电器股份有限公司本部北京技术服 务分公司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安徽鑫龙自动化有限公司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安徽鑫龙低压电器有限公司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安徽鑫龙电器元件销售有限公司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安徽鑫龙变压器有限公司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安徽鑫东投资管理有限公司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安徽佑赛科技有限公司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安徽鑫龙电力工程安装有限公司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核定征收</w:t>
            </w: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芜湖斯高思电器有限公司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12.5%</w:t>
            </w:r>
          </w:p>
        </w:tc>
      </w:tr>
    </w:tbl>
    <w:p>
      <w:pPr>
        <w:pStyle w:val="BodyText"/>
        <w:spacing w:line="240" w:lineRule="auto" w:before="49"/>
        <w:ind w:right="1123"/>
        <w:jc w:val="left"/>
      </w:pPr>
      <w:r>
        <w:rPr/>
        <w:t>各分公司、分厂执行的所得税税率</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2</w:t>
      </w:r>
      <w:r>
        <w:rPr/>
        <w:t>、</w:t>
      </w:r>
      <w:r>
        <w:rPr>
          <w:spacing w:val="2"/>
        </w:rPr>
        <w:t> </w:t>
      </w:r>
      <w:r>
        <w:rPr/>
        <w:t>房产税</w:t>
      </w:r>
      <w:r>
        <w:rPr>
          <w:b w:val="0"/>
          <w:bCs w:val="0"/>
        </w:rPr>
      </w:r>
    </w:p>
    <w:p>
      <w:pPr>
        <w:spacing w:line="240" w:lineRule="auto" w:before="10"/>
        <w:rPr>
          <w:rFonts w:ascii="宋体" w:hAnsi="宋体" w:cs="宋体" w:eastAsia="宋体" w:hint="default"/>
          <w:b/>
          <w:bCs/>
          <w:sz w:val="24"/>
          <w:szCs w:val="24"/>
        </w:rPr>
      </w:pPr>
    </w:p>
    <w:p>
      <w:pPr>
        <w:spacing w:before="0"/>
        <w:ind w:left="575" w:right="1123" w:firstLine="0"/>
        <w:jc w:val="left"/>
        <w:rPr>
          <w:rFonts w:ascii="宋体" w:hAnsi="宋体" w:cs="宋体" w:eastAsia="宋体" w:hint="default"/>
          <w:sz w:val="21"/>
          <w:szCs w:val="21"/>
        </w:rPr>
      </w:pPr>
      <w:r>
        <w:rPr>
          <w:rFonts w:ascii="宋体" w:hAnsi="宋体" w:cs="宋体" w:eastAsia="宋体" w:hint="default"/>
          <w:sz w:val="21"/>
          <w:szCs w:val="21"/>
        </w:rPr>
        <w:t>房产税按照房产原值的</w:t>
      </w:r>
      <w:r>
        <w:rPr>
          <w:rFonts w:ascii="Times New Roman" w:hAnsi="Times New Roman" w:cs="Times New Roman" w:eastAsia="Times New Roman" w:hint="default"/>
          <w:sz w:val="21"/>
          <w:szCs w:val="21"/>
        </w:rPr>
        <w:t>70%</w:t>
      </w:r>
      <w:r>
        <w:rPr>
          <w:rFonts w:ascii="宋体" w:hAnsi="宋体" w:cs="宋体" w:eastAsia="宋体" w:hint="default"/>
          <w:sz w:val="21"/>
          <w:szCs w:val="21"/>
        </w:rPr>
        <w:t>为纳税基准，税率为</w:t>
      </w:r>
      <w:r>
        <w:rPr>
          <w:rFonts w:ascii="Times New Roman" w:hAnsi="Times New Roman" w:cs="Times New Roman" w:eastAsia="Times New Roman" w:hint="default"/>
          <w:sz w:val="21"/>
          <w:szCs w:val="21"/>
        </w:rPr>
        <w:t>1.2%</w:t>
      </w:r>
      <w:r>
        <w:rPr>
          <w:rFonts w:ascii="宋体" w:hAnsi="宋体" w:cs="宋体" w:eastAsia="宋体" w:hint="default"/>
          <w:sz w:val="21"/>
          <w:szCs w:val="21"/>
        </w:rPr>
        <w:t>，或以租金收入为纳税基准，税率为</w:t>
      </w:r>
      <w:r>
        <w:rPr>
          <w:rFonts w:ascii="Times New Roman" w:hAnsi="Times New Roman" w:cs="Times New Roman" w:eastAsia="Times New Roman" w:hint="default"/>
          <w:sz w:val="21"/>
          <w:szCs w:val="21"/>
        </w:rPr>
        <w:t>12%</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pgSz w:w="11910" w:h="16840"/>
          <w:pgMar w:header="877" w:footer="1253" w:top="1060" w:bottom="1440" w:left="980" w:right="0"/>
        </w:sectPr>
      </w:pPr>
    </w:p>
    <w:p>
      <w:pPr>
        <w:spacing w:line="240" w:lineRule="auto" w:before="10"/>
        <w:rPr>
          <w:rFonts w:ascii="宋体" w:hAnsi="宋体" w:cs="宋体" w:eastAsia="宋体" w:hint="default"/>
          <w:sz w:val="24"/>
          <w:szCs w:val="24"/>
        </w:rPr>
      </w:pPr>
    </w:p>
    <w:p>
      <w:pPr>
        <w:spacing w:line="506" w:lineRule="auto" w:before="36"/>
        <w:ind w:left="573" w:right="679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 个人所得税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员工个人所得税由公司代扣代缴。</w:t>
      </w:r>
    </w:p>
    <w:p>
      <w:pPr>
        <w:pStyle w:val="Heading4"/>
        <w:spacing w:line="240" w:lineRule="auto" w:before="104"/>
        <w:ind w:right="1123"/>
        <w:jc w:val="left"/>
        <w:rPr>
          <w:b w:val="0"/>
          <w:bCs w:val="0"/>
        </w:rPr>
      </w:pPr>
      <w:r>
        <w:rPr>
          <w:rFonts w:ascii="Times New Roman" w:hAnsi="Times New Roman" w:cs="Times New Roman" w:eastAsia="Times New Roman" w:hint="default"/>
        </w:rPr>
        <w:t>4</w:t>
      </w:r>
      <w:r>
        <w:rPr/>
        <w:t>、税收优惠及批文</w:t>
      </w:r>
      <w:r>
        <w:rPr>
          <w:b w:val="0"/>
          <w:bCs w:val="0"/>
        </w:rPr>
      </w:r>
    </w:p>
    <w:p>
      <w:pPr>
        <w:spacing w:line="240" w:lineRule="auto" w:before="7"/>
        <w:rPr>
          <w:rFonts w:ascii="宋体" w:hAnsi="宋体" w:cs="宋体" w:eastAsia="宋体" w:hint="default"/>
          <w:b/>
          <w:bCs/>
          <w:sz w:val="24"/>
          <w:szCs w:val="24"/>
        </w:rPr>
      </w:pPr>
    </w:p>
    <w:p>
      <w:pPr>
        <w:spacing w:line="259" w:lineRule="auto"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、根据《关于公布安徽省</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年复审高新技术企业名单的通知》（科高</w:t>
      </w:r>
      <w:r>
        <w:rPr>
          <w:rFonts w:ascii="Times New Roman" w:hAnsi="Times New Roman" w:cs="Times New Roman" w:eastAsia="Times New Roman" w:hint="default"/>
          <w:spacing w:val="-3"/>
          <w:sz w:val="21"/>
          <w:szCs w:val="21"/>
        </w:rPr>
        <w:t>[2012]12</w:t>
      </w:r>
      <w:r>
        <w:rPr>
          <w:rFonts w:ascii="宋体" w:hAnsi="宋体" w:cs="宋体" w:eastAsia="宋体" w:hint="default"/>
          <w:spacing w:val="-3"/>
          <w:sz w:val="21"/>
          <w:szCs w:val="21"/>
        </w:rPr>
        <w:t>号），公司本部和全资子</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2"/>
          <w:sz w:val="21"/>
          <w:szCs w:val="21"/>
        </w:rPr>
        <w:t>公司安徽森源电器有限公司、安徽鑫龙自动化有限公司、安徽鑫龙低压电器有限公司已通过安徽省</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宋体" w:hAnsi="宋体" w:cs="宋体" w:eastAsia="宋体" w:hint="default"/>
          <w:spacing w:val="-43"/>
          <w:sz w:val="21"/>
          <w:szCs w:val="21"/>
        </w:rPr>
        <w:t> </w:t>
      </w:r>
      <w:r>
        <w:rPr>
          <w:rFonts w:ascii="宋体" w:hAnsi="宋体" w:cs="宋体" w:eastAsia="宋体" w:hint="default"/>
          <w:spacing w:val="-2"/>
          <w:sz w:val="21"/>
          <w:szCs w:val="21"/>
        </w:rPr>
        <w:t>高新技术企业复审，取得高新技术企业证书，有效期三年，自</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日至</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日。根据《中</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华人民共和国企业所得税法》规定，高新技术企业减按</w:t>
      </w:r>
      <w:r>
        <w:rPr>
          <w:rFonts w:ascii="Times New Roman" w:hAnsi="Times New Roman" w:cs="Times New Roman" w:eastAsia="Times New Roman" w:hint="default"/>
          <w:sz w:val="21"/>
          <w:szCs w:val="21"/>
        </w:rPr>
        <w:t>15%</w:t>
      </w:r>
      <w:r>
        <w:rPr>
          <w:rFonts w:ascii="宋体" w:hAnsi="宋体" w:cs="宋体" w:eastAsia="宋体" w:hint="default"/>
          <w:sz w:val="21"/>
          <w:szCs w:val="21"/>
        </w:rPr>
        <w:t>税率计算缴纳所得税。</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、根据芜湖市地税局芜地税企所鸠核字（</w:t>
      </w:r>
      <w:r>
        <w:rPr>
          <w:rFonts w:ascii="Times New Roman" w:hAnsi="Times New Roman" w:cs="Times New Roman" w:eastAsia="Times New Roman" w:hint="default"/>
          <w:sz w:val="21"/>
          <w:szCs w:val="21"/>
        </w:rPr>
        <w:t>2008</w:t>
      </w:r>
      <w:r>
        <w:rPr>
          <w:rFonts w:ascii="宋体" w:hAnsi="宋体" w:cs="宋体" w:eastAsia="宋体" w:hint="default"/>
          <w:sz w:val="21"/>
          <w:szCs w:val="21"/>
        </w:rPr>
        <w:t>）地税字第</w:t>
      </w:r>
      <w:r>
        <w:rPr>
          <w:rFonts w:ascii="Times New Roman" w:hAnsi="Times New Roman" w:cs="Times New Roman" w:eastAsia="Times New Roman" w:hint="default"/>
          <w:sz w:val="21"/>
          <w:szCs w:val="21"/>
        </w:rPr>
        <w:t>110004</w:t>
      </w:r>
      <w:r>
        <w:rPr>
          <w:rFonts w:ascii="宋体" w:hAnsi="宋体" w:cs="宋体" w:eastAsia="宋体" w:hint="default"/>
          <w:sz w:val="21"/>
          <w:szCs w:val="21"/>
        </w:rPr>
        <w:t>号通知书，安徽鑫龙电力安装工程有限</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公司实行核定征收方式征收企业所得税。</w:t>
      </w:r>
      <w:r>
        <w:rPr>
          <w:rFonts w:ascii="宋体" w:hAnsi="宋体" w:cs="宋体" w:eastAsia="宋体" w:hint="default"/>
          <w:w w:val="100"/>
          <w:sz w:val="21"/>
          <w:szCs w:val="21"/>
        </w:rPr>
        <w:t> </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、根据芜税通【</w:t>
      </w:r>
      <w:r>
        <w:rPr>
          <w:rFonts w:ascii="Times New Roman" w:hAnsi="Times New Roman" w:cs="Times New Roman" w:eastAsia="Times New Roman" w:hint="default"/>
          <w:spacing w:val="-4"/>
          <w:sz w:val="21"/>
          <w:szCs w:val="21"/>
        </w:rPr>
        <w:t>2009</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5072</w:t>
      </w:r>
      <w:r>
        <w:rPr>
          <w:rFonts w:ascii="宋体" w:hAnsi="宋体" w:cs="宋体" w:eastAsia="宋体" w:hint="default"/>
          <w:spacing w:val="-4"/>
          <w:sz w:val="21"/>
          <w:szCs w:val="21"/>
        </w:rPr>
        <w:t>号文规定，芜湖斯高思电器有限公司</w:t>
      </w:r>
      <w:r>
        <w:rPr>
          <w:rFonts w:ascii="Times New Roman" w:hAnsi="Times New Roman" w:cs="Times New Roman" w:eastAsia="Times New Roman" w:hint="default"/>
          <w:spacing w:val="-4"/>
          <w:sz w:val="21"/>
          <w:szCs w:val="21"/>
        </w:rPr>
        <w:t>2009</w:t>
      </w:r>
      <w:r>
        <w:rPr>
          <w:rFonts w:ascii="宋体" w:hAnsi="宋体" w:cs="宋体" w:eastAsia="宋体" w:hint="default"/>
          <w:spacing w:val="-4"/>
          <w:sz w:val="21"/>
          <w:szCs w:val="21"/>
        </w:rPr>
        <w:t>年度免征企业所得税，</w:t>
      </w:r>
      <w:r>
        <w:rPr>
          <w:rFonts w:ascii="Times New Roman" w:hAnsi="Times New Roman" w:cs="Times New Roman" w:eastAsia="Times New Roman" w:hint="default"/>
          <w:spacing w:val="-4"/>
          <w:sz w:val="21"/>
          <w:szCs w:val="21"/>
        </w:rPr>
        <w:t>2010</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2012</w:t>
      </w:r>
      <w:r>
        <w:rPr>
          <w:rFonts w:ascii="Times New Roman" w:hAnsi="Times New Roman" w:cs="Times New Roman" w:eastAsia="Times New Roman" w:hint="default"/>
          <w:spacing w:val="36"/>
          <w:sz w:val="21"/>
          <w:szCs w:val="21"/>
        </w:rPr>
        <w:t> </w:t>
      </w:r>
      <w:r>
        <w:rPr>
          <w:rFonts w:ascii="Times New Roman" w:hAnsi="Times New Roman" w:cs="Times New Roman" w:eastAsia="Times New Roman" w:hint="default"/>
          <w:spacing w:val="36"/>
          <w:sz w:val="21"/>
          <w:szCs w:val="21"/>
        </w:rPr>
      </w:r>
      <w:r>
        <w:rPr>
          <w:rFonts w:ascii="宋体" w:hAnsi="宋体" w:cs="宋体" w:eastAsia="宋体" w:hint="default"/>
          <w:sz w:val="21"/>
          <w:szCs w:val="21"/>
        </w:rPr>
        <w:t>年减半征收企业所得税。</w:t>
      </w:r>
    </w:p>
    <w:p>
      <w:pPr>
        <w:spacing w:line="240" w:lineRule="auto" w:before="7"/>
        <w:rPr>
          <w:rFonts w:ascii="宋体" w:hAnsi="宋体" w:cs="宋体" w:eastAsia="宋体" w:hint="default"/>
          <w:sz w:val="22"/>
          <w:szCs w:val="22"/>
        </w:rPr>
      </w:pPr>
    </w:p>
    <w:p>
      <w:pPr>
        <w:spacing w:before="0"/>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六、企业合并及合并财务报表</w:t>
      </w:r>
      <w:r>
        <w:rPr>
          <w:rFonts w:ascii="宋体" w:hAnsi="宋体" w:cs="宋体" w:eastAsia="宋体" w:hint="default"/>
          <w:sz w:val="24"/>
          <w:szCs w:val="24"/>
        </w:rPr>
      </w:r>
    </w:p>
    <w:p>
      <w:pPr>
        <w:spacing w:line="240" w:lineRule="auto" w:before="12"/>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07" w:lineRule="auto"/>
        <w:ind w:right="1034"/>
        <w:jc w:val="left"/>
      </w:pPr>
      <w:r>
        <w:rPr>
          <w:spacing w:val="-2"/>
        </w:rPr>
        <w:t>截至目前，公司拥有</w:t>
      </w:r>
      <w:r>
        <w:rPr>
          <w:rFonts w:ascii="Times New Roman" w:hAnsi="Times New Roman" w:cs="Times New Roman" w:eastAsia="Times New Roman" w:hint="default"/>
          <w:spacing w:val="-2"/>
        </w:rPr>
        <w:t>5</w:t>
      </w:r>
      <w:r>
        <w:rPr>
          <w:spacing w:val="-2"/>
        </w:rPr>
        <w:t>家全资子公司（森源电器、鑫龙低压电器、鑫龙自动化、鑫龙变压器和鑫龙电力工程）、</w:t>
      </w:r>
      <w:r>
        <w:rPr>
          <w:rFonts w:ascii="Times New Roman" w:hAnsi="Times New Roman" w:cs="Times New Roman" w:eastAsia="Times New Roman" w:hint="default"/>
          <w:spacing w:val="-2"/>
        </w:rPr>
        <w:t>3</w:t>
      </w:r>
      <w:r>
        <w:rPr>
          <w:spacing w:val="-2"/>
        </w:rPr>
        <w:t>家控股子公</w:t>
      </w:r>
      <w:r>
        <w:rPr>
          <w:spacing w:val="-67"/>
        </w:rPr>
        <w:t> </w:t>
      </w:r>
      <w:r>
        <w:rPr/>
        <w:t>司（鑫龙元件销售、鑫东投资和佑赛科技）。 </w:t>
      </w:r>
      <w:r>
        <w:rPr>
          <w:rFonts w:ascii="Times New Roman" w:hAnsi="Times New Roman" w:cs="Times New Roman" w:eastAsia="Times New Roman" w:hint="default"/>
          <w:spacing w:val="-2"/>
        </w:rPr>
        <w:t>1</w:t>
      </w:r>
      <w:r>
        <w:rPr>
          <w:spacing w:val="-2"/>
        </w:rPr>
        <w:t>、安徽森源电器有限公司：森源电器系公司全资子公司，在芜湖市工商行政管理局登记注册，成立于</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28</w:t>
      </w:r>
      <w:r>
        <w:rPr>
          <w:spacing w:val="-2"/>
        </w:rPr>
        <w:t>日，住所</w:t>
      </w:r>
      <w:r>
        <w:rPr>
          <w:spacing w:val="-59"/>
        </w:rPr>
        <w:t> </w:t>
      </w:r>
      <w:r>
        <w:rPr>
          <w:spacing w:val="-59"/>
        </w:rPr>
      </w:r>
      <w:r>
        <w:rPr/>
        <w:t>为芜湖市湾里工业园，法定代表人为唐荣保，注册资本为</w:t>
      </w:r>
      <w:r>
        <w:rPr>
          <w:rFonts w:ascii="Times New Roman" w:hAnsi="Times New Roman" w:cs="Times New Roman" w:eastAsia="Times New Roman" w:hint="default"/>
        </w:rPr>
        <w:t>27,560</w:t>
      </w:r>
      <w:r>
        <w:rPr/>
        <w:t>万元，经营范围为：高、低压电器元器件、开关配件设计、 制造、销售。钣金机械加工。 </w:t>
      </w:r>
      <w:r>
        <w:rPr>
          <w:rFonts w:ascii="Times New Roman" w:hAnsi="Times New Roman" w:cs="Times New Roman" w:eastAsia="Times New Roman" w:hint="default"/>
        </w:rPr>
        <w:t>2</w:t>
      </w:r>
      <w:r>
        <w:rPr/>
        <w:t>、安徽鑫龙自动化有限公司：鑫龙自动化系公司全资子公司，在芜湖市工商行政管理局登记注册，成立于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w:t>
      </w:r>
      <w:r>
        <w:rPr>
          <w:spacing w:val="-3"/>
        </w:rPr>
        <w:t> </w:t>
      </w:r>
      <w:r>
        <w:rPr/>
        <w:t>住所为芜湖市经济技术开发区电器部件园（九华北路</w:t>
      </w:r>
      <w:r>
        <w:rPr>
          <w:rFonts w:ascii="Times New Roman" w:hAnsi="Times New Roman" w:cs="Times New Roman" w:eastAsia="Times New Roman" w:hint="default"/>
        </w:rPr>
        <w:t>118</w:t>
      </w:r>
      <w:r>
        <w:rPr/>
        <w:t>号），法定代表人为束龙胜，注册资本为</w:t>
      </w:r>
      <w:r>
        <w:rPr>
          <w:rFonts w:ascii="Times New Roman" w:hAnsi="Times New Roman" w:cs="Times New Roman" w:eastAsia="Times New Roman" w:hint="default"/>
        </w:rPr>
        <w:t>3,000</w:t>
      </w:r>
      <w:r>
        <w:rPr/>
        <w:t>万元，经营范围为： </w:t>
      </w:r>
      <w:r>
        <w:rPr>
          <w:spacing w:val="-2"/>
        </w:rPr>
        <w:t>变电站微机综合自动化系统，数控直流电源柜及部件，全数字软启动器及装置，智能型全数字晶闸调功器，全数字交、直流</w:t>
      </w:r>
      <w:r>
        <w:rPr>
          <w:spacing w:val="-67"/>
        </w:rPr>
        <w:t> </w:t>
      </w:r>
      <w:r>
        <w:rPr>
          <w:spacing w:val="-67"/>
        </w:rPr>
      </w:r>
      <w:r>
        <w:rPr/>
        <w:t>调速系统及装置；工业生产过程自动化控制控制系统，</w:t>
      </w:r>
      <w:r>
        <w:rPr>
          <w:rFonts w:ascii="Times New Roman" w:hAnsi="Times New Roman" w:cs="Times New Roman" w:eastAsia="Times New Roman" w:hint="default"/>
        </w:rPr>
        <w:t>DCS</w:t>
      </w:r>
      <w:r>
        <w:rPr/>
        <w:t>、</w:t>
      </w:r>
      <w:r>
        <w:rPr>
          <w:rFonts w:ascii="Times New Roman" w:hAnsi="Times New Roman" w:cs="Times New Roman" w:eastAsia="Times New Roman" w:hint="default"/>
        </w:rPr>
        <w:t>PLC</w:t>
      </w:r>
      <w:r>
        <w:rPr/>
        <w:t>控制，智能化数字仪表设计、生产；安全防范技术工程设 计、施工、维修。 </w:t>
      </w:r>
      <w:r>
        <w:rPr>
          <w:rFonts w:ascii="Times New Roman" w:hAnsi="Times New Roman" w:cs="Times New Roman" w:eastAsia="Times New Roman" w:hint="default"/>
        </w:rPr>
        <w:t>3</w:t>
      </w:r>
      <w:r>
        <w:rPr/>
        <w:t>、安徽鑫龙低压电器有限公司：鑫龙低压电器系公司全资子公司，在芜湖市工商行政管理局登记注册，成立于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 </w:t>
      </w:r>
      <w:r>
        <w:rPr>
          <w:spacing w:val="-3"/>
        </w:rPr>
        <w:t>日，住所为芜湖市经济技术开发区九华北路</w:t>
      </w:r>
      <w:r>
        <w:rPr>
          <w:rFonts w:ascii="Times New Roman" w:hAnsi="Times New Roman" w:cs="Times New Roman" w:eastAsia="Times New Roman" w:hint="default"/>
          <w:spacing w:val="-3"/>
        </w:rPr>
        <w:t>118</w:t>
      </w:r>
      <w:r>
        <w:rPr>
          <w:spacing w:val="-3"/>
        </w:rPr>
        <w:t>号，法定代表人为张祥，注册资本为</w:t>
      </w:r>
      <w:r>
        <w:rPr>
          <w:rFonts w:ascii="Times New Roman" w:hAnsi="Times New Roman" w:cs="Times New Roman" w:eastAsia="Times New Roman" w:hint="default"/>
          <w:spacing w:val="-3"/>
        </w:rPr>
        <w:t>5,000</w:t>
      </w:r>
      <w:r>
        <w:rPr>
          <w:spacing w:val="-3"/>
        </w:rPr>
        <w:t>万元，经营范围为：低压电器设备、</w:t>
      </w:r>
      <w:r>
        <w:rPr>
          <w:spacing w:val="-48"/>
        </w:rPr>
        <w:t> </w:t>
      </w:r>
      <w:r>
        <w:rPr>
          <w:spacing w:val="-48"/>
        </w:rPr>
      </w:r>
      <w:r>
        <w:rPr/>
        <w:t>元件及附件的设计、制造、销售。 </w:t>
      </w:r>
      <w:r>
        <w:rPr>
          <w:rFonts w:ascii="Times New Roman" w:hAnsi="Times New Roman" w:cs="Times New Roman" w:eastAsia="Times New Roman" w:hint="default"/>
        </w:rPr>
        <w:t>4</w:t>
      </w:r>
      <w:r>
        <w:rPr/>
        <w:t>、安徽鑫龙变压器有限公司：鑫龙变压器系公司全资子公司，在芜湖市工商行政管理局登记注册，成立于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w:t>
      </w:r>
      <w:r>
        <w:rPr>
          <w:spacing w:val="-3"/>
        </w:rPr>
        <w:t> </w:t>
      </w:r>
      <w:r>
        <w:rPr>
          <w:spacing w:val="-2"/>
        </w:rPr>
        <w:t>住所为芜湖市经济技术开发区九华北路</w:t>
      </w:r>
      <w:r>
        <w:rPr>
          <w:rFonts w:ascii="Times New Roman" w:hAnsi="Times New Roman" w:cs="Times New Roman" w:eastAsia="Times New Roman" w:hint="default"/>
          <w:spacing w:val="-2"/>
        </w:rPr>
        <w:t>118</w:t>
      </w:r>
      <w:r>
        <w:rPr>
          <w:spacing w:val="-2"/>
        </w:rPr>
        <w:t>号，法定代表人为束龙胜，注册资本为</w:t>
      </w:r>
      <w:r>
        <w:rPr>
          <w:rFonts w:ascii="Times New Roman" w:hAnsi="Times New Roman" w:cs="Times New Roman" w:eastAsia="Times New Roman" w:hint="default"/>
          <w:spacing w:val="-2"/>
        </w:rPr>
        <w:t>300</w:t>
      </w:r>
      <w:r>
        <w:rPr>
          <w:spacing w:val="-2"/>
        </w:rPr>
        <w:t>万元，经营范围为：油浸式变压器、干</w:t>
      </w:r>
      <w:r>
        <w:rPr>
          <w:spacing w:val="-60"/>
        </w:rPr>
        <w:t> </w:t>
      </w:r>
      <w:r>
        <w:rPr>
          <w:spacing w:val="-60"/>
        </w:rPr>
      </w:r>
      <w:r>
        <w:rPr/>
        <w:t>式变压器生产、销售和维修（涉及国家有关审批项目，按国家有关法规办理）、预装式变电站的设计。</w:t>
      </w:r>
      <w:r>
        <w:rPr/>
        <w:t> </w:t>
      </w:r>
      <w:r>
        <w:rPr>
          <w:rFonts w:ascii="Times New Roman" w:hAnsi="Times New Roman" w:cs="Times New Roman" w:eastAsia="Times New Roman" w:hint="default"/>
          <w:spacing w:val="-2"/>
        </w:rPr>
        <w:t>5</w:t>
      </w:r>
      <w:r>
        <w:rPr>
          <w:spacing w:val="-2"/>
        </w:rPr>
        <w:t>、安徽鑫龙电力工程安装有限公司：鑫龙电力工程系公司全资子公司，在芜湖市工商行政管理局登记注册，成立于</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4"/>
        </w:rPr>
        <w:t> </w:t>
      </w:r>
      <w:r>
        <w:rPr/>
        <w:t>月</w:t>
      </w:r>
      <w:r>
        <w:rPr>
          <w:rFonts w:ascii="Times New Roman" w:hAnsi="Times New Roman" w:cs="Times New Roman" w:eastAsia="Times New Roman" w:hint="default"/>
        </w:rPr>
        <w:t>24</w:t>
      </w:r>
      <w:r>
        <w:rPr/>
        <w:t>日，住所为芜湖市鸠江区九华北路</w:t>
      </w:r>
      <w:r>
        <w:rPr>
          <w:rFonts w:ascii="Times New Roman" w:hAnsi="Times New Roman" w:cs="Times New Roman" w:eastAsia="Times New Roman" w:hint="default"/>
        </w:rPr>
        <w:t>118</w:t>
      </w:r>
      <w:r>
        <w:rPr/>
        <w:t>号，法定代表人为李小庆，注册资本为</w:t>
      </w:r>
      <w:r>
        <w:rPr>
          <w:rFonts w:ascii="Times New Roman" w:hAnsi="Times New Roman" w:cs="Times New Roman" w:eastAsia="Times New Roman" w:hint="default"/>
        </w:rPr>
        <w:t>3,000</w:t>
      </w:r>
      <w:r>
        <w:rPr/>
        <w:t>万元，经营范围为：电气设备（含配 </w:t>
      </w:r>
      <w:r>
        <w:rPr>
          <w:spacing w:val="-2"/>
        </w:rPr>
        <w:t>电、电气传动、自动化仪表）、工业过程控制及监控系统、计算机应用服务与综合信息网络工程、电子声像工程、智能化系</w:t>
      </w:r>
      <w:r>
        <w:rPr>
          <w:spacing w:val="-73"/>
        </w:rPr>
        <w:t> </w:t>
      </w:r>
      <w:r>
        <w:rPr>
          <w:spacing w:val="-73"/>
        </w:rPr>
      </w:r>
      <w:r>
        <w:rPr/>
        <w:t>统和技术防范工程安装、调试、维护（凡涉及专项审批的凭许可证经营）。 </w:t>
      </w:r>
      <w:r>
        <w:rPr>
          <w:rFonts w:ascii="Times New Roman" w:hAnsi="Times New Roman" w:cs="Times New Roman" w:eastAsia="Times New Roman" w:hint="default"/>
          <w:spacing w:val="-2"/>
        </w:rPr>
        <w:t>6</w:t>
      </w:r>
      <w:r>
        <w:rPr>
          <w:spacing w:val="-2"/>
        </w:rPr>
        <w:t>、安徽鑫龙电器元件销售有限公司：鑫龙元件销售系公司控股子公司，在芜湖市工商行政管理局登记注册，成立于</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4"/>
        </w:rPr>
        <w:t> </w:t>
      </w:r>
      <w:r>
        <w:rPr/>
        <w:t>月</w:t>
      </w:r>
      <w:r>
        <w:rPr>
          <w:rFonts w:ascii="Times New Roman" w:hAnsi="Times New Roman" w:cs="Times New Roman" w:eastAsia="Times New Roman" w:hint="default"/>
        </w:rPr>
        <w:t>23</w:t>
      </w:r>
      <w:r>
        <w:rPr/>
        <w:t>日，住所为芜湖市电器部件工业园</w:t>
      </w:r>
      <w:r>
        <w:rPr>
          <w:rFonts w:ascii="Times New Roman" w:hAnsi="Times New Roman" w:cs="Times New Roman" w:eastAsia="Times New Roman" w:hint="default"/>
        </w:rPr>
        <w:t>18</w:t>
      </w:r>
      <w:r>
        <w:rPr/>
        <w:t>号，法定代表人为张祥，注册资本为</w:t>
      </w:r>
      <w:r>
        <w:rPr>
          <w:rFonts w:ascii="Times New Roman" w:hAnsi="Times New Roman" w:cs="Times New Roman" w:eastAsia="Times New Roman" w:hint="default"/>
        </w:rPr>
        <w:t>500</w:t>
      </w:r>
      <w:r>
        <w:rPr/>
        <w:t>万元，经营范围为：高、低压电器元件， 工控元器件，智能化仪器仪表，变压器、电线电缆销售。 </w:t>
      </w:r>
      <w:r>
        <w:rPr>
          <w:rFonts w:ascii="Times New Roman" w:hAnsi="Times New Roman" w:cs="Times New Roman" w:eastAsia="Times New Roman" w:hint="default"/>
        </w:rPr>
        <w:t>7</w:t>
      </w:r>
      <w:r>
        <w:rPr/>
        <w:t>、安徽鑫东投资管理有限公司：鑫东投资系公司控股子公司，在芜湖市工商行政管理局登记注册，成立于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w:t>
      </w:r>
      <w:r>
        <w:rPr>
          <w:spacing w:val="-3"/>
        </w:rPr>
        <w:t> 住所为芜湖市九华北路</w:t>
      </w:r>
      <w:r>
        <w:rPr>
          <w:rFonts w:ascii="Times New Roman" w:hAnsi="Times New Roman" w:cs="Times New Roman" w:eastAsia="Times New Roman" w:hint="default"/>
          <w:spacing w:val="-3"/>
        </w:rPr>
        <w:t>118</w:t>
      </w:r>
      <w:r>
        <w:rPr>
          <w:spacing w:val="-3"/>
        </w:rPr>
        <w:t>号</w:t>
      </w:r>
      <w:r>
        <w:rPr>
          <w:rFonts w:ascii="Times New Roman" w:hAnsi="Times New Roman" w:cs="Times New Roman" w:eastAsia="Times New Roman" w:hint="default"/>
          <w:spacing w:val="-3"/>
        </w:rPr>
        <w:t>1</w:t>
      </w:r>
      <w:r>
        <w:rPr>
          <w:spacing w:val="-3"/>
        </w:rPr>
        <w:t>幢</w:t>
      </w:r>
      <w:r>
        <w:rPr>
          <w:rFonts w:ascii="Times New Roman" w:hAnsi="Times New Roman" w:cs="Times New Roman" w:eastAsia="Times New Roman" w:hint="default"/>
          <w:spacing w:val="-3"/>
        </w:rPr>
        <w:t>2</w:t>
      </w:r>
      <w:r>
        <w:rPr>
          <w:spacing w:val="-3"/>
        </w:rPr>
        <w:t>层，法定代表人为束龙胜，注册资本为</w:t>
      </w:r>
      <w:r>
        <w:rPr>
          <w:rFonts w:ascii="Times New Roman" w:hAnsi="Times New Roman" w:cs="Times New Roman" w:eastAsia="Times New Roman" w:hint="default"/>
          <w:spacing w:val="-3"/>
        </w:rPr>
        <w:t>4,000</w:t>
      </w:r>
      <w:r>
        <w:rPr>
          <w:spacing w:val="-3"/>
        </w:rPr>
        <w:t>万元，经营范围为：科技项目投资及实业投资、</w:t>
      </w:r>
      <w:r>
        <w:rPr>
          <w:spacing w:val="-42"/>
        </w:rPr>
        <w:t> </w:t>
      </w:r>
      <w:r>
        <w:rPr>
          <w:spacing w:val="-42"/>
        </w:rPr>
      </w:r>
      <w:r>
        <w:rPr/>
        <w:t>管理。</w:t>
      </w:r>
    </w:p>
    <w:p>
      <w:pPr>
        <w:spacing w:after="0" w:line="307" w:lineRule="auto"/>
        <w:jc w:val="left"/>
        <w:sectPr>
          <w:pgSz w:w="11910" w:h="16840"/>
          <w:pgMar w:header="877" w:footer="1253" w:top="1060" w:bottom="144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093"/>
        <w:jc w:val="both"/>
      </w:pPr>
      <w:r>
        <w:rPr>
          <w:rFonts w:ascii="Times New Roman" w:hAnsi="Times New Roman" w:cs="Times New Roman" w:eastAsia="Times New Roman" w:hint="default"/>
          <w:spacing w:val="-2"/>
        </w:rPr>
        <w:t>8</w:t>
      </w:r>
      <w:r>
        <w:rPr>
          <w:spacing w:val="-2"/>
        </w:rPr>
        <w:t>、安徽佑赛科技有限公司：佑赛科技系公司控股子公司，在芜湖市工商行政管理局登记注册，成立于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日，住所</w:t>
      </w:r>
      <w:r>
        <w:rPr>
          <w:spacing w:val="-59"/>
        </w:rPr>
        <w:t> </w:t>
      </w:r>
      <w:r>
        <w:rPr>
          <w:spacing w:val="-59"/>
        </w:rPr>
      </w:r>
      <w:r>
        <w:rPr/>
        <w:t>为芜湖市九华北路</w:t>
      </w:r>
      <w:r>
        <w:rPr>
          <w:rFonts w:ascii="Times New Roman" w:hAnsi="Times New Roman" w:cs="Times New Roman" w:eastAsia="Times New Roman" w:hint="default"/>
        </w:rPr>
        <w:t>118</w:t>
      </w:r>
      <w:r>
        <w:rPr/>
        <w:t>号，法定代表人为束龙胜，注册资本为</w:t>
      </w:r>
      <w:r>
        <w:rPr>
          <w:rFonts w:ascii="Times New Roman" w:hAnsi="Times New Roman" w:cs="Times New Roman" w:eastAsia="Times New Roman" w:hint="default"/>
        </w:rPr>
        <w:t>3,000</w:t>
      </w:r>
      <w:r>
        <w:rPr/>
        <w:t>万元，经营范围为：电能质量治理设备、电力节能设备、 电网监测系统、新能源系统和装置的研发、制造和销售（上述经营范围涉及许可资质的，凭许可资质经营）。</w:t>
      </w:r>
    </w:p>
    <w:p>
      <w:pPr>
        <w:spacing w:line="240" w:lineRule="auto" w:before="10"/>
        <w:rPr>
          <w:rFonts w:ascii="宋体" w:hAnsi="宋体" w:cs="宋体" w:eastAsia="宋体" w:hint="default"/>
          <w:sz w:val="23"/>
          <w:szCs w:val="23"/>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5708"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352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安徽森 源电器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生产、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27560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高、低 压电器 元器 件、开 关配件 设计、 制造、 销售。 钣金机 械加 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296,853</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,349.02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23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安徽鑫 龙自动 化有限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生产、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变电站 微机综 合自动 化系 统；数 控直流 电源柜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10" w:right="0"/>
              <w:jc w:val="left"/>
              <w:rPr>
                <w:rFonts w:ascii="Times New Roman" w:hAnsi="Times New Roman" w:cs="Times New Roman" w:eastAsia="Times New Roman" w:hint="default"/>
                <w:sz w:val="18"/>
                <w:szCs w:val="18"/>
              </w:rPr>
            </w:pPr>
            <w:r>
              <w:rPr>
                <w:rFonts w:ascii="Times New Roman"/>
                <w:sz w:val="18"/>
              </w:rPr>
              <w:t>30,824,</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686.35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53" w:top="1060" w:bottom="14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829120"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86</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0348"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9"/>
              <w:jc w:val="left"/>
              <w:rPr>
                <w:rFonts w:ascii="宋体" w:hAnsi="宋体" w:cs="宋体" w:eastAsia="宋体" w:hint="default"/>
                <w:sz w:val="18"/>
                <w:szCs w:val="18"/>
              </w:rPr>
            </w:pPr>
            <w:r>
              <w:rPr>
                <w:rFonts w:ascii="宋体" w:hAnsi="宋体" w:cs="宋体" w:eastAsia="宋体" w:hint="default"/>
                <w:sz w:val="18"/>
                <w:szCs w:val="18"/>
              </w:rPr>
              <w:t>及部 件；全 数字软 启动器 及装 置；智 能型全 数字晶 闸管调 功器； 全数字 交、直 流调速 系统及 装置； 工业生 产过程 自动化 控制系 统， </w:t>
            </w:r>
            <w:r>
              <w:rPr>
                <w:rFonts w:ascii="Times New Roman" w:hAnsi="Times New Roman" w:cs="Times New Roman" w:eastAsia="Times New Roman" w:hint="default"/>
                <w:sz w:val="18"/>
                <w:szCs w:val="18"/>
              </w:rPr>
              <w:t>DCS</w:t>
            </w:r>
            <w:r>
              <w:rPr>
                <w:rFonts w:ascii="宋体" w:hAnsi="宋体" w:cs="宋体" w:eastAsia="宋体" w:hint="default"/>
                <w:sz w:val="18"/>
                <w:szCs w:val="18"/>
              </w:rPr>
              <w:t>、 </w:t>
            </w:r>
            <w:r>
              <w:rPr>
                <w:rFonts w:ascii="Times New Roman" w:hAnsi="Times New Roman" w:cs="Times New Roman" w:eastAsia="Times New Roman" w:hint="default"/>
                <w:sz w:val="18"/>
                <w:szCs w:val="18"/>
              </w:rPr>
              <w:t>PLC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控</w:t>
            </w: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制；智 能化数 字仪表 设计、 生产； 安全防 范技术 工程设 计、施 工、维 修。</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安徽鑫 龙低压 电器有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06"/>
              <w:jc w:val="left"/>
              <w:rPr>
                <w:rFonts w:ascii="宋体" w:hAnsi="宋体" w:cs="宋体" w:eastAsia="宋体" w:hint="default"/>
                <w:sz w:val="18"/>
                <w:szCs w:val="18"/>
              </w:rPr>
            </w:pPr>
            <w:r>
              <w:rPr>
                <w:rFonts w:ascii="宋体" w:hAnsi="宋体" w:cs="宋体" w:eastAsia="宋体" w:hint="default"/>
                <w:sz w:val="18"/>
                <w:szCs w:val="18"/>
              </w:rPr>
              <w:t>生产、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低压电 器设 备、元 件及附 件的设 计、制 造、销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50,559,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540.44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安徽鑫 龙变压 器有限</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生产、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油浸式 变压 器、干</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3,122,1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73.50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1"/>
          <w:footerReference w:type="default" r:id="rId42"/>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504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式变压 器生 产、销 售和维 修（涉 及国家 有关审 批项 目，按 国家有 关法规 </w:t>
            </w:r>
            <w:r>
              <w:rPr>
                <w:rFonts w:ascii="宋体" w:hAnsi="宋体" w:cs="宋体" w:eastAsia="宋体" w:hint="default"/>
                <w:spacing w:val="-23"/>
                <w:sz w:val="18"/>
                <w:szCs w:val="18"/>
              </w:rPr>
              <w:t>办理）、</w:t>
            </w:r>
            <w:r>
              <w:rPr>
                <w:rFonts w:ascii="宋体" w:hAnsi="宋体" w:cs="宋体" w:eastAsia="宋体" w:hint="default"/>
                <w:sz w:val="18"/>
                <w:szCs w:val="18"/>
              </w:rPr>
              <w:t> 预装式 变电站 的设 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878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安徽鑫 龙电力 工程安 装有限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23" w:right="106"/>
              <w:jc w:val="left"/>
              <w:rPr>
                <w:rFonts w:ascii="宋体" w:hAnsi="宋体" w:cs="宋体" w:eastAsia="宋体" w:hint="default"/>
                <w:sz w:val="18"/>
                <w:szCs w:val="18"/>
              </w:rPr>
            </w:pPr>
            <w:r>
              <w:rPr>
                <w:rFonts w:ascii="宋体" w:hAnsi="宋体" w:cs="宋体" w:eastAsia="宋体" w:hint="default"/>
                <w:sz w:val="18"/>
                <w:szCs w:val="18"/>
              </w:rPr>
              <w:t>安装劳 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电气设 备（含 发电、 输电、 配电、 电气传 动、自 动化仪 表、通 讯工业 </w:t>
            </w:r>
            <w:r>
              <w:rPr>
                <w:rFonts w:ascii="宋体" w:hAnsi="宋体" w:cs="宋体" w:eastAsia="宋体" w:hint="default"/>
                <w:spacing w:val="-23"/>
                <w:sz w:val="18"/>
                <w:szCs w:val="18"/>
              </w:rPr>
              <w:t>电视）、</w:t>
            </w:r>
            <w:r>
              <w:rPr>
                <w:rFonts w:ascii="宋体" w:hAnsi="宋体" w:cs="宋体" w:eastAsia="宋体" w:hint="default"/>
                <w:sz w:val="18"/>
                <w:szCs w:val="18"/>
              </w:rPr>
              <w:t> 工业过 程控制 及监控 系统、 计算机 应用服 务与综 合信息 网络工 程、电 子声像 工程、 智能化 系统和 技术防 范工程 安装、</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30,164,</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852.30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3"/>
          <w:pgSz w:w="11910" w:h="16840"/>
          <w:pgMar w:footer="1340" w:header="877" w:top="1060" w:bottom="1540" w:left="980" w:right="0"/>
          <w:pgNumType w:start="87"/>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2547"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调试、 维护</w:t>
            </w:r>
          </w:p>
          <w:p>
            <w:pPr>
              <w:pStyle w:val="TableParagraph"/>
              <w:spacing w:line="316" w:lineRule="auto" w:before="17"/>
              <w:ind w:left="23" w:right="107"/>
              <w:jc w:val="left"/>
              <w:rPr>
                <w:rFonts w:ascii="宋体" w:hAnsi="宋体" w:cs="宋体" w:eastAsia="宋体" w:hint="default"/>
                <w:sz w:val="18"/>
                <w:szCs w:val="18"/>
              </w:rPr>
            </w:pPr>
            <w:r>
              <w:rPr>
                <w:rFonts w:ascii="宋体" w:hAnsi="宋体" w:cs="宋体" w:eastAsia="宋体" w:hint="default"/>
                <w:sz w:val="18"/>
                <w:szCs w:val="18"/>
              </w:rPr>
              <w:t>（凡涉 及专项 审批的 凭许可 证经 </w:t>
            </w:r>
            <w:r>
              <w:rPr>
                <w:rFonts w:ascii="宋体" w:hAnsi="宋体" w:cs="宋体" w:eastAsia="宋体" w:hint="default"/>
                <w:spacing w:val="-31"/>
                <w:sz w:val="18"/>
                <w:szCs w:val="18"/>
              </w:rPr>
              <w:t>营）。</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08"/>
              <w:jc w:val="both"/>
              <w:rPr>
                <w:rFonts w:ascii="宋体" w:hAnsi="宋体" w:cs="宋体" w:eastAsia="宋体" w:hint="default"/>
                <w:sz w:val="18"/>
                <w:szCs w:val="18"/>
              </w:rPr>
            </w:pPr>
            <w:r>
              <w:rPr>
                <w:rFonts w:ascii="宋体" w:hAnsi="宋体" w:cs="宋体" w:eastAsia="宋体" w:hint="default"/>
                <w:sz w:val="18"/>
                <w:szCs w:val="18"/>
              </w:rPr>
              <w:t>安徽鑫 龙电器 元件销 售有限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高、低 压电器 元件， 工控元 器件， 智能化 仪器仪 表，变 压器、 电线电 缆销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4,979,2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62.50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安徽鑫 东投资 管理有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科技项 目投资 及实业 投资、 管理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0"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6" w:right="0"/>
              <w:jc w:val="center"/>
              <w:rPr>
                <w:rFonts w:ascii="Times New Roman" w:hAnsi="Times New Roman" w:cs="Times New Roman" w:eastAsia="Times New Roman" w:hint="default"/>
                <w:sz w:val="18"/>
                <w:szCs w:val="18"/>
              </w:rPr>
            </w:pPr>
            <w:r>
              <w:rPr>
                <w:rFonts w:ascii="Times New Roman"/>
                <w:sz w:val="18"/>
              </w:rPr>
              <w:t>3,392,3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36.04</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566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4" w:right="108"/>
              <w:jc w:val="both"/>
              <w:rPr>
                <w:rFonts w:ascii="宋体" w:hAnsi="宋体" w:cs="宋体" w:eastAsia="宋体" w:hint="default"/>
                <w:sz w:val="18"/>
                <w:szCs w:val="18"/>
              </w:rPr>
            </w:pPr>
            <w:r>
              <w:rPr>
                <w:rFonts w:ascii="宋体" w:hAnsi="宋体" w:cs="宋体" w:eastAsia="宋体" w:hint="default"/>
                <w:sz w:val="18"/>
                <w:szCs w:val="18"/>
              </w:rPr>
              <w:t>安徽佑 赛科技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生产、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电能质 量治理 设备、 电力节 能设 备、电 网监测 系统、 新能源 系统和 装置的 研发、 制造和 销售</w:t>
            </w:r>
          </w:p>
          <w:p>
            <w:pPr>
              <w:pStyle w:val="TableParagraph"/>
              <w:spacing w:line="316" w:lineRule="auto" w:before="19"/>
              <w:ind w:left="23" w:right="107"/>
              <w:jc w:val="both"/>
              <w:rPr>
                <w:rFonts w:ascii="宋体" w:hAnsi="宋体" w:cs="宋体" w:eastAsia="宋体" w:hint="default"/>
                <w:sz w:val="18"/>
                <w:szCs w:val="18"/>
              </w:rPr>
            </w:pPr>
            <w:r>
              <w:rPr>
                <w:rFonts w:ascii="宋体" w:hAnsi="宋体" w:cs="宋体" w:eastAsia="宋体" w:hint="default"/>
                <w:sz w:val="18"/>
                <w:szCs w:val="18"/>
              </w:rPr>
              <w:t>（上述 经营范 围涉及 许可资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17,400,</w:t>
            </w:r>
          </w:p>
          <w:p>
            <w:pPr>
              <w:pStyle w:val="TableParagraph"/>
              <w:spacing w:line="240" w:lineRule="auto" w:before="103"/>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12,686,</w:t>
            </w:r>
          </w:p>
          <w:p>
            <w:pPr>
              <w:pStyle w:val="TableParagraph"/>
              <w:spacing w:line="240" w:lineRule="auto" w:before="103"/>
              <w:ind w:left="156" w:right="0"/>
              <w:jc w:val="left"/>
              <w:rPr>
                <w:rFonts w:ascii="Times New Roman" w:hAnsi="Times New Roman" w:cs="Times New Roman" w:eastAsia="Times New Roman" w:hint="default"/>
                <w:sz w:val="18"/>
                <w:szCs w:val="18"/>
              </w:rPr>
            </w:pPr>
            <w:r>
              <w:rPr>
                <w:rFonts w:ascii="Times New Roman"/>
                <w:sz w:val="18"/>
              </w:rPr>
              <w:t>820.43</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299"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both"/>
              <w:rPr>
                <w:rFonts w:ascii="宋体" w:hAnsi="宋体" w:cs="宋体" w:eastAsia="宋体" w:hint="default"/>
                <w:sz w:val="18"/>
                <w:szCs w:val="18"/>
              </w:rPr>
            </w:pPr>
            <w:r>
              <w:rPr>
                <w:rFonts w:ascii="宋体" w:hAnsi="宋体" w:cs="宋体" w:eastAsia="宋体" w:hint="default"/>
                <w:sz w:val="18"/>
                <w:szCs w:val="18"/>
              </w:rPr>
              <w:t>质的， 凭许可 资质经 营）</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132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芜湖斯 高思电 器有限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6" w:lineRule="auto"/>
              <w:ind w:left="26" w:right="105"/>
              <w:jc w:val="both"/>
              <w:rPr>
                <w:rFonts w:ascii="宋体" w:hAnsi="宋体" w:cs="宋体" w:eastAsia="宋体" w:hint="default"/>
                <w:sz w:val="18"/>
                <w:szCs w:val="18"/>
              </w:rPr>
            </w:pPr>
            <w:r>
              <w:rPr>
                <w:rFonts w:ascii="宋体" w:hAnsi="宋体" w:cs="宋体" w:eastAsia="宋体" w:hint="default"/>
                <w:sz w:val="18"/>
                <w:szCs w:val="18"/>
              </w:rPr>
              <w:t>全资子 公司的 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生产、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电气设 备（含 发电、 输电、 配电、 电气传 动、自 动化仪 表、通 讯工业 </w:t>
            </w:r>
            <w:r>
              <w:rPr>
                <w:rFonts w:ascii="宋体" w:hAnsi="宋体" w:cs="宋体" w:eastAsia="宋体" w:hint="default"/>
                <w:spacing w:val="-23"/>
                <w:sz w:val="18"/>
                <w:szCs w:val="18"/>
              </w:rPr>
              <w:t>电视）、</w:t>
            </w:r>
            <w:r>
              <w:rPr>
                <w:rFonts w:ascii="宋体" w:hAnsi="宋体" w:cs="宋体" w:eastAsia="宋体" w:hint="default"/>
                <w:sz w:val="18"/>
                <w:szCs w:val="18"/>
              </w:rPr>
              <w:t> 工业过 程控制 及监控 系统、 计算机 应用服 务与综 合信息 网络工 程、电 子声像 工程、 智能化 系统和 技术防 范工程 安装、 调试、 维护</w:t>
            </w:r>
          </w:p>
          <w:p>
            <w:pPr>
              <w:pStyle w:val="TableParagraph"/>
              <w:spacing w:line="319" w:lineRule="auto" w:before="19"/>
              <w:ind w:left="23" w:right="107"/>
              <w:jc w:val="left"/>
              <w:rPr>
                <w:rFonts w:ascii="宋体" w:hAnsi="宋体" w:cs="宋体" w:eastAsia="宋体" w:hint="default"/>
                <w:sz w:val="18"/>
                <w:szCs w:val="18"/>
              </w:rPr>
            </w:pPr>
            <w:r>
              <w:rPr>
                <w:rFonts w:ascii="宋体" w:hAnsi="宋体" w:cs="宋体" w:eastAsia="宋体" w:hint="default"/>
                <w:sz w:val="18"/>
                <w:szCs w:val="18"/>
              </w:rPr>
              <w:t>（凡涉 及专项 审批的 凭许可 证经 </w:t>
            </w:r>
            <w:r>
              <w:rPr>
                <w:rFonts w:ascii="宋体" w:hAnsi="宋体" w:cs="宋体" w:eastAsia="宋体" w:hint="default"/>
                <w:spacing w:val="-31"/>
                <w:sz w:val="18"/>
                <w:szCs w:val="18"/>
              </w:rPr>
              <w:t>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75%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75%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3,760,2</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73.80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通过设立或投资等方式取得的子公司的其他说明</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3"/>
        <w:jc w:val="left"/>
      </w:pPr>
      <w:r>
        <w:rPr/>
        <w:t>合并报表范围发生变更说明</w:t>
      </w:r>
    </w:p>
    <w:p>
      <w:pPr>
        <w:spacing w:before="94"/>
        <w:ind w:left="141" w:right="7396" w:firstLine="0"/>
        <w:jc w:val="center"/>
        <w:rPr>
          <w:rFonts w:ascii="宋体" w:hAnsi="宋体" w:cs="宋体" w:eastAsia="宋体" w:hint="default"/>
          <w:sz w:val="21"/>
          <w:szCs w:val="21"/>
        </w:rPr>
      </w:pPr>
      <w:r>
        <w:rPr>
          <w:rFonts w:ascii="宋体" w:hAnsi="宋体" w:cs="宋体" w:eastAsia="宋体" w:hint="default"/>
          <w:sz w:val="21"/>
          <w:szCs w:val="21"/>
        </w:rPr>
        <w:t>本期合并范围未发生变动。</w:t>
      </w:r>
    </w:p>
    <w:p>
      <w:pPr>
        <w:pStyle w:val="BodyText"/>
        <w:spacing w:line="240" w:lineRule="auto" w:before="98"/>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r>
        <w:rPr/>
        <w:t>七、合并财务报表主要项目注释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789,170.73</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1,182,738.31</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789,170.73</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1,182,738.31</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473,610,796.00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131,963,620.68</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473,229,408.45</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131,581,590.12</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60,677.36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381,387.55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3" w:right="0"/>
              <w:jc w:val="left"/>
              <w:rPr>
                <w:rFonts w:ascii="Times New Roman" w:hAnsi="Times New Roman" w:cs="Times New Roman" w:eastAsia="Times New Roman" w:hint="default"/>
                <w:sz w:val="18"/>
                <w:szCs w:val="18"/>
              </w:rPr>
            </w:pPr>
            <w:r>
              <w:rPr>
                <w:rFonts w:ascii="Times New Roman"/>
                <w:sz w:val="18"/>
              </w:rPr>
              <w:t>60,631.11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382,030.56</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31,601,108.24</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31,029,670.18</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31,601,108.24</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31,029,670.18</w:t>
            </w:r>
          </w:p>
        </w:tc>
      </w:tr>
      <w:tr>
        <w:trPr>
          <w:trHeight w:val="40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506,001,074.97</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164,176,029.17</w:t>
            </w:r>
          </w:p>
        </w:tc>
      </w:tr>
    </w:tbl>
    <w:p>
      <w:pPr>
        <w:pStyle w:val="BodyText"/>
        <w:spacing w:line="240" w:lineRule="auto" w:before="49"/>
        <w:ind w:right="1123"/>
        <w:jc w:val="left"/>
      </w:pPr>
      <w:r>
        <w:rPr/>
        <w:t>如有因抵押、质押或冻结等对使用有限制、存放在境外、有潜在回收风险的款项应单独说明</w:t>
      </w:r>
    </w:p>
    <w:p>
      <w:pPr>
        <w:spacing w:line="240" w:lineRule="auto" w:before="6"/>
        <w:rPr>
          <w:rFonts w:ascii="宋体" w:hAnsi="宋体" w:cs="宋体" w:eastAsia="宋体" w:hint="default"/>
          <w:sz w:val="13"/>
          <w:szCs w:val="13"/>
        </w:rPr>
      </w:pPr>
    </w:p>
    <w:p>
      <w:pPr>
        <w:spacing w:before="0"/>
        <w:ind w:left="573" w:right="1123" w:firstLine="0"/>
        <w:jc w:val="left"/>
        <w:rPr>
          <w:rFonts w:ascii="宋体" w:hAnsi="宋体" w:cs="宋体" w:eastAsia="宋体" w:hint="default"/>
          <w:sz w:val="21"/>
          <w:szCs w:val="21"/>
        </w:rPr>
      </w:pPr>
      <w:r>
        <w:rPr>
          <w:rFonts w:ascii="宋体" w:hAnsi="宋体" w:cs="宋体" w:eastAsia="宋体" w:hint="default"/>
          <w:sz w:val="21"/>
          <w:szCs w:val="21"/>
        </w:rPr>
        <w:t>其中受限制的货币资金明细如下：</w:t>
      </w:r>
    </w:p>
    <w:p>
      <w:pPr>
        <w:spacing w:line="240" w:lineRule="auto" w:before="8"/>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4035"/>
        <w:gridCol w:w="2115"/>
        <w:gridCol w:w="2379"/>
      </w:tblGrid>
      <w:tr>
        <w:trPr>
          <w:trHeight w:val="355" w:hRule="exact"/>
        </w:trPr>
        <w:tc>
          <w:tcPr>
            <w:tcW w:w="40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left="4" w:right="0"/>
              <w:jc w:val="center"/>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35"/>
                <w:sz w:val="16"/>
                <w:szCs w:val="16"/>
              </w:rPr>
              <w:t> </w:t>
            </w:r>
            <w:r>
              <w:rPr>
                <w:rFonts w:ascii="宋体" w:hAnsi="宋体" w:cs="宋体" w:eastAsia="宋体" w:hint="default"/>
                <w:sz w:val="16"/>
                <w:szCs w:val="16"/>
              </w:rPr>
              <w:t>目</w:t>
            </w:r>
          </w:p>
        </w:tc>
        <w:tc>
          <w:tcPr>
            <w:tcW w:w="21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37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期初余额</w:t>
            </w:r>
          </w:p>
        </w:tc>
      </w:tr>
      <w:tr>
        <w:trPr>
          <w:trHeight w:val="353" w:hRule="exact"/>
        </w:trPr>
        <w:tc>
          <w:tcPr>
            <w:tcW w:w="40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银行承兑汇票保证金</w:t>
            </w:r>
          </w:p>
        </w:tc>
        <w:tc>
          <w:tcPr>
            <w:tcW w:w="21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spacing w:val="-2"/>
                <w:sz w:val="16"/>
              </w:rPr>
              <w:t>24,600,047.67</w:t>
            </w:r>
          </w:p>
        </w:tc>
        <w:tc>
          <w:tcPr>
            <w:tcW w:w="23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5"/>
              <w:jc w:val="right"/>
              <w:rPr>
                <w:rFonts w:ascii="Times New Roman" w:hAnsi="Times New Roman" w:cs="Times New Roman" w:eastAsia="Times New Roman" w:hint="default"/>
                <w:sz w:val="16"/>
                <w:szCs w:val="16"/>
              </w:rPr>
            </w:pPr>
            <w:r>
              <w:rPr>
                <w:rFonts w:ascii="Times New Roman"/>
                <w:spacing w:val="-2"/>
                <w:sz w:val="16"/>
              </w:rPr>
              <w:t>24,763,576.78</w:t>
            </w:r>
          </w:p>
        </w:tc>
      </w:tr>
      <w:tr>
        <w:trPr>
          <w:trHeight w:val="350" w:hRule="exact"/>
        </w:trPr>
        <w:tc>
          <w:tcPr>
            <w:tcW w:w="40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保函保证金</w:t>
            </w:r>
          </w:p>
        </w:tc>
        <w:tc>
          <w:tcPr>
            <w:tcW w:w="21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6,051,060.57</w:t>
            </w:r>
          </w:p>
        </w:tc>
        <w:tc>
          <w:tcPr>
            <w:tcW w:w="23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6"/>
                <w:szCs w:val="16"/>
              </w:rPr>
            </w:pPr>
            <w:r>
              <w:rPr>
                <w:rFonts w:ascii="Times New Roman"/>
                <w:spacing w:val="-1"/>
                <w:sz w:val="16"/>
              </w:rPr>
              <w:t>6,266,093.40</w:t>
            </w:r>
          </w:p>
        </w:tc>
      </w:tr>
      <w:tr>
        <w:trPr>
          <w:trHeight w:val="353" w:hRule="exact"/>
        </w:trPr>
        <w:tc>
          <w:tcPr>
            <w:tcW w:w="40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借款保证金</w:t>
            </w:r>
          </w:p>
        </w:tc>
        <w:tc>
          <w:tcPr>
            <w:tcW w:w="21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spacing w:val="-1"/>
                <w:sz w:val="16"/>
              </w:rPr>
              <w:t>950,000.00</w:t>
            </w:r>
          </w:p>
        </w:tc>
        <w:tc>
          <w:tcPr>
            <w:tcW w:w="237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035" w:type="dxa"/>
            <w:tcBorders>
              <w:top w:val="single" w:sz="12" w:space="0" w:color="000000"/>
              <w:left w:val="single" w:sz="6" w:space="0" w:color="000000"/>
              <w:bottom w:val="single" w:sz="12" w:space="0" w:color="000000"/>
              <w:right w:val="single" w:sz="6" w:space="0" w:color="000000"/>
            </w:tcBorders>
          </w:tcPr>
          <w:p>
            <w:pPr>
              <w:pStyle w:val="TableParagraph"/>
              <w:tabs>
                <w:tab w:pos="599" w:val="left" w:leader="none"/>
              </w:tabs>
              <w:spacing w:line="256" w:lineRule="exact"/>
              <w:ind w:left="2"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1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6"/>
              <w:ind w:right="1"/>
              <w:jc w:val="right"/>
              <w:rPr>
                <w:rFonts w:ascii="Times New Roman" w:hAnsi="Times New Roman" w:cs="Times New Roman" w:eastAsia="Times New Roman" w:hint="default"/>
                <w:sz w:val="16"/>
                <w:szCs w:val="16"/>
              </w:rPr>
            </w:pPr>
            <w:r>
              <w:rPr>
                <w:rFonts w:ascii="Times New Roman"/>
                <w:b/>
                <w:spacing w:val="-2"/>
                <w:sz w:val="16"/>
              </w:rPr>
              <w:t>31,601,108.24</w:t>
            </w:r>
            <w:r>
              <w:rPr>
                <w:rFonts w:ascii="Times New Roman"/>
                <w:spacing w:val="-2"/>
                <w:sz w:val="16"/>
              </w:rPr>
            </w:r>
          </w:p>
        </w:tc>
        <w:tc>
          <w:tcPr>
            <w:tcW w:w="23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6"/>
              <w:ind w:right="5"/>
              <w:jc w:val="right"/>
              <w:rPr>
                <w:rFonts w:ascii="Times New Roman" w:hAnsi="Times New Roman" w:cs="Times New Roman" w:eastAsia="Times New Roman" w:hint="default"/>
                <w:sz w:val="16"/>
                <w:szCs w:val="16"/>
              </w:rPr>
            </w:pPr>
            <w:r>
              <w:rPr>
                <w:rFonts w:ascii="Times New Roman"/>
                <w:b/>
                <w:spacing w:val="-2"/>
                <w:sz w:val="16"/>
              </w:rPr>
              <w:t>31,029,670.18</w:t>
            </w:r>
            <w:r>
              <w:rPr>
                <w:rFonts w:ascii="Times New Roman"/>
                <w:spacing w:val="-2"/>
                <w:sz w:val="16"/>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59,190,578.47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69,224,178.71</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59,190,578.47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69,224,178.71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59" w:lineRule="auto" w:before="36"/>
        <w:ind w:right="1123"/>
        <w:jc w:val="left"/>
        <w:rPr>
          <w:b w:val="0"/>
          <w:bCs w:val="0"/>
        </w:rPr>
      </w:pPr>
      <w:r>
        <w:rPr/>
        <w:t>（</w:t>
      </w:r>
      <w:r>
        <w:rPr>
          <w:rFonts w:ascii="Times New Roman" w:hAnsi="Times New Roman" w:cs="Times New Roman" w:eastAsia="Times New Roman" w:hint="default"/>
        </w:rPr>
        <w:t>2</w:t>
      </w:r>
      <w:r>
        <w:rPr/>
        <w:t>）因出票人无力履约而将票据转为应收账款的票据，以及期末公司已经背书给他方但尚未到期的票据</w:t>
      </w:r>
      <w:r>
        <w:rPr>
          <w:spacing w:val="-65"/>
        </w:rPr>
        <w:t> </w:t>
      </w:r>
      <w:r>
        <w:rPr>
          <w:spacing w:val="-65"/>
        </w:rPr>
      </w:r>
      <w:r>
        <w:rPr/>
        <w:t>情况</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right="1123"/>
        <w:jc w:val="left"/>
      </w:pPr>
      <w:r>
        <w:rPr/>
        <w:t>因出票人无力履约而将票据转为应收账款的票据</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pStyle w:val="BodyText"/>
        <w:spacing w:line="357" w:lineRule="auto" w:before="49"/>
        <w:ind w:right="-20"/>
        <w:jc w:val="left"/>
      </w:pPr>
      <w:r>
        <w:rPr/>
        <w:t>说明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3393" w:space="54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安徽省外经建设集团有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3,011,500.00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江西友发钢管有限责任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合肥晶弘电器有限公司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2,061,387.98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淮南矿业（集团）有限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贵州长通电气有限公司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10,312,887.98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7874"/>
        <w:jc w:val="left"/>
      </w:pPr>
      <w:r>
        <w:rPr/>
        <w:t>说明 已贴现或质押的商业承兑票据的说明</w:t>
      </w:r>
    </w:p>
    <w:p>
      <w:pPr>
        <w:spacing w:line="240" w:lineRule="auto" w:before="2"/>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按照账龄组合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665,984,95</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4.35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33,491,938.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424,326,4</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77.93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17,729,607.2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665,984,95</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4.35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33,491,938.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424,326,4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77.93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17,729,607.2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665,984,95</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4.35</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33,491,938.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24</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424,326,4</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77.93</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17,729,607.2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应收账款种类的说明</w:t>
      </w:r>
    </w:p>
    <w:p>
      <w:pPr>
        <w:spacing w:after="0" w:line="240" w:lineRule="auto"/>
        <w:jc w:val="left"/>
        <w:sectPr>
          <w:type w:val="continuous"/>
          <w:pgSz w:w="11910" w:h="16840"/>
          <w:pgMar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340" w:top="1060" w:bottom="1540" w:left="980" w:right="0"/>
        </w:sectPr>
      </w:pPr>
    </w:p>
    <w:p>
      <w:pPr>
        <w:spacing w:line="240" w:lineRule="auto" w:before="1"/>
        <w:rPr>
          <w:rFonts w:ascii="宋体" w:hAnsi="宋体" w:cs="宋体" w:eastAsia="宋体" w:hint="default"/>
          <w:sz w:val="16"/>
          <w:szCs w:val="16"/>
        </w:rPr>
      </w:pPr>
    </w:p>
    <w:p>
      <w:pPr>
        <w:pStyle w:val="BodyText"/>
        <w:spacing w:line="240" w:lineRule="auto"/>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2"/>
        <w:gridCol w:w="1600"/>
        <w:gridCol w:w="929"/>
        <w:gridCol w:w="1728"/>
        <w:gridCol w:w="1460"/>
        <w:gridCol w:w="931"/>
        <w:gridCol w:w="1459"/>
      </w:tblGrid>
      <w:tr>
        <w:trPr>
          <w:trHeight w:val="402" w:hRule="exact"/>
        </w:trPr>
        <w:tc>
          <w:tcPr>
            <w:tcW w:w="146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5" w:hRule="exact"/>
        </w:trPr>
        <w:tc>
          <w:tcPr>
            <w:tcW w:w="14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462" w:type="dxa"/>
            <w:vMerge/>
            <w:tcBorders>
              <w:left w:val="single" w:sz="4" w:space="0" w:color="000000"/>
              <w:bottom w:val="nil" w:sz="6" w:space="0" w:color="auto"/>
              <w:right w:val="single" w:sz="4" w:space="0" w:color="000000"/>
            </w:tcBorders>
            <w:shd w:val="clear" w:color="auto" w:fill="D2D2D2"/>
          </w:tcPr>
          <w:p>
            <w:pPr/>
          </w:p>
        </w:tc>
        <w:tc>
          <w:tcPr>
            <w:tcW w:w="2528" w:type="dxa"/>
            <w:gridSpan w:val="2"/>
            <w:vMerge/>
            <w:tcBorders>
              <w:left w:val="single" w:sz="4" w:space="0" w:color="000000"/>
              <w:bottom w:val="single" w:sz="4" w:space="0" w:color="000000"/>
              <w:right w:val="single" w:sz="4" w:space="0" w:color="000000"/>
            </w:tcBorders>
            <w:shd w:val="clear" w:color="auto" w:fill="D2D2D2"/>
          </w:tcPr>
          <w:p>
            <w:pPr/>
          </w:p>
        </w:tc>
        <w:tc>
          <w:tcPr>
            <w:tcW w:w="17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7" w:hRule="exact"/>
        </w:trPr>
        <w:tc>
          <w:tcPr>
            <w:tcW w:w="1462" w:type="dxa"/>
            <w:vMerge w:val="restart"/>
            <w:tcBorders>
              <w:top w:val="nil" w:sz="6" w:space="0" w:color="auto"/>
              <w:left w:val="single" w:sz="4" w:space="0" w:color="000000"/>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nil" w:sz="6" w:space="0" w:color="auto"/>
              <w:right w:val="single" w:sz="4" w:space="0" w:color="000000"/>
            </w:tcBorders>
            <w:shd w:val="clear" w:color="auto" w:fill="D2D2D2"/>
          </w:tcPr>
          <w:p>
            <w:pP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462"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00" w:right="0"/>
              <w:jc w:val="left"/>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514,009,146.34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2" w:right="0"/>
              <w:jc w:val="left"/>
              <w:rPr>
                <w:rFonts w:ascii="Times New Roman" w:hAnsi="Times New Roman" w:cs="Times New Roman" w:eastAsia="Times New Roman" w:hint="default"/>
                <w:sz w:val="18"/>
                <w:szCs w:val="18"/>
              </w:rPr>
            </w:pPr>
            <w:r>
              <w:rPr>
                <w:rFonts w:ascii="Times New Roman"/>
                <w:sz w:val="18"/>
              </w:rPr>
              <w:t>77.18%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15,420,274.40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366,347,319.85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86.34%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10,990,419.60</w:t>
            </w:r>
          </w:p>
        </w:tc>
      </w:tr>
      <w:tr>
        <w:trPr>
          <w:trHeight w:val="401"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128,836,480.86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19.35%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12,883,648.09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54,206,971.06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12.77%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5,420,697.11</w:t>
            </w:r>
          </w:p>
        </w:tc>
      </w:tr>
      <w:tr>
        <w:trPr>
          <w:trHeight w:val="403"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21,272,159.42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1" w:right="0"/>
              <w:jc w:val="left"/>
              <w:rPr>
                <w:rFonts w:ascii="Times New Roman" w:hAnsi="Times New Roman" w:cs="Times New Roman" w:eastAsia="Times New Roman" w:hint="default"/>
                <w:sz w:val="18"/>
                <w:szCs w:val="18"/>
              </w:rPr>
            </w:pPr>
            <w:r>
              <w:rPr>
                <w:rFonts w:ascii="Times New Roman"/>
                <w:sz w:val="18"/>
              </w:rPr>
              <w:t>3.19%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4,254,431.88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1,892,009.86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378,401.97</w:t>
            </w:r>
          </w:p>
        </w:tc>
      </w:tr>
      <w:tr>
        <w:trPr>
          <w:trHeight w:val="401"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1,867,167.73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0.28%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933,583.87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1,880,177.16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940,088.58</w:t>
            </w:r>
          </w:p>
        </w:tc>
      </w:tr>
      <w:tr>
        <w:trPr>
          <w:trHeight w:val="403"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665,984,954.35</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00" w:right="0"/>
              <w:jc w:val="left"/>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33,491,938.24</w:t>
            </w:r>
          </w:p>
        </w:tc>
        <w:tc>
          <w:tcPr>
            <w:tcW w:w="1460"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424,326,477.93</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17,729,607.26</w:t>
            </w:r>
          </w:p>
        </w:tc>
      </w:tr>
    </w:tbl>
    <w:p>
      <w:pPr>
        <w:pStyle w:val="BodyText"/>
        <w:spacing w:line="240" w:lineRule="auto" w:before="49"/>
        <w:ind w:right="1123"/>
        <w:jc w:val="left"/>
      </w:pPr>
      <w:r>
        <w:rPr/>
        <w:t>组合中，采用余额百分比法计提坏账准备的应收账款</w:t>
      </w:r>
    </w:p>
    <w:p>
      <w:pPr>
        <w:pStyle w:val="BodyText"/>
        <w:spacing w:line="340" w:lineRule="auto" w:before="115"/>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38" w:lineRule="auto" w:before="41"/>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3"/>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594"/>
        <w:gridCol w:w="1861"/>
        <w:gridCol w:w="1728"/>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4"/>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中铁电气化局成绵乐项 目部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13,183,474.00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w:t>
            </w:r>
          </w:p>
        </w:tc>
      </w:tr>
      <w:tr>
        <w:trPr>
          <w:trHeight w:val="67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中铁电气化局集团有限 公司客运专线系统集成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13,105,604.00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36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事业部</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中央电视台新台址建设 工程办公室</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11,417,576.87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6,467,995.12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元，其余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中国铁建电气化局集团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11,100,224.00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安徽蓝鼎置地发展有限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10,215,560.00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59,022,438.87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8.86%</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1"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按照帐龄组合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40,439,194.9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1,932,967.72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28,028,864.4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1,497,080.60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716"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40,439,194.9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1,932,967.72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28,028,864.4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1,497,080.60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40,439,194.9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1,932,967.72</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28,028,864.4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1,497,080.60</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40" w:top="1060" w:bottom="1540" w:left="980" w:right="0"/>
        </w:sectPr>
      </w:pPr>
    </w:p>
    <w:p>
      <w:pPr>
        <w:pStyle w:val="BodyText"/>
        <w:spacing w:line="360" w:lineRule="auto" w:before="49"/>
        <w:ind w:right="-20"/>
        <w:jc w:val="left"/>
      </w:pPr>
      <w:r>
        <w:rPr/>
        <w:t>其他应收款种类的说明 期末单项金额重大并单项计提坏账准备的其他应收款</w:t>
      </w:r>
    </w:p>
    <w:p>
      <w:pPr>
        <w:pStyle w:val="BodyText"/>
        <w:spacing w:line="340" w:lineRule="auto" w:before="2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30"/>
        <w:gridCol w:w="1853"/>
        <w:gridCol w:w="646"/>
        <w:gridCol w:w="1459"/>
        <w:gridCol w:w="1450"/>
        <w:gridCol w:w="646"/>
        <w:gridCol w:w="1662"/>
      </w:tblGrid>
      <w:tr>
        <w:trPr>
          <w:trHeight w:val="404" w:hRule="exact"/>
        </w:trPr>
        <w:tc>
          <w:tcPr>
            <w:tcW w:w="1830" w:type="dxa"/>
            <w:vMerge w:val="restart"/>
            <w:tcBorders>
              <w:top w:val="single" w:sz="4" w:space="0" w:color="000000"/>
              <w:left w:val="single" w:sz="4" w:space="0" w:color="000000"/>
              <w:right w:val="single" w:sz="4" w:space="0" w:color="000000"/>
            </w:tcBorders>
            <w:shd w:val="clear" w:color="auto" w:fill="D2D2D2"/>
          </w:tcPr>
          <w:p>
            <w:pPr/>
          </w:p>
        </w:tc>
        <w:tc>
          <w:tcPr>
            <w:tcW w:w="39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5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830" w:type="dxa"/>
            <w:vMerge/>
            <w:tcBorders>
              <w:left w:val="single" w:sz="4" w:space="0" w:color="000000"/>
              <w:bottom w:val="nil" w:sz="6" w:space="0" w:color="auto"/>
              <w:right w:val="single" w:sz="4" w:space="0" w:color="000000"/>
            </w:tcBorders>
            <w:shd w:val="clear" w:color="auto" w:fill="D2D2D2"/>
          </w:tcPr>
          <w:p>
            <w:pPr/>
          </w:p>
        </w:tc>
        <w:tc>
          <w:tcPr>
            <w:tcW w:w="25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
        </w:tc>
        <w:tc>
          <w:tcPr>
            <w:tcW w:w="20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8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2500"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2096" w:type="dxa"/>
            <w:gridSpan w:val="2"/>
            <w:vMerge/>
            <w:tcBorders>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830" w:type="dxa"/>
            <w:vMerge/>
            <w:tcBorders>
              <w:left w:val="single" w:sz="4" w:space="0" w:color="000000"/>
              <w:bottom w:val="single" w:sz="4" w:space="0" w:color="FFFFFF"/>
              <w:right w:val="single" w:sz="4" w:space="0" w:color="000000"/>
            </w:tcBorders>
            <w:shd w:val="clear" w:color="auto" w:fill="D2D2D2"/>
          </w:tcPr>
          <w:p>
            <w:pPr/>
          </w:p>
        </w:tc>
        <w:tc>
          <w:tcPr>
            <w:tcW w:w="185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3" w:right="0"/>
              <w:jc w:val="left"/>
              <w:rPr>
                <w:rFonts w:ascii="Times New Roman" w:hAnsi="Times New Roman" w:cs="Times New Roman" w:eastAsia="Times New Roman" w:hint="default"/>
                <w:sz w:val="18"/>
                <w:szCs w:val="18"/>
              </w:rPr>
            </w:pPr>
            <w:r>
              <w:rPr>
                <w:rFonts w:ascii="Times New Roman"/>
                <w:sz w:val="18"/>
              </w:rPr>
              <w:t>(%)</w:t>
            </w: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3" w:right="0"/>
              <w:jc w:val="left"/>
              <w:rPr>
                <w:rFonts w:ascii="Times New Roman" w:hAnsi="Times New Roman" w:cs="Times New Roman" w:eastAsia="Times New Roman" w:hint="default"/>
                <w:sz w:val="18"/>
                <w:szCs w:val="18"/>
              </w:rPr>
            </w:pPr>
            <w:r>
              <w:rPr>
                <w:rFonts w:ascii="Times New Roman"/>
                <w:sz w:val="18"/>
              </w:rPr>
              <w:t>(%)</w:t>
            </w:r>
          </w:p>
        </w:tc>
        <w:tc>
          <w:tcPr>
            <w:tcW w:w="1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7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830" w:type="dxa"/>
            <w:vMerge w:val="restart"/>
            <w:tcBorders>
              <w:top w:val="single" w:sz="4" w:space="0" w:color="FFFFFF"/>
              <w:left w:val="single" w:sz="4" w:space="0" w:color="000000"/>
              <w:right w:val="single" w:sz="4" w:space="0" w:color="000000"/>
            </w:tcBorders>
            <w:shd w:val="clear" w:color="auto" w:fill="D2D2D2"/>
          </w:tcPr>
          <w:p>
            <w:pPr/>
          </w:p>
        </w:tc>
        <w:tc>
          <w:tcPr>
            <w:tcW w:w="185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66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830" w:type="dxa"/>
            <w:vMerge/>
            <w:tcBorders>
              <w:left w:val="single" w:sz="4" w:space="0" w:color="000000"/>
              <w:right w:val="single" w:sz="4" w:space="0" w:color="000000"/>
            </w:tcBorders>
            <w:shd w:val="clear" w:color="auto" w:fill="D2D2D2"/>
          </w:tcPr>
          <w:p>
            <w:pPr/>
          </w:p>
        </w:tc>
        <w:tc>
          <w:tcPr>
            <w:tcW w:w="1853"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
        </w:tc>
        <w:tc>
          <w:tcPr>
            <w:tcW w:w="1450"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66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830" w:type="dxa"/>
            <w:vMerge/>
            <w:tcBorders>
              <w:left w:val="single" w:sz="4" w:space="0" w:color="000000"/>
              <w:bottom w:val="single" w:sz="4" w:space="0" w:color="000000"/>
              <w:right w:val="single" w:sz="4" w:space="0" w:color="000000"/>
            </w:tcBorders>
            <w:shd w:val="clear" w:color="auto" w:fill="D2D2D2"/>
          </w:tcPr>
          <w:p>
            <w:pPr/>
          </w:p>
        </w:tc>
        <w:tc>
          <w:tcPr>
            <w:tcW w:w="1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4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8"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36,172,825.58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89.45%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1,085,184.77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22,487,171.91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80.23%</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674,615.17</w:t>
            </w: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1,789,146.51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4.42%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178,914.65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4,297,453.82</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15.33%</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429,745.38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829072"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94</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847"/>
        <w:gridCol w:w="1841"/>
        <w:gridCol w:w="658"/>
        <w:gridCol w:w="1448"/>
        <w:gridCol w:w="1450"/>
        <w:gridCol w:w="658"/>
        <w:gridCol w:w="1668"/>
      </w:tblGrid>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1,899,143.70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379,828.74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764,664.32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152,932.86</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578,079.11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289,039.56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479,574.37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1.71%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239,787.19</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40,439,194.90</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1,932,967.72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28,028,864.42</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1,497,080.60</w:t>
            </w:r>
          </w:p>
        </w:tc>
      </w:tr>
    </w:tbl>
    <w:p>
      <w:pPr>
        <w:pStyle w:val="BodyText"/>
        <w:spacing w:line="240" w:lineRule="auto" w:before="49"/>
        <w:ind w:right="1123"/>
        <w:jc w:val="left"/>
      </w:pPr>
      <w:r>
        <w:rPr/>
        <w:t>组合中，采用余额百分比法计提坏账准备的其他应收款</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39"/>
        <w:ind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1"/>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芜湖市鸠江区财政局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3,874,799.00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9.58%</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天津滨海国际机场二期 扩建工程指挥部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8.11%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昆明新机场建设指挥部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4.16%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华环国际烟草有限公司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河北瑞能达节能科技有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11,173,799.00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27.62%</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）其他应收关联方账款情况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401"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2"/>
        <w:gridCol w:w="3187"/>
        <w:gridCol w:w="1064"/>
        <w:gridCol w:w="3053"/>
        <w:gridCol w:w="1063"/>
      </w:tblGrid>
      <w:tr>
        <w:trPr>
          <w:trHeight w:val="206" w:hRule="exact"/>
        </w:trPr>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1192" w:type="dxa"/>
            <w:vMerge/>
            <w:tcBorders>
              <w:left w:val="single" w:sz="4" w:space="0" w:color="000000"/>
              <w:bottom w:val="nil" w:sz="6" w:space="0" w:color="auto"/>
              <w:right w:val="single" w:sz="4" w:space="0" w:color="000000"/>
            </w:tcBorders>
            <w:shd w:val="clear" w:color="auto" w:fill="D2D2D2"/>
          </w:tcPr>
          <w:p>
            <w:pPr/>
          </w:p>
        </w:tc>
        <w:tc>
          <w:tcPr>
            <w:tcW w:w="3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7"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31,941,627.90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17,384,963.59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79.09%</w:t>
            </w: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1,578,005.53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3,668,327.93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16.69%</w:t>
            </w: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452,497.81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928,587.54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w:t>
            </w:r>
          </w:p>
        </w:tc>
      </w:tr>
    </w:tbl>
    <w:p>
      <w:pPr>
        <w:spacing w:after="0" w:line="240" w:lineRule="auto"/>
        <w:jc w:val="right"/>
        <w:rPr>
          <w:rFonts w:ascii="Times New Roman" w:hAnsi="Times New Roman" w:cs="Times New Roman" w:eastAsia="Times New Roman" w:hint="default"/>
          <w:sz w:val="18"/>
          <w:szCs w:val="18"/>
        </w:rPr>
        <w:sectPr>
          <w:headerReference w:type="default" r:id="rId44"/>
          <w:footerReference w:type="default" r:id="rId45"/>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88"/>
        <w:gridCol w:w="1064"/>
        <w:gridCol w:w="3053"/>
        <w:gridCol w:w="1063"/>
      </w:tblGrid>
      <w:tr>
        <w:trPr>
          <w:trHeight w:val="401"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910,058.16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3" w:right="0"/>
              <w:jc w:val="left"/>
              <w:rPr>
                <w:rFonts w:ascii="Times New Roman" w:hAnsi="Times New Roman" w:cs="Times New Roman" w:eastAsia="Times New Roman" w:hint="default"/>
                <w:sz w:val="18"/>
                <w:szCs w:val="18"/>
              </w:rPr>
            </w:pPr>
            <w:r>
              <w:rPr>
                <w:rFonts w:ascii="Times New Roman"/>
                <w:sz w:val="18"/>
              </w:rPr>
              <w:t>2.61%</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34,882,189.40</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1987" w:right="0"/>
              <w:jc w:val="left"/>
              <w:rPr>
                <w:rFonts w:ascii="Times New Roman" w:hAnsi="Times New Roman" w:cs="Times New Roman" w:eastAsia="Times New Roman" w:hint="default"/>
                <w:sz w:val="18"/>
                <w:szCs w:val="18"/>
              </w:rPr>
            </w:pPr>
            <w:r>
              <w:rPr>
                <w:rFonts w:ascii="Times New Roman"/>
                <w:sz w:val="18"/>
              </w:rPr>
              <w:t>21,981,879.06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预付款项账龄的说明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芜湖市鸠江区财政局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9,018,100.00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未获得土地使用权</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北京禾光永业科技有限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材料供应商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3,009,542.35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货未到</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南京昭电电气有限公司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材料供应商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货未到</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上海凌世电子有限公司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设备供应商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1,090,180.80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Arial Narrow" w:hAnsi="Arial Narrow" w:cs="Arial Narrow" w:eastAsia="Arial Narrow" w:hint="default"/>
                <w:sz w:val="18"/>
                <w:szCs w:val="18"/>
              </w:rPr>
              <w:t>726,787.20</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其余</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设备正在安装调试</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上海华艾软件有限公司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材料供应商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1,021,693.16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货未到</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15,519,316.31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预付款项主要单位的说明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6"/>
        <w:gridCol w:w="1473"/>
        <w:gridCol w:w="1193"/>
        <w:gridCol w:w="1330"/>
        <w:gridCol w:w="1327"/>
        <w:gridCol w:w="1330"/>
        <w:gridCol w:w="1327"/>
      </w:tblGrid>
      <w:tr>
        <w:trPr>
          <w:trHeight w:val="206" w:hRule="exact"/>
        </w:trPr>
        <w:tc>
          <w:tcPr>
            <w:tcW w:w="1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576" w:type="dxa"/>
            <w:vMerge/>
            <w:tcBorders>
              <w:left w:val="single" w:sz="4" w:space="0" w:color="000000"/>
              <w:bottom w:val="nil" w:sz="6" w:space="0" w:color="auto"/>
              <w:right w:val="single" w:sz="4" w:space="0" w:color="000000"/>
            </w:tcBorders>
            <w:shd w:val="clear" w:color="auto" w:fill="D2D2D2"/>
          </w:tcPr>
          <w:p>
            <w:pPr/>
          </w:p>
        </w:tc>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43,253,298.64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43,253,298.64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49,874,773.82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49,874,773.82</w:t>
            </w: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47,490,107.47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47,490,107.47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68,687,089.28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68,687,089.28</w:t>
            </w: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330,544,434.62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330,544,434.62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347,448,643.87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347,448,643.87</w:t>
            </w: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35,704.58</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35,704.58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71,923.19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71,923.19</w:t>
            </w: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421,323,545.31</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421,323,545.31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466,082,430.16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466,082,430.16</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7</w:t>
      </w:r>
      <w:r>
        <w:rPr/>
        <w:t>、对合营企业投资和联营企业投资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3"/>
        <w:gridCol w:w="1198"/>
        <w:gridCol w:w="1198"/>
      </w:tblGrid>
      <w:tr>
        <w:trPr>
          <w:trHeight w:val="102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3"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footerReference w:type="default" r:id="rId46"/>
          <w:pgSz w:w="11910" w:h="16840"/>
          <w:pgMar w:footer="1340" w:header="877" w:top="1060" w:bottom="1540" w:left="980" w:right="0"/>
          <w:pgNumType w:start="95"/>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3"/>
        <w:gridCol w:w="1198"/>
        <w:gridCol w:w="1198"/>
      </w:tblGrid>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安徽美能储能 系统有限公司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45.87%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45.87%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79,079,204.82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5,878,927.11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73,200,277.71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339,008.11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-13,036,736.69</w:t>
            </w:r>
          </w:p>
        </w:tc>
      </w:tr>
    </w:tbl>
    <w:p>
      <w:pPr>
        <w:pStyle w:val="BodyText"/>
        <w:spacing w:line="240" w:lineRule="auto" w:before="49"/>
        <w:ind w:right="1123"/>
        <w:jc w:val="left"/>
      </w:pPr>
      <w:r>
        <w:rPr/>
        <w:t>合营企业、联营企业的重要会计政策、会计估计与公司的会计政策、会计估计存在重大差异的说明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8</w:t>
      </w:r>
      <w:r>
        <w:rPr/>
        <w:t>、长期股权投资</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）长期股权投资明细情况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一、对联 营企业投 资</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安徽美能 储能系统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39,593,10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19,854,55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8.57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13,613,15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33,467,70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9.45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45.87%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二、对其 他企业投 资</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芜湖市中 小企业信 用担保有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芜湖扬子 农村商业 银行股份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45,593,10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25,854,55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8.57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13,613,15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39,467,70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9.45</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9</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1327"/>
        <w:gridCol w:w="1594"/>
        <w:gridCol w:w="1597"/>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290,000,529.25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55" w:right="0"/>
              <w:jc w:val="left"/>
              <w:rPr>
                <w:rFonts w:ascii="Times New Roman" w:hAnsi="Times New Roman" w:cs="Times New Roman" w:eastAsia="Times New Roman" w:hint="default"/>
                <w:sz w:val="18"/>
                <w:szCs w:val="18"/>
              </w:rPr>
            </w:pPr>
            <w:r>
              <w:rPr>
                <w:rFonts w:ascii="Times New Roman"/>
                <w:sz w:val="18"/>
              </w:rPr>
              <w:t>24,428,618.13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831,148.16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313,597,999.22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198,748,839.18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7,642,750.81</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206,391,589.99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64,117,204.11</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9,394,888.91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172,500.00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73,339,593.02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14,306,356.60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3,898,812.42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575,400.00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17,629,769.02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12,828,129.36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3,492,165.99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83,248.16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16,237,047.19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59,244,428.73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20,580,623.79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661,243.17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79,163,809.35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20,782,463.10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9,762,391.28</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30,544,854.38</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25,086,127.49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6,463,722.05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126,535.81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31,423,313.73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7,385,253.45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2,380,494.82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511,217.95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9,254,530.32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5,990,584.69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1,974,015.64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23,489.41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7,941,110.92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230,756,100.52</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234,434,189.87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177,966,376.08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175,846,735.61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39,031,076.62</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41,916,279.29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6,921,103.15</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8,375,238.70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6,837,544.67</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8,295,936.27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0.00</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0.00</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0.00</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0.00</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0.00</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230,756,100.52</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234,434,189.87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177,966,376.08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175,846,735.61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39,031,076.62</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41,916,279.29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6,921,103.15</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8,375,238.70</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10"/>
              <w:jc w:val="right"/>
              <w:rPr>
                <w:rFonts w:ascii="Times New Roman" w:hAnsi="Times New Roman" w:cs="Times New Roman" w:eastAsia="Times New Roman" w:hint="default"/>
                <w:sz w:val="18"/>
                <w:szCs w:val="18"/>
              </w:rPr>
            </w:pPr>
            <w:r>
              <w:rPr>
                <w:rFonts w:ascii="Times New Roman"/>
                <w:spacing w:val="-1"/>
                <w:sz w:val="18"/>
              </w:rPr>
              <w:t>6,837,544.67</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8,295,936.27</w:t>
            </w:r>
          </w:p>
        </w:tc>
      </w:tr>
    </w:tbl>
    <w:p>
      <w:pPr>
        <w:pStyle w:val="BodyText"/>
        <w:spacing w:line="240" w:lineRule="auto" w:before="49"/>
        <w:ind w:right="1123"/>
        <w:jc w:val="left"/>
      </w:pPr>
      <w:r>
        <w:rPr/>
        <w:t>本期折旧额</w:t>
      </w:r>
      <w:r>
        <w:rPr>
          <w:spacing w:val="-46"/>
        </w:rPr>
        <w:t> </w:t>
      </w:r>
      <w:r>
        <w:rPr>
          <w:rFonts w:ascii="Times New Roman" w:hAnsi="Times New Roman" w:cs="Times New Roman" w:eastAsia="Times New Roman" w:hint="default"/>
        </w:rPr>
        <w:t>20,580,623.79</w:t>
      </w:r>
      <w:r>
        <w:rPr>
          <w:rFonts w:ascii="Times New Roman" w:hAnsi="Times New Roman" w:cs="Times New Roman" w:eastAsia="Times New Roman" w:hint="default"/>
          <w:spacing w:val="-1"/>
        </w:rPr>
        <w:t> </w:t>
      </w:r>
      <w:r>
        <w:rPr/>
        <w:t>元；本期由在建工程转入固定资产原价为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开发商统一办理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年上半年办妥</w:t>
            </w:r>
          </w:p>
        </w:tc>
      </w:tr>
    </w:tbl>
    <w:p>
      <w:pPr>
        <w:pStyle w:val="BodyText"/>
        <w:spacing w:line="240" w:lineRule="auto" w:before="49"/>
        <w:ind w:right="1123"/>
        <w:jc w:val="left"/>
      </w:pPr>
      <w:r>
        <w:rPr/>
        <w:t>固定资产说明</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10</w:t>
      </w:r>
      <w:r>
        <w:rPr/>
        <w:t>、在建工程</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1"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高、低压开关柜及元件技术 研究中心建设项目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290,012.38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290,012.38</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智能型电力电器元件产品生 产线项目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399,417.01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399,417.01</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智能型高分断低压断路器生 产线建设项目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12,828,057.76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12,828,057.76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智能化固封极柱式高压真空 断路器项目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4,704.00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4,704.00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13,522,191.15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13,522,191.15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1337"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27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1"/>
                <w:sz w:val="18"/>
                <w:szCs w:val="18"/>
              </w:rPr>
              <w:t>高、低压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开关柜 及元件 技术研 究中心 建设项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290,012.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募股资 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6400</w:t>
            </w: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11"/>
                <w:sz w:val="18"/>
                <w:szCs w:val="18"/>
              </w:rPr>
              <w:t>万、其他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290,012.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r>
      <w:tr>
        <w:trPr>
          <w:trHeight w:val="1961"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智能型 电力电 器元件 产品生 产线项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399,417.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399,417.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01</w:t>
            </w:r>
          </w:p>
        </w:tc>
      </w:tr>
      <w:tr>
        <w:trPr>
          <w:trHeight w:val="1298"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智能型 高分断 低压断 路器生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9"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1" w:right="0"/>
              <w:jc w:val="left"/>
              <w:rPr>
                <w:rFonts w:ascii="Times New Roman" w:hAnsi="Times New Roman" w:cs="Times New Roman" w:eastAsia="Times New Roman" w:hint="default"/>
                <w:sz w:val="18"/>
                <w:szCs w:val="18"/>
              </w:rPr>
            </w:pPr>
            <w:r>
              <w:rPr>
                <w:rFonts w:ascii="Times New Roman"/>
                <w:sz w:val="18"/>
              </w:rPr>
              <w:t>12,828,0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57.76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12.83%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4" w:right="0"/>
              <w:jc w:val="left"/>
              <w:rPr>
                <w:rFonts w:ascii="Times New Roman" w:hAnsi="Times New Roman" w:cs="Times New Roman" w:eastAsia="Times New Roman" w:hint="default"/>
                <w:sz w:val="18"/>
                <w:szCs w:val="18"/>
              </w:rPr>
            </w:pPr>
            <w:r>
              <w:rPr>
                <w:rFonts w:ascii="Times New Roman"/>
                <w:sz w:val="18"/>
              </w:rPr>
              <w:t>12,828,0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57.76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67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59"/>
              <w:jc w:val="left"/>
              <w:rPr>
                <w:rFonts w:ascii="宋体" w:hAnsi="宋体" w:cs="宋体" w:eastAsia="宋体" w:hint="default"/>
                <w:sz w:val="18"/>
                <w:szCs w:val="18"/>
              </w:rPr>
            </w:pPr>
            <w:r>
              <w:rPr>
                <w:rFonts w:ascii="宋体" w:hAnsi="宋体" w:cs="宋体" w:eastAsia="宋体" w:hint="default"/>
                <w:sz w:val="18"/>
                <w:szCs w:val="18"/>
              </w:rPr>
              <w:t>产线建 设项目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智能化 固封极 柱式高 压真空 断路器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4,704.00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4,704.00</w:t>
            </w: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530,000,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13,522,1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91.15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13,522,1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91.15</w:t>
            </w:r>
          </w:p>
        </w:tc>
      </w:tr>
    </w:tbl>
    <w:p>
      <w:pPr>
        <w:pStyle w:val="BodyText"/>
        <w:spacing w:line="240" w:lineRule="auto" w:before="49"/>
        <w:ind w:right="1123"/>
        <w:jc w:val="left"/>
      </w:pPr>
      <w:r>
        <w:rPr/>
        <w:t>在建工程项目变动情况的说明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11</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56,101,277.27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98,717.95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56,199,995.22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43,143,840.56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43,143,840.56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专有技术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12,402,050.00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12,402,050.00</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555,386.71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98,717.95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654,104.66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8,068,412.89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2,047,525.21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10,115,938.10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6,909,555.06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746,883.33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7,656,438.39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专有技术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951,750.00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1,240,200.00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2,191,950.00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207,107.83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60,441.88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267,549.71</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48,032,864.38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-1,948,807.26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46,084,057.12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36,234,285.50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-746,883.33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35,487,402.17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专有技术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11,450,300.00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-1,240,200.00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10,210,100.00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348,278.88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38,276.07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386,554.95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专有技术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48,032,864.38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-1,948,807.26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46,084,057.12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36,234,285.50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-746,883.33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35,487,402.17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专有技术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11,450,300.00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-1,240,200.00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10,210,100.00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1" w:right="0"/>
              <w:jc w:val="left"/>
              <w:rPr>
                <w:rFonts w:ascii="Times New Roman" w:hAnsi="Times New Roman" w:cs="Times New Roman" w:eastAsia="Times New Roman" w:hint="default"/>
                <w:sz w:val="18"/>
                <w:szCs w:val="18"/>
              </w:rPr>
            </w:pPr>
            <w:r>
              <w:rPr>
                <w:rFonts w:ascii="Times New Roman"/>
                <w:sz w:val="18"/>
              </w:rPr>
              <w:t>348,278.88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1" w:right="0"/>
              <w:jc w:val="left"/>
              <w:rPr>
                <w:rFonts w:ascii="Times New Roman" w:hAnsi="Times New Roman" w:cs="Times New Roman" w:eastAsia="Times New Roman" w:hint="default"/>
                <w:sz w:val="18"/>
                <w:szCs w:val="18"/>
              </w:rPr>
            </w:pPr>
            <w:r>
              <w:rPr>
                <w:rFonts w:ascii="Times New Roman"/>
                <w:sz w:val="18"/>
              </w:rPr>
              <w:t>38,276.07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0" w:right="0"/>
              <w:jc w:val="left"/>
              <w:rPr>
                <w:rFonts w:ascii="Times New Roman" w:hAnsi="Times New Roman" w:cs="Times New Roman" w:eastAsia="Times New Roman" w:hint="default"/>
                <w:sz w:val="18"/>
                <w:szCs w:val="18"/>
              </w:rPr>
            </w:pPr>
            <w:r>
              <w:rPr>
                <w:rFonts w:ascii="Times New Roman"/>
                <w:sz w:val="18"/>
              </w:rPr>
              <w:t>386,554.95</w:t>
            </w:r>
          </w:p>
        </w:tc>
      </w:tr>
    </w:tbl>
    <w:p>
      <w:pPr>
        <w:pStyle w:val="BodyText"/>
        <w:spacing w:line="240" w:lineRule="auto" w:before="49"/>
        <w:ind w:right="1123"/>
        <w:jc w:val="left"/>
      </w:pPr>
      <w:r>
        <w:rPr/>
        <w:t>本期摊销额</w:t>
      </w:r>
      <w:r>
        <w:rPr>
          <w:spacing w:val="-47"/>
        </w:rPr>
        <w:t> </w:t>
      </w:r>
      <w:r>
        <w:rPr>
          <w:rFonts w:ascii="Times New Roman" w:hAnsi="Times New Roman" w:cs="Times New Roman" w:eastAsia="Times New Roman" w:hint="default"/>
        </w:rPr>
        <w:t>2,047,525.21</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r>
        <w:rPr>
          <w:rFonts w:ascii="Times New Roman" w:hAnsi="Times New Roman" w:cs="Times New Roman" w:eastAsia="Times New Roman" w:hint="default"/>
        </w:rPr>
        <w:t>12</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right="1123"/>
        <w:jc w:val="left"/>
      </w:pPr>
      <w:r>
        <w:rPr/>
        <w:t>已确认的递延所得税资产和递延所得税负债</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7"/>
        <w:gridCol w:w="2929"/>
        <w:gridCol w:w="2921"/>
      </w:tblGrid>
      <w:tr>
        <w:trPr>
          <w:trHeight w:val="406"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5,276,650.02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2,894,780.12</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5,276,650.02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2,894,780.12</w:t>
            </w:r>
          </w:p>
        </w:tc>
      </w:tr>
      <w:tr>
        <w:trPr>
          <w:trHeight w:val="401"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49"/>
        <w:ind w:right="1123"/>
        <w:jc w:val="left"/>
      </w:pPr>
      <w:r>
        <w:rPr/>
        <w:t>未确认递延所得税资产明细</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924"/>
        <w:gridCol w:w="2910"/>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49"/>
        <w:ind w:right="1123"/>
        <w:jc w:val="left"/>
      </w:pPr>
      <w:r>
        <w:rPr/>
        <w:t>未确认递延所得税资产的可抵扣亏损将于以下年度到期</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2259"/>
        <w:gridCol w:w="1995"/>
        <w:gridCol w:w="3309"/>
      </w:tblGrid>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1123"/>
        <w:jc w:val="left"/>
      </w:pPr>
      <w:r>
        <w:rPr/>
        <w:t>应纳税差异和可抵扣差异项目明细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926"/>
        <w:gridCol w:w="2787"/>
      </w:tblGrid>
      <w:tr>
        <w:trPr>
          <w:trHeight w:val="401" w:hRule="exact"/>
        </w:trPr>
        <w:tc>
          <w:tcPr>
            <w:tcW w:w="3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3" w:hRule="exact"/>
        </w:trPr>
        <w:tc>
          <w:tcPr>
            <w:tcW w:w="3854"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3"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35,424,905.96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19,226,687.86</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35,424,905.96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19,226,687.86</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3"/>
        <w:jc w:val="left"/>
      </w:pPr>
      <w:r>
        <w:rPr/>
        <w:t>互抵后的递延所得税资产及负债的组成项目</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74"/>
        <w:gridCol w:w="1615"/>
        <w:gridCol w:w="1628"/>
        <w:gridCol w:w="1628"/>
        <w:gridCol w:w="1616"/>
      </w:tblGrid>
      <w:tr>
        <w:trPr>
          <w:trHeight w:val="317" w:hRule="exact"/>
        </w:trPr>
        <w:tc>
          <w:tcPr>
            <w:tcW w:w="3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5"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16" w:type="dxa"/>
            <w:vMerge/>
            <w:tcBorders>
              <w:left w:val="single" w:sz="4" w:space="0" w:color="000000"/>
              <w:right w:val="single" w:sz="4" w:space="0" w:color="000000"/>
            </w:tcBorders>
            <w:shd w:val="clear" w:color="auto" w:fill="D2D2D2"/>
          </w:tcPr>
          <w:p>
            <w:pPr/>
          </w:p>
        </w:tc>
      </w:tr>
      <w:tr>
        <w:trPr>
          <w:trHeight w:val="317" w:hRule="exact"/>
        </w:trPr>
        <w:tc>
          <w:tcPr>
            <w:tcW w:w="30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32" w:right="0"/>
              <w:jc w:val="left"/>
              <w:rPr>
                <w:rFonts w:ascii="Times New Roman" w:hAnsi="Times New Roman" w:cs="Times New Roman" w:eastAsia="Times New Roman" w:hint="default"/>
                <w:sz w:val="18"/>
                <w:szCs w:val="18"/>
              </w:rPr>
            </w:pPr>
            <w:r>
              <w:rPr>
                <w:rFonts w:ascii="Times New Roman"/>
                <w:sz w:val="18"/>
              </w:rPr>
              <w:t>5,276,650.02</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2,894,780.12</w:t>
            </w:r>
          </w:p>
        </w:tc>
        <w:tc>
          <w:tcPr>
            <w:tcW w:w="16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递延所得税资产和递延所得税负债互抵明细</w:t>
      </w:r>
    </w:p>
    <w:p>
      <w:pPr>
        <w:spacing w:after="0" w:line="240" w:lineRule="auto"/>
        <w:jc w:val="left"/>
        <w:sectPr>
          <w:footerReference w:type="default" r:id="rId47"/>
          <w:pgSz w:w="11910" w:h="16840"/>
          <w:pgMar w:footer="1340" w:header="877"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pStyle w:val="BodyText"/>
        <w:spacing w:line="240" w:lineRule="auto" w:before="49"/>
        <w:ind w:right="1123"/>
        <w:jc w:val="left"/>
      </w:pPr>
      <w:r>
        <w:rPr/>
        <w:t>递延所得税资产和递延所得税负债的说明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13</w:t>
      </w:r>
      <w:r>
        <w:rPr/>
        <w:t>、资产减值准备明细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399"/>
        <w:gridCol w:w="1397"/>
        <w:gridCol w:w="1452"/>
      </w:tblGrid>
      <w:tr>
        <w:trPr>
          <w:trHeight w:val="206"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19,226,687.86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16,357,564.86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118,908.98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40,437.78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35,424,905.96</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19,226,687.86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16,357,564.86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118,908.98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40,437.78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35,424,905.96</w:t>
            </w:r>
          </w:p>
        </w:tc>
      </w:tr>
    </w:tbl>
    <w:p>
      <w:pPr>
        <w:pStyle w:val="BodyText"/>
        <w:spacing w:line="240" w:lineRule="auto" w:before="49"/>
        <w:ind w:right="1123"/>
        <w:jc w:val="left"/>
      </w:pPr>
      <w:r>
        <w:rPr/>
        <w:t>资产减值明细情况的说明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14</w:t>
      </w:r>
      <w:r>
        <w:rPr/>
        <w:t>、短期借款</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215,600,000.00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248,000,000.00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463,600,000.00</w:t>
            </w:r>
          </w:p>
        </w:tc>
      </w:tr>
    </w:tbl>
    <w:p>
      <w:pPr>
        <w:pStyle w:val="BodyText"/>
        <w:spacing w:line="240" w:lineRule="auto" w:before="49"/>
        <w:ind w:right="1123"/>
        <w:jc w:val="left"/>
      </w:pPr>
      <w:r>
        <w:rPr/>
        <w:t>短期借款分类的说明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15</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250,274,000.00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197,520,660.99</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250,274,000.00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197,520,660.99</w:t>
            </w:r>
          </w:p>
        </w:tc>
      </w:tr>
    </w:tbl>
    <w:p>
      <w:pPr>
        <w:pStyle w:val="BodyText"/>
        <w:spacing w:line="340" w:lineRule="auto" w:before="49"/>
        <w:ind w:right="7019"/>
        <w:jc w:val="left"/>
      </w:pPr>
      <w:r>
        <w:rPr/>
        <w:t>下一会计期间将到期的金额</w:t>
      </w:r>
      <w:r>
        <w:rPr>
          <w:spacing w:val="-46"/>
        </w:rPr>
        <w:t> </w:t>
      </w:r>
      <w:r>
        <w:rPr>
          <w:rFonts w:ascii="Times New Roman" w:hAnsi="Times New Roman" w:cs="Times New Roman" w:eastAsia="Times New Roman" w:hint="default"/>
        </w:rPr>
        <w:t>250,274,000.00</w:t>
      </w:r>
      <w:r>
        <w:rPr>
          <w:rFonts w:ascii="Times New Roman" w:hAnsi="Times New Roman" w:cs="Times New Roman" w:eastAsia="Times New Roman" w:hint="default"/>
          <w:spacing w:val="1"/>
        </w:rPr>
        <w:t> </w:t>
      </w:r>
      <w:r>
        <w:rPr/>
        <w:t>元。 应付票据的说明</w:t>
      </w:r>
    </w:p>
    <w:p>
      <w:pPr>
        <w:spacing w:after="0" w:line="340" w:lineRule="auto"/>
        <w:jc w:val="left"/>
        <w:sectPr>
          <w:footerReference w:type="default" r:id="rId48"/>
          <w:pgSz w:w="11910" w:h="16840"/>
          <w:pgMar w:footer="1340" w:header="877" w:top="1060" w:bottom="1540" w:left="980" w:right="0"/>
          <w:pgNumType w:start="101"/>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16</w:t>
      </w:r>
      <w:r>
        <w:rPr/>
        <w:t>、应付账款</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107,064,742.00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98,395,258.31</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5,299,484.00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1,383,433.99</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806,265.64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649,871.58</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1,687,747.72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1,511,696.49</w:t>
            </w:r>
          </w:p>
        </w:tc>
      </w:tr>
      <w:tr>
        <w:trPr>
          <w:trHeight w:val="404"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114,858,239.36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101,940,260.37</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）账龄超过一年的大额应付账款情况的说明</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900"/>
        <w:gridCol w:w="1181"/>
        <w:gridCol w:w="1841"/>
        <w:gridCol w:w="2940"/>
      </w:tblGrid>
      <w:tr>
        <w:trPr>
          <w:trHeight w:val="355" w:hRule="exact"/>
        </w:trPr>
        <w:tc>
          <w:tcPr>
            <w:tcW w:w="2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63" w:right="0"/>
              <w:jc w:val="left"/>
              <w:rPr>
                <w:rFonts w:ascii="宋体" w:hAnsi="宋体" w:cs="宋体" w:eastAsia="宋体" w:hint="default"/>
                <w:sz w:val="18"/>
                <w:szCs w:val="18"/>
              </w:rPr>
            </w:pPr>
            <w:r>
              <w:rPr>
                <w:rFonts w:ascii="宋体" w:hAnsi="宋体" w:cs="宋体" w:eastAsia="宋体" w:hint="default"/>
                <w:sz w:val="18"/>
                <w:szCs w:val="18"/>
              </w:rPr>
              <w:t>未结算原因</w:t>
            </w:r>
          </w:p>
        </w:tc>
        <w:tc>
          <w:tcPr>
            <w:tcW w:w="29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备注（报表日后已还款的应予注明）</w:t>
            </w:r>
          </w:p>
        </w:tc>
      </w:tr>
      <w:tr>
        <w:trPr>
          <w:trHeight w:val="353" w:hRule="exact"/>
        </w:trPr>
        <w:tc>
          <w:tcPr>
            <w:tcW w:w="2900"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江苏金方圆数控机床有限公司</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1,045,886.66</w:t>
            </w:r>
          </w:p>
        </w:tc>
        <w:tc>
          <w:tcPr>
            <w:tcW w:w="1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设备质量保证金</w:t>
            </w:r>
          </w:p>
        </w:tc>
        <w:tc>
          <w:tcPr>
            <w:tcW w:w="294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900"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小计</w:t>
            </w:r>
          </w:p>
        </w:tc>
        <w:tc>
          <w:tcPr>
            <w:tcW w:w="1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b/>
                <w:spacing w:val="-1"/>
                <w:sz w:val="18"/>
              </w:rPr>
              <w:t>1,045,886.66</w:t>
            </w:r>
            <w:r>
              <w:rPr>
                <w:rFonts w:ascii="Times New Roman"/>
                <w:spacing w:val="-1"/>
                <w:sz w:val="18"/>
              </w:rPr>
            </w:r>
          </w:p>
        </w:tc>
        <w:tc>
          <w:tcPr>
            <w:tcW w:w="1841" w:type="dxa"/>
            <w:tcBorders>
              <w:top w:val="single" w:sz="12" w:space="0" w:color="000000"/>
              <w:left w:val="single" w:sz="6" w:space="0" w:color="000000"/>
              <w:bottom w:val="single" w:sz="12" w:space="0" w:color="000000"/>
              <w:right w:val="single" w:sz="6" w:space="0" w:color="000000"/>
            </w:tcBorders>
          </w:tcPr>
          <w:p>
            <w:pPr/>
          </w:p>
        </w:tc>
        <w:tc>
          <w:tcPr>
            <w:tcW w:w="2940"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36"/>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、预收账款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37,671,173.93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33,106,259.63</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1,929,332.61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4,725,584.59</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758,082.03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7,419,545.07</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3,077,210.85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10,445,416.22</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43,435,799.42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55,696,805.51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18</w:t>
      </w:r>
      <w:r>
        <w:rPr/>
        <w:t>、应付职工薪酬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4"/>
        <w:gridCol w:w="1874"/>
        <w:gridCol w:w="1992"/>
        <w:gridCol w:w="2259"/>
        <w:gridCol w:w="1860"/>
      </w:tblGrid>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23" w:right="0"/>
              <w:jc w:val="left"/>
              <w:rPr>
                <w:rFonts w:ascii="Times New Roman" w:hAnsi="Times New Roman" w:cs="Times New Roman" w:eastAsia="Times New Roman" w:hint="default"/>
                <w:sz w:val="18"/>
                <w:szCs w:val="18"/>
              </w:rPr>
            </w:pPr>
            <w:r>
              <w:rPr>
                <w:rFonts w:ascii="Times New Roman"/>
                <w:sz w:val="18"/>
              </w:rPr>
              <w:t>139,946.97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55,287,612.17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55,302,109.02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17" w:right="0"/>
              <w:jc w:val="left"/>
              <w:rPr>
                <w:rFonts w:ascii="Times New Roman" w:hAnsi="Times New Roman" w:cs="Times New Roman" w:eastAsia="Times New Roman" w:hint="default"/>
                <w:sz w:val="18"/>
                <w:szCs w:val="18"/>
              </w:rPr>
            </w:pPr>
            <w:r>
              <w:rPr>
                <w:rFonts w:ascii="Times New Roman"/>
                <w:sz w:val="18"/>
              </w:rPr>
              <w:t>125,450.12</w:t>
            </w: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2,013,873.49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2,013,873.49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11,070,854.17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11,070,854.17</w:t>
            </w:r>
          </w:p>
        </w:tc>
        <w:tc>
          <w:tcPr>
            <w:tcW w:w="18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1,086,008.00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1,086,008.00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4,362,146.47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5,740.24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319,719.76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4,048,166.95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工会经费和职工教 育经费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4,362,146.47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5,740.24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319,719.76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4,048,166.95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4,502,093.44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69,464,088.07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69,792,564.44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4,173,617.07</w:t>
            </w:r>
          </w:p>
        </w:tc>
      </w:tr>
    </w:tbl>
    <w:p>
      <w:pPr>
        <w:pStyle w:val="BodyText"/>
        <w:spacing w:line="348" w:lineRule="auto" w:before="49"/>
        <w:ind w:right="3914"/>
        <w:jc w:val="left"/>
      </w:pPr>
      <w:r>
        <w:rPr/>
        <w:t>应付职工薪酬中属于拖欠性质的金额</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工会经费和职工教育经费金额元，非货币性福利金额元，因解除劳动关系给予补偿元。 应付职工薪酬预计发放时间、金额等安排</w:t>
      </w:r>
    </w:p>
    <w:p>
      <w:pPr>
        <w:spacing w:line="240" w:lineRule="auto" w:before="11"/>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19</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13,581,870.40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5,088,600.58</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8,183.10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16,104.90</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7,834,675.13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3,346,963.83</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4,356.73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129,133.81</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1,530,571.70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802,496.44</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71,147.99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175,641.66</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508,163.95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344,613.40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71,186.70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66,509.77</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232,296.91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109,962.23</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73,159.86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75,497.10</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942,761.70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658,256.52</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24,858,374.17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10,813,780.24</w:t>
            </w:r>
          </w:p>
        </w:tc>
      </w:tr>
    </w:tbl>
    <w:p>
      <w:pPr>
        <w:pStyle w:val="BodyText"/>
        <w:spacing w:line="240" w:lineRule="auto" w:before="49"/>
        <w:ind w:right="1123"/>
        <w:jc w:val="left"/>
      </w:pPr>
      <w:r>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20</w:t>
      </w:r>
      <w:r>
        <w:rPr/>
        <w:t>、应付利息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71,583.33</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3,678,125.00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373,661.12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970,372.98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4,081,046.12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1,041,956.31</w:t>
            </w:r>
          </w:p>
        </w:tc>
      </w:tr>
    </w:tbl>
    <w:p>
      <w:pPr>
        <w:pStyle w:val="BodyText"/>
        <w:spacing w:line="240" w:lineRule="auto" w:before="49"/>
        <w:ind w:right="1123"/>
        <w:jc w:val="left"/>
      </w:pPr>
      <w:r>
        <w:rPr/>
        <w:t>应付利息说明</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21</w:t>
      </w:r>
      <w:r>
        <w:rPr/>
        <w:t>、其他应付款</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3,246,895.15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2,744,279.59</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1,574,715.99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349,996.20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320,410.00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358,872.13</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328,872.13</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5,470,893.27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3,453,147.92</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 其它应付款余额中前五名单位情况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750"/>
        <w:gridCol w:w="1817"/>
        <w:gridCol w:w="1615"/>
        <w:gridCol w:w="1347"/>
      </w:tblGrid>
      <w:tr>
        <w:trPr>
          <w:trHeight w:val="355" w:hRule="exact"/>
        </w:trPr>
        <w:tc>
          <w:tcPr>
            <w:tcW w:w="37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1347" w:type="dxa"/>
            <w:tcBorders>
              <w:top w:val="single" w:sz="6" w:space="0" w:color="000000"/>
              <w:left w:val="single" w:sz="6" w:space="0" w:color="000000"/>
              <w:bottom w:val="single" w:sz="12" w:space="0" w:color="000000"/>
              <w:right w:val="nil" w:sz="6" w:space="0" w:color="auto"/>
            </w:tcBorders>
          </w:tcPr>
          <w:p>
            <w:pPr>
              <w:pStyle w:val="TableParagraph"/>
              <w:tabs>
                <w:tab w:pos="847" w:val="left" w:leader="none"/>
              </w:tabs>
              <w:spacing w:line="240" w:lineRule="auto" w:before="20"/>
              <w:ind w:left="307" w:right="0"/>
              <w:jc w:val="left"/>
              <w:rPr>
                <w:rFonts w:ascii="宋体" w:hAnsi="宋体" w:cs="宋体" w:eastAsia="宋体" w:hint="default"/>
                <w:sz w:val="18"/>
                <w:szCs w:val="18"/>
              </w:rPr>
            </w:pPr>
            <w:r>
              <w:rPr>
                <w:rFonts w:ascii="宋体" w:hAnsi="宋体" w:cs="宋体" w:eastAsia="宋体" w:hint="default"/>
                <w:sz w:val="18"/>
                <w:szCs w:val="18"/>
              </w:rPr>
              <w:t>备</w:t>
              <w:tab/>
              <w:t>注</w:t>
            </w:r>
          </w:p>
        </w:tc>
      </w:tr>
      <w:tr>
        <w:trPr>
          <w:trHeight w:val="353" w:hRule="exact"/>
        </w:trPr>
        <w:tc>
          <w:tcPr>
            <w:tcW w:w="3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安徽鲁班建设投资集团有限公司</w:t>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820,000.00</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347"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3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芜湖市强顺运输有限公司</w:t>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608,000.00</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保证金、运费</w:t>
            </w:r>
          </w:p>
        </w:tc>
        <w:tc>
          <w:tcPr>
            <w:tcW w:w="1347"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湾里镇财政所</w:t>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602,768.19</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47"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芜湖市利联运输服务有限公司</w:t>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500,000.00</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347"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3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芜湖运鑫物流有限公司</w:t>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500,000.00</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347" w:type="dxa"/>
            <w:tcBorders>
              <w:top w:val="single" w:sz="12" w:space="0" w:color="000000"/>
              <w:left w:val="single" w:sz="6" w:space="0" w:color="000000"/>
              <w:bottom w:val="single" w:sz="12" w:space="0" w:color="000000"/>
              <w:right w:val="nil" w:sz="6" w:space="0" w:color="auto"/>
            </w:tcBorders>
          </w:tcPr>
          <w:p>
            <w:pPr/>
          </w:p>
        </w:tc>
      </w:tr>
      <w:tr>
        <w:trPr>
          <w:trHeight w:val="355" w:hRule="exact"/>
        </w:trPr>
        <w:tc>
          <w:tcPr>
            <w:tcW w:w="3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b/>
                <w:spacing w:val="-1"/>
                <w:sz w:val="18"/>
              </w:rPr>
              <w:t>3,030,768.19</w:t>
            </w:r>
            <w:r>
              <w:rPr>
                <w:rFonts w:ascii="Times New Roman"/>
                <w:spacing w:val="-1"/>
                <w:sz w:val="18"/>
              </w:rPr>
            </w:r>
          </w:p>
        </w:tc>
        <w:tc>
          <w:tcPr>
            <w:tcW w:w="1615" w:type="dxa"/>
            <w:tcBorders>
              <w:top w:val="single" w:sz="12" w:space="0" w:color="000000"/>
              <w:left w:val="single" w:sz="6" w:space="0" w:color="000000"/>
              <w:bottom w:val="single" w:sz="12" w:space="0" w:color="000000"/>
              <w:right w:val="single" w:sz="6" w:space="0" w:color="000000"/>
            </w:tcBorders>
          </w:tcPr>
          <w:p>
            <w:pPr/>
          </w:p>
        </w:tc>
        <w:tc>
          <w:tcPr>
            <w:tcW w:w="1347"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36"/>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）一年内到期的非流动负债情况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年内到期的长期借款</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3"/>
        <w:jc w:val="left"/>
      </w:pPr>
      <w:r>
        <w:rPr/>
        <w:t>一年内到期的长期借款</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90"/>
      </w:tblGrid>
      <w:tr>
        <w:trPr>
          <w:trHeight w:val="404"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3" w:right="0"/>
              <w:jc w:val="left"/>
              <w:rPr>
                <w:rFonts w:ascii="Times New Roman" w:hAnsi="Times New Roman" w:cs="Times New Roman" w:eastAsia="Times New Roman" w:hint="default"/>
                <w:sz w:val="18"/>
                <w:szCs w:val="18"/>
              </w:rPr>
            </w:pPr>
            <w:r>
              <w:rPr>
                <w:rFonts w:ascii="Times New Roman"/>
                <w:sz w:val="18"/>
              </w:rPr>
              <w:t>18,800,000.00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w:t>
            </w:r>
          </w:p>
        </w:tc>
      </w:tr>
    </w:tbl>
    <w:p>
      <w:pPr>
        <w:spacing w:after="0" w:line="240" w:lineRule="auto"/>
        <w:jc w:val="right"/>
        <w:rPr>
          <w:rFonts w:ascii="Times New Roman" w:hAnsi="Times New Roman" w:cs="Times New Roman" w:eastAsia="Times New Roman" w:hint="default"/>
          <w:sz w:val="18"/>
          <w:szCs w:val="18"/>
        </w:rPr>
        <w:sectPr>
          <w:headerReference w:type="default" r:id="rId49"/>
          <w:footerReference w:type="default" r:id="rId50"/>
          <w:pgSz w:w="11910" w:h="16840"/>
          <w:pgMar w:header="877" w:footer="0" w:top="1060" w:bottom="0" w:left="980" w:right="0"/>
        </w:sectPr>
      </w:pPr>
    </w:p>
    <w:p>
      <w:pPr>
        <w:pStyle w:val="BodyText"/>
        <w:spacing w:line="357" w:lineRule="auto" w:before="49"/>
        <w:ind w:right="-20"/>
        <w:jc w:val="left"/>
      </w:pPr>
      <w:r>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833" w:space="3996"/>
            <w:col w:w="2101"/>
          </w:cols>
        </w:sectPr>
      </w:pPr>
    </w:p>
    <w:p>
      <w:pPr>
        <w:spacing w:line="240" w:lineRule="auto" w:before="2"/>
        <w:rPr>
          <w:rFonts w:ascii="宋体" w:hAnsi="宋体" w:cs="宋体" w:eastAsia="宋体" w:hint="default"/>
          <w:sz w:val="8"/>
          <w:szCs w:val="8"/>
        </w:rPr>
      </w:pPr>
      <w:r>
        <w:rPr/>
        <w:pict>
          <v:group style="position:absolute;margin-left:460.320007pt;margin-top:764.919983pt;width:135pt;height:77pt;mso-position-horizontal-relative:page;mso-position-vertical-relative:page;z-index:-829024"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105</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6"/>
        <w:gridCol w:w="1061"/>
      </w:tblGrid>
      <w:tr>
        <w:trPr>
          <w:trHeight w:val="403"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49"/>
        <w:ind w:right="1123"/>
        <w:jc w:val="left"/>
      </w:pPr>
      <w:r>
        <w:rPr/>
        <w:t>一年内到期的长期借款中的逾期借款</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8"/>
        <w:gridCol w:w="1366"/>
        <w:gridCol w:w="1369"/>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0"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pStyle w:val="BodyText"/>
        <w:spacing w:line="357" w:lineRule="auto" w:before="49"/>
        <w:ind w:right="8054"/>
        <w:jc w:val="left"/>
      </w:pPr>
      <w:r>
        <w:rPr/>
        <w:t>资产负债表日后已偿还的金额元。 一年内到期的长期借款说明</w:t>
      </w:r>
    </w:p>
    <w:p>
      <w:pPr>
        <w:spacing w:line="240" w:lineRule="auto" w:before="6"/>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23</w:t>
      </w:r>
      <w:r>
        <w:rPr/>
        <w:t>、长期借款</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48,500,000.00</w:t>
            </w:r>
          </w:p>
        </w:tc>
      </w:tr>
    </w:tbl>
    <w:p>
      <w:pPr>
        <w:pStyle w:val="BodyText"/>
        <w:spacing w:line="240" w:lineRule="auto" w:before="49"/>
        <w:ind w:right="1123"/>
        <w:jc w:val="left"/>
      </w:pPr>
      <w:r>
        <w:rPr/>
        <w:t>长期借款分类的说明</w:t>
      </w:r>
    </w:p>
    <w:p>
      <w:pPr>
        <w:spacing w:line="240" w:lineRule="auto" w:before="8"/>
        <w:rPr>
          <w:rFonts w:ascii="宋体" w:hAnsi="宋体" w:cs="宋体" w:eastAsia="宋体" w:hint="default"/>
          <w:sz w:val="13"/>
          <w:szCs w:val="13"/>
        </w:rPr>
      </w:pPr>
    </w:p>
    <w:p>
      <w:pPr>
        <w:spacing w:line="261"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期末抵押借款系与上海浦东发展银行签订的法人按揭借款合同，借款用于北京分公司购买权证号为房</w:t>
      </w:r>
      <w:r>
        <w:rPr>
          <w:rFonts w:ascii="宋体" w:hAnsi="宋体" w:cs="宋体" w:eastAsia="宋体" w:hint="default"/>
          <w:w w:val="100"/>
          <w:sz w:val="21"/>
          <w:szCs w:val="21"/>
        </w:rPr>
        <w:t> </w:t>
      </w:r>
      <w:r>
        <w:rPr>
          <w:rFonts w:ascii="宋体" w:hAnsi="宋体" w:cs="宋体" w:eastAsia="宋体" w:hint="default"/>
          <w:spacing w:val="-3"/>
          <w:sz w:val="21"/>
          <w:szCs w:val="21"/>
        </w:rPr>
        <w:t>权证开字第</w:t>
      </w:r>
      <w:r>
        <w:rPr>
          <w:rFonts w:ascii="Times New Roman" w:hAnsi="Times New Roman" w:cs="Times New Roman" w:eastAsia="Times New Roman" w:hint="default"/>
          <w:spacing w:val="-3"/>
          <w:sz w:val="21"/>
          <w:szCs w:val="21"/>
        </w:rPr>
        <w:t>013542</w:t>
      </w:r>
      <w:r>
        <w:rPr>
          <w:rFonts w:ascii="宋体" w:hAnsi="宋体" w:cs="宋体" w:eastAsia="宋体" w:hint="default"/>
          <w:spacing w:val="-3"/>
          <w:sz w:val="21"/>
          <w:szCs w:val="21"/>
        </w:rPr>
        <w:t>号办公用房，账面价值</w:t>
      </w:r>
      <w:r>
        <w:rPr>
          <w:rFonts w:ascii="Times New Roman" w:hAnsi="Times New Roman" w:cs="Times New Roman" w:eastAsia="Times New Roman" w:hint="default"/>
          <w:spacing w:val="-3"/>
          <w:sz w:val="21"/>
          <w:szCs w:val="21"/>
        </w:rPr>
        <w:t>29,753,824.94</w:t>
      </w:r>
      <w:r>
        <w:rPr>
          <w:rFonts w:ascii="宋体" w:hAnsi="宋体" w:cs="宋体" w:eastAsia="宋体" w:hint="default"/>
          <w:spacing w:val="-3"/>
          <w:sz w:val="21"/>
          <w:szCs w:val="21"/>
        </w:rPr>
        <w:t>元，借款起始日为</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8</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25</w:t>
      </w:r>
      <w:r>
        <w:rPr>
          <w:rFonts w:ascii="宋体" w:hAnsi="宋体" w:cs="宋体" w:eastAsia="宋体" w:hint="default"/>
          <w:spacing w:val="-3"/>
          <w:sz w:val="21"/>
          <w:szCs w:val="21"/>
        </w:rPr>
        <w:t>日，期限为五年，借</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4"/>
          <w:sz w:val="21"/>
          <w:szCs w:val="21"/>
        </w:rPr>
        <w:t>款总金额为</w:t>
      </w:r>
      <w:r>
        <w:rPr>
          <w:rFonts w:ascii="Times New Roman" w:hAnsi="Times New Roman" w:cs="Times New Roman" w:eastAsia="Times New Roman" w:hint="default"/>
          <w:spacing w:val="-4"/>
          <w:sz w:val="21"/>
          <w:szCs w:val="21"/>
        </w:rPr>
        <w:t>1400</w:t>
      </w:r>
      <w:r>
        <w:rPr>
          <w:rFonts w:ascii="宋体" w:hAnsi="宋体" w:cs="宋体" w:eastAsia="宋体" w:hint="default"/>
          <w:spacing w:val="-4"/>
          <w:sz w:val="21"/>
          <w:szCs w:val="21"/>
        </w:rPr>
        <w:t>万元，年利率为</w:t>
      </w:r>
      <w:r>
        <w:rPr>
          <w:rFonts w:ascii="Times New Roman" w:hAnsi="Times New Roman" w:cs="Times New Roman" w:eastAsia="Times New Roman" w:hint="default"/>
          <w:spacing w:val="-4"/>
          <w:sz w:val="21"/>
          <w:szCs w:val="21"/>
        </w:rPr>
        <w:t>7.59%</w:t>
      </w:r>
      <w:r>
        <w:rPr>
          <w:rFonts w:ascii="宋体" w:hAnsi="宋体" w:cs="宋体" w:eastAsia="宋体" w:hint="default"/>
          <w:spacing w:val="-4"/>
          <w:sz w:val="21"/>
          <w:szCs w:val="21"/>
        </w:rPr>
        <w:t>。截至</w:t>
      </w:r>
      <w:r>
        <w:rPr>
          <w:rFonts w:ascii="Times New Roman" w:hAnsi="Times New Roman" w:cs="Times New Roman" w:eastAsia="Times New Roman" w:hint="default"/>
          <w:spacing w:val="-4"/>
          <w:sz w:val="21"/>
          <w:szCs w:val="21"/>
        </w:rPr>
        <w:t>2012</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12</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31</w:t>
      </w:r>
      <w:r>
        <w:rPr>
          <w:rFonts w:ascii="宋体" w:hAnsi="宋体" w:cs="宋体" w:eastAsia="宋体" w:hint="default"/>
          <w:spacing w:val="-4"/>
          <w:sz w:val="21"/>
          <w:szCs w:val="21"/>
        </w:rPr>
        <w:t>日已还款</w:t>
      </w:r>
      <w:r>
        <w:rPr>
          <w:rFonts w:ascii="Times New Roman" w:hAnsi="Times New Roman" w:cs="Times New Roman" w:eastAsia="Times New Roman" w:hint="default"/>
          <w:spacing w:val="-4"/>
          <w:sz w:val="21"/>
          <w:szCs w:val="21"/>
        </w:rPr>
        <w:t>350</w:t>
      </w:r>
      <w:r>
        <w:rPr>
          <w:rFonts w:ascii="宋体" w:hAnsi="宋体" w:cs="宋体" w:eastAsia="宋体" w:hint="default"/>
          <w:spacing w:val="-4"/>
          <w:sz w:val="21"/>
          <w:szCs w:val="21"/>
        </w:rPr>
        <w:t>万元，尚有</w:t>
      </w:r>
      <w:r>
        <w:rPr>
          <w:rFonts w:ascii="Times New Roman" w:hAnsi="Times New Roman" w:cs="Times New Roman" w:eastAsia="Times New Roman" w:hint="default"/>
          <w:spacing w:val="-4"/>
          <w:sz w:val="21"/>
          <w:szCs w:val="21"/>
        </w:rPr>
        <w:t>1050</w:t>
      </w:r>
      <w:r>
        <w:rPr>
          <w:rFonts w:ascii="宋体" w:hAnsi="宋体" w:cs="宋体" w:eastAsia="宋体" w:hint="default"/>
          <w:spacing w:val="-4"/>
          <w:sz w:val="21"/>
          <w:szCs w:val="21"/>
        </w:rPr>
        <w:t>万元分别列示在</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长</w:t>
      </w:r>
      <w:r>
        <w:rPr>
          <w:rFonts w:ascii="宋体" w:hAnsi="宋体" w:cs="宋体" w:eastAsia="宋体" w:hint="default"/>
          <w:spacing w:val="-13"/>
          <w:sz w:val="21"/>
          <w:szCs w:val="21"/>
        </w:rPr>
        <w:t> </w:t>
      </w:r>
      <w:r>
        <w:rPr>
          <w:rFonts w:ascii="宋体" w:hAnsi="宋体" w:cs="宋体" w:eastAsia="宋体" w:hint="default"/>
          <w:sz w:val="21"/>
          <w:szCs w:val="21"/>
        </w:rPr>
        <w:t>期借款</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一年内到期的非流动负债</w:t>
      </w:r>
      <w:r>
        <w:rPr>
          <w:rFonts w:ascii="Times New Roman" w:hAnsi="Times New Roman" w:cs="Times New Roman" w:eastAsia="Times New Roman" w:hint="default"/>
          <w:sz w:val="21"/>
          <w:szCs w:val="21"/>
        </w:rPr>
        <w:t>”</w:t>
      </w:r>
      <w:r>
        <w:rPr>
          <w:rFonts w:ascii="宋体" w:hAnsi="宋体" w:cs="宋体" w:eastAsia="宋体" w:hint="default"/>
          <w:sz w:val="21"/>
          <w:szCs w:val="21"/>
        </w:rPr>
        <w:t>中。</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）金额前五名的长期借款</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6"/>
        <w:gridCol w:w="1063"/>
        <w:gridCol w:w="1063"/>
        <w:gridCol w:w="1066"/>
        <w:gridCol w:w="1056"/>
      </w:tblGrid>
      <w:tr>
        <w:trPr>
          <w:trHeight w:val="404"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浦发银行北 京分行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7,700,000.00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中国农业银 行芜湖经开 区支行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中国工商银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7" w:right="0"/>
              <w:jc w:val="center"/>
              <w:rPr>
                <w:rFonts w:ascii="Times New Roman" w:hAnsi="Times New Roman" w:cs="Times New Roman" w:eastAsia="Times New Roman" w:hint="default"/>
                <w:sz w:val="18"/>
                <w:szCs w:val="18"/>
              </w:rPr>
            </w:pPr>
            <w:r>
              <w:rPr>
                <w:rFonts w:ascii="Times New Roman"/>
                <w:sz w:val="18"/>
              </w:rPr>
              <w:t>20,000,000.0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6"/>
        <w:gridCol w:w="1063"/>
        <w:gridCol w:w="1063"/>
        <w:gridCol w:w="1066"/>
        <w:gridCol w:w="1056"/>
      </w:tblGrid>
      <w:tr>
        <w:trPr>
          <w:trHeight w:val="129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29"/>
              <w:jc w:val="both"/>
              <w:rPr>
                <w:rFonts w:ascii="宋体" w:hAnsi="宋体" w:cs="宋体" w:eastAsia="宋体" w:hint="default"/>
                <w:sz w:val="18"/>
                <w:szCs w:val="18"/>
              </w:rPr>
            </w:pPr>
            <w:r>
              <w:rPr>
                <w:rFonts w:ascii="宋体" w:hAnsi="宋体" w:cs="宋体" w:eastAsia="宋体" w:hint="default"/>
                <w:sz w:val="18"/>
                <w:szCs w:val="18"/>
              </w:rPr>
              <w:t>行股份有限 公司芜湖经 济开发区支 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7,700,000.00</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23"/>
        <w:jc w:val="left"/>
      </w:pPr>
      <w:r>
        <w:rPr/>
        <w:t>长期借款说明，因逾期借款获得展期形成的长期借款，应说明获得展期的条件、本金、利息、预计还款安排等</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24</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58"/>
        <w:gridCol w:w="958"/>
        <w:gridCol w:w="958"/>
        <w:gridCol w:w="955"/>
        <w:gridCol w:w="958"/>
        <w:gridCol w:w="958"/>
        <w:gridCol w:w="958"/>
      </w:tblGrid>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4"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集合票据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3,678,125.0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3,678,125.0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143,147,260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r>
    </w:tbl>
    <w:p>
      <w:pPr>
        <w:pStyle w:val="BodyText"/>
        <w:spacing w:line="240" w:lineRule="auto" w:before="49"/>
        <w:ind w:right="1123"/>
        <w:jc w:val="left"/>
      </w:pPr>
      <w:r>
        <w:rPr/>
        <w:t>应付债券说明，包括可转换公司债券的转股条件、转股时间</w:t>
      </w:r>
    </w:p>
    <w:p>
      <w:pPr>
        <w:spacing w:line="240" w:lineRule="auto" w:before="8"/>
        <w:rPr>
          <w:rFonts w:ascii="宋体" w:hAnsi="宋体" w:cs="宋体" w:eastAsia="宋体" w:hint="default"/>
          <w:sz w:val="22"/>
          <w:szCs w:val="22"/>
        </w:rPr>
      </w:pPr>
    </w:p>
    <w:p>
      <w:pPr>
        <w:spacing w:line="256" w:lineRule="auto" w:before="0"/>
        <w:ind w:left="152" w:right="0" w:firstLine="420"/>
        <w:jc w:val="left"/>
        <w:rPr>
          <w:rFonts w:ascii="宋体" w:hAnsi="宋体" w:cs="宋体" w:eastAsia="宋体" w:hint="default"/>
          <w:sz w:val="21"/>
          <w:szCs w:val="21"/>
        </w:rPr>
      </w:pPr>
      <w:r>
        <w:rPr>
          <w:rFonts w:ascii="宋体" w:hAnsi="宋体" w:cs="宋体" w:eastAsia="宋体" w:hint="default"/>
          <w:sz w:val="21"/>
          <w:szCs w:val="21"/>
        </w:rPr>
        <w:t>应付债券说明：本公司与其他两家企业于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日发行芜湖市</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年度第一期中小企业集合票</w:t>
      </w:r>
      <w:r>
        <w:rPr>
          <w:rFonts w:ascii="宋体" w:hAnsi="宋体" w:cs="宋体" w:eastAsia="宋体" w:hint="default"/>
          <w:w w:val="100"/>
          <w:sz w:val="21"/>
          <w:szCs w:val="21"/>
        </w:rPr>
        <w:t> </w:t>
      </w:r>
      <w:r>
        <w:rPr>
          <w:rFonts w:ascii="宋体" w:hAnsi="宋体" w:cs="宋体" w:eastAsia="宋体" w:hint="default"/>
          <w:spacing w:val="-2"/>
          <w:sz w:val="21"/>
          <w:szCs w:val="21"/>
        </w:rPr>
        <w:t>据，发行面值及金额为</w:t>
      </w:r>
      <w:r>
        <w:rPr>
          <w:rFonts w:ascii="Times New Roman" w:hAnsi="Times New Roman" w:cs="Times New Roman" w:eastAsia="Times New Roman" w:hint="default"/>
          <w:spacing w:val="-2"/>
          <w:sz w:val="21"/>
          <w:szCs w:val="21"/>
        </w:rPr>
        <w:t>1.5</w:t>
      </w:r>
      <w:r>
        <w:rPr>
          <w:rFonts w:ascii="宋体" w:hAnsi="宋体" w:cs="宋体" w:eastAsia="宋体" w:hint="default"/>
          <w:spacing w:val="-2"/>
          <w:sz w:val="21"/>
          <w:szCs w:val="21"/>
        </w:rPr>
        <w:t>亿元，扣除发行费用后实际收款</w:t>
      </w:r>
      <w:r>
        <w:rPr>
          <w:rFonts w:ascii="Times New Roman" w:hAnsi="Times New Roman" w:cs="Times New Roman" w:eastAsia="Times New Roman" w:hint="default"/>
          <w:spacing w:val="-2"/>
          <w:sz w:val="21"/>
          <w:szCs w:val="21"/>
        </w:rPr>
        <w:t>14201.30</w:t>
      </w:r>
      <w:r>
        <w:rPr>
          <w:rFonts w:ascii="宋体" w:hAnsi="宋体" w:cs="宋体" w:eastAsia="宋体" w:hint="default"/>
          <w:spacing w:val="-2"/>
          <w:sz w:val="21"/>
          <w:szCs w:val="21"/>
        </w:rPr>
        <w:t>万元，发行款已于</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16</w:t>
      </w:r>
      <w:r>
        <w:rPr>
          <w:rFonts w:ascii="宋体" w:hAnsi="宋体" w:cs="宋体" w:eastAsia="宋体" w:hint="default"/>
          <w:spacing w:val="-2"/>
          <w:sz w:val="21"/>
          <w:szCs w:val="21"/>
        </w:rPr>
        <w:t>日到账，</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票面利率</w:t>
      </w:r>
      <w:r>
        <w:rPr>
          <w:rFonts w:ascii="Times New Roman" w:hAnsi="Times New Roman" w:cs="Times New Roman" w:eastAsia="Times New Roman" w:hint="default"/>
          <w:sz w:val="21"/>
          <w:szCs w:val="21"/>
        </w:rPr>
        <w:t>5.35%</w:t>
      </w:r>
      <w:r>
        <w:rPr>
          <w:rFonts w:ascii="宋体" w:hAnsi="宋体" w:cs="宋体" w:eastAsia="宋体" w:hint="default"/>
          <w:sz w:val="21"/>
          <w:szCs w:val="21"/>
        </w:rPr>
        <w:t>，按年付息，实际利率</w:t>
      </w:r>
      <w:r>
        <w:rPr>
          <w:rFonts w:ascii="Times New Roman" w:hAnsi="Times New Roman" w:cs="Times New Roman" w:eastAsia="Times New Roman" w:hint="default"/>
          <w:sz w:val="21"/>
          <w:szCs w:val="21"/>
        </w:rPr>
        <w:t>7.39%</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85"/>
        <w:gridCol w:w="1208"/>
      </w:tblGrid>
      <w:tr>
        <w:trPr>
          <w:trHeight w:val="205"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995"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0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165,000,000.00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78,869,000.00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33,000,000.00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132,000,000.00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243,869,000.00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408,869,000.00</w:t>
            </w:r>
          </w:p>
        </w:tc>
      </w:tr>
    </w:tbl>
    <w:p>
      <w:pPr>
        <w:pStyle w:val="BodyText"/>
        <w:spacing w:line="240" w:lineRule="auto" w:before="49"/>
        <w:ind w:right="1123"/>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3"/>
        </w:rPr>
        <w:t> </w:t>
      </w:r>
      <w:r>
        <w:rPr>
          <w:rFonts w:ascii="Times New Roman" w:hAnsi="Times New Roman" w:cs="Times New Roman" w:eastAsia="Times New Roman" w:hint="default"/>
        </w:rPr>
        <w:t>3</w:t>
      </w:r>
    </w:p>
    <w:p>
      <w:pPr>
        <w:pStyle w:val="BodyText"/>
        <w:spacing w:line="240" w:lineRule="auto" w:before="63"/>
        <w:ind w:right="1123"/>
        <w:jc w:val="left"/>
      </w:pPr>
      <w:r>
        <w:rPr/>
        <w:t>年的股份有限公司，设立前的年份只需说明净资产情况；有限责任公司整体变更为股份公司应说明公司设立时的验资情况</w:t>
      </w:r>
    </w:p>
    <w:p>
      <w:pPr>
        <w:spacing w:line="240" w:lineRule="auto" w:before="8"/>
        <w:rPr>
          <w:rFonts w:ascii="宋体" w:hAnsi="宋体" w:cs="宋体" w:eastAsia="宋体" w:hint="default"/>
          <w:sz w:val="22"/>
          <w:szCs w:val="22"/>
        </w:rPr>
      </w:pPr>
    </w:p>
    <w:p>
      <w:pPr>
        <w:spacing w:line="256" w:lineRule="auto" w:before="0"/>
        <w:ind w:left="152" w:right="1123" w:firstLine="0"/>
        <w:jc w:val="left"/>
        <w:rPr>
          <w:rFonts w:ascii="宋体" w:hAnsi="宋体" w:cs="宋体" w:eastAsia="宋体" w:hint="default"/>
          <w:sz w:val="21"/>
          <w:szCs w:val="21"/>
        </w:rPr>
      </w:pPr>
      <w:r>
        <w:rPr>
          <w:rFonts w:ascii="宋体" w:hAnsi="宋体" w:cs="宋体" w:eastAsia="宋体" w:hint="default"/>
          <w:sz w:val="21"/>
          <w:szCs w:val="21"/>
        </w:rPr>
        <w:t>说明：根据本公司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年度股东大会决议和修改后章程的规定，以</w:t>
      </w:r>
      <w:r>
        <w:rPr>
          <w:rFonts w:ascii="Times New Roman" w:hAnsi="Times New Roman" w:cs="Times New Roman" w:eastAsia="Times New Roman" w:hint="default"/>
          <w:sz w:val="21"/>
          <w:szCs w:val="21"/>
        </w:rPr>
        <w:t>2011</w:t>
      </w:r>
      <w:r>
        <w:rPr>
          <w:rFonts w:ascii="宋体" w:hAnsi="宋体" w:cs="宋体" w:eastAsia="宋体" w:hint="default"/>
          <w:sz w:val="21"/>
          <w:szCs w:val="21"/>
        </w:rPr>
        <w:t>年末</w:t>
      </w:r>
      <w:r>
        <w:rPr>
          <w:rFonts w:ascii="Times New Roman" w:hAnsi="Times New Roman" w:cs="Times New Roman" w:eastAsia="Times New Roman" w:hint="default"/>
          <w:sz w:val="21"/>
          <w:szCs w:val="21"/>
        </w:rPr>
        <w:t>16500</w:t>
      </w:r>
      <w:r>
        <w:rPr>
          <w:rFonts w:ascii="宋体" w:hAnsi="宋体" w:cs="宋体" w:eastAsia="宋体" w:hint="default"/>
          <w:sz w:val="21"/>
          <w:szCs w:val="21"/>
        </w:rPr>
        <w:t>万股本为基数，公司按</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股转增</w:t>
      </w:r>
      <w:r>
        <w:rPr>
          <w:rFonts w:ascii="Times New Roman" w:hAnsi="Times New Roman" w:cs="Times New Roman" w:eastAsia="Times New Roman" w:hint="default"/>
          <w:sz w:val="21"/>
          <w:szCs w:val="21"/>
        </w:rPr>
        <w:t>10</w:t>
      </w:r>
      <w:r>
        <w:rPr>
          <w:rFonts w:ascii="宋体" w:hAnsi="宋体" w:cs="宋体" w:eastAsia="宋体" w:hint="default"/>
          <w:sz w:val="21"/>
          <w:szCs w:val="21"/>
        </w:rPr>
        <w:t>股的比例，以资本公积、未分配利润向全体股东转增股份总额</w:t>
      </w:r>
      <w:r>
        <w:rPr>
          <w:rFonts w:ascii="Times New Roman" w:hAnsi="Times New Roman" w:cs="Times New Roman" w:eastAsia="Times New Roman" w:hint="default"/>
          <w:sz w:val="21"/>
          <w:szCs w:val="21"/>
        </w:rPr>
        <w:t>16500</w:t>
      </w:r>
      <w:r>
        <w:rPr>
          <w:rFonts w:ascii="宋体" w:hAnsi="宋体" w:cs="宋体" w:eastAsia="宋体" w:hint="default"/>
          <w:sz w:val="21"/>
          <w:szCs w:val="21"/>
        </w:rPr>
        <w:t>万股，其中：由资本公</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积转增</w:t>
      </w:r>
      <w:r>
        <w:rPr>
          <w:rFonts w:ascii="Times New Roman" w:hAnsi="Times New Roman" w:cs="Times New Roman" w:eastAsia="Times New Roman" w:hint="default"/>
          <w:sz w:val="21"/>
          <w:szCs w:val="21"/>
        </w:rPr>
        <w:t>13200</w:t>
      </w:r>
      <w:r>
        <w:rPr>
          <w:rFonts w:ascii="宋体" w:hAnsi="宋体" w:cs="宋体" w:eastAsia="宋体" w:hint="default"/>
          <w:sz w:val="21"/>
          <w:szCs w:val="21"/>
        </w:rPr>
        <w:t>万股，由未分配利润转增</w:t>
      </w:r>
      <w:r>
        <w:rPr>
          <w:rFonts w:ascii="Times New Roman" w:hAnsi="Times New Roman" w:cs="Times New Roman" w:eastAsia="Times New Roman" w:hint="default"/>
          <w:sz w:val="21"/>
          <w:szCs w:val="21"/>
        </w:rPr>
        <w:t>3300</w:t>
      </w:r>
      <w:r>
        <w:rPr>
          <w:rFonts w:ascii="宋体" w:hAnsi="宋体" w:cs="宋体" w:eastAsia="宋体" w:hint="default"/>
          <w:sz w:val="21"/>
          <w:szCs w:val="21"/>
        </w:rPr>
        <w:t>万股。本次转增资本后公</w:t>
      </w:r>
      <w:r>
        <w:rPr>
          <w:rFonts w:ascii="宋体" w:hAnsi="宋体" w:cs="宋体" w:eastAsia="宋体" w:hint="default"/>
          <w:w w:val="100"/>
          <w:sz w:val="21"/>
          <w:szCs w:val="21"/>
        </w:rPr>
        <w:t> </w:t>
      </w:r>
      <w:r>
        <w:rPr>
          <w:rFonts w:ascii="宋体" w:hAnsi="宋体" w:cs="宋体" w:eastAsia="宋体" w:hint="default"/>
          <w:spacing w:val="-1"/>
          <w:sz w:val="21"/>
          <w:szCs w:val="21"/>
        </w:rPr>
        <w:t>司的注册资本变更为</w:t>
      </w:r>
      <w:r>
        <w:rPr>
          <w:rFonts w:ascii="Times New Roman" w:hAnsi="Times New Roman" w:cs="Times New Roman" w:eastAsia="Times New Roman" w:hint="default"/>
          <w:spacing w:val="-1"/>
          <w:sz w:val="21"/>
          <w:szCs w:val="21"/>
        </w:rPr>
        <w:t>33000</w:t>
      </w:r>
      <w:r>
        <w:rPr>
          <w:rFonts w:ascii="宋体" w:hAnsi="宋体" w:cs="宋体" w:eastAsia="宋体" w:hint="default"/>
          <w:spacing w:val="-1"/>
          <w:sz w:val="21"/>
          <w:szCs w:val="21"/>
        </w:rPr>
        <w:t>万元。本次增资业经大华会计师事务所有限公司大华验字</w:t>
      </w:r>
      <w:r>
        <w:rPr>
          <w:rFonts w:ascii="Times New Roman" w:hAnsi="Times New Roman" w:cs="Times New Roman" w:eastAsia="Times New Roman" w:hint="default"/>
          <w:spacing w:val="-1"/>
          <w:sz w:val="21"/>
          <w:szCs w:val="21"/>
        </w:rPr>
        <w:t>[2012]143</w:t>
      </w:r>
      <w:r>
        <w:rPr>
          <w:rFonts w:ascii="宋体" w:hAnsi="宋体" w:cs="宋体" w:eastAsia="宋体" w:hint="default"/>
          <w:spacing w:val="-1"/>
          <w:sz w:val="21"/>
          <w:szCs w:val="21"/>
        </w:rPr>
        <w:t>号验资报告</w:t>
      </w:r>
      <w:r>
        <w:rPr>
          <w:rFonts w:ascii="宋体" w:hAnsi="宋体" w:cs="宋体" w:eastAsia="宋体" w:hint="default"/>
          <w:spacing w:val="-8"/>
          <w:sz w:val="21"/>
          <w:szCs w:val="21"/>
        </w:rPr>
        <w:t> </w:t>
      </w:r>
      <w:r>
        <w:rPr>
          <w:rFonts w:ascii="宋体" w:hAnsi="宋体" w:cs="宋体" w:eastAsia="宋体" w:hint="default"/>
          <w:sz w:val="21"/>
          <w:szCs w:val="21"/>
        </w:rPr>
        <w:t>验证。</w:t>
      </w:r>
    </w:p>
    <w:p>
      <w:pPr>
        <w:spacing w:line="256" w:lineRule="auto" w:before="22"/>
        <w:ind w:left="152" w:right="1123" w:firstLine="425"/>
        <w:jc w:val="both"/>
        <w:rPr>
          <w:rFonts w:ascii="宋体" w:hAnsi="宋体" w:cs="宋体" w:eastAsia="宋体" w:hint="default"/>
          <w:sz w:val="21"/>
          <w:szCs w:val="21"/>
        </w:rPr>
      </w:pPr>
      <w:r>
        <w:rPr>
          <w:rFonts w:ascii="宋体" w:hAnsi="宋体" w:cs="宋体" w:eastAsia="宋体" w:hint="default"/>
          <w:spacing w:val="-2"/>
          <w:sz w:val="21"/>
          <w:szCs w:val="21"/>
        </w:rPr>
        <w:t>根据本公司</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年第四次临时股东大会的决议和修改后章程的规定，并经中国证券监督管理委员会证</w:t>
      </w:r>
      <w:r>
        <w:rPr>
          <w:rFonts w:ascii="宋体" w:hAnsi="宋体" w:cs="宋体" w:eastAsia="宋体" w:hint="default"/>
          <w:w w:val="100"/>
          <w:sz w:val="21"/>
          <w:szCs w:val="21"/>
        </w:rPr>
        <w:t> </w:t>
      </w:r>
      <w:r>
        <w:rPr>
          <w:rFonts w:ascii="宋体" w:hAnsi="宋体" w:cs="宋体" w:eastAsia="宋体" w:hint="default"/>
          <w:sz w:val="21"/>
          <w:szCs w:val="21"/>
        </w:rPr>
        <w:t>监许可</w:t>
      </w:r>
      <w:r>
        <w:rPr>
          <w:rFonts w:ascii="Times New Roman" w:hAnsi="Times New Roman" w:cs="Times New Roman" w:eastAsia="Times New Roman" w:hint="default"/>
          <w:sz w:val="21"/>
          <w:szCs w:val="21"/>
        </w:rPr>
        <w:t>[2012]648</w:t>
      </w:r>
      <w:r>
        <w:rPr>
          <w:rFonts w:ascii="宋体" w:hAnsi="宋体" w:cs="宋体" w:eastAsia="宋体" w:hint="default"/>
          <w:sz w:val="21"/>
          <w:szCs w:val="21"/>
        </w:rPr>
        <w:t>号文《关于核准安徽鑫龙电器股份有限公司非公开发行股票的批复》核准，公司于</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0"/>
          <w:sz w:val="21"/>
          <w:szCs w:val="21"/>
        </w:rPr>
        <w:t> </w:t>
      </w:r>
      <w:r>
        <w:rPr>
          <w:rFonts w:ascii="Times New Roman" w:hAnsi="Times New Roman" w:cs="Times New Roman" w:eastAsia="Times New Roman" w:hint="default"/>
          <w:spacing w:val="30"/>
          <w:sz w:val="21"/>
          <w:szCs w:val="21"/>
        </w:rPr>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日向特定对象定价发行人民币普通股</w:t>
      </w:r>
      <w:r>
        <w:rPr>
          <w:rFonts w:ascii="Times New Roman" w:hAnsi="Times New Roman" w:cs="Times New Roman" w:eastAsia="Times New Roman" w:hint="default"/>
          <w:sz w:val="21"/>
          <w:szCs w:val="21"/>
        </w:rPr>
        <w:t>(A</w:t>
      </w:r>
      <w:r>
        <w:rPr>
          <w:rFonts w:ascii="宋体" w:hAnsi="宋体" w:cs="宋体" w:eastAsia="宋体" w:hint="default"/>
          <w:sz w:val="21"/>
          <w:szCs w:val="21"/>
        </w:rPr>
        <w:t>股</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7886.90</w:t>
      </w:r>
      <w:r>
        <w:rPr>
          <w:rFonts w:ascii="宋体" w:hAnsi="宋体" w:cs="宋体" w:eastAsia="宋体" w:hint="default"/>
          <w:spacing w:val="-3"/>
          <w:sz w:val="21"/>
          <w:szCs w:val="21"/>
        </w:rPr>
        <w:t>万股，每股发行认购价格为人民币</w:t>
      </w:r>
      <w:r>
        <w:rPr>
          <w:rFonts w:ascii="Times New Roman" w:hAnsi="Times New Roman" w:cs="Times New Roman" w:eastAsia="Times New Roman" w:hint="default"/>
          <w:spacing w:val="-3"/>
          <w:sz w:val="21"/>
          <w:szCs w:val="21"/>
        </w:rPr>
        <w:t>6.72</w:t>
      </w:r>
      <w:r>
        <w:rPr>
          <w:rFonts w:ascii="宋体" w:hAnsi="宋体" w:cs="宋体" w:eastAsia="宋体" w:hint="default"/>
          <w:spacing w:val="-3"/>
          <w:sz w:val="21"/>
          <w:szCs w:val="21"/>
        </w:rPr>
        <w:t>元，扣除</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与发行有关的费用人民币</w:t>
      </w:r>
      <w:r>
        <w:rPr>
          <w:rFonts w:ascii="Times New Roman" w:hAnsi="Times New Roman" w:cs="Times New Roman" w:eastAsia="Times New Roman" w:hint="default"/>
          <w:spacing w:val="-3"/>
          <w:sz w:val="21"/>
          <w:szCs w:val="21"/>
        </w:rPr>
        <w:t>14,489,056.49</w:t>
      </w:r>
      <w:r>
        <w:rPr>
          <w:rFonts w:ascii="宋体" w:hAnsi="宋体" w:cs="宋体" w:eastAsia="宋体" w:hint="default"/>
          <w:spacing w:val="-3"/>
          <w:sz w:val="21"/>
          <w:szCs w:val="21"/>
        </w:rPr>
        <w:t>元，公司实际募集资金净额为人民币</w:t>
      </w:r>
      <w:r>
        <w:rPr>
          <w:rFonts w:ascii="Times New Roman" w:hAnsi="Times New Roman" w:cs="Times New Roman" w:eastAsia="Times New Roman" w:hint="default"/>
          <w:spacing w:val="-3"/>
          <w:sz w:val="21"/>
          <w:szCs w:val="21"/>
        </w:rPr>
        <w:t>515,510,623.51</w:t>
      </w:r>
      <w:r>
        <w:rPr>
          <w:rFonts w:ascii="宋体" w:hAnsi="宋体" w:cs="宋体" w:eastAsia="宋体" w:hint="default"/>
          <w:spacing w:val="-3"/>
          <w:sz w:val="21"/>
          <w:szCs w:val="21"/>
        </w:rPr>
        <w:t>元，其中计入</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股</w:t>
      </w:r>
      <w:r>
        <w:rPr>
          <w:rFonts w:ascii="宋体" w:hAnsi="宋体" w:cs="宋体" w:eastAsia="宋体" w:hint="default"/>
          <w:spacing w:val="-48"/>
          <w:sz w:val="21"/>
          <w:szCs w:val="21"/>
        </w:rPr>
        <w:t> </w:t>
      </w:r>
      <w:r>
        <w:rPr>
          <w:rFonts w:ascii="宋体" w:hAnsi="宋体" w:cs="宋体" w:eastAsia="宋体" w:hint="default"/>
          <w:spacing w:val="-3"/>
          <w:sz w:val="21"/>
          <w:szCs w:val="21"/>
        </w:rPr>
        <w:t>本</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人民币</w:t>
      </w:r>
      <w:r>
        <w:rPr>
          <w:rFonts w:ascii="Times New Roman" w:hAnsi="Times New Roman" w:cs="Times New Roman" w:eastAsia="Times New Roman" w:hint="default"/>
          <w:spacing w:val="-3"/>
          <w:sz w:val="21"/>
          <w:szCs w:val="21"/>
        </w:rPr>
        <w:t>78,869,000.00</w:t>
      </w:r>
      <w:r>
        <w:rPr>
          <w:rFonts w:ascii="宋体" w:hAnsi="宋体" w:cs="宋体" w:eastAsia="宋体" w:hint="default"/>
          <w:spacing w:val="-3"/>
          <w:sz w:val="21"/>
          <w:szCs w:val="21"/>
        </w:rPr>
        <w:t>元，计入</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资本公积－股本溢价</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人民币</w:t>
      </w:r>
      <w:r>
        <w:rPr>
          <w:rFonts w:ascii="Times New Roman" w:hAnsi="Times New Roman" w:cs="Times New Roman" w:eastAsia="Times New Roman" w:hint="default"/>
          <w:spacing w:val="-3"/>
          <w:sz w:val="21"/>
          <w:szCs w:val="21"/>
        </w:rPr>
        <w:t>436,641,623.51</w:t>
      </w:r>
      <w:r>
        <w:rPr>
          <w:rFonts w:ascii="宋体" w:hAnsi="宋体" w:cs="宋体" w:eastAsia="宋体" w:hint="default"/>
          <w:spacing w:val="-3"/>
          <w:sz w:val="21"/>
          <w:szCs w:val="21"/>
        </w:rPr>
        <w:t>元。经此发行后，注册资本变</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更为人民币</w:t>
      </w:r>
      <w:r>
        <w:rPr>
          <w:rFonts w:ascii="Times New Roman" w:hAnsi="Times New Roman" w:cs="Times New Roman" w:eastAsia="Times New Roman" w:hint="default"/>
          <w:spacing w:val="-2"/>
          <w:sz w:val="21"/>
          <w:szCs w:val="21"/>
        </w:rPr>
        <w:t>40886.90</w:t>
      </w:r>
      <w:r>
        <w:rPr>
          <w:rFonts w:ascii="宋体" w:hAnsi="宋体" w:cs="宋体" w:eastAsia="宋体" w:hint="default"/>
          <w:spacing w:val="-2"/>
          <w:sz w:val="21"/>
          <w:szCs w:val="21"/>
        </w:rPr>
        <w:t>万元。本次增资业经大华会计师事务所有限公司大华验字</w:t>
      </w:r>
      <w:r>
        <w:rPr>
          <w:rFonts w:ascii="Times New Roman" w:hAnsi="Times New Roman" w:cs="Times New Roman" w:eastAsia="Times New Roman" w:hint="default"/>
          <w:spacing w:val="-2"/>
          <w:sz w:val="21"/>
          <w:szCs w:val="21"/>
        </w:rPr>
        <w:t>[2012]188</w:t>
      </w:r>
      <w:r>
        <w:rPr>
          <w:rFonts w:ascii="宋体" w:hAnsi="宋体" w:cs="宋体" w:eastAsia="宋体" w:hint="default"/>
          <w:spacing w:val="-2"/>
          <w:sz w:val="21"/>
          <w:szCs w:val="21"/>
        </w:rPr>
        <w:t>号验资报告验证。</w:t>
      </w:r>
    </w:p>
    <w:p>
      <w:pPr>
        <w:spacing w:after="0" w:line="256" w:lineRule="auto"/>
        <w:jc w:val="both"/>
        <w:rPr>
          <w:rFonts w:ascii="宋体" w:hAnsi="宋体" w:cs="宋体" w:eastAsia="宋体" w:hint="default"/>
          <w:sz w:val="21"/>
          <w:szCs w:val="21"/>
        </w:rPr>
        <w:sectPr>
          <w:footerReference w:type="default" r:id="rId51"/>
          <w:pgSz w:w="11910" w:h="16840"/>
          <w:pgMar w:footer="1303" w:header="877" w:top="1060" w:bottom="1500" w:left="980" w:right="0"/>
          <w:pgNumType w:start="106"/>
        </w:sectPr>
      </w:pPr>
    </w:p>
    <w:p>
      <w:pPr>
        <w:spacing w:line="240" w:lineRule="auto" w:before="10"/>
        <w:rPr>
          <w:rFonts w:ascii="宋体" w:hAnsi="宋体" w:cs="宋体" w:eastAsia="宋体" w:hint="default"/>
          <w:sz w:val="24"/>
          <w:szCs w:val="24"/>
        </w:rPr>
      </w:pPr>
    </w:p>
    <w:p>
      <w:pPr>
        <w:spacing w:before="36"/>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157,495,576.89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436,641,623.51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132,000,000.00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462,137,200.40</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17,416,311.21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5,327,314.00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22,743,625.21</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174,911,888.10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441,968,937.51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132,000,000.00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484,880,825.61</w:t>
            </w:r>
          </w:p>
        </w:tc>
      </w:tr>
    </w:tbl>
    <w:p>
      <w:pPr>
        <w:pStyle w:val="BodyText"/>
        <w:spacing w:line="240" w:lineRule="auto" w:before="49"/>
        <w:ind w:right="1123"/>
        <w:jc w:val="left"/>
      </w:pPr>
      <w:r>
        <w:rPr/>
        <w:t>资本公积说明</w:t>
      </w:r>
    </w:p>
    <w:p>
      <w:pPr>
        <w:spacing w:line="240" w:lineRule="auto" w:before="8"/>
        <w:rPr>
          <w:rFonts w:ascii="宋体" w:hAnsi="宋体" w:cs="宋体" w:eastAsia="宋体" w:hint="default"/>
          <w:sz w:val="13"/>
          <w:szCs w:val="13"/>
        </w:rPr>
      </w:pPr>
    </w:p>
    <w:p>
      <w:pPr>
        <w:spacing w:line="271" w:lineRule="auto" w:before="0"/>
        <w:ind w:left="152" w:right="1123" w:firstLine="420"/>
        <w:jc w:val="left"/>
        <w:rPr>
          <w:rFonts w:ascii="宋体" w:hAnsi="宋体" w:cs="宋体" w:eastAsia="宋体" w:hint="default"/>
          <w:sz w:val="21"/>
          <w:szCs w:val="21"/>
        </w:rPr>
      </w:pPr>
      <w:r>
        <w:rPr>
          <w:rFonts w:ascii="宋体" w:hAnsi="宋体" w:cs="宋体" w:eastAsia="宋体" w:hint="default"/>
          <w:spacing w:val="-2"/>
          <w:sz w:val="21"/>
          <w:szCs w:val="21"/>
        </w:rPr>
        <w:t>资本公积的说明：资本溢价（股本溢价）本期增减变动原因详见股本变动情况说明；其他资本公积增</w:t>
      </w:r>
      <w:r>
        <w:rPr>
          <w:rFonts w:ascii="宋体" w:hAnsi="宋体" w:cs="宋体" w:eastAsia="宋体" w:hint="default"/>
          <w:w w:val="100"/>
          <w:sz w:val="21"/>
          <w:szCs w:val="21"/>
        </w:rPr>
        <w:t> </w:t>
      </w:r>
      <w:r>
        <w:rPr>
          <w:rFonts w:ascii="宋体" w:hAnsi="宋体" w:cs="宋体" w:eastAsia="宋体" w:hint="default"/>
          <w:sz w:val="21"/>
          <w:szCs w:val="21"/>
        </w:rPr>
        <w:t>加系实施以权益结算的股票期权激励计划，本期应承担的费用计入资本公积所致。</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26,629,640.59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8,111,429.94</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34,741,070.53</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26,629,640.59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8,111,429.94</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34,741,070.53</w:t>
            </w:r>
          </w:p>
        </w:tc>
      </w:tr>
    </w:tbl>
    <w:p>
      <w:pPr>
        <w:pStyle w:val="BodyText"/>
        <w:spacing w:line="240" w:lineRule="auto" w:before="49"/>
        <w:ind w:right="1123"/>
        <w:jc w:val="left"/>
      </w:pPr>
      <w:r>
        <w:rPr/>
        <w:t>盈余公积说明，用盈余公积转增股本、弥补亏损、分派股利的，应说明有关决议</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28</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7"/>
        <w:gridCol w:w="3730"/>
        <w:gridCol w:w="2110"/>
      </w:tblGrid>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30"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184,946,442.81</w:t>
            </w:r>
          </w:p>
        </w:tc>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30"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184,946,442.81</w:t>
            </w:r>
          </w:p>
        </w:tc>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30"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95,341,859.82</w:t>
            </w:r>
          </w:p>
        </w:tc>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8,111,429.94</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p>
        </w:tc>
      </w:tr>
      <w:tr>
        <w:trPr>
          <w:trHeight w:val="473" w:hRule="exact"/>
        </w:trPr>
        <w:tc>
          <w:tcPr>
            <w:tcW w:w="3707"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4,125,000.00</w:t>
            </w:r>
          </w:p>
        </w:tc>
        <w:tc>
          <w:tcPr>
            <w:tcW w:w="211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3"/>
                <w:sz w:val="18"/>
                <w:szCs w:val="18"/>
              </w:rPr>
              <w:t> </w:t>
            </w:r>
            <w:r>
              <w:rPr>
                <w:rFonts w:ascii="Arial Narrow" w:hAnsi="Arial Narrow" w:cs="Arial Narrow" w:eastAsia="Arial Narrow" w:hint="default"/>
                <w:spacing w:val="-4"/>
                <w:sz w:val="18"/>
                <w:szCs w:val="18"/>
              </w:rPr>
              <w:t>2011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年末股本为基数，</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向全体股东每</w:t>
            </w:r>
            <w:r>
              <w:rPr>
                <w:rFonts w:ascii="宋体" w:hAnsi="宋体" w:cs="宋体" w:eastAsia="宋体" w:hint="default"/>
                <w:spacing w:val="-45"/>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股派发现</w:t>
            </w:r>
          </w:p>
          <w:p>
            <w:pPr>
              <w:pStyle w:val="TableParagraph"/>
              <w:spacing w:line="302" w:lineRule="auto" w:before="64"/>
              <w:ind w:left="23" w:right="77"/>
              <w:jc w:val="left"/>
              <w:rPr>
                <w:rFonts w:ascii="宋体" w:hAnsi="宋体" w:cs="宋体" w:eastAsia="宋体" w:hint="default"/>
                <w:sz w:val="18"/>
                <w:szCs w:val="18"/>
              </w:rPr>
            </w:pPr>
            <w:r>
              <w:rPr>
                <w:rFonts w:ascii="宋体" w:hAnsi="宋体" w:cs="宋体" w:eastAsia="宋体" w:hint="default"/>
                <w:sz w:val="18"/>
                <w:szCs w:val="18"/>
              </w:rPr>
              <w:t>金股利人民币</w:t>
            </w:r>
            <w:r>
              <w:rPr>
                <w:rFonts w:ascii="宋体" w:hAnsi="宋体" w:cs="宋体" w:eastAsia="宋体" w:hint="default"/>
                <w:spacing w:val="-45"/>
                <w:sz w:val="18"/>
                <w:szCs w:val="18"/>
              </w:rPr>
              <w:t> </w:t>
            </w:r>
            <w:r>
              <w:rPr>
                <w:rFonts w:ascii="Arial Narrow" w:hAnsi="Arial Narrow" w:cs="Arial Narrow" w:eastAsia="Arial Narrow" w:hint="default"/>
                <w:sz w:val="18"/>
                <w:szCs w:val="18"/>
              </w:rPr>
              <w:t>0.80</w:t>
            </w:r>
            <w:r>
              <w:rPr>
                <w:rFonts w:ascii="Arial Narrow" w:hAnsi="Arial Narrow" w:cs="Arial Narrow" w:eastAsia="Arial Narrow" w:hint="default"/>
                <w:spacing w:val="2"/>
                <w:sz w:val="18"/>
                <w:szCs w:val="18"/>
              </w:rPr>
              <w:t> </w:t>
            </w:r>
            <w:r>
              <w:rPr>
                <w:rFonts w:ascii="宋体" w:hAnsi="宋体" w:cs="宋体" w:eastAsia="宋体" w:hint="default"/>
                <w:sz w:val="18"/>
                <w:szCs w:val="18"/>
              </w:rPr>
              <w:t>元（含 税）</w:t>
            </w:r>
          </w:p>
        </w:tc>
      </w:tr>
      <w:tr>
        <w:trPr>
          <w:trHeight w:val="394" w:hRule="exact"/>
        </w:trPr>
        <w:tc>
          <w:tcPr>
            <w:tcW w:w="37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30" w:type="dxa"/>
            <w:vMerge/>
            <w:tcBorders>
              <w:left w:val="single" w:sz="9" w:space="0" w:color="D2D2D2"/>
              <w:right w:val="single" w:sz="4" w:space="0" w:color="000000"/>
            </w:tcBorders>
          </w:tcPr>
          <w:p>
            <w:pPr/>
          </w:p>
        </w:tc>
        <w:tc>
          <w:tcPr>
            <w:tcW w:w="2110" w:type="dxa"/>
            <w:vMerge/>
            <w:tcBorders>
              <w:left w:val="single" w:sz="4" w:space="0" w:color="000000"/>
              <w:right w:val="single" w:sz="4" w:space="0" w:color="000000"/>
            </w:tcBorders>
          </w:tcPr>
          <w:p>
            <w:pPr/>
          </w:p>
        </w:tc>
      </w:tr>
      <w:tr>
        <w:trPr>
          <w:trHeight w:val="473" w:hRule="exact"/>
        </w:trPr>
        <w:tc>
          <w:tcPr>
            <w:tcW w:w="3707" w:type="dxa"/>
            <w:tcBorders>
              <w:top w:val="nil" w:sz="6" w:space="0" w:color="auto"/>
              <w:left w:val="single" w:sz="4" w:space="0" w:color="000000"/>
              <w:bottom w:val="single" w:sz="4" w:space="0" w:color="000000"/>
              <w:right w:val="single" w:sz="4" w:space="0" w:color="000000"/>
            </w:tcBorders>
            <w:shd w:val="clear" w:color="auto" w:fill="D2D2D2"/>
          </w:tcPr>
          <w:p>
            <w:pPr/>
          </w:p>
        </w:tc>
        <w:tc>
          <w:tcPr>
            <w:tcW w:w="3730" w:type="dxa"/>
            <w:vMerge/>
            <w:tcBorders>
              <w:left w:val="single" w:sz="9" w:space="0" w:color="D2D2D2"/>
              <w:bottom w:val="single" w:sz="4" w:space="0" w:color="000000"/>
              <w:right w:val="single" w:sz="4" w:space="0" w:color="000000"/>
            </w:tcBorders>
          </w:tcPr>
          <w:p>
            <w:pPr/>
          </w:p>
        </w:tc>
        <w:tc>
          <w:tcPr>
            <w:tcW w:w="2110" w:type="dxa"/>
            <w:vMerge/>
            <w:tcBorders>
              <w:left w:val="single" w:sz="4" w:space="0" w:color="000000"/>
              <w:bottom w:val="single" w:sz="4" w:space="0" w:color="000000"/>
              <w:right w:val="single" w:sz="4" w:space="0" w:color="000000"/>
            </w:tcBorders>
          </w:tcPr>
          <w:p>
            <w:pPr/>
          </w:p>
        </w:tc>
      </w:tr>
      <w:tr>
        <w:trPr>
          <w:trHeight w:val="317" w:hRule="exact"/>
        </w:trPr>
        <w:tc>
          <w:tcPr>
            <w:tcW w:w="3707"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33,000,000.00</w:t>
            </w:r>
          </w:p>
        </w:tc>
        <w:tc>
          <w:tcPr>
            <w:tcW w:w="211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3"/>
                <w:sz w:val="18"/>
                <w:szCs w:val="18"/>
              </w:rPr>
              <w:t> </w:t>
            </w:r>
            <w:r>
              <w:rPr>
                <w:rFonts w:ascii="Arial Narrow" w:hAnsi="Arial Narrow" w:cs="Arial Narrow" w:eastAsia="Arial Narrow" w:hint="default"/>
                <w:spacing w:val="-4"/>
                <w:sz w:val="18"/>
                <w:szCs w:val="18"/>
              </w:rPr>
              <w:t>2011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年末股本为基数，</w:t>
            </w:r>
          </w:p>
          <w:p>
            <w:pPr>
              <w:pStyle w:val="TableParagraph"/>
              <w:spacing w:line="240" w:lineRule="auto" w:before="64"/>
              <w:ind w:left="23" w:right="0"/>
              <w:jc w:val="left"/>
              <w:rPr>
                <w:rFonts w:ascii="Arial Narrow" w:hAnsi="Arial Narrow" w:cs="Arial Narrow" w:eastAsia="Arial Narrow" w:hint="default"/>
                <w:sz w:val="18"/>
                <w:szCs w:val="18"/>
              </w:rPr>
            </w:pPr>
            <w:r>
              <w:rPr>
                <w:rFonts w:ascii="宋体" w:hAnsi="宋体" w:cs="宋体" w:eastAsia="宋体" w:hint="default"/>
                <w:sz w:val="18"/>
                <w:szCs w:val="18"/>
              </w:rPr>
              <w:t>向全体股东每</w:t>
            </w:r>
            <w:r>
              <w:rPr>
                <w:rFonts w:ascii="宋体" w:hAnsi="宋体" w:cs="宋体" w:eastAsia="宋体" w:hint="default"/>
                <w:spacing w:val="-45"/>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Arial Narrow" w:hAnsi="Arial Narrow" w:cs="Arial Narrow" w:eastAsia="Arial Narrow" w:hint="default"/>
                <w:sz w:val="18"/>
                <w:szCs w:val="18"/>
              </w:rPr>
              <w:t>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391" w:hRule="exact"/>
        </w:trPr>
        <w:tc>
          <w:tcPr>
            <w:tcW w:w="37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730" w:type="dxa"/>
            <w:vMerge/>
            <w:tcBorders>
              <w:left w:val="single" w:sz="9" w:space="0" w:color="D2D2D2"/>
              <w:right w:val="single" w:sz="4" w:space="0" w:color="000000"/>
            </w:tcBorders>
          </w:tcPr>
          <w:p>
            <w:pPr/>
          </w:p>
        </w:tc>
        <w:tc>
          <w:tcPr>
            <w:tcW w:w="2110" w:type="dxa"/>
            <w:vMerge/>
            <w:tcBorders>
              <w:left w:val="single" w:sz="4" w:space="0" w:color="000000"/>
              <w:right w:val="single" w:sz="4" w:space="0" w:color="000000"/>
            </w:tcBorders>
          </w:tcPr>
          <w:p>
            <w:pPr/>
          </w:p>
        </w:tc>
      </w:tr>
      <w:tr>
        <w:trPr>
          <w:trHeight w:val="317" w:hRule="exact"/>
        </w:trPr>
        <w:tc>
          <w:tcPr>
            <w:tcW w:w="3707" w:type="dxa"/>
            <w:tcBorders>
              <w:top w:val="nil" w:sz="6" w:space="0" w:color="auto"/>
              <w:left w:val="single" w:sz="4" w:space="0" w:color="000000"/>
              <w:bottom w:val="single" w:sz="4" w:space="0" w:color="000000"/>
              <w:right w:val="single" w:sz="4" w:space="0" w:color="000000"/>
            </w:tcBorders>
            <w:shd w:val="clear" w:color="auto" w:fill="D2D2D2"/>
          </w:tcPr>
          <w:p>
            <w:pPr/>
          </w:p>
        </w:tc>
        <w:tc>
          <w:tcPr>
            <w:tcW w:w="3730" w:type="dxa"/>
            <w:vMerge/>
            <w:tcBorders>
              <w:left w:val="single" w:sz="9" w:space="0" w:color="D2D2D2"/>
              <w:bottom w:val="single" w:sz="4" w:space="0" w:color="000000"/>
              <w:right w:val="single" w:sz="4" w:space="0" w:color="000000"/>
            </w:tcBorders>
          </w:tcPr>
          <w:p>
            <w:pPr/>
          </w:p>
        </w:tc>
        <w:tc>
          <w:tcPr>
            <w:tcW w:w="2110" w:type="dxa"/>
            <w:vMerge/>
            <w:tcBorders>
              <w:left w:val="single" w:sz="4" w:space="0" w:color="000000"/>
              <w:bottom w:val="single" w:sz="4" w:space="0" w:color="000000"/>
              <w:right w:val="single" w:sz="4" w:space="0" w:color="000000"/>
            </w:tcBorders>
          </w:tcPr>
          <w:p>
            <w:pP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30"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235,051,872.69</w:t>
            </w:r>
          </w:p>
        </w:tc>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调整年初未分配利润明细：</w:t>
      </w:r>
    </w:p>
    <w:p>
      <w:pPr>
        <w:pStyle w:val="BodyText"/>
        <w:spacing w:line="240" w:lineRule="auto" w:before="114"/>
        <w:ind w:right="1123"/>
        <w:jc w:val="left"/>
      </w:pPr>
      <w:r>
        <w:rPr>
          <w:rFonts w:ascii="Times New Roman" w:hAnsi="Times New Roman" w:cs="Times New Roman" w:eastAsia="Times New Roman" w:hint="default"/>
        </w:rPr>
        <w:t>1)</w:t>
      </w:r>
      <w:r>
        <w:rPr/>
        <w:t>、由于《企业会计准则》及其相关新规定进行追溯调整，影响年初未分配利润元。</w:t>
      </w:r>
    </w:p>
    <w:p>
      <w:pPr>
        <w:pStyle w:val="BodyText"/>
        <w:spacing w:line="240" w:lineRule="auto" w:before="103"/>
        <w:ind w:right="1123"/>
        <w:jc w:val="left"/>
      </w:pPr>
      <w:r>
        <w:rPr>
          <w:rFonts w:ascii="Times New Roman" w:hAnsi="Times New Roman" w:cs="Times New Roman" w:eastAsia="Times New Roman" w:hint="default"/>
        </w:rPr>
        <w:t>2)</w:t>
      </w:r>
      <w:r>
        <w:rPr/>
        <w:t>、由于会计政策变更，影响年初未分配利润元。</w:t>
      </w:r>
    </w:p>
    <w:p>
      <w:pPr>
        <w:spacing w:after="0" w:line="240" w:lineRule="auto"/>
        <w:jc w:val="left"/>
        <w:sectPr>
          <w:pgSz w:w="11910" w:h="16840"/>
          <w:pgMar w:header="877" w:footer="1303" w:top="1060" w:bottom="150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3"/>
        <w:jc w:val="left"/>
      </w:pPr>
      <w:r>
        <w:rPr>
          <w:rFonts w:ascii="Times New Roman" w:hAnsi="Times New Roman" w:cs="Times New Roman" w:eastAsia="Times New Roman" w:hint="default"/>
        </w:rPr>
        <w:t>3)</w:t>
      </w:r>
      <w:r>
        <w:rPr/>
        <w:t>、由于重大会计差错更正，影响年初未分配利润元。</w:t>
      </w:r>
    </w:p>
    <w:p>
      <w:pPr>
        <w:pStyle w:val="BodyText"/>
        <w:spacing w:line="240" w:lineRule="auto" w:before="104"/>
        <w:ind w:right="1123"/>
        <w:jc w:val="left"/>
      </w:pPr>
      <w:r>
        <w:rPr>
          <w:rFonts w:ascii="Times New Roman" w:hAnsi="Times New Roman" w:cs="Times New Roman" w:eastAsia="Times New Roman" w:hint="default"/>
        </w:rPr>
        <w:t>4)</w:t>
      </w:r>
      <w:r>
        <w:rPr/>
        <w:t>、由于同一控制导致的合并范围变更，影响年初未分配利润元。</w:t>
      </w:r>
    </w:p>
    <w:p>
      <w:pPr>
        <w:pStyle w:val="BodyText"/>
        <w:spacing w:line="326" w:lineRule="auto" w:before="101"/>
        <w:ind w:right="1123"/>
        <w:jc w:val="left"/>
      </w:pPr>
      <w:r>
        <w:rPr>
          <w:rFonts w:ascii="Times New Roman" w:hAnsi="Times New Roman" w:cs="Times New Roman" w:eastAsia="Times New Roman" w:hint="default"/>
        </w:rPr>
        <w:t>5)</w:t>
      </w:r>
      <w:r>
        <w:rPr/>
        <w:t>、其他调整合计影响年初未分配利润元。</w:t>
      </w:r>
      <w:r>
        <w:rPr>
          <w:w w:val="99"/>
        </w:rPr>
        <w:t> </w:t>
      </w:r>
      <w:r>
        <w:rPr>
          <w:spacing w:val="-2"/>
        </w:rPr>
        <w:t>未分配利润说明，对于首次公开发行证券的公司，如果发行前的滚存利润经股东大会决议由新老股东共同享有，应明确予以</w:t>
      </w:r>
      <w:r>
        <w:rPr>
          <w:spacing w:val="-64"/>
        </w:rPr>
        <w:t> </w:t>
      </w:r>
      <w:r>
        <w:rPr>
          <w:spacing w:val="-64"/>
        </w:rPr>
      </w:r>
      <w:r>
        <w:rPr>
          <w:spacing w:val="-2"/>
        </w:rPr>
        <w:t>说明；如果发行前的滚存利润经股东大会决议在发行前进行分配并由老股东享有，公司应明确披露应付股利中老股东享有的</w:t>
      </w:r>
      <w:r>
        <w:rPr>
          <w:spacing w:val="-65"/>
        </w:rPr>
        <w:t> </w:t>
      </w:r>
      <w:r>
        <w:rPr>
          <w:spacing w:val="-65"/>
        </w:rPr>
      </w:r>
      <w:r>
        <w:rPr/>
        <w:t>经审计的利润数</w:t>
      </w:r>
    </w:p>
    <w:p>
      <w:pPr>
        <w:spacing w:line="240" w:lineRule="auto" w:before="3"/>
        <w:rPr>
          <w:rFonts w:ascii="宋体" w:hAnsi="宋体" w:cs="宋体" w:eastAsia="宋体" w:hint="default"/>
          <w:sz w:val="22"/>
          <w:szCs w:val="22"/>
        </w:rPr>
      </w:pPr>
    </w:p>
    <w:p>
      <w:pPr>
        <w:pStyle w:val="Heading4"/>
        <w:spacing w:line="240" w:lineRule="auto"/>
        <w:ind w:right="1123"/>
        <w:jc w:val="left"/>
        <w:rPr>
          <w:b w:val="0"/>
          <w:bCs w:val="0"/>
        </w:rPr>
      </w:pPr>
      <w:r>
        <w:rPr>
          <w:rFonts w:ascii="Times New Roman" w:hAnsi="Times New Roman" w:cs="Times New Roman" w:eastAsia="Times New Roman" w:hint="default"/>
        </w:rPr>
        <w:t>29</w:t>
      </w:r>
      <w:r>
        <w:rPr/>
        <w:t>、营业收入、营业成本</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934,394,633.96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851,308,383.13</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9,651,264.99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10,822,812.29</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561,606,212.97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548,452,389.23</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电器机械及器材制造业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934,394,633.96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558,330,087.76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851,308,383.13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543,769,493.69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934,394,633.96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558,330,087.76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851,308,383.13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543,769,493.69</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高、低压成套开关设备</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656,978,747.66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416,856,208.93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655,850,736.77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436,510,885.81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元器件</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199,602,777.02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100,690,940.76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146,217,936.92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78,923,918.12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70,153,066.94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36,398,854.96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46,682,102.66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26,857,468.28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1,968,896.85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1,268,802.00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1,818,976.00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1,058,000.58</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电力电子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5,691,145.49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3,115,281.11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738,630.78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419,220.90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934,394,633.96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558,330,087.76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851,308,383.13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543,769,493.69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3" w:top="1060" w:bottom="150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335,995,290.53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194,976,463.23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347,900,394.66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213,873,740.83</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496,364,859.26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304,473,899.00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388,839,389.91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257,618,930.49</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7,318,816.23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4,316,329.08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9,173,923.30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5,434,768.86</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24,264,786.55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13,911,255.03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19,530,983.28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12,064,011.84</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30,391,464.24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17,498,538.91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34,124,374.87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21,120,231.78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8,975,924.80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5,346,563.40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47,919,798.44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31,263,315.68</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31,083,492.35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17,807,039.11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3,819,518.67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2,394,494.21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934,394,633.96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558,330,087.76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851,308,383.13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543,769,493.69</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中国铁建电气化局集团有限公司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28,085,126.50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枣庄华润纸业有限公司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17,967,521.37</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山东天地缘实业有限公司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17,302,649.57</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中铁电气化局成绵乐项目部</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14,686,729.91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河北敬业中厚板有限公司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14,312,193.16</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92,354,220.51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w:t>
            </w:r>
          </w:p>
        </w:tc>
      </w:tr>
    </w:tbl>
    <w:p>
      <w:pPr>
        <w:pStyle w:val="BodyText"/>
        <w:spacing w:line="240" w:lineRule="auto" w:before="49"/>
        <w:ind w:right="1123"/>
        <w:jc w:val="left"/>
      </w:pPr>
      <w:r>
        <w:rPr/>
        <w:t>营业收入的说明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30</w:t>
      </w:r>
      <w:r>
        <w:rPr/>
        <w:t>、营业税金及附加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4"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57,086.91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54,712.08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4,934,565.96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3,049,664.72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2,117,997.17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1,319,096.03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1,406,773.19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842,463.40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8,516,423.23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5,265,936.23</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营业税金及附加的说明</w:t>
      </w:r>
    </w:p>
    <w:p>
      <w:pPr>
        <w:spacing w:after="0" w:line="240" w:lineRule="auto"/>
        <w:jc w:val="left"/>
        <w:sectPr>
          <w:pgSz w:w="11910" w:h="16840"/>
          <w:pgMar w:header="877" w:footer="1303" w:top="1060" w:bottom="150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31</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13,573,686.09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11,980,552.18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4,302,415.31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2,240,942.74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9,559,656.51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8,507,963.41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运输及维修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16,598,022.37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16,285,762.57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25,903,849.31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21,684,485.00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11,830,750.58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11,200,875.87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3,186,299.89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3,241,636.65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2,120,533.48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2,701,018.70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87,075,213.54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77,843,237.12</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32</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21,837,309.00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22,069,703.06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61,407,016.45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51,973,209.39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3,893,065.00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5,562,002.15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9,503,913.50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5,656,350.00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6,720,181.92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5,621,586.85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5,327,314.00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3,300,654.00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5,007,307.86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15,694,549.42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113,696,107.73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109,878,054.87</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33</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46,375,160.91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31,403,457.52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-2,273,619.15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-1,513,406.20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5,540.47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21,252.69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968,174.97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890,905.02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45,075,257.20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30,802,209.03</w:t>
            </w:r>
          </w:p>
        </w:tc>
      </w:tr>
    </w:tbl>
    <w:p>
      <w:pPr>
        <w:spacing w:after="0" w:line="240" w:lineRule="auto"/>
        <w:jc w:val="right"/>
        <w:rPr>
          <w:rFonts w:ascii="Times New Roman" w:hAnsi="Times New Roman" w:cs="Times New Roman" w:eastAsia="Times New Roman" w:hint="default"/>
          <w:sz w:val="18"/>
          <w:szCs w:val="18"/>
        </w:rPr>
        <w:sectPr>
          <w:footerReference w:type="default" r:id="rId52"/>
          <w:pgSz w:w="11910" w:h="16840"/>
          <w:pgMar w:footer="1340" w:header="877" w:top="1060" w:bottom="1540" w:left="980" w:right="0"/>
          <w:pgNumType w:start="11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34</w:t>
      </w:r>
      <w:r>
        <w:rPr/>
        <w:t>、投资收益</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43,800.00</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-5,979,951.12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-145,441.43</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-5,833,951.12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-101,641.43</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1"/>
      </w:tblGrid>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71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3"/>
              <w:jc w:val="left"/>
              <w:rPr>
                <w:rFonts w:ascii="宋体" w:hAnsi="宋体" w:cs="宋体" w:eastAsia="宋体" w:hint="default"/>
                <w:sz w:val="18"/>
                <w:szCs w:val="18"/>
              </w:rPr>
            </w:pPr>
            <w:r>
              <w:rPr>
                <w:rFonts w:ascii="宋体" w:hAnsi="宋体" w:cs="宋体" w:eastAsia="宋体" w:hint="default"/>
                <w:sz w:val="18"/>
                <w:szCs w:val="18"/>
              </w:rPr>
              <w:t>芜湖扬子农村商业银行股份有限公 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被投资企业本期分配利润增加</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43,800.00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1"/>
      </w:tblGrid>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安徽美能储能系统有限公司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-5,979,951.12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-145,441.43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被投资企业本期亏损较多</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-5,979,951.12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-145,441.43</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投资收益的说明，若投资收益汇回有重大限制的，应予以说明。若不存在此类重大限制，也应做出说明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35</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16,238,655.88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8,106,341.30</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16,238,655.88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8,106,341.30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36</w:t>
      </w:r>
      <w:r>
        <w:rPr/>
        <w:t>、营业外收入</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53.091717pt;width:135pt;height:77pt;mso-position-horizontal-relative:page;mso-position-vertical-relative:paragraph;z-index:-828976" coordorigin="9206,1062" coordsize="2700,1540">
            <v:shape style="position:absolute;left:9206;top:1062;width:2700;height:1540" type="#_x0000_t75" stroked="false">
              <v:imagedata r:id="rId15" o:title=""/>
            </v:shape>
            <v:shape style="position:absolute;left:10516;top:1422;width:25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6"/>
                        <w:sz w:val="18"/>
                      </w:rPr>
                      <w:t>111</w:t>
                    </w:r>
                    <w:r>
                      <w:rPr>
                        <w:rFonts w:ascii="Times New Roman"/>
                        <w:sz w:val="18"/>
                      </w:rPr>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3"/>
        <w:gridCol w:w="1956"/>
        <w:gridCol w:w="2160"/>
        <w:gridCol w:w="2149"/>
      </w:tblGrid>
      <w:tr>
        <w:trPr>
          <w:trHeight w:val="714" w:hRule="exact"/>
        </w:trPr>
        <w:tc>
          <w:tcPr>
            <w:tcW w:w="3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95" w:right="70"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bl>
    <w:p>
      <w:pPr>
        <w:spacing w:after="0" w:line="316" w:lineRule="auto"/>
        <w:jc w:val="left"/>
        <w:rPr>
          <w:rFonts w:ascii="宋体" w:hAnsi="宋体" w:cs="宋体" w:eastAsia="宋体" w:hint="default"/>
          <w:sz w:val="18"/>
          <w:szCs w:val="18"/>
        </w:rPr>
        <w:sectPr>
          <w:footerReference w:type="default" r:id="rId53"/>
          <w:pgSz w:w="11910" w:h="16840"/>
          <w:pgMar w:footer="0" w:header="877"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3,557.82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256,539.35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3,557.82</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3,557.82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256,539.35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3,557.82</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4,955,148.00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4,703,451.00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4,955,148.00</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114,260.96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126,990.89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114,260.96</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5,072,966.78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5,086,981.24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5,072,966.78</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创新团队扶持资金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芜人才【</w:t>
            </w:r>
            <w:r>
              <w:rPr>
                <w:rFonts w:ascii="Times New Roman" w:hAnsi="Times New Roman" w:cs="Times New Roman" w:eastAsia="Times New Roman" w:hint="default"/>
                <w:sz w:val="18"/>
                <w:szCs w:val="18"/>
              </w:rPr>
              <w:t>2008</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科技发明补助款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安徽省专利发展专项资金管理办法</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（试行）</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企业技术改造奖励</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皖经信技改【</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118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知识产权补助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芜知【</w:t>
            </w:r>
            <w:r>
              <w:rPr>
                <w:rFonts w:ascii="Times New Roman" w:hAnsi="Times New Roman" w:cs="Times New Roman" w:eastAsia="Times New Roman" w:hint="default"/>
                <w:sz w:val="18"/>
                <w:szCs w:val="18"/>
              </w:rPr>
              <w:t>2008</w:t>
            </w:r>
            <w:r>
              <w:rPr>
                <w:rFonts w:ascii="宋体" w:hAnsi="宋体" w:cs="宋体" w:eastAsia="宋体" w:hint="default"/>
                <w:sz w:val="18"/>
                <w:szCs w:val="18"/>
              </w:rPr>
              <w:t>】</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土地使用税奖励</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关于调整和完善市区城镇土地使用 税奖励政策的通知</w:t>
            </w: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单位土地产出综合效益十强企业 奖励</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鸠发【</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p>
        </w:tc>
      </w:tr>
      <w:tr>
        <w:trPr>
          <w:trHeight w:val="102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博士后科研项目资助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93"/>
              <w:jc w:val="left"/>
              <w:rPr>
                <w:rFonts w:ascii="宋体" w:hAnsi="宋体" w:cs="宋体" w:eastAsia="宋体" w:hint="default"/>
                <w:sz w:val="18"/>
                <w:szCs w:val="18"/>
              </w:rPr>
            </w:pPr>
            <w:r>
              <w:rPr>
                <w:rFonts w:ascii="宋体" w:hAnsi="宋体" w:cs="宋体" w:eastAsia="宋体" w:hint="default"/>
                <w:sz w:val="18"/>
                <w:szCs w:val="18"/>
              </w:rPr>
              <w:t>关于开展</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年度安徽省博士后研 究人员科研项目资助经费申报工作 的通知</w:t>
            </w: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发明专利补助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安徽省专利发展专项资金管理办法</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（试行）</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科技计划补助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关于下达芜湖市</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年度科技计划 的通知</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科学技术奖励</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芜湖市科学技术奖励办法</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社会保险支付中心稳岗补贴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965,648.00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关于扩大失业保险基金使用范围促 进就业实施意见</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技术创新和技术进步奖励</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鸠经计【</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198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4"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4,955,148.00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5" w:right="0"/>
              <w:jc w:val="left"/>
              <w:rPr>
                <w:rFonts w:ascii="Times New Roman" w:hAnsi="Times New Roman" w:cs="Times New Roman" w:eastAsia="Times New Roman" w:hint="default"/>
                <w:sz w:val="18"/>
                <w:szCs w:val="18"/>
              </w:rPr>
            </w:pPr>
            <w:r>
              <w:rPr>
                <w:rFonts w:ascii="Times New Roman"/>
                <w:sz w:val="18"/>
              </w:rPr>
              <w:t>4,703,451.00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营业外收入说明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37</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0"/>
        <w:gridCol w:w="2021"/>
        <w:gridCol w:w="1915"/>
        <w:gridCol w:w="1910"/>
      </w:tblGrid>
      <w:tr>
        <w:trPr>
          <w:trHeight w:val="714"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2" w:right="45"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bl>
    <w:p>
      <w:pPr>
        <w:spacing w:after="0" w:line="316" w:lineRule="auto"/>
        <w:jc w:val="left"/>
        <w:rPr>
          <w:rFonts w:ascii="宋体" w:hAnsi="宋体" w:cs="宋体" w:eastAsia="宋体" w:hint="default"/>
          <w:sz w:val="18"/>
          <w:szCs w:val="18"/>
        </w:rPr>
        <w:sectPr>
          <w:footerReference w:type="default" r:id="rId54"/>
          <w:pgSz w:w="11910" w:h="16840"/>
          <w:pgMar w:footer="1340" w:header="877" w:top="1060" w:bottom="1540" w:left="980" w:right="0"/>
          <w:pgNumType w:start="112"/>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51,960.39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1,470.75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51,960.39</w:t>
            </w: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51,960.39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1,470.75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51,960.39</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157,584.20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滞纳金、罚款</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50,453.86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50,453.86</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98,654.38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98,654.38</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204,068.63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159,351.91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204,068.63</w:t>
            </w:r>
          </w:p>
        </w:tc>
      </w:tr>
    </w:tbl>
    <w:p>
      <w:pPr>
        <w:pStyle w:val="BodyText"/>
        <w:spacing w:line="240" w:lineRule="auto" w:before="49"/>
        <w:ind w:right="1123"/>
        <w:jc w:val="left"/>
      </w:pPr>
      <w:r>
        <w:rPr/>
        <w:t>营业外支出说明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38</w:t>
      </w:r>
      <w:r>
        <w:rPr/>
        <w:t>、所得税费用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18,848,354.14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13,989,964.59</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-2,381,869.90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-1,218,363.44</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16,466,484.24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12,771,601.15</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39</w:t>
      </w:r>
      <w:r>
        <w:rPr/>
        <w:t>、基本每股收益和稀释每股收益的计算过程</w:t>
      </w:r>
      <w:r>
        <w:rPr>
          <w:b w:val="0"/>
          <w:bCs w:val="0"/>
        </w:rPr>
      </w:r>
    </w:p>
    <w:p>
      <w:pPr>
        <w:spacing w:line="240" w:lineRule="auto" w:before="10"/>
        <w:rPr>
          <w:rFonts w:ascii="宋体" w:hAnsi="宋体" w:cs="宋体" w:eastAsia="宋体" w:hint="default"/>
          <w:b/>
          <w:bCs/>
          <w:sz w:val="24"/>
          <w:szCs w:val="24"/>
        </w:rPr>
      </w:pPr>
    </w:p>
    <w:p>
      <w:pPr>
        <w:spacing w:line="256" w:lineRule="auto" w:before="0"/>
        <w:ind w:left="152" w:right="1129" w:firstLine="420"/>
        <w:jc w:val="both"/>
        <w:rPr>
          <w:rFonts w:ascii="宋体" w:hAnsi="宋体" w:cs="宋体" w:eastAsia="宋体" w:hint="default"/>
          <w:sz w:val="21"/>
          <w:szCs w:val="21"/>
        </w:rPr>
      </w:pPr>
      <w:r>
        <w:rPr>
          <w:rFonts w:ascii="宋体" w:hAnsi="宋体" w:cs="宋体" w:eastAsia="宋体" w:hint="default"/>
          <w:sz w:val="21"/>
          <w:szCs w:val="21"/>
        </w:rPr>
        <w:t>本公司按照中国证监会《公开发行证券的公司信息披露编报规则第</w:t>
      </w:r>
      <w:r>
        <w:rPr>
          <w:rFonts w:ascii="Times New Roman" w:hAnsi="Times New Roman" w:cs="Times New Roman" w:eastAsia="Times New Roman" w:hint="default"/>
          <w:sz w:val="21"/>
          <w:szCs w:val="21"/>
        </w:rPr>
        <w:t>9</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净资产收益率和每股收益</w:t>
      </w:r>
      <w:r>
        <w:rPr>
          <w:rFonts w:ascii="宋体" w:hAnsi="宋体" w:cs="宋体" w:eastAsia="宋体" w:hint="default"/>
          <w:w w:val="100"/>
          <w:sz w:val="21"/>
          <w:szCs w:val="21"/>
        </w:rPr>
        <w:t> </w:t>
      </w:r>
      <w:r>
        <w:rPr>
          <w:rFonts w:ascii="宋体" w:hAnsi="宋体" w:cs="宋体" w:eastAsia="宋体" w:hint="default"/>
          <w:sz w:val="21"/>
          <w:szCs w:val="21"/>
        </w:rPr>
        <w:t>的计算及披露（</w:t>
      </w:r>
      <w:r>
        <w:rPr>
          <w:rFonts w:ascii="Times New Roman" w:hAnsi="Times New Roman" w:cs="Times New Roman" w:eastAsia="Times New Roman" w:hint="default"/>
          <w:sz w:val="21"/>
          <w:szCs w:val="21"/>
        </w:rPr>
        <w:t>2010</w:t>
      </w:r>
      <w:r>
        <w:rPr>
          <w:rFonts w:ascii="宋体" w:hAnsi="宋体" w:cs="宋体" w:eastAsia="宋体" w:hint="default"/>
          <w:sz w:val="21"/>
          <w:szCs w:val="21"/>
        </w:rPr>
        <w:t>年修订）》（</w:t>
      </w:r>
      <w:r>
        <w:rPr>
          <w:rFonts w:ascii="Times New Roman" w:hAnsi="Times New Roman" w:cs="Times New Roman" w:eastAsia="Times New Roman" w:hint="default"/>
          <w:sz w:val="21"/>
          <w:szCs w:val="21"/>
        </w:rPr>
        <w:t>“</w:t>
      </w:r>
      <w:r>
        <w:rPr>
          <w:rFonts w:ascii="宋体" w:hAnsi="宋体" w:cs="宋体" w:eastAsia="宋体" w:hint="default"/>
          <w:sz w:val="21"/>
          <w:szCs w:val="21"/>
        </w:rPr>
        <w:t>中国证券监督管理委员会公告</w:t>
      </w:r>
      <w:r>
        <w:rPr>
          <w:rFonts w:ascii="Times New Roman" w:hAnsi="Times New Roman" w:cs="Times New Roman" w:eastAsia="Times New Roman" w:hint="default"/>
          <w:sz w:val="21"/>
          <w:szCs w:val="21"/>
        </w:rPr>
        <w:t>[2010]2</w:t>
      </w:r>
      <w:r>
        <w:rPr>
          <w:rFonts w:ascii="宋体" w:hAnsi="宋体" w:cs="宋体" w:eastAsia="宋体" w:hint="default"/>
          <w:sz w:val="21"/>
          <w:szCs w:val="21"/>
        </w:rPr>
        <w:t>号）、《公开发行证券的公司信</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息披露解释性公告第</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非经常性损益（</w:t>
      </w:r>
      <w:r>
        <w:rPr>
          <w:rFonts w:ascii="Times New Roman" w:hAnsi="Times New Roman" w:cs="Times New Roman" w:eastAsia="Times New Roman" w:hint="default"/>
          <w:spacing w:val="-2"/>
          <w:sz w:val="21"/>
          <w:szCs w:val="21"/>
        </w:rPr>
        <w:t>2008</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中国证券监督管理委员会公告</w:t>
      </w:r>
      <w:r>
        <w:rPr>
          <w:rFonts w:ascii="Times New Roman" w:hAnsi="Times New Roman" w:cs="Times New Roman" w:eastAsia="Times New Roman" w:hint="default"/>
          <w:spacing w:val="-2"/>
          <w:sz w:val="21"/>
          <w:szCs w:val="21"/>
        </w:rPr>
        <w:t>[2008]43</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）要求</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计算的每股收益如下：</w:t>
      </w:r>
    </w:p>
    <w:p>
      <w:pPr>
        <w:spacing w:before="22"/>
        <w:ind w:left="575"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、计算结果</w:t>
      </w:r>
      <w:r>
        <w:rPr>
          <w:rFonts w:ascii="宋体" w:hAnsi="宋体" w:cs="宋体" w:eastAsia="宋体" w:hint="default"/>
          <w:sz w:val="21"/>
          <w:szCs w:val="21"/>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702"/>
        <w:gridCol w:w="1202"/>
        <w:gridCol w:w="1128"/>
        <w:gridCol w:w="1248"/>
        <w:gridCol w:w="1248"/>
      </w:tblGrid>
      <w:tr>
        <w:trPr>
          <w:trHeight w:val="353" w:hRule="exact"/>
        </w:trPr>
        <w:tc>
          <w:tcPr>
            <w:tcW w:w="3702" w:type="dxa"/>
            <w:vMerge w:val="restart"/>
            <w:tcBorders>
              <w:top w:val="single" w:sz="6" w:space="0" w:color="000000"/>
              <w:left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报告期利润</w:t>
            </w:r>
          </w:p>
        </w:tc>
        <w:tc>
          <w:tcPr>
            <w:tcW w:w="2331"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本期数</w:t>
            </w:r>
          </w:p>
        </w:tc>
        <w:tc>
          <w:tcPr>
            <w:tcW w:w="2496"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3"/>
              <w:jc w:val="center"/>
              <w:rPr>
                <w:rFonts w:ascii="宋体" w:hAnsi="宋体" w:cs="宋体" w:eastAsia="宋体" w:hint="default"/>
                <w:sz w:val="16"/>
                <w:szCs w:val="16"/>
              </w:rPr>
            </w:pPr>
            <w:r>
              <w:rPr>
                <w:rFonts w:ascii="宋体" w:hAnsi="宋体" w:cs="宋体" w:eastAsia="宋体" w:hint="default"/>
                <w:sz w:val="16"/>
                <w:szCs w:val="16"/>
              </w:rPr>
              <w:t>上期数</w:t>
            </w:r>
          </w:p>
        </w:tc>
      </w:tr>
      <w:tr>
        <w:trPr>
          <w:trHeight w:val="353" w:hRule="exact"/>
        </w:trPr>
        <w:tc>
          <w:tcPr>
            <w:tcW w:w="3702" w:type="dxa"/>
            <w:vMerge/>
            <w:tcBorders>
              <w:left w:val="single" w:sz="6" w:space="0" w:color="000000"/>
              <w:bottom w:val="single" w:sz="12" w:space="0" w:color="000000"/>
              <w:right w:val="single" w:sz="6" w:space="0" w:color="000000"/>
            </w:tcBorders>
          </w:tcPr>
          <w:p>
            <w:pP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112" w:right="0"/>
              <w:jc w:val="left"/>
              <w:rPr>
                <w:rFonts w:ascii="宋体" w:hAnsi="宋体" w:cs="宋体" w:eastAsia="宋体" w:hint="default"/>
                <w:sz w:val="16"/>
                <w:szCs w:val="16"/>
              </w:rPr>
            </w:pPr>
            <w:r>
              <w:rPr>
                <w:rFonts w:ascii="宋体" w:hAnsi="宋体" w:cs="宋体" w:eastAsia="宋体" w:hint="default"/>
                <w:sz w:val="16"/>
                <w:szCs w:val="16"/>
              </w:rPr>
              <w:t>基本每股收益</w:t>
            </w:r>
          </w:p>
        </w:tc>
        <w:tc>
          <w:tcPr>
            <w:tcW w:w="11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right="72"/>
              <w:jc w:val="right"/>
              <w:rPr>
                <w:rFonts w:ascii="宋体" w:hAnsi="宋体" w:cs="宋体" w:eastAsia="宋体" w:hint="default"/>
                <w:sz w:val="16"/>
                <w:szCs w:val="16"/>
              </w:rPr>
            </w:pPr>
            <w:r>
              <w:rPr>
                <w:rFonts w:ascii="宋体" w:hAnsi="宋体" w:cs="宋体" w:eastAsia="宋体" w:hint="default"/>
                <w:spacing w:val="-1"/>
                <w:sz w:val="16"/>
                <w:szCs w:val="16"/>
              </w:rPr>
              <w:t>稀释每股收益</w:t>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136" w:right="0"/>
              <w:jc w:val="left"/>
              <w:rPr>
                <w:rFonts w:ascii="宋体" w:hAnsi="宋体" w:cs="宋体" w:eastAsia="宋体" w:hint="default"/>
                <w:sz w:val="16"/>
                <w:szCs w:val="16"/>
              </w:rPr>
            </w:pPr>
            <w:r>
              <w:rPr>
                <w:rFonts w:ascii="宋体" w:hAnsi="宋体" w:cs="宋体" w:eastAsia="宋体" w:hint="default"/>
                <w:sz w:val="16"/>
                <w:szCs w:val="16"/>
              </w:rPr>
              <w:t>基本每股收益</w:t>
            </w:r>
          </w:p>
        </w:tc>
        <w:tc>
          <w:tcPr>
            <w:tcW w:w="12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9"/>
              <w:ind w:left="139" w:right="0"/>
              <w:jc w:val="left"/>
              <w:rPr>
                <w:rFonts w:ascii="宋体" w:hAnsi="宋体" w:cs="宋体" w:eastAsia="宋体" w:hint="default"/>
                <w:sz w:val="16"/>
                <w:szCs w:val="16"/>
              </w:rPr>
            </w:pPr>
            <w:r>
              <w:rPr>
                <w:rFonts w:ascii="宋体" w:hAnsi="宋体" w:cs="宋体" w:eastAsia="宋体" w:hint="default"/>
                <w:sz w:val="16"/>
                <w:szCs w:val="16"/>
              </w:rPr>
              <w:t>稀释每股收益</w:t>
            </w:r>
          </w:p>
        </w:tc>
      </w:tr>
      <w:tr>
        <w:trPr>
          <w:trHeight w:val="353" w:hRule="exact"/>
        </w:trPr>
        <w:tc>
          <w:tcPr>
            <w:tcW w:w="3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归属于公司普通股股东的净利润（Ⅰ）</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0.2581</w:t>
            </w:r>
          </w:p>
        </w:tc>
        <w:tc>
          <w:tcPr>
            <w:tcW w:w="11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0.2561</w:t>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0.2203</w:t>
            </w:r>
          </w:p>
        </w:tc>
        <w:tc>
          <w:tcPr>
            <w:tcW w:w="12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4"/>
              <w:jc w:val="right"/>
              <w:rPr>
                <w:rFonts w:ascii="Times New Roman" w:hAnsi="Times New Roman" w:cs="Times New Roman" w:eastAsia="Times New Roman" w:hint="default"/>
                <w:sz w:val="16"/>
                <w:szCs w:val="16"/>
              </w:rPr>
            </w:pPr>
            <w:r>
              <w:rPr>
                <w:rFonts w:ascii="Times New Roman"/>
                <w:spacing w:val="-1"/>
                <w:sz w:val="16"/>
              </w:rPr>
              <w:t>0.2203</w:t>
            </w:r>
          </w:p>
        </w:tc>
      </w:tr>
      <w:tr>
        <w:trPr>
          <w:trHeight w:val="665" w:hRule="exact"/>
        </w:trPr>
        <w:tc>
          <w:tcPr>
            <w:tcW w:w="3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pacing w:val="-1"/>
                <w:sz w:val="16"/>
                <w:szCs w:val="16"/>
              </w:rPr>
              <w:t>扣除非经常性损益后归属于公司普通股股东的净利润</w:t>
            </w:r>
          </w:p>
          <w:p>
            <w:pPr>
              <w:pStyle w:val="TableParagraph"/>
              <w:spacing w:line="240" w:lineRule="auto" w:before="102"/>
              <w:ind w:left="4" w:right="0"/>
              <w:jc w:val="left"/>
              <w:rPr>
                <w:rFonts w:ascii="宋体" w:hAnsi="宋体" w:cs="宋体" w:eastAsia="宋体" w:hint="default"/>
                <w:sz w:val="16"/>
                <w:szCs w:val="16"/>
              </w:rPr>
            </w:pPr>
            <w:r>
              <w:rPr>
                <w:rFonts w:ascii="宋体" w:hAnsi="宋体" w:cs="宋体" w:eastAsia="宋体" w:hint="default"/>
                <w:sz w:val="16"/>
                <w:szCs w:val="16"/>
              </w:rPr>
              <w:t>（Ⅱ）</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0.2471</w:t>
            </w:r>
          </w:p>
        </w:tc>
        <w:tc>
          <w:tcPr>
            <w:tcW w:w="11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0.2452</w:t>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0.2076</w:t>
            </w:r>
          </w:p>
        </w:tc>
        <w:tc>
          <w:tcPr>
            <w:tcW w:w="12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4"/>
              <w:jc w:val="right"/>
              <w:rPr>
                <w:rFonts w:ascii="Times New Roman" w:hAnsi="Times New Roman" w:cs="Times New Roman" w:eastAsia="Times New Roman" w:hint="default"/>
                <w:sz w:val="16"/>
                <w:szCs w:val="16"/>
              </w:rPr>
            </w:pPr>
            <w:r>
              <w:rPr>
                <w:rFonts w:ascii="Times New Roman"/>
                <w:spacing w:val="-1"/>
                <w:sz w:val="16"/>
              </w:rPr>
              <w:t>0.2076</w:t>
            </w:r>
          </w:p>
        </w:tc>
      </w:tr>
    </w:tbl>
    <w:p>
      <w:pPr>
        <w:spacing w:line="240" w:lineRule="auto" w:before="6"/>
        <w:rPr>
          <w:rFonts w:ascii="宋体" w:hAnsi="宋体" w:cs="宋体" w:eastAsia="宋体" w:hint="default"/>
          <w:b/>
          <w:bCs/>
          <w:sz w:val="5"/>
          <w:szCs w:val="5"/>
        </w:rPr>
      </w:pPr>
    </w:p>
    <w:p>
      <w:pPr>
        <w:spacing w:before="36"/>
        <w:ind w:left="575"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、每股收益的计算过程</w:t>
      </w:r>
      <w:r>
        <w:rPr>
          <w:rFonts w:ascii="宋体" w:hAnsi="宋体" w:cs="宋体" w:eastAsia="宋体" w:hint="default"/>
          <w:sz w:val="21"/>
          <w:szCs w:val="21"/>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294"/>
        <w:gridCol w:w="1589"/>
        <w:gridCol w:w="1805"/>
        <w:gridCol w:w="1841"/>
      </w:tblGrid>
      <w:tr>
        <w:trPr>
          <w:trHeight w:val="353" w:hRule="exact"/>
        </w:trPr>
        <w:tc>
          <w:tcPr>
            <w:tcW w:w="32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7" w:right="0"/>
              <w:jc w:val="center"/>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35"/>
                <w:sz w:val="16"/>
                <w:szCs w:val="16"/>
              </w:rPr>
              <w:t> </w:t>
            </w:r>
            <w:r>
              <w:rPr>
                <w:rFonts w:ascii="宋体" w:hAnsi="宋体" w:cs="宋体" w:eastAsia="宋体" w:hint="default"/>
                <w:sz w:val="16"/>
                <w:szCs w:val="16"/>
              </w:rPr>
              <w:t>目</w:t>
            </w:r>
          </w:p>
        </w:tc>
        <w:tc>
          <w:tcPr>
            <w:tcW w:w="15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序号</w:t>
            </w:r>
          </w:p>
        </w:tc>
        <w:tc>
          <w:tcPr>
            <w:tcW w:w="1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宋体" w:hAnsi="宋体" w:cs="宋体" w:eastAsia="宋体" w:hint="default"/>
                <w:sz w:val="16"/>
                <w:szCs w:val="16"/>
              </w:rPr>
              <w:t>本期数</w:t>
            </w:r>
          </w:p>
        </w:tc>
        <w:tc>
          <w:tcPr>
            <w:tcW w:w="184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上期数</w:t>
            </w:r>
          </w:p>
        </w:tc>
      </w:tr>
      <w:tr>
        <w:trPr>
          <w:trHeight w:val="353"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归属于本公司普通股股东的净利润</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6"/>
                <w:szCs w:val="16"/>
              </w:rPr>
            </w:pPr>
            <w:r>
              <w:rPr>
                <w:rFonts w:ascii="Times New Roman"/>
                <w:w w:val="100"/>
                <w:sz w:val="16"/>
              </w:rPr>
              <w:t>1</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spacing w:val="-2"/>
                <w:sz w:val="16"/>
              </w:rPr>
              <w:t>95,341,859.82</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5"/>
              <w:jc w:val="right"/>
              <w:rPr>
                <w:rFonts w:ascii="Times New Roman" w:hAnsi="Times New Roman" w:cs="Times New Roman" w:eastAsia="Times New Roman" w:hint="default"/>
                <w:sz w:val="16"/>
                <w:szCs w:val="16"/>
              </w:rPr>
            </w:pPr>
            <w:r>
              <w:rPr>
                <w:rFonts w:ascii="Times New Roman"/>
                <w:spacing w:val="-2"/>
                <w:sz w:val="16"/>
              </w:rPr>
              <w:t>72,702,903.49</w:t>
            </w:r>
          </w:p>
        </w:tc>
      </w:tr>
      <w:tr>
        <w:trPr>
          <w:trHeight w:val="665"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9"/>
              <w:ind w:left="4" w:right="1"/>
              <w:jc w:val="left"/>
              <w:rPr>
                <w:rFonts w:ascii="宋体" w:hAnsi="宋体" w:cs="宋体" w:eastAsia="宋体" w:hint="default"/>
                <w:sz w:val="16"/>
                <w:szCs w:val="16"/>
              </w:rPr>
            </w:pPr>
            <w:r>
              <w:rPr>
                <w:rFonts w:ascii="宋体" w:hAnsi="宋体" w:cs="宋体" w:eastAsia="宋体" w:hint="default"/>
                <w:spacing w:val="2"/>
                <w:sz w:val="16"/>
                <w:szCs w:val="16"/>
              </w:rPr>
              <w:t>扣除所得税影响后归属于母公司普通股股东净</w:t>
            </w:r>
            <w:r>
              <w:rPr>
                <w:rFonts w:ascii="宋体" w:hAnsi="宋体" w:cs="宋体" w:eastAsia="宋体" w:hint="default"/>
                <w:spacing w:val="-55"/>
                <w:sz w:val="16"/>
                <w:szCs w:val="16"/>
              </w:rPr>
              <w:t> </w:t>
            </w:r>
            <w:r>
              <w:rPr>
                <w:rFonts w:ascii="宋体" w:hAnsi="宋体" w:cs="宋体" w:eastAsia="宋体" w:hint="default"/>
                <w:spacing w:val="-55"/>
                <w:sz w:val="16"/>
                <w:szCs w:val="16"/>
              </w:rPr>
            </w:r>
            <w:r>
              <w:rPr>
                <w:rFonts w:ascii="宋体" w:hAnsi="宋体" w:cs="宋体" w:eastAsia="宋体" w:hint="default"/>
                <w:sz w:val="16"/>
                <w:szCs w:val="16"/>
              </w:rPr>
              <w:t>利润的非经常性损益</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5"/>
              <w:ind w:left="4" w:right="0"/>
              <w:jc w:val="left"/>
              <w:rPr>
                <w:rFonts w:ascii="Times New Roman" w:hAnsi="Times New Roman" w:cs="Times New Roman" w:eastAsia="Times New Roman" w:hint="default"/>
                <w:sz w:val="16"/>
                <w:szCs w:val="16"/>
              </w:rPr>
            </w:pPr>
            <w:r>
              <w:rPr>
                <w:rFonts w:ascii="Times New Roman"/>
                <w:w w:val="100"/>
                <w:sz w:val="16"/>
              </w:rPr>
              <w:t>2</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5"/>
              <w:ind w:right="1"/>
              <w:jc w:val="right"/>
              <w:rPr>
                <w:rFonts w:ascii="Times New Roman" w:hAnsi="Times New Roman" w:cs="Times New Roman" w:eastAsia="Times New Roman" w:hint="default"/>
                <w:sz w:val="16"/>
                <w:szCs w:val="16"/>
              </w:rPr>
            </w:pPr>
            <w:r>
              <w:rPr>
                <w:rFonts w:ascii="Times New Roman"/>
                <w:spacing w:val="-1"/>
                <w:sz w:val="16"/>
              </w:rPr>
              <w:t>4,038,937.34</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5"/>
              <w:ind w:right="5"/>
              <w:jc w:val="right"/>
              <w:rPr>
                <w:rFonts w:ascii="Times New Roman" w:hAnsi="Times New Roman" w:cs="Times New Roman" w:eastAsia="Times New Roman" w:hint="default"/>
                <w:sz w:val="16"/>
                <w:szCs w:val="16"/>
              </w:rPr>
            </w:pPr>
            <w:r>
              <w:rPr>
                <w:rFonts w:ascii="Times New Roman"/>
                <w:spacing w:val="-1"/>
                <w:sz w:val="16"/>
              </w:rPr>
              <w:t>4,188,502.99</w:t>
            </w:r>
          </w:p>
        </w:tc>
      </w:tr>
      <w:tr>
        <w:trPr>
          <w:trHeight w:val="662"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6"/>
              <w:ind w:left="4" w:right="1"/>
              <w:jc w:val="left"/>
              <w:rPr>
                <w:rFonts w:ascii="宋体" w:hAnsi="宋体" w:cs="宋体" w:eastAsia="宋体" w:hint="default"/>
                <w:sz w:val="16"/>
                <w:szCs w:val="16"/>
              </w:rPr>
            </w:pPr>
            <w:r>
              <w:rPr>
                <w:rFonts w:ascii="宋体" w:hAnsi="宋体" w:cs="宋体" w:eastAsia="宋体" w:hint="default"/>
                <w:spacing w:val="2"/>
                <w:sz w:val="16"/>
                <w:szCs w:val="16"/>
              </w:rPr>
              <w:t>扣除非经常性损益后的归属于本公司普通股股</w:t>
            </w:r>
            <w:r>
              <w:rPr>
                <w:rFonts w:ascii="宋体" w:hAnsi="宋体" w:cs="宋体" w:eastAsia="宋体" w:hint="default"/>
                <w:spacing w:val="-55"/>
                <w:sz w:val="16"/>
                <w:szCs w:val="16"/>
              </w:rPr>
              <w:t> </w:t>
            </w:r>
            <w:r>
              <w:rPr>
                <w:rFonts w:ascii="宋体" w:hAnsi="宋体" w:cs="宋体" w:eastAsia="宋体" w:hint="default"/>
                <w:spacing w:val="-55"/>
                <w:sz w:val="16"/>
                <w:szCs w:val="16"/>
              </w:rPr>
            </w:r>
            <w:r>
              <w:rPr>
                <w:rFonts w:ascii="宋体" w:hAnsi="宋体" w:cs="宋体" w:eastAsia="宋体" w:hint="default"/>
                <w:sz w:val="16"/>
                <w:szCs w:val="16"/>
              </w:rPr>
              <w:t>东的净利润</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6"/>
                <w:szCs w:val="16"/>
              </w:rPr>
            </w:pPr>
            <w:r>
              <w:rPr>
                <w:rFonts w:ascii="Times New Roman"/>
                <w:sz w:val="16"/>
              </w:rPr>
              <w:t>3=1-2</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2"/>
                <w:sz w:val="16"/>
              </w:rPr>
              <w:t>91,302,922.48</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6"/>
                <w:szCs w:val="16"/>
              </w:rPr>
            </w:pPr>
            <w:r>
              <w:rPr>
                <w:rFonts w:ascii="Times New Roman"/>
                <w:spacing w:val="-2"/>
                <w:sz w:val="16"/>
              </w:rPr>
              <w:t>68,514,400.50</w:t>
            </w:r>
          </w:p>
        </w:tc>
      </w:tr>
      <w:tr>
        <w:trPr>
          <w:trHeight w:val="353"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期初股份总数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6"/>
                <w:szCs w:val="16"/>
              </w:rPr>
            </w:pPr>
            <w:r>
              <w:rPr>
                <w:rFonts w:ascii="Times New Roman"/>
                <w:w w:val="100"/>
                <w:sz w:val="16"/>
              </w:rPr>
              <w:t>4</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6"/>
                <w:szCs w:val="16"/>
              </w:rPr>
            </w:pPr>
            <w:r>
              <w:rPr>
                <w:rFonts w:ascii="Times New Roman"/>
                <w:spacing w:val="-1"/>
                <w:sz w:val="16"/>
              </w:rPr>
              <w:t>165,000,000.00</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5"/>
              <w:jc w:val="right"/>
              <w:rPr>
                <w:rFonts w:ascii="Times New Roman" w:hAnsi="Times New Roman" w:cs="Times New Roman" w:eastAsia="Times New Roman" w:hint="default"/>
                <w:sz w:val="16"/>
                <w:szCs w:val="16"/>
              </w:rPr>
            </w:pPr>
            <w:r>
              <w:rPr>
                <w:rFonts w:ascii="Times New Roman"/>
                <w:spacing w:val="-1"/>
                <w:sz w:val="16"/>
              </w:rPr>
              <w:t>165,000,000.00</w:t>
            </w:r>
          </w:p>
        </w:tc>
      </w:tr>
      <w:tr>
        <w:trPr>
          <w:trHeight w:val="665"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9"/>
              <w:ind w:left="4" w:right="1"/>
              <w:jc w:val="left"/>
              <w:rPr>
                <w:rFonts w:ascii="宋体" w:hAnsi="宋体" w:cs="宋体" w:eastAsia="宋体" w:hint="default"/>
                <w:sz w:val="16"/>
                <w:szCs w:val="16"/>
              </w:rPr>
            </w:pPr>
            <w:r>
              <w:rPr>
                <w:rFonts w:ascii="宋体" w:hAnsi="宋体" w:cs="宋体" w:eastAsia="宋体" w:hint="default"/>
                <w:spacing w:val="2"/>
                <w:sz w:val="16"/>
                <w:szCs w:val="16"/>
              </w:rPr>
              <w:t>报告期因公积金转增股本或股票股利分配等增</w:t>
            </w:r>
            <w:r>
              <w:rPr>
                <w:rFonts w:ascii="宋体" w:hAnsi="宋体" w:cs="宋体" w:eastAsia="宋体" w:hint="default"/>
                <w:spacing w:val="-55"/>
                <w:sz w:val="16"/>
                <w:szCs w:val="16"/>
              </w:rPr>
              <w:t> </w:t>
            </w:r>
            <w:r>
              <w:rPr>
                <w:rFonts w:ascii="宋体" w:hAnsi="宋体" w:cs="宋体" w:eastAsia="宋体" w:hint="default"/>
                <w:spacing w:val="-55"/>
                <w:sz w:val="16"/>
                <w:szCs w:val="16"/>
              </w:rPr>
            </w:r>
            <w:r>
              <w:rPr>
                <w:rFonts w:ascii="宋体" w:hAnsi="宋体" w:cs="宋体" w:eastAsia="宋体" w:hint="default"/>
                <w:sz w:val="16"/>
                <w:szCs w:val="16"/>
              </w:rPr>
              <w:t>加的股份数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6"/>
                <w:szCs w:val="16"/>
              </w:rPr>
            </w:pPr>
            <w:r>
              <w:rPr>
                <w:rFonts w:ascii="Times New Roman"/>
                <w:w w:val="100"/>
                <w:sz w:val="16"/>
              </w:rPr>
              <w:t>5</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6"/>
                <w:szCs w:val="16"/>
              </w:rPr>
            </w:pPr>
            <w:r>
              <w:rPr>
                <w:rFonts w:ascii="Times New Roman"/>
                <w:spacing w:val="-1"/>
                <w:sz w:val="16"/>
              </w:rPr>
              <w:t>165,000,000.00</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9"/>
              <w:ind w:right="0"/>
              <w:jc w:val="righ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165,000,000.00</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注</w:t>
            </w:r>
            <w:r>
              <w:rPr>
                <w:rFonts w:ascii="Times New Roman" w:hAnsi="Times New Roman" w:cs="Times New Roman" w:eastAsia="Times New Roman" w:hint="default"/>
                <w:sz w:val="16"/>
                <w:szCs w:val="16"/>
              </w:rPr>
              <w:t>1)</w:t>
            </w:r>
          </w:p>
        </w:tc>
      </w:tr>
      <w:tr>
        <w:trPr>
          <w:trHeight w:val="353"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报告期因发行新股或债转股等增加的股份数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6"/>
                <w:szCs w:val="16"/>
              </w:rPr>
            </w:pPr>
            <w:r>
              <w:rPr>
                <w:rFonts w:ascii="Times New Roman"/>
                <w:w w:val="100"/>
                <w:sz w:val="16"/>
              </w:rPr>
              <w:t>6</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6"/>
                <w:szCs w:val="16"/>
              </w:rPr>
            </w:pPr>
            <w:r>
              <w:rPr>
                <w:rFonts w:ascii="Times New Roman"/>
                <w:spacing w:val="-2"/>
                <w:sz w:val="16"/>
              </w:rPr>
              <w:t>78,869,000.00</w:t>
            </w:r>
          </w:p>
        </w:tc>
        <w:tc>
          <w:tcPr>
            <w:tcW w:w="1841"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3294"/>
        <w:gridCol w:w="1589"/>
        <w:gridCol w:w="1805"/>
        <w:gridCol w:w="1841"/>
      </w:tblGrid>
      <w:tr>
        <w:trPr>
          <w:trHeight w:val="356" w:hRule="exact"/>
        </w:trPr>
        <w:tc>
          <w:tcPr>
            <w:tcW w:w="3294" w:type="dxa"/>
            <w:vMerge w:val="restart"/>
            <w:tcBorders>
              <w:top w:val="single" w:sz="6" w:space="0" w:color="000000"/>
              <w:left w:val="single" w:sz="6" w:space="0" w:color="000000"/>
              <w:right w:val="single" w:sz="6" w:space="0" w:color="000000"/>
            </w:tcBorders>
          </w:tcPr>
          <w:p>
            <w:pPr/>
          </w:p>
        </w:tc>
        <w:tc>
          <w:tcPr>
            <w:tcW w:w="15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4" w:right="0"/>
              <w:jc w:val="left"/>
              <w:rPr>
                <w:rFonts w:ascii="Times New Roman" w:hAnsi="Times New Roman" w:cs="Times New Roman" w:eastAsia="Times New Roman" w:hint="default"/>
                <w:sz w:val="16"/>
                <w:szCs w:val="16"/>
              </w:rPr>
            </w:pPr>
            <w:r>
              <w:rPr>
                <w:rFonts w:ascii="Times New Roman"/>
                <w:w w:val="100"/>
                <w:sz w:val="16"/>
              </w:rPr>
              <w:t>6</w:t>
            </w:r>
          </w:p>
        </w:tc>
        <w:tc>
          <w:tcPr>
            <w:tcW w:w="1805" w:type="dxa"/>
            <w:tcBorders>
              <w:top w:val="single" w:sz="6" w:space="0" w:color="000000"/>
              <w:left w:val="single" w:sz="6" w:space="0" w:color="000000"/>
              <w:bottom w:val="single" w:sz="12" w:space="0" w:color="000000"/>
              <w:right w:val="single" w:sz="6" w:space="0" w:color="000000"/>
            </w:tcBorders>
          </w:tcPr>
          <w:p>
            <w:pPr/>
          </w:p>
        </w:tc>
        <w:tc>
          <w:tcPr>
            <w:tcW w:w="1841" w:type="dxa"/>
            <w:tcBorders>
              <w:top w:val="single" w:sz="6" w:space="0" w:color="000000"/>
              <w:left w:val="single" w:sz="6" w:space="0" w:color="000000"/>
              <w:bottom w:val="single" w:sz="12" w:space="0" w:color="000000"/>
              <w:right w:val="nil" w:sz="6" w:space="0" w:color="auto"/>
            </w:tcBorders>
          </w:tcPr>
          <w:p>
            <w:pPr/>
          </w:p>
        </w:tc>
      </w:tr>
      <w:tr>
        <w:trPr>
          <w:trHeight w:val="350" w:hRule="exact"/>
        </w:trPr>
        <w:tc>
          <w:tcPr>
            <w:tcW w:w="3294" w:type="dxa"/>
            <w:vMerge/>
            <w:tcBorders>
              <w:left w:val="single" w:sz="6" w:space="0" w:color="000000"/>
              <w:bottom w:val="single" w:sz="12" w:space="0" w:color="000000"/>
              <w:right w:val="single" w:sz="6" w:space="0" w:color="000000"/>
            </w:tcBorders>
          </w:tcPr>
          <w:p>
            <w:pP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6"/>
                <w:szCs w:val="16"/>
              </w:rPr>
            </w:pPr>
            <w:r>
              <w:rPr>
                <w:rFonts w:ascii="Times New Roman"/>
                <w:w w:val="100"/>
                <w:sz w:val="16"/>
              </w:rPr>
              <w:t>6</w:t>
            </w:r>
          </w:p>
        </w:tc>
        <w:tc>
          <w:tcPr>
            <w:tcW w:w="1805" w:type="dxa"/>
            <w:tcBorders>
              <w:top w:val="single" w:sz="12" w:space="0" w:color="000000"/>
              <w:left w:val="single" w:sz="6" w:space="0" w:color="000000"/>
              <w:bottom w:val="single" w:sz="12" w:space="0" w:color="000000"/>
              <w:right w:val="single" w:sz="6" w:space="0" w:color="000000"/>
            </w:tcBorders>
          </w:tcPr>
          <w:p>
            <w:pPr/>
          </w:p>
        </w:tc>
        <w:tc>
          <w:tcPr>
            <w:tcW w:w="184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294" w:type="dxa"/>
            <w:vMerge w:val="restart"/>
            <w:tcBorders>
              <w:top w:val="single" w:sz="12" w:space="0" w:color="000000"/>
              <w:left w:val="single" w:sz="6" w:space="0" w:color="000000"/>
              <w:right w:val="single" w:sz="6" w:space="0" w:color="000000"/>
            </w:tcBorders>
          </w:tcPr>
          <w:p>
            <w:pPr>
              <w:pStyle w:val="TableParagraph"/>
              <w:spacing w:line="357" w:lineRule="auto" w:before="29"/>
              <w:ind w:left="4" w:right="1"/>
              <w:jc w:val="left"/>
              <w:rPr>
                <w:rFonts w:ascii="宋体" w:hAnsi="宋体" w:cs="宋体" w:eastAsia="宋体" w:hint="default"/>
                <w:sz w:val="16"/>
                <w:szCs w:val="16"/>
              </w:rPr>
            </w:pPr>
            <w:r>
              <w:rPr>
                <w:rFonts w:ascii="宋体" w:hAnsi="宋体" w:cs="宋体" w:eastAsia="宋体" w:hint="default"/>
                <w:spacing w:val="2"/>
                <w:sz w:val="16"/>
                <w:szCs w:val="16"/>
              </w:rPr>
              <w:t>发行新股或债转股等增加股份下一月份起至报</w:t>
            </w:r>
            <w:r>
              <w:rPr>
                <w:rFonts w:ascii="宋体" w:hAnsi="宋体" w:cs="宋体" w:eastAsia="宋体" w:hint="default"/>
                <w:spacing w:val="-55"/>
                <w:sz w:val="16"/>
                <w:szCs w:val="16"/>
              </w:rPr>
              <w:t> </w:t>
            </w:r>
            <w:r>
              <w:rPr>
                <w:rFonts w:ascii="宋体" w:hAnsi="宋体" w:cs="宋体" w:eastAsia="宋体" w:hint="default"/>
                <w:spacing w:val="-55"/>
                <w:sz w:val="16"/>
                <w:szCs w:val="16"/>
              </w:rPr>
            </w:r>
            <w:r>
              <w:rPr>
                <w:rFonts w:ascii="宋体" w:hAnsi="宋体" w:cs="宋体" w:eastAsia="宋体" w:hint="default"/>
                <w:sz w:val="16"/>
                <w:szCs w:val="16"/>
              </w:rPr>
              <w:t>告期年末的月份数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6"/>
                <w:szCs w:val="16"/>
              </w:rPr>
            </w:pPr>
            <w:r>
              <w:rPr>
                <w:rFonts w:ascii="Times New Roman"/>
                <w:w w:val="100"/>
                <w:sz w:val="16"/>
              </w:rPr>
              <w:t>7</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w w:val="100"/>
                <w:sz w:val="16"/>
              </w:rPr>
              <w:t>6</w:t>
            </w:r>
          </w:p>
        </w:tc>
        <w:tc>
          <w:tcPr>
            <w:tcW w:w="184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294" w:type="dxa"/>
            <w:vMerge/>
            <w:tcBorders>
              <w:left w:val="single" w:sz="6" w:space="0" w:color="000000"/>
              <w:right w:val="single" w:sz="6" w:space="0" w:color="000000"/>
            </w:tcBorders>
          </w:tcPr>
          <w:p>
            <w:pP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6"/>
                <w:szCs w:val="16"/>
              </w:rPr>
            </w:pPr>
            <w:r>
              <w:rPr>
                <w:rFonts w:ascii="Times New Roman"/>
                <w:w w:val="100"/>
                <w:sz w:val="16"/>
              </w:rPr>
              <w:t>7</w:t>
            </w:r>
          </w:p>
        </w:tc>
        <w:tc>
          <w:tcPr>
            <w:tcW w:w="1805" w:type="dxa"/>
            <w:tcBorders>
              <w:top w:val="single" w:sz="12" w:space="0" w:color="000000"/>
              <w:left w:val="single" w:sz="6" w:space="0" w:color="000000"/>
              <w:bottom w:val="single" w:sz="12" w:space="0" w:color="000000"/>
              <w:right w:val="single" w:sz="6" w:space="0" w:color="000000"/>
            </w:tcBorders>
          </w:tcPr>
          <w:p>
            <w:pPr/>
          </w:p>
        </w:tc>
        <w:tc>
          <w:tcPr>
            <w:tcW w:w="1841"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3294" w:type="dxa"/>
            <w:vMerge/>
            <w:tcBorders>
              <w:left w:val="single" w:sz="6" w:space="0" w:color="000000"/>
              <w:bottom w:val="single" w:sz="12" w:space="0" w:color="000000"/>
              <w:right w:val="single" w:sz="6" w:space="0" w:color="000000"/>
            </w:tcBorders>
          </w:tcPr>
          <w:p>
            <w:pP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6"/>
                <w:szCs w:val="16"/>
              </w:rPr>
            </w:pPr>
            <w:r>
              <w:rPr>
                <w:rFonts w:ascii="Times New Roman"/>
                <w:w w:val="100"/>
                <w:sz w:val="16"/>
              </w:rPr>
              <w:t>7</w:t>
            </w:r>
          </w:p>
        </w:tc>
        <w:tc>
          <w:tcPr>
            <w:tcW w:w="1805" w:type="dxa"/>
            <w:tcBorders>
              <w:top w:val="single" w:sz="12" w:space="0" w:color="000000"/>
              <w:left w:val="single" w:sz="6" w:space="0" w:color="000000"/>
              <w:bottom w:val="single" w:sz="12" w:space="0" w:color="000000"/>
              <w:right w:val="single" w:sz="6" w:space="0" w:color="000000"/>
            </w:tcBorders>
          </w:tcPr>
          <w:p>
            <w:pPr/>
          </w:p>
        </w:tc>
        <w:tc>
          <w:tcPr>
            <w:tcW w:w="184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报告期因回购等减少的股份数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6"/>
                <w:szCs w:val="16"/>
              </w:rPr>
            </w:pPr>
            <w:r>
              <w:rPr>
                <w:rFonts w:ascii="Times New Roman"/>
                <w:w w:val="100"/>
                <w:sz w:val="16"/>
              </w:rPr>
              <w:t>8</w:t>
            </w:r>
          </w:p>
        </w:tc>
        <w:tc>
          <w:tcPr>
            <w:tcW w:w="1805" w:type="dxa"/>
            <w:tcBorders>
              <w:top w:val="single" w:sz="12" w:space="0" w:color="000000"/>
              <w:left w:val="single" w:sz="6" w:space="0" w:color="000000"/>
              <w:bottom w:val="single" w:sz="12" w:space="0" w:color="000000"/>
              <w:right w:val="single" w:sz="6" w:space="0" w:color="000000"/>
            </w:tcBorders>
          </w:tcPr>
          <w:p>
            <w:pPr/>
          </w:p>
        </w:tc>
        <w:tc>
          <w:tcPr>
            <w:tcW w:w="184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减少股份下一月份起至报告期年末的月份数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6"/>
                <w:szCs w:val="16"/>
              </w:rPr>
            </w:pPr>
            <w:r>
              <w:rPr>
                <w:rFonts w:ascii="Times New Roman"/>
                <w:w w:val="100"/>
                <w:sz w:val="16"/>
              </w:rPr>
              <w:t>9</w:t>
            </w:r>
          </w:p>
        </w:tc>
        <w:tc>
          <w:tcPr>
            <w:tcW w:w="1805" w:type="dxa"/>
            <w:tcBorders>
              <w:top w:val="single" w:sz="12" w:space="0" w:color="000000"/>
              <w:left w:val="single" w:sz="6" w:space="0" w:color="000000"/>
              <w:bottom w:val="single" w:sz="12" w:space="0" w:color="000000"/>
              <w:right w:val="single" w:sz="6" w:space="0" w:color="000000"/>
            </w:tcBorders>
          </w:tcPr>
          <w:p>
            <w:pPr/>
          </w:p>
        </w:tc>
        <w:tc>
          <w:tcPr>
            <w:tcW w:w="1841"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报告期缩股数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6"/>
                <w:szCs w:val="16"/>
              </w:rPr>
            </w:pPr>
            <w:r>
              <w:rPr>
                <w:rFonts w:ascii="Times New Roman"/>
                <w:sz w:val="16"/>
              </w:rPr>
              <w:t>10</w:t>
            </w:r>
          </w:p>
        </w:tc>
        <w:tc>
          <w:tcPr>
            <w:tcW w:w="1805" w:type="dxa"/>
            <w:tcBorders>
              <w:top w:val="single" w:sz="12" w:space="0" w:color="000000"/>
              <w:left w:val="single" w:sz="6" w:space="0" w:color="000000"/>
              <w:bottom w:val="single" w:sz="12" w:space="0" w:color="000000"/>
              <w:right w:val="single" w:sz="6" w:space="0" w:color="000000"/>
            </w:tcBorders>
          </w:tcPr>
          <w:p>
            <w:pPr/>
          </w:p>
        </w:tc>
        <w:tc>
          <w:tcPr>
            <w:tcW w:w="184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报告期月份数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6"/>
                <w:szCs w:val="16"/>
              </w:rPr>
            </w:pPr>
            <w:r>
              <w:rPr>
                <w:rFonts w:ascii="Times New Roman"/>
                <w:sz w:val="16"/>
              </w:rPr>
              <w:t>11</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sz w:val="16"/>
              </w:rPr>
              <w:t>12</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2"/>
              <w:jc w:val="right"/>
              <w:rPr>
                <w:rFonts w:ascii="Times New Roman" w:hAnsi="Times New Roman" w:cs="Times New Roman" w:eastAsia="Times New Roman" w:hint="default"/>
                <w:sz w:val="16"/>
                <w:szCs w:val="16"/>
              </w:rPr>
            </w:pPr>
            <w:r>
              <w:rPr>
                <w:rFonts w:ascii="Times New Roman"/>
                <w:sz w:val="16"/>
              </w:rPr>
              <w:t>12</w:t>
            </w:r>
          </w:p>
        </w:tc>
      </w:tr>
      <w:tr>
        <w:trPr>
          <w:trHeight w:val="665"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发行在外的普通股加权平均数（Ⅱ）</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12=4+5+6×7</w:t>
            </w:r>
          </w:p>
          <w:p>
            <w:pPr>
              <w:pStyle w:val="TableParagraph"/>
              <w:spacing w:line="240" w:lineRule="auto" w:before="128"/>
              <w:ind w:left="7"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÷11-8×9÷11-10</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369,434,500.00</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6"/>
              <w:ind w:right="0"/>
              <w:jc w:val="righ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330,000,000.00</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注</w:t>
            </w:r>
            <w:r>
              <w:rPr>
                <w:rFonts w:ascii="Times New Roman" w:hAnsi="Times New Roman" w:cs="Times New Roman" w:eastAsia="Times New Roman" w:hint="default"/>
                <w:sz w:val="16"/>
                <w:szCs w:val="16"/>
              </w:rPr>
              <w:t>1)</w:t>
            </w:r>
          </w:p>
        </w:tc>
      </w:tr>
      <w:tr>
        <w:trPr>
          <w:trHeight w:val="663"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7"/>
              <w:ind w:left="4" w:right="1"/>
              <w:jc w:val="left"/>
              <w:rPr>
                <w:rFonts w:ascii="宋体" w:hAnsi="宋体" w:cs="宋体" w:eastAsia="宋体" w:hint="default"/>
                <w:sz w:val="16"/>
                <w:szCs w:val="16"/>
              </w:rPr>
            </w:pPr>
            <w:r>
              <w:rPr>
                <w:rFonts w:ascii="宋体" w:hAnsi="宋体" w:cs="宋体" w:eastAsia="宋体" w:hint="default"/>
                <w:spacing w:val="2"/>
                <w:sz w:val="16"/>
                <w:szCs w:val="16"/>
              </w:rPr>
              <w:t>因同一控制下企业合并而调整的发行在外的普</w:t>
            </w:r>
            <w:r>
              <w:rPr>
                <w:rFonts w:ascii="宋体" w:hAnsi="宋体" w:cs="宋体" w:eastAsia="宋体" w:hint="default"/>
                <w:spacing w:val="-55"/>
                <w:sz w:val="16"/>
                <w:szCs w:val="16"/>
              </w:rPr>
              <w:t> </w:t>
            </w:r>
            <w:r>
              <w:rPr>
                <w:rFonts w:ascii="宋体" w:hAnsi="宋体" w:cs="宋体" w:eastAsia="宋体" w:hint="default"/>
                <w:spacing w:val="-55"/>
                <w:sz w:val="16"/>
                <w:szCs w:val="16"/>
              </w:rPr>
            </w:r>
            <w:r>
              <w:rPr>
                <w:rFonts w:ascii="宋体" w:hAnsi="宋体" w:cs="宋体" w:eastAsia="宋体" w:hint="default"/>
                <w:sz w:val="16"/>
                <w:szCs w:val="16"/>
              </w:rPr>
              <w:t>通股加权平均数（Ⅰ）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6"/>
                <w:szCs w:val="16"/>
              </w:rPr>
            </w:pPr>
            <w:r>
              <w:rPr>
                <w:rFonts w:ascii="Times New Roman"/>
                <w:sz w:val="16"/>
              </w:rPr>
              <w:t>13</w:t>
            </w:r>
          </w:p>
        </w:tc>
        <w:tc>
          <w:tcPr>
            <w:tcW w:w="1805" w:type="dxa"/>
            <w:tcBorders>
              <w:top w:val="single" w:sz="12" w:space="0" w:color="000000"/>
              <w:left w:val="single" w:sz="6" w:space="0" w:color="000000"/>
              <w:bottom w:val="single" w:sz="12" w:space="0" w:color="000000"/>
              <w:right w:val="single" w:sz="6" w:space="0" w:color="000000"/>
            </w:tcBorders>
          </w:tcPr>
          <w:p>
            <w:pPr/>
          </w:p>
        </w:tc>
        <w:tc>
          <w:tcPr>
            <w:tcW w:w="184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基本每股收益（Ⅰ）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14=1÷13</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spacing w:val="-1"/>
                <w:sz w:val="16"/>
              </w:rPr>
              <w:t>0.2581</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4"/>
              <w:jc w:val="right"/>
              <w:rPr>
                <w:rFonts w:ascii="Times New Roman" w:hAnsi="Times New Roman" w:cs="Times New Roman" w:eastAsia="Times New Roman" w:hint="default"/>
                <w:sz w:val="16"/>
                <w:szCs w:val="16"/>
              </w:rPr>
            </w:pPr>
            <w:r>
              <w:rPr>
                <w:rFonts w:ascii="Times New Roman"/>
                <w:spacing w:val="-1"/>
                <w:sz w:val="16"/>
              </w:rPr>
              <w:t>0.2203</w:t>
            </w:r>
          </w:p>
        </w:tc>
      </w:tr>
      <w:tr>
        <w:trPr>
          <w:trHeight w:val="353"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基本每股收益（Ⅱ）</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15=3÷12</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0.2471</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4"/>
              <w:jc w:val="right"/>
              <w:rPr>
                <w:rFonts w:ascii="Times New Roman" w:hAnsi="Times New Roman" w:cs="Times New Roman" w:eastAsia="Times New Roman" w:hint="default"/>
                <w:sz w:val="16"/>
                <w:szCs w:val="16"/>
              </w:rPr>
            </w:pPr>
            <w:r>
              <w:rPr>
                <w:rFonts w:ascii="Times New Roman"/>
                <w:spacing w:val="-1"/>
                <w:sz w:val="16"/>
              </w:rPr>
              <w:t>0.2076</w:t>
            </w:r>
          </w:p>
        </w:tc>
      </w:tr>
      <w:tr>
        <w:trPr>
          <w:trHeight w:val="662"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6"/>
              <w:ind w:left="4" w:right="1"/>
              <w:jc w:val="left"/>
              <w:rPr>
                <w:rFonts w:ascii="宋体" w:hAnsi="宋体" w:cs="宋体" w:eastAsia="宋体" w:hint="default"/>
                <w:sz w:val="16"/>
                <w:szCs w:val="16"/>
              </w:rPr>
            </w:pPr>
            <w:r>
              <w:rPr>
                <w:rFonts w:ascii="宋体" w:hAnsi="宋体" w:cs="宋体" w:eastAsia="宋体" w:hint="default"/>
                <w:spacing w:val="2"/>
                <w:sz w:val="16"/>
                <w:szCs w:val="16"/>
              </w:rPr>
              <w:t>已确认为费用的稀释性潜在普通股利息及其他</w:t>
            </w:r>
            <w:r>
              <w:rPr>
                <w:rFonts w:ascii="宋体" w:hAnsi="宋体" w:cs="宋体" w:eastAsia="宋体" w:hint="default"/>
                <w:spacing w:val="-55"/>
                <w:sz w:val="16"/>
                <w:szCs w:val="16"/>
              </w:rPr>
              <w:t> </w:t>
            </w:r>
            <w:r>
              <w:rPr>
                <w:rFonts w:ascii="宋体" w:hAnsi="宋体" w:cs="宋体" w:eastAsia="宋体" w:hint="default"/>
                <w:spacing w:val="-55"/>
                <w:sz w:val="16"/>
                <w:szCs w:val="16"/>
              </w:rPr>
            </w:r>
            <w:r>
              <w:rPr>
                <w:rFonts w:ascii="宋体" w:hAnsi="宋体" w:cs="宋体" w:eastAsia="宋体" w:hint="default"/>
                <w:sz w:val="16"/>
                <w:szCs w:val="16"/>
              </w:rPr>
              <w:t>影响因素</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6"/>
                <w:szCs w:val="16"/>
              </w:rPr>
            </w:pPr>
            <w:r>
              <w:rPr>
                <w:rFonts w:ascii="Times New Roman"/>
                <w:sz w:val="16"/>
              </w:rPr>
              <w:t>16</w:t>
            </w:r>
          </w:p>
        </w:tc>
        <w:tc>
          <w:tcPr>
            <w:tcW w:w="1805" w:type="dxa"/>
            <w:tcBorders>
              <w:top w:val="single" w:sz="12" w:space="0" w:color="000000"/>
              <w:left w:val="single" w:sz="6" w:space="0" w:color="000000"/>
              <w:bottom w:val="single" w:sz="12" w:space="0" w:color="000000"/>
              <w:right w:val="single" w:sz="6" w:space="0" w:color="000000"/>
            </w:tcBorders>
          </w:tcPr>
          <w:p>
            <w:pPr/>
          </w:p>
        </w:tc>
        <w:tc>
          <w:tcPr>
            <w:tcW w:w="184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所得税率</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6"/>
                <w:szCs w:val="16"/>
              </w:rPr>
            </w:pPr>
            <w:r>
              <w:rPr>
                <w:rFonts w:ascii="Times New Roman"/>
                <w:sz w:val="16"/>
              </w:rPr>
              <w:t>17</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6"/>
                <w:szCs w:val="16"/>
              </w:rPr>
            </w:pPr>
            <w:r>
              <w:rPr>
                <w:rFonts w:ascii="Times New Roman"/>
                <w:spacing w:val="-1"/>
                <w:sz w:val="16"/>
              </w:rPr>
              <w:t>15%</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3"/>
              <w:jc w:val="right"/>
              <w:rPr>
                <w:rFonts w:ascii="Times New Roman" w:hAnsi="Times New Roman" w:cs="Times New Roman" w:eastAsia="Times New Roman" w:hint="default"/>
                <w:sz w:val="16"/>
                <w:szCs w:val="16"/>
              </w:rPr>
            </w:pPr>
            <w:r>
              <w:rPr>
                <w:rFonts w:ascii="Times New Roman"/>
                <w:spacing w:val="-1"/>
                <w:sz w:val="16"/>
              </w:rPr>
              <w:t>15%</w:t>
            </w:r>
          </w:p>
        </w:tc>
      </w:tr>
      <w:tr>
        <w:trPr>
          <w:trHeight w:val="353"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转换费用</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6"/>
                <w:szCs w:val="16"/>
              </w:rPr>
            </w:pPr>
            <w:r>
              <w:rPr>
                <w:rFonts w:ascii="Times New Roman"/>
                <w:sz w:val="16"/>
              </w:rPr>
              <w:t>18</w:t>
            </w:r>
          </w:p>
        </w:tc>
        <w:tc>
          <w:tcPr>
            <w:tcW w:w="1805" w:type="dxa"/>
            <w:tcBorders>
              <w:top w:val="single" w:sz="12" w:space="0" w:color="000000"/>
              <w:left w:val="single" w:sz="6" w:space="0" w:color="000000"/>
              <w:bottom w:val="single" w:sz="12" w:space="0" w:color="000000"/>
              <w:right w:val="single" w:sz="6" w:space="0" w:color="000000"/>
            </w:tcBorders>
          </w:tcPr>
          <w:p>
            <w:pPr/>
          </w:p>
        </w:tc>
        <w:tc>
          <w:tcPr>
            <w:tcW w:w="1841" w:type="dxa"/>
            <w:tcBorders>
              <w:top w:val="single" w:sz="12" w:space="0" w:color="000000"/>
              <w:left w:val="single" w:sz="6" w:space="0" w:color="000000"/>
              <w:bottom w:val="single" w:sz="12" w:space="0" w:color="000000"/>
              <w:right w:val="nil" w:sz="6" w:space="0" w:color="auto"/>
            </w:tcBorders>
          </w:tcPr>
          <w:p>
            <w:pPr/>
          </w:p>
        </w:tc>
      </w:tr>
      <w:tr>
        <w:trPr>
          <w:trHeight w:val="662"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6"/>
              <w:ind w:left="4" w:right="0"/>
              <w:jc w:val="left"/>
              <w:rPr>
                <w:rFonts w:ascii="宋体" w:hAnsi="宋体" w:cs="宋体" w:eastAsia="宋体" w:hint="default"/>
                <w:sz w:val="16"/>
                <w:szCs w:val="16"/>
              </w:rPr>
            </w:pPr>
            <w:r>
              <w:rPr>
                <w:rFonts w:ascii="宋体" w:hAnsi="宋体" w:cs="宋体" w:eastAsia="宋体" w:hint="default"/>
                <w:spacing w:val="2"/>
                <w:sz w:val="16"/>
                <w:szCs w:val="16"/>
              </w:rPr>
              <w:t>可转换公司债券、认股权证、股份期权等转换</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z w:val="16"/>
                <w:szCs w:val="16"/>
              </w:rPr>
              <w:t>或行权而增加的股份数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6"/>
                <w:szCs w:val="16"/>
              </w:rPr>
            </w:pPr>
            <w:r>
              <w:rPr>
                <w:rFonts w:ascii="Times New Roman"/>
                <w:sz w:val="16"/>
              </w:rPr>
              <w:t>19</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right="-2"/>
              <w:jc w:val="righ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2,868,224.00</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注</w:t>
            </w:r>
            <w:r>
              <w:rPr>
                <w:rFonts w:ascii="Times New Roman" w:hAnsi="Times New Roman" w:cs="Times New Roman" w:eastAsia="Times New Roman" w:hint="default"/>
                <w:sz w:val="16"/>
                <w:szCs w:val="16"/>
              </w:rPr>
              <w:t>2)</w:t>
            </w:r>
          </w:p>
        </w:tc>
        <w:tc>
          <w:tcPr>
            <w:tcW w:w="1841"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稀释每股收益（Ⅰ）</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20=[1+(16-18)×</w:t>
            </w:r>
          </w:p>
          <w:p>
            <w:pPr>
              <w:pStyle w:val="TableParagraph"/>
              <w:spacing w:line="240" w:lineRule="auto" w:before="128"/>
              <w:ind w:left="4"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(100%-17)]÷(13+19)</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spacing w:val="-1"/>
                <w:sz w:val="16"/>
              </w:rPr>
              <w:t>0.2561</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4"/>
              <w:jc w:val="right"/>
              <w:rPr>
                <w:rFonts w:ascii="Times New Roman" w:hAnsi="Times New Roman" w:cs="Times New Roman" w:eastAsia="Times New Roman" w:hint="default"/>
                <w:sz w:val="16"/>
                <w:szCs w:val="16"/>
              </w:rPr>
            </w:pPr>
            <w:r>
              <w:rPr>
                <w:rFonts w:ascii="Times New Roman"/>
                <w:spacing w:val="-1"/>
                <w:sz w:val="16"/>
              </w:rPr>
              <w:t>0.2203</w:t>
            </w:r>
          </w:p>
        </w:tc>
      </w:tr>
      <w:tr>
        <w:trPr>
          <w:trHeight w:val="665"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稀释每股收益（Ⅱ）</w:t>
            </w:r>
          </w:p>
        </w:tc>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6"/>
                <w:szCs w:val="16"/>
              </w:rPr>
            </w:pPr>
            <w:r>
              <w:rPr>
                <w:rFonts w:ascii="Times New Roman"/>
                <w:sz w:val="16"/>
              </w:rPr>
              <w:t>21=[3+(16-18)</w:t>
            </w:r>
          </w:p>
          <w:p>
            <w:pPr>
              <w:pStyle w:val="TableParagraph"/>
              <w:spacing w:line="240" w:lineRule="auto" w:before="128"/>
              <w:ind w:left="6"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×(100%-17)]÷(12+19)</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0.2452</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4"/>
              <w:jc w:val="right"/>
              <w:rPr>
                <w:rFonts w:ascii="Times New Roman" w:hAnsi="Times New Roman" w:cs="Times New Roman" w:eastAsia="Times New Roman" w:hint="default"/>
                <w:sz w:val="16"/>
                <w:szCs w:val="16"/>
              </w:rPr>
            </w:pPr>
            <w:r>
              <w:rPr>
                <w:rFonts w:ascii="Times New Roman"/>
                <w:spacing w:val="-1"/>
                <w:sz w:val="16"/>
              </w:rPr>
              <w:t>0.2076</w:t>
            </w:r>
          </w:p>
        </w:tc>
      </w:tr>
    </w:tbl>
    <w:p>
      <w:pPr>
        <w:spacing w:line="240" w:lineRule="auto" w:before="8"/>
        <w:rPr>
          <w:rFonts w:ascii="宋体" w:hAnsi="宋体" w:cs="宋体" w:eastAsia="宋体" w:hint="default"/>
          <w:b/>
          <w:bCs/>
          <w:sz w:val="14"/>
          <w:szCs w:val="14"/>
        </w:rPr>
      </w:pPr>
    </w:p>
    <w:p>
      <w:pPr>
        <w:spacing w:line="256" w:lineRule="auto" w:before="36"/>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注</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：本期公司以</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年末股本</w:t>
      </w:r>
      <w:r>
        <w:rPr>
          <w:rFonts w:ascii="Times New Roman" w:hAnsi="Times New Roman" w:cs="Times New Roman" w:eastAsia="Times New Roman" w:hint="default"/>
          <w:spacing w:val="-2"/>
          <w:sz w:val="21"/>
          <w:szCs w:val="21"/>
        </w:rPr>
        <w:t>16500</w:t>
      </w:r>
      <w:r>
        <w:rPr>
          <w:rFonts w:ascii="宋体" w:hAnsi="宋体" w:cs="宋体" w:eastAsia="宋体" w:hint="default"/>
          <w:spacing w:val="-2"/>
          <w:sz w:val="21"/>
          <w:szCs w:val="21"/>
        </w:rPr>
        <w:t>万股为基数，公司按每</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股转增</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股的比例，以资本公积、未分</w:t>
      </w:r>
      <w:r>
        <w:rPr>
          <w:rFonts w:ascii="宋体" w:hAnsi="宋体" w:cs="宋体" w:eastAsia="宋体" w:hint="default"/>
          <w:w w:val="100"/>
          <w:sz w:val="21"/>
          <w:szCs w:val="21"/>
        </w:rPr>
        <w:t> </w:t>
      </w:r>
      <w:r>
        <w:rPr>
          <w:rFonts w:ascii="宋体" w:hAnsi="宋体" w:cs="宋体" w:eastAsia="宋体" w:hint="default"/>
          <w:spacing w:val="-1"/>
          <w:sz w:val="21"/>
          <w:szCs w:val="21"/>
        </w:rPr>
        <w:t>配利润向全体股东转增股份总额</w:t>
      </w:r>
      <w:r>
        <w:rPr>
          <w:rFonts w:ascii="Times New Roman" w:hAnsi="Times New Roman" w:cs="Times New Roman" w:eastAsia="Times New Roman" w:hint="default"/>
          <w:spacing w:val="-1"/>
          <w:sz w:val="21"/>
          <w:szCs w:val="21"/>
        </w:rPr>
        <w:t>16500</w:t>
      </w:r>
      <w:r>
        <w:rPr>
          <w:rFonts w:ascii="宋体" w:hAnsi="宋体" w:cs="宋体" w:eastAsia="宋体" w:hint="default"/>
          <w:spacing w:val="-1"/>
          <w:sz w:val="21"/>
          <w:szCs w:val="21"/>
        </w:rPr>
        <w:t>万股，按《企业会计准则第</w:t>
      </w:r>
      <w:r>
        <w:rPr>
          <w:rFonts w:ascii="Times New Roman" w:hAnsi="Times New Roman" w:cs="Times New Roman" w:eastAsia="Times New Roman" w:hint="default"/>
          <w:spacing w:val="-1"/>
          <w:sz w:val="21"/>
          <w:szCs w:val="21"/>
        </w:rPr>
        <w:t>34</w:t>
      </w:r>
      <w:r>
        <w:rPr>
          <w:rFonts w:ascii="宋体" w:hAnsi="宋体" w:cs="宋体" w:eastAsia="宋体" w:hint="default"/>
          <w:spacing w:val="-1"/>
          <w:sz w:val="21"/>
          <w:szCs w:val="21"/>
        </w:rPr>
        <w:t>号</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每股收益》和《公开发行证券的公</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sz w:val="21"/>
          <w:szCs w:val="21"/>
        </w:rPr>
        <w:t>司信息披露编报规则第</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净资产收益率和每股收益的计算及披露（</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年修订）》（</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中国证券监督</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管理委员会公告</w:t>
      </w:r>
      <w:r>
        <w:rPr>
          <w:rFonts w:ascii="Times New Roman" w:hAnsi="Times New Roman" w:cs="Times New Roman" w:eastAsia="Times New Roman" w:hint="default"/>
          <w:spacing w:val="-3"/>
          <w:sz w:val="21"/>
          <w:szCs w:val="21"/>
        </w:rPr>
        <w:t>[2010]2</w:t>
      </w:r>
      <w:r>
        <w:rPr>
          <w:rFonts w:ascii="宋体" w:hAnsi="宋体" w:cs="宋体" w:eastAsia="宋体" w:hint="default"/>
          <w:spacing w:val="-3"/>
          <w:sz w:val="21"/>
          <w:szCs w:val="21"/>
        </w:rPr>
        <w:t>号）的要求对比较期加权平均股本进行重新计算，相应</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年度的加权平均股本数</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为：</w:t>
      </w:r>
      <w:r>
        <w:rPr>
          <w:rFonts w:ascii="Times New Roman" w:hAnsi="Times New Roman" w:cs="Times New Roman" w:eastAsia="Times New Roman" w:hint="default"/>
          <w:sz w:val="21"/>
          <w:szCs w:val="21"/>
        </w:rPr>
        <w:t>165,000,000*2=330,000,000</w:t>
      </w:r>
      <w:r>
        <w:rPr>
          <w:rFonts w:ascii="宋体" w:hAnsi="宋体" w:cs="宋体" w:eastAsia="宋体" w:hint="default"/>
          <w:sz w:val="21"/>
          <w:szCs w:val="21"/>
        </w:rPr>
        <w:t>股。</w:t>
      </w:r>
    </w:p>
    <w:p>
      <w:pPr>
        <w:spacing w:line="240" w:lineRule="auto" w:before="9"/>
        <w:rPr>
          <w:rFonts w:ascii="宋体" w:hAnsi="宋体" w:cs="宋体" w:eastAsia="宋体" w:hint="default"/>
          <w:sz w:val="18"/>
          <w:szCs w:val="18"/>
        </w:rPr>
      </w:pPr>
    </w:p>
    <w:p>
      <w:pPr>
        <w:spacing w:line="256" w:lineRule="auto" w:before="0"/>
        <w:ind w:left="152" w:right="1020"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2</w:t>
      </w:r>
      <w:r>
        <w:rPr>
          <w:rFonts w:ascii="宋体" w:hAnsi="宋体" w:cs="宋体" w:eastAsia="宋体" w:hint="default"/>
          <w:sz w:val="21"/>
          <w:szCs w:val="21"/>
        </w:rPr>
        <w:t>：公司本期末累计授予的股份期权总额</w:t>
      </w:r>
      <w:r>
        <w:rPr>
          <w:rFonts w:ascii="Times New Roman" w:hAnsi="Times New Roman" w:cs="Times New Roman" w:eastAsia="Times New Roman" w:hint="default"/>
          <w:sz w:val="21"/>
          <w:szCs w:val="21"/>
        </w:rPr>
        <w:t>2840</w:t>
      </w:r>
      <w:r>
        <w:rPr>
          <w:rFonts w:ascii="宋体" w:hAnsi="宋体" w:cs="宋体" w:eastAsia="宋体" w:hint="default"/>
          <w:sz w:val="21"/>
          <w:szCs w:val="21"/>
        </w:rPr>
        <w:t>万份，股份期权情况详见附注七。其中首次授予股票</w:t>
      </w:r>
      <w:r>
        <w:rPr>
          <w:rFonts w:ascii="宋体" w:hAnsi="宋体" w:cs="宋体" w:eastAsia="宋体" w:hint="default"/>
          <w:w w:val="100"/>
          <w:sz w:val="21"/>
          <w:szCs w:val="21"/>
        </w:rPr>
        <w:t> </w:t>
      </w:r>
      <w:r>
        <w:rPr>
          <w:rFonts w:ascii="宋体" w:hAnsi="宋体" w:cs="宋体" w:eastAsia="宋体" w:hint="default"/>
          <w:spacing w:val="-2"/>
          <w:sz w:val="21"/>
          <w:szCs w:val="21"/>
        </w:rPr>
        <w:t>期权</w:t>
      </w:r>
      <w:r>
        <w:rPr>
          <w:rFonts w:ascii="Times New Roman" w:hAnsi="Times New Roman" w:cs="Times New Roman" w:eastAsia="Times New Roman" w:hint="default"/>
          <w:spacing w:val="-2"/>
          <w:sz w:val="21"/>
          <w:szCs w:val="21"/>
        </w:rPr>
        <w:t>2640</w:t>
      </w:r>
      <w:r>
        <w:rPr>
          <w:rFonts w:ascii="宋体" w:hAnsi="宋体" w:cs="宋体" w:eastAsia="宋体" w:hint="default"/>
          <w:spacing w:val="-2"/>
          <w:sz w:val="21"/>
          <w:szCs w:val="21"/>
        </w:rPr>
        <w:t>万份，股份期权的行权价格为每股</w:t>
      </w:r>
      <w:r>
        <w:rPr>
          <w:rFonts w:ascii="Times New Roman" w:hAnsi="Times New Roman" w:cs="Times New Roman" w:eastAsia="Times New Roman" w:hint="default"/>
          <w:spacing w:val="-2"/>
          <w:sz w:val="21"/>
          <w:szCs w:val="21"/>
        </w:rPr>
        <w:t>7.63</w:t>
      </w:r>
      <w:r>
        <w:rPr>
          <w:rFonts w:ascii="宋体" w:hAnsi="宋体" w:cs="宋体" w:eastAsia="宋体" w:hint="default"/>
          <w:spacing w:val="-2"/>
          <w:sz w:val="21"/>
          <w:szCs w:val="21"/>
        </w:rPr>
        <w:t>元，当期普通股平均市场价格为每股</w:t>
      </w:r>
      <w:r>
        <w:rPr>
          <w:rFonts w:ascii="Times New Roman" w:hAnsi="Times New Roman" w:cs="Times New Roman" w:eastAsia="Times New Roman" w:hint="default"/>
          <w:spacing w:val="-2"/>
          <w:sz w:val="21"/>
          <w:szCs w:val="21"/>
        </w:rPr>
        <w:t>8.56</w:t>
      </w:r>
      <w:r>
        <w:rPr>
          <w:rFonts w:ascii="宋体" w:hAnsi="宋体" w:cs="宋体" w:eastAsia="宋体" w:hint="default"/>
          <w:spacing w:val="-2"/>
          <w:sz w:val="21"/>
          <w:szCs w:val="21"/>
        </w:rPr>
        <w:t>元，具有稀释性，</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因此首次授予的股份期权若行权增加的股份数为：</w:t>
      </w:r>
      <w:r>
        <w:rPr>
          <w:rFonts w:ascii="Times New Roman" w:hAnsi="Times New Roman" w:cs="Times New Roman" w:eastAsia="Times New Roman" w:hint="default"/>
          <w:spacing w:val="-2"/>
          <w:sz w:val="21"/>
          <w:szCs w:val="21"/>
        </w:rPr>
        <w:t>26,400,000-26,400,000*7.63/8.56=2,868,224</w:t>
      </w:r>
      <w:r>
        <w:rPr>
          <w:rFonts w:ascii="宋体" w:hAnsi="宋体" w:cs="宋体" w:eastAsia="宋体" w:hint="default"/>
          <w:spacing w:val="-2"/>
          <w:sz w:val="21"/>
          <w:szCs w:val="21"/>
        </w:rPr>
        <w:t>股；预留股份</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期权</w:t>
      </w:r>
      <w:r>
        <w:rPr>
          <w:rFonts w:ascii="Times New Roman" w:hAnsi="Times New Roman" w:cs="Times New Roman" w:eastAsia="Times New Roman" w:hint="default"/>
          <w:spacing w:val="-4"/>
          <w:sz w:val="21"/>
          <w:szCs w:val="21"/>
        </w:rPr>
        <w:t>200</w:t>
      </w:r>
      <w:r>
        <w:rPr>
          <w:rFonts w:ascii="宋体" w:hAnsi="宋体" w:cs="宋体" w:eastAsia="宋体" w:hint="default"/>
          <w:spacing w:val="-4"/>
          <w:sz w:val="21"/>
          <w:szCs w:val="21"/>
        </w:rPr>
        <w:t>万份，股份期权的行权价格为每股</w:t>
      </w:r>
      <w:r>
        <w:rPr>
          <w:rFonts w:ascii="Times New Roman" w:hAnsi="Times New Roman" w:cs="Times New Roman" w:eastAsia="Times New Roman" w:hint="default"/>
          <w:spacing w:val="-4"/>
          <w:sz w:val="21"/>
          <w:szCs w:val="21"/>
        </w:rPr>
        <w:t>9.25</w:t>
      </w:r>
      <w:r>
        <w:rPr>
          <w:rFonts w:ascii="宋体" w:hAnsi="宋体" w:cs="宋体" w:eastAsia="宋体" w:hint="default"/>
          <w:spacing w:val="-4"/>
          <w:sz w:val="21"/>
          <w:szCs w:val="21"/>
        </w:rPr>
        <w:t>元，当期普通股平均市场价格为每股</w:t>
      </w:r>
      <w:r>
        <w:rPr>
          <w:rFonts w:ascii="Times New Roman" w:hAnsi="Times New Roman" w:cs="Times New Roman" w:eastAsia="Times New Roman" w:hint="default"/>
          <w:spacing w:val="-4"/>
          <w:sz w:val="21"/>
          <w:szCs w:val="21"/>
        </w:rPr>
        <w:t>8.56</w:t>
      </w:r>
      <w:r>
        <w:rPr>
          <w:rFonts w:ascii="宋体" w:hAnsi="宋体" w:cs="宋体" w:eastAsia="宋体" w:hint="default"/>
          <w:spacing w:val="-4"/>
          <w:sz w:val="21"/>
          <w:szCs w:val="21"/>
        </w:rPr>
        <w:t>元，具有反稀释性，</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因此未计算稀释每股收益。公司股份期权若行权合计增加股份数</w:t>
      </w:r>
      <w:r>
        <w:rPr>
          <w:rFonts w:ascii="Times New Roman" w:hAnsi="Times New Roman" w:cs="Times New Roman" w:eastAsia="Times New Roman" w:hint="default"/>
          <w:sz w:val="21"/>
          <w:szCs w:val="21"/>
        </w:rPr>
        <w:t>2,868,224</w:t>
      </w:r>
      <w:r>
        <w:rPr>
          <w:rFonts w:ascii="宋体" w:hAnsi="宋体" w:cs="宋体" w:eastAsia="宋体" w:hint="default"/>
          <w:sz w:val="21"/>
          <w:szCs w:val="21"/>
        </w:rPr>
        <w:t>股。</w:t>
      </w:r>
    </w:p>
    <w:p>
      <w:pPr>
        <w:spacing w:line="240" w:lineRule="auto" w:before="4"/>
        <w:rPr>
          <w:rFonts w:ascii="宋体" w:hAnsi="宋体" w:cs="宋体" w:eastAsia="宋体" w:hint="default"/>
          <w:sz w:val="23"/>
          <w:szCs w:val="23"/>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pict>
          <v:group style="position:absolute;margin-left:460.320007pt;margin-top:37.451721pt;width:135pt;height:77pt;mso-position-horizontal-relative:page;mso-position-vertical-relative:paragraph;z-index:-828928" coordorigin="9206,749" coordsize="2700,1540">
            <v:shape style="position:absolute;left:9206;top:749;width:2700;height:1540" type="#_x0000_t75" stroked="false">
              <v:imagedata r:id="rId15" o:title=""/>
            </v:shape>
            <v:shape style="position:absolute;left:10509;top:1109;width:2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114</w:t>
                    </w:r>
                  </w:p>
                </w:txbxContent>
              </v:textbox>
              <w10:wrap type="none"/>
            </v:shape>
            <w10:wrap type="none"/>
          </v:group>
        </w:pict>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51"/>
        <w:gridCol w:w="2526"/>
        <w:gridCol w:w="2380"/>
      </w:tblGrid>
      <w:tr>
        <w:trPr>
          <w:trHeight w:val="403" w:hRule="exact"/>
        </w:trPr>
        <w:tc>
          <w:tcPr>
            <w:tcW w:w="4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headerReference w:type="default" r:id="rId55"/>
          <w:footerReference w:type="default" r:id="rId56"/>
          <w:pgSz w:w="11910" w:h="16840"/>
          <w:pgMar w:header="877" w:footer="0" w:top="1060" w:bottom="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3"/>
        <w:jc w:val="left"/>
      </w:pPr>
      <w:r>
        <w:rPr/>
        <w:t>其他综合收益说明</w:t>
      </w:r>
    </w:p>
    <w:p>
      <w:pPr>
        <w:spacing w:line="240" w:lineRule="auto" w:before="8"/>
        <w:rPr>
          <w:rFonts w:ascii="宋体" w:hAnsi="宋体" w:cs="宋体" w:eastAsia="宋体" w:hint="default"/>
          <w:sz w:val="13"/>
          <w:szCs w:val="13"/>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sz w:val="21"/>
          <w:szCs w:val="21"/>
        </w:rPr>
        <w:t>其他综合收益说明：本报告期无其他综合收益。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、现金流量表附注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收到其他保证金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378,561.94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4,955,148.00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114,260.96</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5,447,970.90</w:t>
            </w:r>
          </w:p>
        </w:tc>
      </w:tr>
    </w:tbl>
    <w:p>
      <w:pPr>
        <w:pStyle w:val="BodyText"/>
        <w:spacing w:line="240" w:lineRule="auto" w:before="49"/>
        <w:ind w:right="1123"/>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管理费用付现</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33,686,243.61</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销售费用付现</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73,438,762.63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支付其他往来款项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11,643,185.89</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118,768,192.13</w:t>
            </w:r>
          </w:p>
        </w:tc>
      </w:tr>
    </w:tbl>
    <w:p>
      <w:pPr>
        <w:pStyle w:val="BodyText"/>
        <w:spacing w:line="240" w:lineRule="auto" w:before="49"/>
        <w:ind w:right="1123"/>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2,273,619.15</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2,273,619.15</w:t>
            </w:r>
          </w:p>
        </w:tc>
      </w:tr>
    </w:tbl>
    <w:p>
      <w:pPr>
        <w:pStyle w:val="BodyText"/>
        <w:spacing w:line="240" w:lineRule="auto" w:before="49"/>
        <w:ind w:right="1123"/>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60.051716pt;width:135pt;height:77pt;mso-position-horizontal-relative:page;mso-position-vertical-relative:paragraph;z-index:-828880" coordorigin="9206,1201" coordsize="2700,1540">
            <v:shape style="position:absolute;left:9206;top:1201;width:2700;height:1540" type="#_x0000_t75" stroked="false">
              <v:imagedata r:id="rId15" o:title=""/>
            </v:shape>
            <v:shape style="position:absolute;left:10509;top:1561;width:2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115</w:t>
                    </w:r>
                  </w:p>
                </w:txbxContent>
              </v:textbox>
              <w10:wrap type="none"/>
            </v:shape>
            <w10:wrap type="none"/>
          </v:group>
        </w:pict>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发行股票审计、咨询等费用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1,889,062.89</w:t>
            </w:r>
          </w:p>
        </w:tc>
      </w:tr>
    </w:tbl>
    <w:p>
      <w:pPr>
        <w:spacing w:after="0" w:line="240" w:lineRule="auto"/>
        <w:jc w:val="right"/>
        <w:rPr>
          <w:rFonts w:ascii="Times New Roman" w:hAnsi="Times New Roman" w:cs="Times New Roman" w:eastAsia="Times New Roman" w:hint="default"/>
          <w:sz w:val="18"/>
          <w:szCs w:val="18"/>
        </w:rPr>
        <w:sectPr>
          <w:headerReference w:type="default" r:id="rId57"/>
          <w:footerReference w:type="default" r:id="rId58"/>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2,839,062.89</w:t>
            </w:r>
          </w:p>
        </w:tc>
      </w:tr>
    </w:tbl>
    <w:p>
      <w:pPr>
        <w:pStyle w:val="BodyText"/>
        <w:spacing w:line="240" w:lineRule="auto" w:before="49"/>
        <w:ind w:right="1123"/>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42</w:t>
      </w:r>
      <w:r>
        <w:rPr/>
        <w:t>、现金流量表补充资料</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94,406,491.19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73,837,414.39</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16,238,655.88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8,106,341.30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20,580,623.79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12,941,831.61</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2,047,525.21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1,538,519.44</w:t>
            </w:r>
          </w:p>
        </w:tc>
      </w:tr>
      <w:tr>
        <w:trPr>
          <w:trHeight w:val="71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48,402.57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-255,068.60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44,101,541.76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30,802,209.03</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5,833,951.12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101,641.43</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-2,381,869.90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-1,218,363.44</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44,758,884.85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3,499,608.32</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-256,336,650.53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-185,139,397.82</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76,878,938.75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66,493,805.73</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46,176,494.69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10,708,541.39</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474,399,966.73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133,146,358.99</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133,146,358.99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173,749,503.86</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341,253,607.74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-40,603,144.87</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98.691711pt;width:135pt;height:77pt;mso-position-horizontal-relative:page;mso-position-vertical-relative:paragraph;z-index:-828832" coordorigin="9206,1974" coordsize="2700,1540">
            <v:shape style="position:absolute;left:9206;top:1974;width:2700;height:1540" type="#_x0000_t75" stroked="false">
              <v:imagedata r:id="rId15" o:title=""/>
            </v:shape>
            <v:shape style="position:absolute;left:10509;top:2334;width:2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116</w:t>
                    </w:r>
                  </w:p>
                </w:txbxContent>
              </v:textbox>
              <w10:wrap type="none"/>
            </v:shape>
            <w10:wrap type="none"/>
          </v:group>
        </w:pict>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474,399,966.73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133,146,358.99</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789,170.73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1,182,738.31</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473,610,796.00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131,963,620.68</w:t>
            </w:r>
          </w:p>
        </w:tc>
      </w:tr>
    </w:tbl>
    <w:p>
      <w:pPr>
        <w:spacing w:after="0" w:line="240" w:lineRule="auto"/>
        <w:jc w:val="right"/>
        <w:rPr>
          <w:rFonts w:ascii="Times New Roman" w:hAnsi="Times New Roman" w:cs="Times New Roman" w:eastAsia="Times New Roman" w:hint="default"/>
          <w:sz w:val="18"/>
          <w:szCs w:val="18"/>
        </w:rPr>
        <w:sectPr>
          <w:headerReference w:type="default" r:id="rId59"/>
          <w:footerReference w:type="default" r:id="rId60"/>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87"/>
        <w:gridCol w:w="2525"/>
        <w:gridCol w:w="2657"/>
      </w:tblGrid>
      <w:tr>
        <w:trPr>
          <w:trHeight w:val="404"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6" w:right="0"/>
              <w:jc w:val="left"/>
              <w:rPr>
                <w:rFonts w:ascii="Times New Roman" w:hAnsi="Times New Roman" w:cs="Times New Roman" w:eastAsia="Times New Roman" w:hint="default"/>
                <w:sz w:val="18"/>
                <w:szCs w:val="18"/>
              </w:rPr>
            </w:pPr>
            <w:r>
              <w:rPr>
                <w:rFonts w:ascii="Times New Roman"/>
                <w:sz w:val="18"/>
              </w:rPr>
              <w:t>474,399,966.73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0" w:right="0"/>
              <w:jc w:val="left"/>
              <w:rPr>
                <w:rFonts w:ascii="Times New Roman" w:hAnsi="Times New Roman" w:cs="Times New Roman" w:eastAsia="Times New Roman" w:hint="default"/>
                <w:sz w:val="18"/>
                <w:szCs w:val="18"/>
              </w:rPr>
            </w:pPr>
            <w:r>
              <w:rPr>
                <w:rFonts w:ascii="Times New Roman"/>
                <w:sz w:val="18"/>
              </w:rPr>
              <w:t>133,146,358.99</w:t>
            </w:r>
          </w:p>
        </w:tc>
      </w:tr>
    </w:tbl>
    <w:p>
      <w:pPr>
        <w:pStyle w:val="BodyText"/>
        <w:spacing w:line="240" w:lineRule="auto" w:before="49"/>
        <w:ind w:right="1123"/>
        <w:jc w:val="left"/>
      </w:pPr>
      <w:r>
        <w:rPr/>
        <w:t>现金流量表补充资料的说明</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八、关联方及关联交易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 本企业持股</w:t>
      </w:r>
      <w:r>
        <w:rPr>
          <w:spacing w:val="-53"/>
        </w:rPr>
        <w:t> </w:t>
      </w:r>
      <w:r>
        <w:rPr>
          <w:rFonts w:ascii="Times New Roman" w:hAnsi="Times New Roman" w:cs="Times New Roman" w:eastAsia="Times New Roman" w:hint="default"/>
        </w:rPr>
        <w:t>5%</w:t>
      </w:r>
      <w:r>
        <w:rPr/>
        <w:t>以上股东情况</w:t>
      </w:r>
      <w:r>
        <w:rPr>
          <w:b w:val="0"/>
          <w:bCs w:val="0"/>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（金额单位：万元）</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663"/>
        <w:gridCol w:w="1133"/>
        <w:gridCol w:w="996"/>
        <w:gridCol w:w="838"/>
        <w:gridCol w:w="840"/>
        <w:gridCol w:w="698"/>
        <w:gridCol w:w="706"/>
        <w:gridCol w:w="629"/>
      </w:tblGrid>
      <w:tr>
        <w:trPr>
          <w:trHeight w:val="1292" w:hRule="exact"/>
        </w:trPr>
        <w:tc>
          <w:tcPr>
            <w:tcW w:w="26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股东名称</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357" w:lineRule="auto" w:before="38"/>
              <w:ind w:left="398" w:right="396"/>
              <w:jc w:val="center"/>
              <w:rPr>
                <w:rFonts w:ascii="宋体" w:hAnsi="宋体" w:cs="宋体" w:eastAsia="宋体" w:hint="default"/>
                <w:sz w:val="16"/>
                <w:szCs w:val="16"/>
              </w:rPr>
            </w:pPr>
            <w:r>
              <w:rPr>
                <w:rFonts w:ascii="宋体" w:hAnsi="宋体" w:cs="宋体" w:eastAsia="宋体" w:hint="default"/>
                <w:sz w:val="16"/>
                <w:szCs w:val="16"/>
              </w:rPr>
              <w:t>关联</w:t>
            </w:r>
            <w:r>
              <w:rPr>
                <w:rFonts w:ascii="宋体" w:hAnsi="宋体" w:cs="宋体" w:eastAsia="宋体" w:hint="default"/>
                <w:w w:val="100"/>
                <w:sz w:val="16"/>
                <w:szCs w:val="16"/>
              </w:rPr>
              <w:t> </w:t>
            </w:r>
            <w:r>
              <w:rPr>
                <w:rFonts w:ascii="宋体" w:hAnsi="宋体" w:cs="宋体" w:eastAsia="宋体" w:hint="default"/>
                <w:sz w:val="16"/>
                <w:szCs w:val="16"/>
              </w:rPr>
              <w:t>关系</w:t>
            </w:r>
          </w:p>
        </w:tc>
        <w:tc>
          <w:tcPr>
            <w:tcW w:w="996" w:type="dxa"/>
            <w:tcBorders>
              <w:top w:val="single" w:sz="6" w:space="0" w:color="000000"/>
              <w:left w:val="single" w:sz="6" w:space="0" w:color="000000"/>
              <w:bottom w:val="single" w:sz="12" w:space="0" w:color="000000"/>
              <w:right w:val="single" w:sz="6" w:space="0" w:color="000000"/>
            </w:tcBorders>
          </w:tcPr>
          <w:p>
            <w:pPr>
              <w:pStyle w:val="TableParagraph"/>
              <w:spacing w:line="357" w:lineRule="auto" w:before="38"/>
              <w:ind w:left="331" w:right="326"/>
              <w:jc w:val="center"/>
              <w:rPr>
                <w:rFonts w:ascii="宋体" w:hAnsi="宋体" w:cs="宋体" w:eastAsia="宋体" w:hint="default"/>
                <w:sz w:val="16"/>
                <w:szCs w:val="16"/>
              </w:rPr>
            </w:pPr>
            <w:r>
              <w:rPr>
                <w:rFonts w:ascii="宋体" w:hAnsi="宋体" w:cs="宋体" w:eastAsia="宋体" w:hint="default"/>
                <w:sz w:val="16"/>
                <w:szCs w:val="16"/>
              </w:rPr>
              <w:t>企业</w:t>
            </w:r>
            <w:r>
              <w:rPr>
                <w:rFonts w:ascii="宋体" w:hAnsi="宋体" w:cs="宋体" w:eastAsia="宋体" w:hint="default"/>
                <w:w w:val="100"/>
                <w:sz w:val="16"/>
                <w:szCs w:val="16"/>
              </w:rPr>
              <w:t> </w:t>
            </w:r>
            <w:r>
              <w:rPr>
                <w:rFonts w:ascii="宋体" w:hAnsi="宋体" w:cs="宋体" w:eastAsia="宋体" w:hint="default"/>
                <w:sz w:val="16"/>
                <w:szCs w:val="16"/>
              </w:rPr>
              <w:t>类型</w:t>
            </w:r>
          </w:p>
        </w:tc>
        <w:tc>
          <w:tcPr>
            <w:tcW w:w="8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left="170" w:right="0"/>
              <w:jc w:val="left"/>
              <w:rPr>
                <w:rFonts w:ascii="宋体" w:hAnsi="宋体" w:cs="宋体" w:eastAsia="宋体" w:hint="default"/>
                <w:sz w:val="16"/>
                <w:szCs w:val="16"/>
              </w:rPr>
            </w:pPr>
            <w:r>
              <w:rPr>
                <w:rFonts w:ascii="宋体" w:hAnsi="宋体" w:cs="宋体" w:eastAsia="宋体" w:hint="default"/>
                <w:sz w:val="16"/>
                <w:szCs w:val="16"/>
              </w:rPr>
              <w:t>注册地</w:t>
            </w:r>
          </w:p>
        </w:tc>
        <w:tc>
          <w:tcPr>
            <w:tcW w:w="840" w:type="dxa"/>
            <w:tcBorders>
              <w:top w:val="single" w:sz="6" w:space="0" w:color="000000"/>
              <w:left w:val="single" w:sz="6" w:space="0" w:color="000000"/>
              <w:bottom w:val="single" w:sz="12" w:space="0" w:color="000000"/>
              <w:right w:val="single" w:sz="6" w:space="0" w:color="000000"/>
            </w:tcBorders>
          </w:tcPr>
          <w:p>
            <w:pPr>
              <w:pStyle w:val="TableParagraph"/>
              <w:spacing w:line="357" w:lineRule="auto" w:before="38"/>
              <w:ind w:left="172" w:right="168" w:firstLine="81"/>
              <w:jc w:val="left"/>
              <w:rPr>
                <w:rFonts w:ascii="宋体" w:hAnsi="宋体" w:cs="宋体" w:eastAsia="宋体" w:hint="default"/>
                <w:sz w:val="16"/>
                <w:szCs w:val="16"/>
              </w:rPr>
            </w:pPr>
            <w:r>
              <w:rPr>
                <w:rFonts w:ascii="宋体" w:hAnsi="宋体" w:cs="宋体" w:eastAsia="宋体" w:hint="default"/>
                <w:sz w:val="16"/>
                <w:szCs w:val="16"/>
              </w:rPr>
              <w:t>法定</w:t>
            </w:r>
            <w:r>
              <w:rPr>
                <w:rFonts w:ascii="宋体" w:hAnsi="宋体" w:cs="宋体" w:eastAsia="宋体" w:hint="default"/>
                <w:w w:val="100"/>
                <w:sz w:val="16"/>
                <w:szCs w:val="16"/>
              </w:rPr>
              <w:t> </w:t>
            </w:r>
            <w:r>
              <w:rPr>
                <w:rFonts w:ascii="宋体" w:hAnsi="宋体" w:cs="宋体" w:eastAsia="宋体" w:hint="default"/>
                <w:sz w:val="16"/>
                <w:szCs w:val="16"/>
              </w:rPr>
              <w:t>代表人</w:t>
            </w:r>
          </w:p>
        </w:tc>
        <w:tc>
          <w:tcPr>
            <w:tcW w:w="698" w:type="dxa"/>
            <w:tcBorders>
              <w:top w:val="single" w:sz="6" w:space="0" w:color="000000"/>
              <w:left w:val="single" w:sz="6" w:space="0" w:color="000000"/>
              <w:bottom w:val="single" w:sz="12" w:space="0" w:color="000000"/>
              <w:right w:val="single" w:sz="6" w:space="0" w:color="000000"/>
            </w:tcBorders>
          </w:tcPr>
          <w:p>
            <w:pPr>
              <w:pStyle w:val="TableParagraph"/>
              <w:spacing w:line="357" w:lineRule="auto" w:before="38"/>
              <w:ind w:left="182" w:right="179"/>
              <w:jc w:val="left"/>
              <w:rPr>
                <w:rFonts w:ascii="宋体" w:hAnsi="宋体" w:cs="宋体" w:eastAsia="宋体" w:hint="default"/>
                <w:sz w:val="16"/>
                <w:szCs w:val="16"/>
              </w:rPr>
            </w:pPr>
            <w:r>
              <w:rPr>
                <w:rFonts w:ascii="宋体" w:hAnsi="宋体" w:cs="宋体" w:eastAsia="宋体" w:hint="default"/>
                <w:sz w:val="16"/>
                <w:szCs w:val="16"/>
              </w:rPr>
              <w:t>注册</w:t>
            </w:r>
            <w:r>
              <w:rPr>
                <w:rFonts w:ascii="宋体" w:hAnsi="宋体" w:cs="宋体" w:eastAsia="宋体" w:hint="default"/>
                <w:w w:val="100"/>
                <w:sz w:val="16"/>
                <w:szCs w:val="16"/>
              </w:rPr>
              <w:t> </w:t>
            </w:r>
            <w:r>
              <w:rPr>
                <w:rFonts w:ascii="宋体" w:hAnsi="宋体" w:cs="宋体" w:eastAsia="宋体" w:hint="default"/>
                <w:sz w:val="16"/>
                <w:szCs w:val="16"/>
              </w:rPr>
              <w:t>资本</w:t>
            </w:r>
          </w:p>
        </w:tc>
        <w:tc>
          <w:tcPr>
            <w:tcW w:w="706" w:type="dxa"/>
            <w:tcBorders>
              <w:top w:val="single" w:sz="6" w:space="0" w:color="000000"/>
              <w:left w:val="single" w:sz="6" w:space="0" w:color="000000"/>
              <w:bottom w:val="single" w:sz="12" w:space="0" w:color="000000"/>
              <w:right w:val="single" w:sz="6" w:space="0" w:color="000000"/>
            </w:tcBorders>
          </w:tcPr>
          <w:p>
            <w:pPr>
              <w:pStyle w:val="TableParagraph"/>
              <w:spacing w:line="357" w:lineRule="auto" w:before="38"/>
              <w:ind w:left="26" w:right="20"/>
              <w:jc w:val="center"/>
              <w:rPr>
                <w:rFonts w:ascii="Times New Roman" w:hAnsi="Times New Roman" w:cs="Times New Roman" w:eastAsia="Times New Roman" w:hint="default"/>
                <w:sz w:val="16"/>
                <w:szCs w:val="16"/>
              </w:rPr>
            </w:pPr>
            <w:r>
              <w:rPr>
                <w:rFonts w:ascii="宋体" w:hAnsi="宋体" w:cs="宋体" w:eastAsia="宋体" w:hint="default"/>
                <w:sz w:val="16"/>
                <w:szCs w:val="16"/>
              </w:rPr>
              <w:t>对本公司</w:t>
            </w:r>
            <w:r>
              <w:rPr>
                <w:rFonts w:ascii="宋体" w:hAnsi="宋体" w:cs="宋体" w:eastAsia="宋体" w:hint="default"/>
                <w:w w:val="100"/>
                <w:sz w:val="16"/>
                <w:szCs w:val="16"/>
              </w:rPr>
              <w:t> </w:t>
            </w:r>
            <w:r>
              <w:rPr>
                <w:rFonts w:ascii="宋体" w:hAnsi="宋体" w:cs="宋体" w:eastAsia="宋体" w:hint="default"/>
                <w:sz w:val="16"/>
                <w:szCs w:val="16"/>
              </w:rPr>
              <w:t>的持股比</w:t>
            </w:r>
            <w:r>
              <w:rPr>
                <w:rFonts w:ascii="宋体" w:hAnsi="宋体" w:cs="宋体" w:eastAsia="宋体" w:hint="default"/>
                <w:w w:val="100"/>
                <w:sz w:val="16"/>
                <w:szCs w:val="16"/>
              </w:rPr>
              <w:t> </w:t>
            </w:r>
            <w:r>
              <w:rPr>
                <w:rFonts w:ascii="宋体" w:hAnsi="宋体" w:cs="宋体" w:eastAsia="宋体" w:hint="default"/>
                <w:sz w:val="16"/>
                <w:szCs w:val="16"/>
              </w:rPr>
              <w:t>例</w:t>
            </w:r>
            <w:r>
              <w:rPr>
                <w:rFonts w:ascii="Times New Roman" w:hAnsi="Times New Roman" w:cs="Times New Roman" w:eastAsia="Times New Roman" w:hint="default"/>
                <w:sz w:val="16"/>
                <w:szCs w:val="16"/>
              </w:rPr>
              <w:t>(%)</w:t>
            </w:r>
          </w:p>
        </w:tc>
        <w:tc>
          <w:tcPr>
            <w:tcW w:w="629" w:type="dxa"/>
            <w:tcBorders>
              <w:top w:val="single" w:sz="6" w:space="0" w:color="000000"/>
              <w:left w:val="single" w:sz="6" w:space="0" w:color="000000"/>
              <w:bottom w:val="single" w:sz="12" w:space="0" w:color="000000"/>
              <w:right w:val="nil" w:sz="6" w:space="0" w:color="auto"/>
            </w:tcBorders>
          </w:tcPr>
          <w:p>
            <w:pPr>
              <w:pStyle w:val="TableParagraph"/>
              <w:spacing w:line="357" w:lineRule="auto" w:before="38"/>
              <w:ind w:left="67" w:right="71"/>
              <w:jc w:val="both"/>
              <w:rPr>
                <w:rFonts w:ascii="Times New Roman" w:hAnsi="Times New Roman" w:cs="Times New Roman" w:eastAsia="Times New Roman" w:hint="default"/>
                <w:sz w:val="16"/>
                <w:szCs w:val="16"/>
              </w:rPr>
            </w:pPr>
            <w:r>
              <w:rPr>
                <w:rFonts w:ascii="宋体" w:hAnsi="宋体" w:cs="宋体" w:eastAsia="宋体" w:hint="default"/>
                <w:sz w:val="16"/>
                <w:szCs w:val="16"/>
              </w:rPr>
              <w:t>对本公</w:t>
            </w:r>
            <w:r>
              <w:rPr>
                <w:rFonts w:ascii="宋体" w:hAnsi="宋体" w:cs="宋体" w:eastAsia="宋体" w:hint="default"/>
                <w:spacing w:val="-78"/>
                <w:sz w:val="16"/>
                <w:szCs w:val="16"/>
              </w:rPr>
              <w:t> </w:t>
            </w:r>
            <w:r>
              <w:rPr>
                <w:rFonts w:ascii="宋体" w:hAnsi="宋体" w:cs="宋体" w:eastAsia="宋体" w:hint="default"/>
                <w:sz w:val="16"/>
                <w:szCs w:val="16"/>
              </w:rPr>
              <w:t>司的表</w:t>
            </w:r>
            <w:r>
              <w:rPr>
                <w:rFonts w:ascii="宋体" w:hAnsi="宋体" w:cs="宋体" w:eastAsia="宋体" w:hint="default"/>
                <w:spacing w:val="-78"/>
                <w:sz w:val="16"/>
                <w:szCs w:val="16"/>
              </w:rPr>
              <w:t> </w:t>
            </w:r>
            <w:r>
              <w:rPr>
                <w:rFonts w:ascii="宋体" w:hAnsi="宋体" w:cs="宋体" w:eastAsia="宋体" w:hint="default"/>
                <w:sz w:val="16"/>
                <w:szCs w:val="16"/>
              </w:rPr>
              <w:t>决权比</w:t>
            </w:r>
            <w:r>
              <w:rPr>
                <w:rFonts w:ascii="宋体" w:hAnsi="宋体" w:cs="宋体" w:eastAsia="宋体" w:hint="default"/>
                <w:spacing w:val="-78"/>
                <w:sz w:val="16"/>
                <w:szCs w:val="16"/>
              </w:rPr>
              <w:t> </w:t>
            </w:r>
            <w:r>
              <w:rPr>
                <w:rFonts w:ascii="宋体" w:hAnsi="宋体" w:cs="宋体" w:eastAsia="宋体" w:hint="default"/>
                <w:sz w:val="16"/>
                <w:szCs w:val="16"/>
              </w:rPr>
              <w:t>例</w:t>
            </w:r>
            <w:r>
              <w:rPr>
                <w:rFonts w:ascii="Times New Roman" w:hAnsi="Times New Roman" w:cs="Times New Roman" w:eastAsia="Times New Roman" w:hint="default"/>
                <w:sz w:val="16"/>
                <w:szCs w:val="16"/>
              </w:rPr>
              <w:t>(%)</w:t>
            </w:r>
          </w:p>
        </w:tc>
      </w:tr>
      <w:tr>
        <w:trPr>
          <w:trHeight w:val="353" w:hRule="exact"/>
        </w:trPr>
        <w:tc>
          <w:tcPr>
            <w:tcW w:w="26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束龙胜</w:t>
            </w:r>
            <w:r>
              <w:rPr>
                <w:rFonts w:ascii="宋体" w:hAnsi="宋体" w:cs="宋体" w:eastAsia="宋体" w:hint="default"/>
                <w:spacing w:val="50"/>
                <w:sz w:val="16"/>
                <w:szCs w:val="16"/>
              </w:rPr>
              <w:t> </w:t>
            </w:r>
            <w:r>
              <w:rPr>
                <w:rFonts w:ascii="宋体" w:hAnsi="宋体" w:cs="宋体" w:eastAsia="宋体" w:hint="default"/>
                <w:sz w:val="16"/>
                <w:szCs w:val="16"/>
              </w:rPr>
              <w:t>注</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 w:right="0"/>
              <w:jc w:val="left"/>
              <w:rPr>
                <w:rFonts w:ascii="宋体" w:hAnsi="宋体" w:cs="宋体" w:eastAsia="宋体" w:hint="default"/>
                <w:sz w:val="16"/>
                <w:szCs w:val="16"/>
              </w:rPr>
            </w:pPr>
            <w:r>
              <w:rPr>
                <w:rFonts w:ascii="宋体" w:hAnsi="宋体" w:cs="宋体" w:eastAsia="宋体" w:hint="default"/>
                <w:sz w:val="16"/>
                <w:szCs w:val="16"/>
              </w:rPr>
              <w:t>实际控制人</w:t>
            </w:r>
          </w:p>
        </w:tc>
        <w:tc>
          <w:tcPr>
            <w:tcW w:w="9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自然人</w:t>
            </w:r>
          </w:p>
        </w:tc>
        <w:tc>
          <w:tcPr>
            <w:tcW w:w="838" w:type="dxa"/>
            <w:tcBorders>
              <w:top w:val="single" w:sz="12" w:space="0" w:color="000000"/>
              <w:left w:val="single" w:sz="6" w:space="0" w:color="000000"/>
              <w:bottom w:val="single" w:sz="12" w:space="0" w:color="000000"/>
              <w:right w:val="single" w:sz="6" w:space="0" w:color="000000"/>
            </w:tcBorders>
          </w:tcPr>
          <w:p>
            <w:pPr/>
          </w:p>
        </w:tc>
        <w:tc>
          <w:tcPr>
            <w:tcW w:w="840" w:type="dxa"/>
            <w:tcBorders>
              <w:top w:val="single" w:sz="12" w:space="0" w:color="000000"/>
              <w:left w:val="single" w:sz="6" w:space="0" w:color="000000"/>
              <w:bottom w:val="single" w:sz="12" w:space="0" w:color="000000"/>
              <w:right w:val="single" w:sz="6" w:space="0" w:color="000000"/>
            </w:tcBorders>
          </w:tcPr>
          <w:p>
            <w:pPr/>
          </w:p>
        </w:tc>
        <w:tc>
          <w:tcPr>
            <w:tcW w:w="698" w:type="dxa"/>
            <w:tcBorders>
              <w:top w:val="single" w:sz="12" w:space="0" w:color="000000"/>
              <w:left w:val="single" w:sz="6" w:space="0" w:color="000000"/>
              <w:bottom w:val="single" w:sz="12" w:space="0" w:color="000000"/>
              <w:right w:val="single" w:sz="6" w:space="0" w:color="000000"/>
            </w:tcBorders>
          </w:tcPr>
          <w:p>
            <w:pP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23.84</w:t>
            </w:r>
          </w:p>
        </w:tc>
        <w:tc>
          <w:tcPr>
            <w:tcW w:w="6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23.84</w:t>
            </w:r>
          </w:p>
        </w:tc>
      </w:tr>
      <w:tr>
        <w:trPr>
          <w:trHeight w:val="350" w:hRule="exact"/>
        </w:trPr>
        <w:tc>
          <w:tcPr>
            <w:tcW w:w="26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芜湖市鑫诚科技投资有限公司</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 w:right="0"/>
              <w:jc w:val="left"/>
              <w:rPr>
                <w:rFonts w:ascii="宋体" w:hAnsi="宋体" w:cs="宋体" w:eastAsia="宋体" w:hint="default"/>
                <w:sz w:val="16"/>
                <w:szCs w:val="16"/>
              </w:rPr>
            </w:pPr>
            <w:r>
              <w:rPr>
                <w:rFonts w:ascii="宋体" w:hAnsi="宋体" w:cs="宋体" w:eastAsia="宋体" w:hint="default"/>
                <w:sz w:val="16"/>
                <w:szCs w:val="16"/>
              </w:rPr>
              <w:t>股东</w:t>
            </w:r>
          </w:p>
        </w:tc>
        <w:tc>
          <w:tcPr>
            <w:tcW w:w="9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 w:right="0"/>
              <w:jc w:val="left"/>
              <w:rPr>
                <w:rFonts w:ascii="宋体" w:hAnsi="宋体" w:cs="宋体" w:eastAsia="宋体" w:hint="default"/>
                <w:sz w:val="16"/>
                <w:szCs w:val="16"/>
              </w:rPr>
            </w:pPr>
            <w:r>
              <w:rPr>
                <w:rFonts w:ascii="宋体" w:hAnsi="宋体" w:cs="宋体" w:eastAsia="宋体" w:hint="default"/>
                <w:sz w:val="16"/>
                <w:szCs w:val="16"/>
              </w:rPr>
              <w:t>芜湖市</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 w:right="0"/>
              <w:jc w:val="center"/>
              <w:rPr>
                <w:rFonts w:ascii="宋体" w:hAnsi="宋体" w:cs="宋体" w:eastAsia="宋体" w:hint="default"/>
                <w:sz w:val="16"/>
                <w:szCs w:val="16"/>
              </w:rPr>
            </w:pPr>
            <w:r>
              <w:rPr>
                <w:rFonts w:ascii="宋体" w:hAnsi="宋体" w:cs="宋体" w:eastAsia="宋体" w:hint="default"/>
                <w:sz w:val="16"/>
                <w:szCs w:val="16"/>
              </w:rPr>
              <w:t>束龙胜</w:t>
            </w:r>
          </w:p>
        </w:tc>
        <w:tc>
          <w:tcPr>
            <w:tcW w:w="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182" w:right="0"/>
              <w:jc w:val="left"/>
              <w:rPr>
                <w:rFonts w:ascii="Times New Roman" w:hAnsi="Times New Roman" w:cs="Times New Roman" w:eastAsia="Times New Roman" w:hint="default"/>
                <w:sz w:val="16"/>
                <w:szCs w:val="16"/>
              </w:rPr>
            </w:pPr>
            <w:r>
              <w:rPr>
                <w:rFonts w:ascii="Times New Roman"/>
                <w:sz w:val="16"/>
              </w:rPr>
              <w:t>2108</w:t>
            </w: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8.98</w:t>
            </w:r>
          </w:p>
        </w:tc>
        <w:tc>
          <w:tcPr>
            <w:tcW w:w="6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8.98</w:t>
            </w:r>
          </w:p>
        </w:tc>
      </w:tr>
      <w:tr>
        <w:trPr>
          <w:trHeight w:val="353" w:hRule="exact"/>
        </w:trPr>
        <w:tc>
          <w:tcPr>
            <w:tcW w:w="26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合肥世纪创新投资有限公司</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2" w:right="0"/>
              <w:jc w:val="left"/>
              <w:rPr>
                <w:rFonts w:ascii="宋体" w:hAnsi="宋体" w:cs="宋体" w:eastAsia="宋体" w:hint="default"/>
                <w:sz w:val="16"/>
                <w:szCs w:val="16"/>
              </w:rPr>
            </w:pPr>
            <w:r>
              <w:rPr>
                <w:rFonts w:ascii="宋体" w:hAnsi="宋体" w:cs="宋体" w:eastAsia="宋体" w:hint="default"/>
                <w:sz w:val="16"/>
                <w:szCs w:val="16"/>
              </w:rPr>
              <w:t>股东</w:t>
            </w:r>
          </w:p>
        </w:tc>
        <w:tc>
          <w:tcPr>
            <w:tcW w:w="9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2" w:right="0"/>
              <w:jc w:val="left"/>
              <w:rPr>
                <w:rFonts w:ascii="宋体" w:hAnsi="宋体" w:cs="宋体" w:eastAsia="宋体" w:hint="default"/>
                <w:sz w:val="16"/>
                <w:szCs w:val="16"/>
              </w:rPr>
            </w:pPr>
            <w:r>
              <w:rPr>
                <w:rFonts w:ascii="宋体" w:hAnsi="宋体" w:cs="宋体" w:eastAsia="宋体" w:hint="default"/>
                <w:sz w:val="16"/>
                <w:szCs w:val="16"/>
              </w:rPr>
              <w:t>合肥市</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2" w:right="0"/>
              <w:jc w:val="center"/>
              <w:rPr>
                <w:rFonts w:ascii="宋体" w:hAnsi="宋体" w:cs="宋体" w:eastAsia="宋体" w:hint="default"/>
                <w:sz w:val="16"/>
                <w:szCs w:val="16"/>
              </w:rPr>
            </w:pPr>
            <w:r>
              <w:rPr>
                <w:rFonts w:ascii="宋体" w:hAnsi="宋体" w:cs="宋体" w:eastAsia="宋体" w:hint="default"/>
                <w:sz w:val="16"/>
                <w:szCs w:val="16"/>
              </w:rPr>
              <w:t>杨新潮</w:t>
            </w:r>
          </w:p>
        </w:tc>
        <w:tc>
          <w:tcPr>
            <w:tcW w:w="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182" w:right="0"/>
              <w:jc w:val="left"/>
              <w:rPr>
                <w:rFonts w:ascii="Times New Roman" w:hAnsi="Times New Roman" w:cs="Times New Roman" w:eastAsia="Times New Roman" w:hint="default"/>
                <w:sz w:val="16"/>
                <w:szCs w:val="16"/>
              </w:rPr>
            </w:pPr>
            <w:r>
              <w:rPr>
                <w:rFonts w:ascii="Times New Roman"/>
                <w:sz w:val="16"/>
              </w:rPr>
              <w:t>6000</w:t>
            </w: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6"/>
                <w:szCs w:val="16"/>
              </w:rPr>
            </w:pPr>
            <w:r>
              <w:rPr>
                <w:rFonts w:ascii="Times New Roman"/>
                <w:spacing w:val="-1"/>
                <w:sz w:val="16"/>
              </w:rPr>
              <w:t>7.97</w:t>
            </w:r>
          </w:p>
        </w:tc>
        <w:tc>
          <w:tcPr>
            <w:tcW w:w="6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6"/>
              <w:jc w:val="right"/>
              <w:rPr>
                <w:rFonts w:ascii="Times New Roman" w:hAnsi="Times New Roman" w:cs="Times New Roman" w:eastAsia="Times New Roman" w:hint="default"/>
                <w:sz w:val="16"/>
                <w:szCs w:val="16"/>
              </w:rPr>
            </w:pPr>
            <w:r>
              <w:rPr>
                <w:rFonts w:ascii="Times New Roman"/>
                <w:spacing w:val="-1"/>
                <w:sz w:val="16"/>
              </w:rPr>
              <w:t>7.97</w:t>
            </w:r>
          </w:p>
        </w:tc>
      </w:tr>
    </w:tbl>
    <w:p>
      <w:pPr>
        <w:spacing w:line="240" w:lineRule="auto" w:before="8"/>
        <w:rPr>
          <w:rFonts w:ascii="宋体" w:hAnsi="宋体" w:cs="宋体" w:eastAsia="宋体" w:hint="default"/>
          <w:sz w:val="14"/>
          <w:szCs w:val="14"/>
        </w:rPr>
      </w:pPr>
    </w:p>
    <w:p>
      <w:pPr>
        <w:spacing w:line="256" w:lineRule="auto" w:before="36"/>
        <w:ind w:left="152" w:right="1123" w:firstLine="420"/>
        <w:jc w:val="left"/>
        <w:rPr>
          <w:rFonts w:ascii="宋体" w:hAnsi="宋体" w:cs="宋体" w:eastAsia="宋体" w:hint="default"/>
          <w:sz w:val="21"/>
          <w:szCs w:val="21"/>
        </w:rPr>
      </w:pPr>
      <w:r>
        <w:rPr>
          <w:rFonts w:ascii="宋体" w:hAnsi="宋体" w:cs="宋体" w:eastAsia="宋体" w:hint="default"/>
          <w:spacing w:val="-3"/>
          <w:sz w:val="21"/>
          <w:szCs w:val="21"/>
        </w:rPr>
        <w:t>注：束龙胜持有本公司</w:t>
      </w:r>
      <w:r>
        <w:rPr>
          <w:rFonts w:ascii="Times New Roman" w:hAnsi="Times New Roman" w:cs="Times New Roman" w:eastAsia="Times New Roman" w:hint="default"/>
          <w:spacing w:val="-3"/>
          <w:sz w:val="21"/>
          <w:szCs w:val="21"/>
        </w:rPr>
        <w:t>23.84%</w:t>
      </w:r>
      <w:r>
        <w:rPr>
          <w:rFonts w:ascii="宋体" w:hAnsi="宋体" w:cs="宋体" w:eastAsia="宋体" w:hint="default"/>
          <w:spacing w:val="-3"/>
          <w:sz w:val="21"/>
          <w:szCs w:val="21"/>
        </w:rPr>
        <w:t>的股份，通过持有芜湖市鑫诚科技投资有限公司</w:t>
      </w:r>
      <w:r>
        <w:rPr>
          <w:rFonts w:ascii="Times New Roman" w:hAnsi="Times New Roman" w:cs="Times New Roman" w:eastAsia="Times New Roman" w:hint="default"/>
          <w:spacing w:val="-3"/>
          <w:sz w:val="21"/>
          <w:szCs w:val="21"/>
        </w:rPr>
        <w:t>99.88%</w:t>
      </w:r>
      <w:r>
        <w:rPr>
          <w:rFonts w:ascii="宋体" w:hAnsi="宋体" w:cs="宋体" w:eastAsia="宋体" w:hint="default"/>
          <w:spacing w:val="-3"/>
          <w:sz w:val="21"/>
          <w:szCs w:val="21"/>
        </w:rPr>
        <w:t>的股份间接持有</w:t>
      </w:r>
      <w:r>
        <w:rPr>
          <w:rFonts w:ascii="宋体" w:hAnsi="宋体" w:cs="宋体" w:eastAsia="宋体" w:hint="default"/>
          <w:w w:val="100"/>
          <w:sz w:val="21"/>
          <w:szCs w:val="21"/>
        </w:rPr>
        <w:t> </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8.98%</w:t>
      </w:r>
      <w:r>
        <w:rPr>
          <w:rFonts w:ascii="宋体" w:hAnsi="宋体" w:cs="宋体" w:eastAsia="宋体" w:hint="default"/>
          <w:sz w:val="21"/>
          <w:szCs w:val="21"/>
        </w:rPr>
        <w:t>的股份，合并持有本公司</w:t>
      </w:r>
      <w:r>
        <w:rPr>
          <w:rFonts w:ascii="Times New Roman" w:hAnsi="Times New Roman" w:cs="Times New Roman" w:eastAsia="Times New Roman" w:hint="default"/>
          <w:sz w:val="21"/>
          <w:szCs w:val="21"/>
        </w:rPr>
        <w:t>32.82%</w:t>
      </w:r>
      <w:r>
        <w:rPr>
          <w:rFonts w:ascii="宋体" w:hAnsi="宋体" w:cs="宋体" w:eastAsia="宋体" w:hint="default"/>
          <w:sz w:val="21"/>
          <w:szCs w:val="21"/>
        </w:rPr>
        <w:t>的股份，为公司第一大股东和实际控制人。</w:t>
      </w:r>
    </w:p>
    <w:p>
      <w:pPr>
        <w:spacing w:line="240" w:lineRule="auto" w:before="4"/>
        <w:rPr>
          <w:rFonts w:ascii="宋体" w:hAnsi="宋体" w:cs="宋体" w:eastAsia="宋体" w:hint="default"/>
          <w:sz w:val="23"/>
          <w:szCs w:val="23"/>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9"/>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安徽森源电 器有限公司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唐荣保</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275,600,000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73732202-0</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安徽鑫龙电 器元件销售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75095582-6</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安徽鑫龙自 动化有限公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74891213-0</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安徽鑫龙低 压电器有限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张祥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74891214-9</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安徽鑫龙变 压器有限公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74891215-7</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安徽鑫龙电 力工程安装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安装劳务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77114405-3</w:t>
            </w:r>
          </w:p>
        </w:tc>
      </w:tr>
    </w:tbl>
    <w:p>
      <w:pPr>
        <w:spacing w:after="0" w:line="240" w:lineRule="auto"/>
        <w:jc w:val="left"/>
        <w:rPr>
          <w:rFonts w:ascii="Times New Roman" w:hAnsi="Times New Roman" w:cs="Times New Roman" w:eastAsia="Times New Roman" w:hint="default"/>
          <w:sz w:val="18"/>
          <w:szCs w:val="18"/>
        </w:rPr>
        <w:sectPr>
          <w:footerReference w:type="default" r:id="rId61"/>
          <w:pgSz w:w="11910" w:h="16840"/>
          <w:pgMar w:footer="1340" w:header="877" w:top="1060" w:bottom="1540" w:left="980" w:right="0"/>
          <w:pgNumType w:start="117"/>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安徽鑫东投 资管理有限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58302523-3</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安徽佑赛科 技有限公司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58010865-8</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6"/>
        <w:gridCol w:w="953"/>
        <w:gridCol w:w="961"/>
        <w:gridCol w:w="955"/>
        <w:gridCol w:w="955"/>
        <w:gridCol w:w="960"/>
        <w:gridCol w:w="958"/>
        <w:gridCol w:w="958"/>
        <w:gridCol w:w="958"/>
        <w:gridCol w:w="960"/>
      </w:tblGrid>
      <w:tr>
        <w:trPr>
          <w:trHeight w:val="1339"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2"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19"/>
              <w:jc w:val="center"/>
              <w:rPr>
                <w:rFonts w:ascii="宋体" w:hAnsi="宋体" w:cs="宋体" w:eastAsia="宋体" w:hint="default"/>
                <w:sz w:val="18"/>
                <w:szCs w:val="18"/>
              </w:rPr>
            </w:pPr>
            <w:r>
              <w:rPr>
                <w:rFonts w:ascii="宋体" w:hAnsi="宋体" w:cs="宋体" w:eastAsia="宋体" w:hint="default"/>
                <w:sz w:val="18"/>
                <w:szCs w:val="18"/>
              </w:rPr>
              <w:t>本企业在被 投资单位表 决权比例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2"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2900"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201"/>
              <w:jc w:val="both"/>
              <w:rPr>
                <w:rFonts w:ascii="宋体" w:hAnsi="宋体" w:cs="宋体" w:eastAsia="宋体" w:hint="default"/>
                <w:sz w:val="18"/>
                <w:szCs w:val="18"/>
              </w:rPr>
            </w:pPr>
            <w:r>
              <w:rPr>
                <w:rFonts w:ascii="宋体" w:hAnsi="宋体" w:cs="宋体" w:eastAsia="宋体" w:hint="default"/>
                <w:sz w:val="18"/>
                <w:szCs w:val="18"/>
              </w:rPr>
              <w:t>安徽美能 储能系统 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合资企业</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6"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62" w:lineRule="auto"/>
              <w:ind w:left="24" w:right="303"/>
              <w:jc w:val="left"/>
              <w:rPr>
                <w:rFonts w:ascii="Times New Roman" w:hAnsi="Times New Roman" w:cs="Times New Roman" w:eastAsia="Times New Roman" w:hint="default"/>
                <w:sz w:val="18"/>
                <w:szCs w:val="18"/>
              </w:rPr>
            </w:pPr>
            <w:r>
              <w:rPr>
                <w:rFonts w:ascii="Times New Roman"/>
                <w:sz w:val="18"/>
              </w:rPr>
              <w:t>Bradleyl</w:t>
            </w:r>
            <w:r>
              <w:rPr>
                <w:rFonts w:ascii="Times New Roman"/>
                <w:w w:val="99"/>
                <w:sz w:val="18"/>
              </w:rPr>
              <w:t> </w:t>
            </w:r>
            <w:r>
              <w:rPr>
                <w:rFonts w:ascii="Times New Roman"/>
                <w:sz w:val="18"/>
              </w:rPr>
              <w:t>Hansen</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 w:right="0"/>
              <w:jc w:val="center"/>
              <w:rPr>
                <w:rFonts w:ascii="宋体" w:hAnsi="宋体" w:cs="宋体" w:eastAsia="宋体" w:hint="default"/>
                <w:sz w:val="18"/>
                <w:szCs w:val="18"/>
              </w:rPr>
            </w:pPr>
            <w:r>
              <w:rPr>
                <w:rFonts w:ascii="宋体" w:hAnsi="宋体" w:cs="宋体" w:eastAsia="宋体" w:hint="default"/>
                <w:sz w:val="18"/>
                <w:szCs w:val="18"/>
              </w:rPr>
              <w:t>生产、销售</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13,625,852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72" w:right="0"/>
              <w:jc w:val="left"/>
              <w:rPr>
                <w:rFonts w:ascii="Times New Roman" w:hAnsi="Times New Roman" w:cs="Times New Roman" w:eastAsia="Times New Roman" w:hint="default"/>
                <w:sz w:val="18"/>
                <w:szCs w:val="18"/>
              </w:rPr>
            </w:pPr>
            <w:r>
              <w:rPr>
                <w:rFonts w:ascii="Times New Roman"/>
                <w:sz w:val="18"/>
              </w:rPr>
              <w:t>45.87%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72" w:right="0"/>
              <w:jc w:val="left"/>
              <w:rPr>
                <w:rFonts w:ascii="Times New Roman" w:hAnsi="Times New Roman" w:cs="Times New Roman" w:eastAsia="Times New Roman" w:hint="default"/>
                <w:sz w:val="18"/>
                <w:szCs w:val="18"/>
              </w:rPr>
            </w:pPr>
            <w:r>
              <w:rPr>
                <w:rFonts w:ascii="Times New Roman"/>
                <w:sz w:val="18"/>
              </w:rPr>
              <w:t>45.87%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公司控股子 公司安徽鑫 东投资管理 有限公司持 有美能储能 </w:t>
            </w:r>
            <w:r>
              <w:rPr>
                <w:rFonts w:ascii="Times New Roman" w:hAnsi="Times New Roman" w:cs="Times New Roman" w:eastAsia="Times New Roman" w:hint="default"/>
                <w:sz w:val="18"/>
                <w:szCs w:val="18"/>
              </w:rPr>
              <w:t>45.87%</w:t>
            </w:r>
            <w:r>
              <w:rPr>
                <w:rFonts w:ascii="宋体" w:hAnsi="宋体" w:cs="宋体" w:eastAsia="宋体" w:hint="default"/>
                <w:sz w:val="18"/>
                <w:szCs w:val="18"/>
              </w:rPr>
              <w:t>的</w:t>
            </w:r>
          </w:p>
          <w:p>
            <w:pPr>
              <w:pStyle w:val="TableParagraph"/>
              <w:spacing w:line="338" w:lineRule="auto"/>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股权，外方 股东持股 </w:t>
            </w:r>
            <w:r>
              <w:rPr>
                <w:rFonts w:ascii="Times New Roman" w:hAnsi="Times New Roman" w:cs="Times New Roman" w:eastAsia="Times New Roman" w:hint="default"/>
                <w:sz w:val="18"/>
                <w:szCs w:val="18"/>
              </w:rPr>
              <w:t>54.13%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sz w:val="18"/>
              </w:rPr>
              <w:t>58459808-4</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4</w:t>
      </w:r>
      <w:r>
        <w:rPr/>
        <w:t>、关联方交易</w:t>
      </w:r>
      <w:r>
        <w:rPr>
          <w:b w:val="0"/>
          <w:bCs w:val="0"/>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）采购商品、接受劳务情况表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40"/>
        <w:jc w:val="right"/>
      </w:pPr>
      <w:r>
        <w:rPr/>
        <w:pict>
          <v:shape style="position:absolute;margin-left:409.630005pt;margin-top:3.711719pt;width:85.5pt;height:15.6pt;mso-position-horizontal-relative:page;mso-position-vertical-relative:paragraph;z-index:-828808" type="#_x0000_t202" filled="false" stroked="false">
            <v:textbox inset="0,0,0,0">
              <w:txbxContent>
                <w:p>
                  <w:pPr>
                    <w:pStyle w:val="BodyText"/>
                    <w:spacing w:line="205" w:lineRule="exact"/>
                    <w:ind w:left="0" w:right="0"/>
                    <w:jc w:val="left"/>
                  </w:pPr>
                  <w:r>
                    <w:rPr/>
                    <w:t>）</w:t>
                  </w:r>
                </w:p>
              </w:txbxContent>
            </v:textbox>
            <w10:wrap type="none"/>
          </v:shape>
        </w:pict>
      </w:r>
      <w:r>
        <w:rPr/>
        <w:pict>
          <v:shape style="position:absolute;margin-left:56.459999pt;margin-top:-52.118282pt;width:479.1pt;height:71.95pt;mso-position-horizontal-relative:page;mso-position-vertical-relative:paragraph;z-index:2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4"/>
                    <w:gridCol w:w="797"/>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3"/>
        <w:rPr>
          <w:rFonts w:ascii="宋体" w:hAnsi="宋体" w:cs="宋体" w:eastAsia="宋体" w:hint="default"/>
          <w:sz w:val="9"/>
          <w:szCs w:val="9"/>
        </w:rPr>
      </w:pPr>
    </w:p>
    <w:p>
      <w:pPr>
        <w:pStyle w:val="BodyText"/>
        <w:spacing w:line="240" w:lineRule="auto" w:before="44"/>
        <w:ind w:right="1123"/>
        <w:jc w:val="left"/>
      </w:pPr>
      <w:r>
        <w:rPr/>
        <w:t>出售商品、提供劳务情况表</w:t>
      </w:r>
    </w:p>
    <w:p>
      <w:pPr>
        <w:pStyle w:val="BodyText"/>
        <w:spacing w:line="240" w:lineRule="auto" w:before="117"/>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before="44"/>
        <w:ind w:left="0" w:right="1140"/>
        <w:jc w:val="right"/>
      </w:pPr>
      <w:r>
        <w:rPr/>
        <w:pict>
          <v:shape style="position:absolute;margin-left:409.630005pt;margin-top:3.711715pt;width:85.5pt;height:15.6pt;mso-position-horizontal-relative:page;mso-position-vertical-relative:paragraph;z-index:-828784" type="#_x0000_t202" filled="false" stroked="false">
            <v:textbox inset="0,0,0,0">
              <w:txbxContent>
                <w:p>
                  <w:pPr>
                    <w:pStyle w:val="BodyText"/>
                    <w:spacing w:line="205" w:lineRule="exact"/>
                    <w:ind w:left="0" w:right="0"/>
                    <w:jc w:val="left"/>
                  </w:pPr>
                  <w:r>
                    <w:rPr/>
                    <w:t>）</w:t>
                  </w:r>
                </w:p>
              </w:txbxContent>
            </v:textbox>
            <w10:wrap type="none"/>
          </v:shape>
        </w:pict>
      </w:r>
      <w:r>
        <w:rPr/>
        <w:pict>
          <v:shape style="position:absolute;margin-left:56.459999pt;margin-top:-52.024284pt;width:479.1pt;height:71.9pt;mso-position-horizontal-relative:page;mso-position-vertical-relative:paragraph;z-index:2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4"/>
                    <w:gridCol w:w="797"/>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after="0" w:line="240" w:lineRule="auto"/>
        <w:jc w:val="right"/>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599"/>
        <w:gridCol w:w="1729"/>
        <w:gridCol w:w="1462"/>
        <w:gridCol w:w="1594"/>
        <w:gridCol w:w="797"/>
        <w:gridCol w:w="1594"/>
        <w:gridCol w:w="797"/>
      </w:tblGrid>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安徽美能储能系统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1,419,464.44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2"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芜湖市鑫诚科技投 资有限公司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安徽鑫龙电器股份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安徽森源电器有限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安徽鑫龙电器股份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安徽森源电器有限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安徽鑫龙电器股份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安徽森源电器有限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安徽鑫龙电器股份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安徽森源电器有限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安徽鑫龙电器股份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安徽森源电器有限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安徽鑫龙电器股份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安徽森源电器有限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安徽鑫龙电器股份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安徽森源电器有限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安徽鑫龙电器股份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安徽森源电器有限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安徽鑫龙电器股份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安徽鑫龙自动化有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安徽鑫龙电器股份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安徽森源电器有限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安徽鑫龙自动化有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安徽森源电器有限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安徽鑫龙电器股份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安徽森源电器有限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安徽鑫龙电器股份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安徽森源电器有限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安徽鑫龙电器股份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23"/>
        <w:jc w:val="left"/>
      </w:pPr>
      <w:r>
        <w:rPr/>
        <w:t>关联担保情况说明</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）其他关联交易</w:t>
      </w:r>
      <w:r>
        <w:rPr>
          <w:b w:val="0"/>
          <w:bCs w:val="0"/>
        </w:rPr>
      </w:r>
    </w:p>
    <w:p>
      <w:pPr>
        <w:spacing w:line="240" w:lineRule="auto" w:before="10"/>
        <w:rPr>
          <w:rFonts w:ascii="宋体" w:hAnsi="宋体" w:cs="宋体" w:eastAsia="宋体" w:hint="default"/>
          <w:b/>
          <w:bCs/>
          <w:sz w:val="24"/>
          <w:szCs w:val="24"/>
        </w:rPr>
      </w:pPr>
    </w:p>
    <w:p>
      <w:pPr>
        <w:spacing w:line="256" w:lineRule="auto" w:before="0"/>
        <w:ind w:left="152" w:right="1123" w:firstLine="420"/>
        <w:jc w:val="left"/>
        <w:rPr>
          <w:rFonts w:ascii="宋体" w:hAnsi="宋体" w:cs="宋体" w:eastAsia="宋体" w:hint="default"/>
          <w:sz w:val="21"/>
          <w:szCs w:val="21"/>
        </w:rPr>
      </w:pPr>
      <w:r>
        <w:rPr>
          <w:rFonts w:ascii="宋体" w:hAnsi="宋体" w:cs="宋体" w:eastAsia="宋体" w:hint="default"/>
          <w:sz w:val="21"/>
          <w:szCs w:val="21"/>
        </w:rPr>
        <w:t>本公司</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年度关键管理人员报酬为</w:t>
      </w:r>
      <w:r>
        <w:rPr>
          <w:rFonts w:ascii="Times New Roman" w:hAnsi="Times New Roman" w:cs="Times New Roman" w:eastAsia="Times New Roman" w:hint="default"/>
          <w:sz w:val="21"/>
          <w:szCs w:val="21"/>
        </w:rPr>
        <w:t>237</w:t>
      </w:r>
      <w:r>
        <w:rPr>
          <w:rFonts w:ascii="宋体" w:hAnsi="宋体" w:cs="宋体" w:eastAsia="宋体" w:hint="default"/>
          <w:sz w:val="21"/>
          <w:szCs w:val="21"/>
        </w:rPr>
        <w:t>万元，上述关键管理人员包含公司董事、监事、总经理、副</w:t>
      </w:r>
      <w:r>
        <w:rPr>
          <w:rFonts w:ascii="宋体" w:hAnsi="宋体" w:cs="宋体" w:eastAsia="宋体" w:hint="default"/>
          <w:w w:val="100"/>
          <w:sz w:val="21"/>
          <w:szCs w:val="21"/>
        </w:rPr>
        <w:t> </w:t>
      </w:r>
      <w:r>
        <w:rPr>
          <w:rFonts w:ascii="宋体" w:hAnsi="宋体" w:cs="宋体" w:eastAsia="宋体" w:hint="default"/>
          <w:sz w:val="21"/>
          <w:szCs w:val="21"/>
        </w:rPr>
        <w:t>总经理、董事会秘书、总工程师、财务负责人。</w:t>
      </w:r>
    </w:p>
    <w:p>
      <w:pPr>
        <w:spacing w:line="240" w:lineRule="auto" w:before="8"/>
        <w:rPr>
          <w:rFonts w:ascii="宋体" w:hAnsi="宋体" w:cs="宋体" w:eastAsia="宋体" w:hint="default"/>
          <w:sz w:val="24"/>
          <w:szCs w:val="24"/>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right="1123"/>
        <w:jc w:val="left"/>
      </w:pPr>
      <w:r>
        <w:rPr/>
        <w:t>上市公司应收关联方款项</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60"/>
        <w:gridCol w:w="1666"/>
        <w:gridCol w:w="1462"/>
        <w:gridCol w:w="1462"/>
        <w:gridCol w:w="1460"/>
        <w:gridCol w:w="1459"/>
      </w:tblGrid>
      <w:tr>
        <w:trPr>
          <w:trHeight w:val="402" w:hRule="exact"/>
        </w:trPr>
        <w:tc>
          <w:tcPr>
            <w:tcW w:w="2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2060"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90"/>
              <w:jc w:val="left"/>
              <w:rPr>
                <w:rFonts w:ascii="宋体" w:hAnsi="宋体" w:cs="宋体" w:eastAsia="宋体" w:hint="default"/>
                <w:sz w:val="18"/>
                <w:szCs w:val="18"/>
              </w:rPr>
            </w:pPr>
            <w:r>
              <w:rPr>
                <w:rFonts w:ascii="宋体" w:hAnsi="宋体" w:cs="宋体" w:eastAsia="宋体" w:hint="default"/>
                <w:sz w:val="18"/>
                <w:szCs w:val="18"/>
              </w:rPr>
              <w:t>安徽美能储能系统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406,898.00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10" w:right="0"/>
              <w:jc w:val="left"/>
              <w:rPr>
                <w:rFonts w:ascii="Times New Roman" w:hAnsi="Times New Roman" w:cs="Times New Roman" w:eastAsia="Times New Roman" w:hint="default"/>
                <w:sz w:val="18"/>
                <w:szCs w:val="18"/>
              </w:rPr>
            </w:pPr>
            <w:r>
              <w:rPr>
                <w:rFonts w:ascii="Times New Roman"/>
                <w:sz w:val="18"/>
              </w:rPr>
              <w:t>12,206.94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07" w:right="0"/>
              <w:jc w:val="left"/>
              <w:rPr>
                <w:rFonts w:ascii="Times New Roman" w:hAnsi="Times New Roman" w:cs="Times New Roman" w:eastAsia="Times New Roman" w:hint="default"/>
                <w:sz w:val="18"/>
                <w:szCs w:val="18"/>
              </w:rPr>
            </w:pPr>
            <w:r>
              <w:rPr>
                <w:rFonts w:ascii="Times New Roman"/>
                <w:sz w:val="18"/>
              </w:rPr>
              <w:t>70,364.51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03" w:right="0"/>
              <w:jc w:val="left"/>
              <w:rPr>
                <w:rFonts w:ascii="Times New Roman" w:hAnsi="Times New Roman" w:cs="Times New Roman" w:eastAsia="Times New Roman" w:hint="default"/>
                <w:sz w:val="18"/>
                <w:szCs w:val="18"/>
              </w:rPr>
            </w:pPr>
            <w:r>
              <w:rPr>
                <w:rFonts w:ascii="Times New Roman"/>
                <w:sz w:val="18"/>
              </w:rPr>
              <w:t>2,110.94</w:t>
            </w:r>
          </w:p>
        </w:tc>
      </w:tr>
    </w:tbl>
    <w:p>
      <w:pPr>
        <w:pStyle w:val="BodyText"/>
        <w:spacing w:line="240" w:lineRule="auto" w:before="49"/>
        <w:ind w:right="1123"/>
        <w:jc w:val="left"/>
      </w:pPr>
      <w:r>
        <w:rPr/>
        <w:t>上市公司应付关联方款项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3"/>
        <w:gridCol w:w="2258"/>
        <w:gridCol w:w="2259"/>
        <w:gridCol w:w="2247"/>
      </w:tblGrid>
      <w:tr>
        <w:trPr>
          <w:trHeight w:val="403" w:hRule="exact"/>
        </w:trPr>
        <w:tc>
          <w:tcPr>
            <w:tcW w:w="2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期初金额</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九、股份支付</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28,400,000.00</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0"/>
              <w:jc w:val="left"/>
              <w:rPr>
                <w:rFonts w:ascii="宋体" w:hAnsi="宋体" w:cs="宋体" w:eastAsia="宋体" w:hint="default"/>
                <w:sz w:val="18"/>
                <w:szCs w:val="18"/>
              </w:rPr>
            </w:pPr>
            <w:r>
              <w:rPr>
                <w:rFonts w:ascii="宋体" w:hAnsi="宋体" w:cs="宋体" w:eastAsia="宋体" w:hint="default"/>
                <w:sz w:val="18"/>
                <w:szCs w:val="18"/>
              </w:rPr>
              <w:t>公司期末发行在外的股份期权行权价格的范围和 合同剩余期限</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首次授予期权行权价为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7.63 </w:t>
            </w:r>
            <w:r>
              <w:rPr>
                <w:rFonts w:ascii="宋体" w:hAnsi="宋体" w:cs="宋体" w:eastAsia="宋体" w:hint="default"/>
                <w:sz w:val="18"/>
                <w:szCs w:val="18"/>
              </w:rPr>
              <w:t>元，合同剩余期限为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年；授予的预留期</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权的行权价格为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9.25 </w:t>
            </w:r>
            <w:r>
              <w:rPr>
                <w:rFonts w:ascii="宋体" w:hAnsi="宋体" w:cs="宋体" w:eastAsia="宋体" w:hint="default"/>
                <w:sz w:val="18"/>
                <w:szCs w:val="18"/>
              </w:rPr>
              <w:t>元，合同剩余期限为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r>
    </w:tbl>
    <w:p>
      <w:pPr>
        <w:pStyle w:val="BodyText"/>
        <w:spacing w:line="240" w:lineRule="auto" w:before="49"/>
        <w:ind w:right="1123"/>
        <w:jc w:val="left"/>
      </w:pPr>
      <w:r>
        <w:rPr/>
        <w:t>股份支付情况的说明</w:t>
      </w:r>
    </w:p>
    <w:p>
      <w:pPr>
        <w:spacing w:line="261" w:lineRule="auto" w:before="94"/>
        <w:ind w:left="15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日，公司召开第五届董事会第九次会议，审议通过了《安徽鑫龙电器股份有限公司股票</w:t>
      </w:r>
      <w:r>
        <w:rPr>
          <w:rFonts w:ascii="宋体" w:hAnsi="宋体" w:cs="宋体" w:eastAsia="宋体" w:hint="default"/>
          <w:w w:val="100"/>
          <w:sz w:val="21"/>
          <w:szCs w:val="21"/>
        </w:rPr>
        <w:t> </w:t>
      </w:r>
      <w:r>
        <w:rPr>
          <w:rFonts w:ascii="宋体" w:hAnsi="宋体" w:cs="宋体" w:eastAsia="宋体" w:hint="default"/>
          <w:sz w:val="21"/>
          <w:szCs w:val="21"/>
        </w:rPr>
        <w:t>期权激励计划（修订稿）》等相关事项，该修订稿已经中国证监会上市公司监管部审核无异议。</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日，公司召开了</w:t>
      </w: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年第一次临时股东大会，审议通过了前述股票期权激励计划相关议案。根据《上</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市公司股权激励管理办法（试行）》以及《安徽鑫龙电器股份有限公司股票期权激励计划（修订稿）》的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相关授予条件，本次股票期权激励计划授予条件已满足。</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日，公司第五届董事会第十一次会</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sz w:val="21"/>
          <w:szCs w:val="21"/>
        </w:rPr>
        <w:t>议审议通过了《关于确定股票期权激励计划授予相关事项的议案》，确定公司首次股票期权激励计划授权</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日为</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日，公司第五届董事会第二十二次会议审议通过了《关于公司首期股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票期权激励计划预留期权授予事项的议案》，确定公司预留股票期权激励计划授权日为</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p>
      <w:pPr>
        <w:spacing w:line="256" w:lineRule="auto" w:before="0"/>
        <w:ind w:left="152" w:right="110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日，公司第五届董事会第二十一次会议审议通过了《关于对</w:t>
      </w:r>
      <w:r>
        <w:rPr>
          <w:rFonts w:ascii="Times New Roman" w:hAnsi="Times New Roman" w:cs="Times New Roman" w:eastAsia="Times New Roman" w:hint="default"/>
          <w:sz w:val="21"/>
          <w:szCs w:val="21"/>
        </w:rPr>
        <w:t>&lt;</w:t>
      </w:r>
      <w:r>
        <w:rPr>
          <w:rFonts w:ascii="宋体" w:hAnsi="宋体" w:cs="宋体" w:eastAsia="宋体" w:hint="default"/>
          <w:sz w:val="21"/>
          <w:szCs w:val="21"/>
        </w:rPr>
        <w:t>股票期权激励计划</w:t>
      </w:r>
      <w:r>
        <w:rPr>
          <w:rFonts w:ascii="Times New Roman" w:hAnsi="Times New Roman" w:cs="Times New Roman" w:eastAsia="Times New Roman" w:hint="default"/>
          <w:sz w:val="21"/>
          <w:szCs w:val="21"/>
        </w:rPr>
        <w:t>&gt;</w:t>
      </w:r>
      <w:r>
        <w:rPr>
          <w:rFonts w:ascii="宋体" w:hAnsi="宋体" w:cs="宋体" w:eastAsia="宋体" w:hint="default"/>
          <w:sz w:val="21"/>
          <w:szCs w:val="21"/>
        </w:rPr>
        <w:t>涉及的</w:t>
      </w:r>
      <w:r>
        <w:rPr>
          <w:rFonts w:ascii="宋体" w:hAnsi="宋体" w:cs="宋体" w:eastAsia="宋体" w:hint="default"/>
          <w:w w:val="100"/>
          <w:sz w:val="21"/>
          <w:szCs w:val="21"/>
        </w:rPr>
        <w:t> </w:t>
      </w:r>
      <w:r>
        <w:rPr>
          <w:rFonts w:ascii="宋体" w:hAnsi="宋体" w:cs="宋体" w:eastAsia="宋体" w:hint="default"/>
          <w:spacing w:val="-2"/>
          <w:sz w:val="21"/>
          <w:szCs w:val="21"/>
        </w:rPr>
        <w:t>股票期权数量和行权价格进行调整的议案》。</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月公司实施完毕了向全体股东每</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股派送红股</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股，</w:t>
      </w:r>
      <w:r>
        <w:rPr>
          <w:rFonts w:ascii="宋体" w:hAnsi="宋体" w:cs="宋体" w:eastAsia="宋体" w:hint="default"/>
          <w:spacing w:val="-19"/>
          <w:sz w:val="21"/>
          <w:szCs w:val="21"/>
        </w:rPr>
        <w:t> </w:t>
      </w:r>
      <w:r>
        <w:rPr>
          <w:rFonts w:ascii="宋体" w:hAnsi="宋体" w:cs="宋体" w:eastAsia="宋体" w:hint="default"/>
          <w:spacing w:val="-3"/>
          <w:sz w:val="21"/>
          <w:szCs w:val="21"/>
        </w:rPr>
        <w:t>每</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股派发现金股利</w:t>
      </w:r>
      <w:r>
        <w:rPr>
          <w:rFonts w:ascii="Times New Roman" w:hAnsi="Times New Roman" w:cs="Times New Roman" w:eastAsia="Times New Roman" w:hint="default"/>
          <w:spacing w:val="-3"/>
          <w:sz w:val="21"/>
          <w:szCs w:val="21"/>
        </w:rPr>
        <w:t>0.25</w:t>
      </w:r>
      <w:r>
        <w:rPr>
          <w:rFonts w:ascii="宋体" w:hAnsi="宋体" w:cs="宋体" w:eastAsia="宋体" w:hint="default"/>
          <w:spacing w:val="-3"/>
          <w:sz w:val="21"/>
          <w:szCs w:val="21"/>
        </w:rPr>
        <w:t>元（含税），以资本公积向全体股东每</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股转增</w:t>
      </w:r>
      <w:r>
        <w:rPr>
          <w:rFonts w:ascii="Times New Roman" w:hAnsi="Times New Roman" w:cs="Times New Roman" w:eastAsia="Times New Roman" w:hint="default"/>
          <w:spacing w:val="-3"/>
          <w:sz w:val="21"/>
          <w:szCs w:val="21"/>
        </w:rPr>
        <w:t>8</w:t>
      </w:r>
      <w:r>
        <w:rPr>
          <w:rFonts w:ascii="宋体" w:hAnsi="宋体" w:cs="宋体" w:eastAsia="宋体" w:hint="default"/>
          <w:spacing w:val="-3"/>
          <w:sz w:val="21"/>
          <w:szCs w:val="21"/>
        </w:rPr>
        <w:t>股。因此，公司根据《股票期权</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激励计划》对股票期权的数量和行权价格进行了调整，调整后首次授予股票期权数为</w:t>
      </w:r>
      <w:r>
        <w:rPr>
          <w:rFonts w:ascii="Times New Roman" w:hAnsi="Times New Roman" w:cs="Times New Roman" w:eastAsia="Times New Roman" w:hint="default"/>
          <w:sz w:val="21"/>
          <w:szCs w:val="21"/>
        </w:rPr>
        <w:t>1320*</w:t>
      </w:r>
      <w:r>
        <w:rPr>
          <w:rFonts w:ascii="宋体" w:hAnsi="宋体" w:cs="宋体" w:eastAsia="宋体" w:hint="default"/>
          <w:sz w:val="21"/>
          <w:szCs w:val="21"/>
        </w:rPr>
        <w:t>（</w:t>
      </w:r>
      <w:r>
        <w:rPr>
          <w:rFonts w:ascii="Times New Roman" w:hAnsi="Times New Roman" w:cs="Times New Roman" w:eastAsia="Times New Roman" w:hint="default"/>
          <w:sz w:val="21"/>
          <w:szCs w:val="21"/>
        </w:rPr>
        <w:t>1+1</w:t>
      </w:r>
      <w:r>
        <w:rPr>
          <w:rFonts w:ascii="宋体" w:hAnsi="宋体" w:cs="宋体" w:eastAsia="宋体" w:hint="default"/>
          <w:sz w:val="21"/>
          <w:szCs w:val="21"/>
        </w:rPr>
        <w:t>）</w:t>
      </w:r>
      <w:r>
        <w:rPr>
          <w:rFonts w:ascii="Times New Roman" w:hAnsi="Times New Roman" w:cs="Times New Roman" w:eastAsia="Times New Roman" w:hint="default"/>
          <w:sz w:val="21"/>
          <w:szCs w:val="21"/>
        </w:rPr>
        <w:t>=2640</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pacing w:val="4"/>
          <w:sz w:val="21"/>
          <w:szCs w:val="21"/>
        </w:rPr>
      </w:r>
      <w:r>
        <w:rPr>
          <w:rFonts w:ascii="宋体" w:hAnsi="宋体" w:cs="宋体" w:eastAsia="宋体" w:hint="default"/>
          <w:sz w:val="21"/>
          <w:szCs w:val="21"/>
        </w:rPr>
        <w:t>万份，预留股票期权数量为</w:t>
      </w:r>
      <w:r>
        <w:rPr>
          <w:rFonts w:ascii="Times New Roman" w:hAnsi="Times New Roman" w:cs="Times New Roman" w:eastAsia="Times New Roman" w:hint="default"/>
          <w:sz w:val="21"/>
          <w:szCs w:val="21"/>
        </w:rPr>
        <w:t>100*</w:t>
      </w:r>
      <w:r>
        <w:rPr>
          <w:rFonts w:ascii="宋体" w:hAnsi="宋体" w:cs="宋体" w:eastAsia="宋体" w:hint="default"/>
          <w:sz w:val="21"/>
          <w:szCs w:val="21"/>
        </w:rPr>
        <w:t>（</w:t>
      </w:r>
      <w:r>
        <w:rPr>
          <w:rFonts w:ascii="Times New Roman" w:hAnsi="Times New Roman" w:cs="Times New Roman" w:eastAsia="Times New Roman" w:hint="default"/>
          <w:sz w:val="21"/>
          <w:szCs w:val="21"/>
        </w:rPr>
        <w:t>1+1</w:t>
      </w:r>
      <w:r>
        <w:rPr>
          <w:rFonts w:ascii="宋体" w:hAnsi="宋体" w:cs="宋体" w:eastAsia="宋体" w:hint="default"/>
          <w:sz w:val="21"/>
          <w:szCs w:val="21"/>
        </w:rPr>
        <w:t>）</w:t>
      </w:r>
      <w:r>
        <w:rPr>
          <w:rFonts w:ascii="Times New Roman" w:hAnsi="Times New Roman" w:cs="Times New Roman" w:eastAsia="Times New Roman" w:hint="default"/>
          <w:sz w:val="21"/>
          <w:szCs w:val="21"/>
        </w:rPr>
        <w:t>=200</w:t>
      </w:r>
      <w:r>
        <w:rPr>
          <w:rFonts w:ascii="宋体" w:hAnsi="宋体" w:cs="宋体" w:eastAsia="宋体" w:hint="default"/>
          <w:sz w:val="21"/>
          <w:szCs w:val="21"/>
        </w:rPr>
        <w:t>万份；首次授予股票期权的行权价格调整为（</w:t>
      </w:r>
      <w:r>
        <w:rPr>
          <w:rFonts w:ascii="Times New Roman" w:hAnsi="Times New Roman" w:cs="Times New Roman" w:eastAsia="Times New Roman" w:hint="default"/>
          <w:sz w:val="21"/>
          <w:szCs w:val="21"/>
        </w:rPr>
        <w:t>15.28-0.025</w:t>
      </w:r>
      <w:r>
        <w:rPr>
          <w:rFonts w:ascii="宋体" w:hAnsi="宋体" w:cs="宋体" w:eastAsia="宋体" w:hint="default"/>
          <w:sz w:val="21"/>
          <w:szCs w:val="21"/>
        </w:rPr>
        <w:t>）</w:t>
      </w:r>
    </w:p>
    <w:p>
      <w:pPr>
        <w:spacing w:after="0" w:line="256" w:lineRule="auto"/>
        <w:jc w:val="both"/>
        <w:rPr>
          <w:rFonts w:ascii="宋体" w:hAnsi="宋体" w:cs="宋体" w:eastAsia="宋体" w:hint="default"/>
          <w:sz w:val="21"/>
          <w:szCs w:val="21"/>
        </w:rPr>
        <w:sectPr>
          <w:footerReference w:type="default" r:id="rId62"/>
          <w:pgSz w:w="11910" w:h="16840"/>
          <w:pgMar w:footer="1340" w:header="877" w:top="1060" w:bottom="1540" w:left="980" w:right="0"/>
          <w:pgNumType w:start="120"/>
        </w:sectPr>
      </w:pPr>
    </w:p>
    <w:p>
      <w:pPr>
        <w:spacing w:line="240" w:lineRule="auto" w:before="10"/>
        <w:rPr>
          <w:rFonts w:ascii="宋体" w:hAnsi="宋体" w:cs="宋体" w:eastAsia="宋体" w:hint="default"/>
          <w:sz w:val="24"/>
          <w:szCs w:val="24"/>
        </w:rPr>
      </w:pPr>
    </w:p>
    <w:p>
      <w:pPr>
        <w:spacing w:before="36"/>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/(1+1)=7.63</w:t>
      </w:r>
      <w:r>
        <w:rPr>
          <w:rFonts w:ascii="宋体" w:hAnsi="宋体" w:cs="宋体" w:eastAsia="宋体" w:hint="default"/>
          <w:sz w:val="21"/>
          <w:szCs w:val="21"/>
        </w:rPr>
        <w:t>元。</w:t>
      </w:r>
    </w:p>
    <w:p>
      <w:pPr>
        <w:spacing w:before="21"/>
        <w:ind w:left="575" w:right="1123" w:firstLine="0"/>
        <w:jc w:val="left"/>
        <w:rPr>
          <w:rFonts w:ascii="宋体" w:hAnsi="宋体" w:cs="宋体" w:eastAsia="宋体" w:hint="default"/>
          <w:sz w:val="21"/>
          <w:szCs w:val="21"/>
        </w:rPr>
      </w:pPr>
      <w:r>
        <w:rPr>
          <w:rFonts w:ascii="宋体" w:hAnsi="宋体" w:cs="宋体" w:eastAsia="宋体" w:hint="default"/>
          <w:b/>
          <w:bCs/>
          <w:sz w:val="21"/>
          <w:szCs w:val="21"/>
        </w:rPr>
        <w:t>激励计划主要内容：</w:t>
      </w:r>
      <w:r>
        <w:rPr>
          <w:rFonts w:ascii="宋体" w:hAnsi="宋体" w:cs="宋体" w:eastAsia="宋体" w:hint="default"/>
          <w:sz w:val="21"/>
          <w:szCs w:val="21"/>
        </w:rPr>
      </w:r>
    </w:p>
    <w:p>
      <w:pPr>
        <w:spacing w:line="256" w:lineRule="auto" w:before="37"/>
        <w:ind w:left="152" w:right="1107"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）公司授予激励对象</w:t>
      </w:r>
      <w:r>
        <w:rPr>
          <w:rFonts w:ascii="Times New Roman" w:hAnsi="Times New Roman" w:cs="Times New Roman" w:eastAsia="Times New Roman" w:hint="default"/>
          <w:spacing w:val="-2"/>
          <w:sz w:val="21"/>
          <w:szCs w:val="21"/>
        </w:rPr>
        <w:t>2,840</w:t>
      </w:r>
      <w:r>
        <w:rPr>
          <w:rFonts w:ascii="宋体" w:hAnsi="宋体" w:cs="宋体" w:eastAsia="宋体" w:hint="default"/>
          <w:spacing w:val="-2"/>
          <w:sz w:val="21"/>
          <w:szCs w:val="21"/>
        </w:rPr>
        <w:t>万份股票期权，其中首次授予股票期权</w:t>
      </w:r>
      <w:r>
        <w:rPr>
          <w:rFonts w:ascii="Times New Roman" w:hAnsi="Times New Roman" w:cs="Times New Roman" w:eastAsia="Times New Roman" w:hint="default"/>
          <w:spacing w:val="-2"/>
          <w:sz w:val="21"/>
          <w:szCs w:val="21"/>
        </w:rPr>
        <w:t>2,640</w:t>
      </w:r>
      <w:r>
        <w:rPr>
          <w:rFonts w:ascii="宋体" w:hAnsi="宋体" w:cs="宋体" w:eastAsia="宋体" w:hint="default"/>
          <w:spacing w:val="-2"/>
          <w:sz w:val="21"/>
          <w:szCs w:val="21"/>
        </w:rPr>
        <w:t>万份，首次授予的股票期权</w:t>
      </w:r>
      <w:r>
        <w:rPr>
          <w:rFonts w:ascii="宋体" w:hAnsi="宋体" w:cs="宋体" w:eastAsia="宋体" w:hint="default"/>
          <w:w w:val="100"/>
          <w:sz w:val="21"/>
          <w:szCs w:val="21"/>
        </w:rPr>
        <w:t> </w:t>
      </w:r>
      <w:r>
        <w:rPr>
          <w:rFonts w:ascii="宋体" w:hAnsi="宋体" w:cs="宋体" w:eastAsia="宋体" w:hint="default"/>
          <w:spacing w:val="-6"/>
          <w:sz w:val="21"/>
          <w:szCs w:val="21"/>
        </w:rPr>
        <w:t>自首次授权日起满</w:t>
      </w:r>
      <w:r>
        <w:rPr>
          <w:rFonts w:ascii="Times New Roman" w:hAnsi="Times New Roman" w:cs="Times New Roman" w:eastAsia="Times New Roman" w:hint="default"/>
          <w:spacing w:val="-6"/>
          <w:sz w:val="21"/>
          <w:szCs w:val="21"/>
        </w:rPr>
        <w:t>12</w:t>
      </w:r>
      <w:r>
        <w:rPr>
          <w:rFonts w:ascii="宋体" w:hAnsi="宋体" w:cs="宋体" w:eastAsia="宋体" w:hint="default"/>
          <w:spacing w:val="-6"/>
          <w:sz w:val="21"/>
          <w:szCs w:val="21"/>
        </w:rPr>
        <w:t>个月后，激励对象在未来</w:t>
      </w:r>
      <w:r>
        <w:rPr>
          <w:rFonts w:ascii="Times New Roman" w:hAnsi="Times New Roman" w:cs="Times New Roman" w:eastAsia="Times New Roman" w:hint="default"/>
          <w:spacing w:val="-6"/>
          <w:sz w:val="21"/>
          <w:szCs w:val="21"/>
        </w:rPr>
        <w:t>48</w:t>
      </w:r>
      <w:r>
        <w:rPr>
          <w:rFonts w:ascii="宋体" w:hAnsi="宋体" w:cs="宋体" w:eastAsia="宋体" w:hint="default"/>
          <w:spacing w:val="-6"/>
          <w:sz w:val="21"/>
          <w:szCs w:val="21"/>
        </w:rPr>
        <w:t>个月内可以选择</w:t>
      </w: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期行权，在可行权日内按</w:t>
      </w:r>
      <w:r>
        <w:rPr>
          <w:rFonts w:ascii="Times New Roman" w:hAnsi="Times New Roman" w:cs="Times New Roman" w:eastAsia="Times New Roman" w:hint="default"/>
          <w:spacing w:val="-6"/>
          <w:sz w:val="21"/>
          <w:szCs w:val="21"/>
        </w:rPr>
        <w:t>40%</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30%</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30%</w:t>
      </w:r>
      <w:r>
        <w:rPr>
          <w:rFonts w:ascii="Times New Roman" w:hAnsi="Times New Roman" w:cs="Times New Roman" w:eastAsia="Times New Roman" w:hint="default"/>
          <w:spacing w:val="22"/>
          <w:sz w:val="21"/>
          <w:szCs w:val="21"/>
        </w:rPr>
        <w:t> </w:t>
      </w:r>
      <w:r>
        <w:rPr>
          <w:rFonts w:ascii="Times New Roman" w:hAnsi="Times New Roman" w:cs="Times New Roman" w:eastAsia="Times New Roman" w:hint="default"/>
          <w:spacing w:val="22"/>
          <w:sz w:val="21"/>
          <w:szCs w:val="21"/>
        </w:rPr>
      </w:r>
      <w:r>
        <w:rPr>
          <w:rFonts w:ascii="宋体" w:hAnsi="宋体" w:cs="宋体" w:eastAsia="宋体" w:hint="default"/>
          <w:spacing w:val="-2"/>
          <w:sz w:val="21"/>
          <w:szCs w:val="21"/>
        </w:rPr>
        <w:t>的行权比例分期行权；预留股票期权</w:t>
      </w:r>
      <w:r>
        <w:rPr>
          <w:rFonts w:ascii="Times New Roman" w:hAnsi="Times New Roman" w:cs="Times New Roman" w:eastAsia="Times New Roman" w:hint="default"/>
          <w:spacing w:val="-2"/>
          <w:sz w:val="21"/>
          <w:szCs w:val="21"/>
        </w:rPr>
        <w:t>200</w:t>
      </w:r>
      <w:r>
        <w:rPr>
          <w:rFonts w:ascii="宋体" w:hAnsi="宋体" w:cs="宋体" w:eastAsia="宋体" w:hint="default"/>
          <w:spacing w:val="-2"/>
          <w:sz w:val="21"/>
          <w:szCs w:val="21"/>
        </w:rPr>
        <w:t>万份，预留股票期权计划分</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期行权，自首次授权日起</w:t>
      </w: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个月后，</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满足行权条件的，激励对象可以分</w:t>
      </w:r>
      <w:r>
        <w:rPr>
          <w:rFonts w:ascii="Times New Roman" w:hAnsi="Times New Roman" w:cs="Times New Roman" w:eastAsia="Times New Roman" w:hint="default"/>
          <w:sz w:val="21"/>
          <w:szCs w:val="21"/>
        </w:rPr>
        <w:t>2</w:t>
      </w:r>
      <w:r>
        <w:rPr>
          <w:rFonts w:ascii="宋体" w:hAnsi="宋体" w:cs="宋体" w:eastAsia="宋体" w:hint="default"/>
          <w:sz w:val="21"/>
          <w:szCs w:val="21"/>
        </w:rPr>
        <w:t>期申请行权，在可行权日内按</w:t>
      </w:r>
      <w:r>
        <w:rPr>
          <w:rFonts w:ascii="Times New Roman" w:hAnsi="Times New Roman" w:cs="Times New Roman" w:eastAsia="Times New Roman" w:hint="default"/>
          <w:sz w:val="21"/>
          <w:szCs w:val="21"/>
        </w:rPr>
        <w:t>50%</w:t>
      </w:r>
      <w:r>
        <w:rPr>
          <w:rFonts w:ascii="宋体" w:hAnsi="宋体" w:cs="宋体" w:eastAsia="宋体" w:hint="default"/>
          <w:sz w:val="21"/>
          <w:szCs w:val="21"/>
        </w:rPr>
        <w:t>、</w:t>
      </w:r>
      <w:r>
        <w:rPr>
          <w:rFonts w:ascii="Times New Roman" w:hAnsi="Times New Roman" w:cs="Times New Roman" w:eastAsia="Times New Roman" w:hint="default"/>
          <w:sz w:val="21"/>
          <w:szCs w:val="21"/>
        </w:rPr>
        <w:t>50%</w:t>
      </w:r>
      <w:r>
        <w:rPr>
          <w:rFonts w:ascii="宋体" w:hAnsi="宋体" w:cs="宋体" w:eastAsia="宋体" w:hint="default"/>
          <w:sz w:val="21"/>
          <w:szCs w:val="21"/>
        </w:rPr>
        <w:t>的行权比例分期行权。</w:t>
      </w:r>
    </w:p>
    <w:p>
      <w:pPr>
        <w:spacing w:before="5"/>
        <w:ind w:left="573"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）首次授权日为</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日，预留股票期权授予日为</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p>
      <w:pPr>
        <w:spacing w:before="21"/>
        <w:ind w:left="573"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）首次授予股票期权的行权价格为</w:t>
      </w:r>
      <w:r>
        <w:rPr>
          <w:rFonts w:ascii="Times New Roman" w:hAnsi="Times New Roman" w:cs="Times New Roman" w:eastAsia="Times New Roman" w:hint="default"/>
          <w:sz w:val="21"/>
          <w:szCs w:val="21"/>
        </w:rPr>
        <w:t>7.63</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份，预留股票期权的行权价格为</w:t>
      </w:r>
      <w:r>
        <w:rPr>
          <w:rFonts w:ascii="Times New Roman" w:hAnsi="Times New Roman" w:cs="Times New Roman" w:eastAsia="Times New Roman" w:hint="default"/>
          <w:sz w:val="21"/>
          <w:szCs w:val="21"/>
        </w:rPr>
        <w:t>9.25</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份。</w:t>
      </w:r>
    </w:p>
    <w:p>
      <w:pPr>
        <w:spacing w:before="21"/>
        <w:ind w:left="573"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）有效期为自股票期权授权日起五年时间。</w:t>
      </w:r>
    </w:p>
    <w:p>
      <w:pPr>
        <w:spacing w:line="256" w:lineRule="auto" w:before="21"/>
        <w:ind w:left="152" w:right="112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）可行权日：首次授权的第一个可行权日为自首次授权日起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个月后的首个交易日，第二个可行</w:t>
      </w:r>
      <w:r>
        <w:rPr>
          <w:rFonts w:ascii="宋体" w:hAnsi="宋体" w:cs="宋体" w:eastAsia="宋体" w:hint="default"/>
          <w:w w:val="100"/>
          <w:sz w:val="21"/>
          <w:szCs w:val="21"/>
        </w:rPr>
        <w:t> </w:t>
      </w:r>
      <w:r>
        <w:rPr>
          <w:rFonts w:ascii="宋体" w:hAnsi="宋体" w:cs="宋体" w:eastAsia="宋体" w:hint="default"/>
          <w:spacing w:val="2"/>
          <w:sz w:val="21"/>
          <w:szCs w:val="21"/>
        </w:rPr>
        <w:t>权日为自首次授权日起</w:t>
      </w: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个月后的首个交易日，第三个可行权日为自首次授权日起</w:t>
      </w:r>
      <w:r>
        <w:rPr>
          <w:rFonts w:ascii="Times New Roman" w:hAnsi="Times New Roman" w:cs="Times New Roman" w:eastAsia="Times New Roman" w:hint="default"/>
          <w:spacing w:val="2"/>
          <w:sz w:val="21"/>
          <w:szCs w:val="21"/>
        </w:rPr>
        <w:t>48</w:t>
      </w:r>
      <w:r>
        <w:rPr>
          <w:rFonts w:ascii="宋体" w:hAnsi="宋体" w:cs="宋体" w:eastAsia="宋体" w:hint="default"/>
          <w:spacing w:val="2"/>
          <w:sz w:val="21"/>
          <w:szCs w:val="21"/>
        </w:rPr>
        <w:t>个月后的首个交易</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日；预留部分股票期权的第一个可行权日为自首次授权日起</w:t>
      </w: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个月后的首个交易日，第二个可行权日为自</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首次授权日起</w:t>
      </w:r>
      <w:r>
        <w:rPr>
          <w:rFonts w:ascii="Times New Roman" w:hAnsi="Times New Roman" w:cs="Times New Roman" w:eastAsia="Times New Roman" w:hint="default"/>
          <w:sz w:val="21"/>
          <w:szCs w:val="21"/>
        </w:rPr>
        <w:t>48</w:t>
      </w:r>
      <w:r>
        <w:rPr>
          <w:rFonts w:ascii="宋体" w:hAnsi="宋体" w:cs="宋体" w:eastAsia="宋体" w:hint="default"/>
          <w:sz w:val="21"/>
          <w:szCs w:val="21"/>
        </w:rPr>
        <w:t>个月后的首个交易日。</w:t>
      </w:r>
    </w:p>
    <w:p>
      <w:pPr>
        <w:spacing w:before="5"/>
        <w:ind w:left="573"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）行权条件：</w:t>
      </w:r>
    </w:p>
    <w:p>
      <w:pPr>
        <w:spacing w:before="21"/>
        <w:ind w:left="573" w:right="11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）根据公司《激励考核办法》，激励对象上一年度绩效考核合格。</w:t>
      </w:r>
    </w:p>
    <w:p>
      <w:pPr>
        <w:spacing w:line="256" w:lineRule="auto" w:before="21"/>
        <w:ind w:left="152" w:right="1119"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）首次授予部分各期绩效考核目标：第一个行权期以</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年净利润</w:t>
      </w:r>
      <w:r>
        <w:rPr>
          <w:rFonts w:ascii="Times New Roman" w:hAnsi="Times New Roman" w:cs="Times New Roman" w:eastAsia="Times New Roman" w:hint="default"/>
          <w:spacing w:val="-3"/>
          <w:sz w:val="21"/>
          <w:szCs w:val="21"/>
        </w:rPr>
        <w:t>38,841,951.38</w:t>
      </w:r>
      <w:r>
        <w:rPr>
          <w:rFonts w:ascii="宋体" w:hAnsi="宋体" w:cs="宋体" w:eastAsia="宋体" w:hint="default"/>
          <w:spacing w:val="-3"/>
          <w:sz w:val="21"/>
          <w:szCs w:val="21"/>
        </w:rPr>
        <w:t>元为基数，</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年净</w:t>
      </w:r>
      <w:r>
        <w:rPr>
          <w:rFonts w:ascii="宋体" w:hAnsi="宋体" w:cs="宋体" w:eastAsia="宋体" w:hint="default"/>
          <w:w w:val="100"/>
          <w:sz w:val="21"/>
          <w:szCs w:val="21"/>
        </w:rPr>
        <w:t> </w:t>
      </w:r>
      <w:r>
        <w:rPr>
          <w:rFonts w:ascii="宋体" w:hAnsi="宋体" w:cs="宋体" w:eastAsia="宋体" w:hint="default"/>
          <w:spacing w:val="6"/>
          <w:sz w:val="21"/>
          <w:szCs w:val="21"/>
        </w:rPr>
        <w:t>利润增长率不低于</w:t>
      </w:r>
      <w:r>
        <w:rPr>
          <w:rFonts w:ascii="Times New Roman" w:hAnsi="Times New Roman" w:cs="Times New Roman" w:eastAsia="Times New Roman" w:hint="default"/>
          <w:spacing w:val="6"/>
          <w:sz w:val="21"/>
          <w:szCs w:val="21"/>
        </w:rPr>
        <w:t>20%</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2011</w:t>
      </w:r>
      <w:r>
        <w:rPr>
          <w:rFonts w:ascii="宋体" w:hAnsi="宋体" w:cs="宋体" w:eastAsia="宋体" w:hint="default"/>
          <w:spacing w:val="6"/>
          <w:sz w:val="21"/>
          <w:szCs w:val="21"/>
        </w:rPr>
        <w:t>年度加权平均净资产收益率不低于</w:t>
      </w:r>
      <w:r>
        <w:rPr>
          <w:rFonts w:ascii="Times New Roman" w:hAnsi="Times New Roman" w:cs="Times New Roman" w:eastAsia="Times New Roman" w:hint="default"/>
          <w:spacing w:val="6"/>
          <w:sz w:val="21"/>
          <w:szCs w:val="21"/>
        </w:rPr>
        <w:t>8.5%</w:t>
      </w:r>
      <w:r>
        <w:rPr>
          <w:rFonts w:ascii="宋体" w:hAnsi="宋体" w:cs="宋体" w:eastAsia="宋体" w:hint="default"/>
          <w:spacing w:val="6"/>
          <w:sz w:val="21"/>
          <w:szCs w:val="21"/>
        </w:rPr>
        <w:t>；第二个行权期以</w:t>
      </w:r>
      <w:r>
        <w:rPr>
          <w:rFonts w:ascii="Times New Roman" w:hAnsi="Times New Roman" w:cs="Times New Roman" w:eastAsia="Times New Roman" w:hint="default"/>
          <w:spacing w:val="6"/>
          <w:sz w:val="21"/>
          <w:szCs w:val="21"/>
        </w:rPr>
        <w:t>2010</w:t>
      </w:r>
      <w:r>
        <w:rPr>
          <w:rFonts w:ascii="宋体" w:hAnsi="宋体" w:cs="宋体" w:eastAsia="宋体" w:hint="default"/>
          <w:spacing w:val="6"/>
          <w:sz w:val="21"/>
          <w:szCs w:val="21"/>
        </w:rPr>
        <w:t>年净利润</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38,841,951.38</w:t>
      </w:r>
      <w:r>
        <w:rPr>
          <w:rFonts w:ascii="宋体" w:hAnsi="宋体" w:cs="宋体" w:eastAsia="宋体" w:hint="default"/>
          <w:sz w:val="21"/>
          <w:szCs w:val="21"/>
        </w:rPr>
        <w:t>元为基数，</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年净利润增长率不低于</w:t>
      </w:r>
      <w:r>
        <w:rPr>
          <w:rFonts w:ascii="Times New Roman" w:hAnsi="Times New Roman" w:cs="Times New Roman" w:eastAsia="Times New Roman" w:hint="default"/>
          <w:sz w:val="21"/>
          <w:szCs w:val="21"/>
        </w:rPr>
        <w:t>40%</w:t>
      </w:r>
      <w:r>
        <w:rPr>
          <w:rFonts w:ascii="宋体" w:hAnsi="宋体" w:cs="宋体" w:eastAsia="宋体" w:hint="default"/>
          <w:sz w:val="21"/>
          <w:szCs w:val="21"/>
        </w:rPr>
        <w:t>，</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年度加权平均净资产收益率不低于</w:t>
      </w:r>
      <w:r>
        <w:rPr>
          <w:rFonts w:ascii="Times New Roman" w:hAnsi="Times New Roman" w:cs="Times New Roman" w:eastAsia="Times New Roman" w:hint="default"/>
          <w:sz w:val="21"/>
          <w:szCs w:val="21"/>
        </w:rPr>
        <w:t>9.0%</w:t>
      </w:r>
      <w:r>
        <w:rPr>
          <w:rFonts w:ascii="宋体" w:hAnsi="宋体" w:cs="宋体" w:eastAsia="宋体" w:hint="default"/>
          <w:sz w:val="21"/>
          <w:szCs w:val="21"/>
        </w:rPr>
        <w:t>；</w:t>
      </w:r>
      <w:r>
        <w:rPr>
          <w:rFonts w:ascii="宋体" w:hAnsi="宋体" w:cs="宋体" w:eastAsia="宋体" w:hint="default"/>
          <w:spacing w:val="-62"/>
          <w:sz w:val="21"/>
          <w:szCs w:val="21"/>
        </w:rPr>
        <w:t> </w:t>
      </w:r>
      <w:r>
        <w:rPr>
          <w:rFonts w:ascii="宋体" w:hAnsi="宋体" w:cs="宋体" w:eastAsia="宋体" w:hint="default"/>
          <w:sz w:val="21"/>
          <w:szCs w:val="21"/>
        </w:rPr>
        <w:t>第三个行权期以</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年净利润</w:t>
      </w:r>
      <w:r>
        <w:rPr>
          <w:rFonts w:ascii="Times New Roman" w:hAnsi="Times New Roman" w:cs="Times New Roman" w:eastAsia="Times New Roman" w:hint="default"/>
          <w:sz w:val="21"/>
          <w:szCs w:val="21"/>
        </w:rPr>
        <w:t>38,841,951.38</w:t>
      </w:r>
      <w:r>
        <w:rPr>
          <w:rFonts w:ascii="宋体" w:hAnsi="宋体" w:cs="宋体" w:eastAsia="宋体" w:hint="default"/>
          <w:sz w:val="21"/>
          <w:szCs w:val="21"/>
        </w:rPr>
        <w:t>元为基数，</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年净利润增长率不低于</w:t>
      </w:r>
      <w:r>
        <w:rPr>
          <w:rFonts w:ascii="Times New Roman" w:hAnsi="Times New Roman" w:cs="Times New Roman" w:eastAsia="Times New Roman" w:hint="default"/>
          <w:sz w:val="21"/>
          <w:szCs w:val="21"/>
        </w:rPr>
        <w:t>60%</w:t>
      </w:r>
      <w:r>
        <w:rPr>
          <w:rFonts w:ascii="宋体" w:hAnsi="宋体" w:cs="宋体" w:eastAsia="宋体" w:hint="default"/>
          <w:sz w:val="21"/>
          <w:szCs w:val="21"/>
        </w:rPr>
        <w:t>，</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年度加权平</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均净资产收益率不低于</w:t>
      </w:r>
      <w:r>
        <w:rPr>
          <w:rFonts w:ascii="Times New Roman" w:hAnsi="Times New Roman" w:cs="Times New Roman" w:eastAsia="Times New Roman" w:hint="default"/>
          <w:sz w:val="21"/>
          <w:szCs w:val="21"/>
        </w:rPr>
        <w:t>9.5%</w:t>
      </w:r>
      <w:r>
        <w:rPr>
          <w:rFonts w:ascii="宋体" w:hAnsi="宋体" w:cs="宋体" w:eastAsia="宋体" w:hint="default"/>
          <w:sz w:val="21"/>
          <w:szCs w:val="21"/>
        </w:rPr>
        <w:t>。</w:t>
      </w:r>
    </w:p>
    <w:p>
      <w:pPr>
        <w:spacing w:line="256" w:lineRule="auto" w:before="5"/>
        <w:ind w:left="152" w:right="1128"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）预留部分各期绩效考核目标：第一个行权期以</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年净利润</w:t>
      </w:r>
      <w:r>
        <w:rPr>
          <w:rFonts w:ascii="Times New Roman" w:hAnsi="Times New Roman" w:cs="Times New Roman" w:eastAsia="Times New Roman" w:hint="default"/>
          <w:spacing w:val="-3"/>
          <w:sz w:val="21"/>
          <w:szCs w:val="21"/>
        </w:rPr>
        <w:t>38,841,951.38</w:t>
      </w:r>
      <w:r>
        <w:rPr>
          <w:rFonts w:ascii="宋体" w:hAnsi="宋体" w:cs="宋体" w:eastAsia="宋体" w:hint="default"/>
          <w:spacing w:val="-3"/>
          <w:sz w:val="21"/>
          <w:szCs w:val="21"/>
        </w:rPr>
        <w:t>元为基数，</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年净利润</w:t>
      </w:r>
      <w:r>
        <w:rPr>
          <w:rFonts w:ascii="宋体" w:hAnsi="宋体" w:cs="宋体" w:eastAsia="宋体" w:hint="default"/>
          <w:w w:val="100"/>
          <w:sz w:val="21"/>
          <w:szCs w:val="21"/>
        </w:rPr>
        <w:t> </w:t>
      </w:r>
      <w:r>
        <w:rPr>
          <w:rFonts w:ascii="宋体" w:hAnsi="宋体" w:cs="宋体" w:eastAsia="宋体" w:hint="default"/>
          <w:spacing w:val="16"/>
          <w:sz w:val="21"/>
          <w:szCs w:val="21"/>
        </w:rPr>
        <w:t>增长率不低于</w:t>
      </w:r>
      <w:r>
        <w:rPr>
          <w:rFonts w:ascii="宋体" w:hAnsi="宋体" w:cs="宋体" w:eastAsia="宋体" w:hint="default"/>
          <w:spacing w:val="-71"/>
          <w:sz w:val="21"/>
          <w:szCs w:val="21"/>
        </w:rPr>
        <w:t> </w:t>
      </w:r>
      <w:r>
        <w:rPr>
          <w:rFonts w:ascii="Times New Roman" w:hAnsi="Times New Roman" w:cs="Times New Roman" w:eastAsia="Times New Roman" w:hint="default"/>
          <w:spacing w:val="4"/>
          <w:sz w:val="21"/>
          <w:szCs w:val="21"/>
        </w:rPr>
        <w:t>40%</w:t>
      </w:r>
      <w:r>
        <w:rPr>
          <w:rFonts w:ascii="宋体" w:hAnsi="宋体" w:cs="宋体" w:eastAsia="宋体" w:hint="default"/>
          <w:spacing w:val="4"/>
          <w:sz w:val="21"/>
          <w:szCs w:val="21"/>
        </w:rPr>
        <w:t>，</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9"/>
          <w:sz w:val="21"/>
          <w:szCs w:val="21"/>
        </w:rPr>
        <w:t> </w:t>
      </w:r>
      <w:r>
        <w:rPr>
          <w:rFonts w:ascii="宋体" w:hAnsi="宋体" w:cs="宋体" w:eastAsia="宋体" w:hint="default"/>
          <w:spacing w:val="18"/>
          <w:sz w:val="21"/>
          <w:szCs w:val="21"/>
        </w:rPr>
        <w:t>年度加权平均净资产收益率不低于</w:t>
      </w:r>
      <w:r>
        <w:rPr>
          <w:rFonts w:ascii="宋体" w:hAnsi="宋体" w:cs="宋体" w:eastAsia="宋体" w:hint="default"/>
          <w:spacing w:val="-71"/>
          <w:sz w:val="21"/>
          <w:szCs w:val="21"/>
        </w:rPr>
        <w:t> </w:t>
      </w:r>
      <w:r>
        <w:rPr>
          <w:rFonts w:ascii="Times New Roman" w:hAnsi="Times New Roman" w:cs="Times New Roman" w:eastAsia="Times New Roman" w:hint="default"/>
          <w:spacing w:val="3"/>
          <w:sz w:val="21"/>
          <w:szCs w:val="21"/>
        </w:rPr>
        <w:t>9.0%</w:t>
      </w:r>
      <w:r>
        <w:rPr>
          <w:rFonts w:ascii="宋体" w:hAnsi="宋体" w:cs="宋体" w:eastAsia="宋体" w:hint="default"/>
          <w:spacing w:val="3"/>
          <w:sz w:val="21"/>
          <w:szCs w:val="21"/>
        </w:rPr>
        <w:t>；</w:t>
      </w:r>
      <w:r>
        <w:rPr>
          <w:rFonts w:ascii="宋体" w:hAnsi="宋体" w:cs="宋体" w:eastAsia="宋体" w:hint="default"/>
          <w:spacing w:val="-72"/>
          <w:sz w:val="21"/>
          <w:szCs w:val="21"/>
        </w:rPr>
        <w:t> </w:t>
      </w:r>
      <w:r>
        <w:rPr>
          <w:rFonts w:ascii="宋体" w:hAnsi="宋体" w:cs="宋体" w:eastAsia="宋体" w:hint="default"/>
          <w:spacing w:val="16"/>
          <w:sz w:val="21"/>
          <w:szCs w:val="21"/>
        </w:rPr>
        <w:t>第二个行权期以</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9"/>
          <w:sz w:val="21"/>
          <w:szCs w:val="21"/>
        </w:rPr>
        <w:t> </w:t>
      </w:r>
      <w:r>
        <w:rPr>
          <w:rFonts w:ascii="宋体" w:hAnsi="宋体" w:cs="宋体" w:eastAsia="宋体" w:hint="default"/>
          <w:spacing w:val="14"/>
          <w:sz w:val="21"/>
          <w:szCs w:val="21"/>
        </w:rPr>
        <w:t>年净利润</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Times New Roman" w:hAnsi="Times New Roman" w:cs="Times New Roman" w:eastAsia="Times New Roman" w:hint="default"/>
          <w:spacing w:val="-2"/>
          <w:sz w:val="21"/>
          <w:szCs w:val="21"/>
        </w:rPr>
        <w:t>38,841,951.38</w:t>
      </w:r>
      <w:r>
        <w:rPr>
          <w:rFonts w:ascii="宋体" w:hAnsi="宋体" w:cs="宋体" w:eastAsia="宋体" w:hint="default"/>
          <w:spacing w:val="-2"/>
          <w:sz w:val="21"/>
          <w:szCs w:val="21"/>
        </w:rPr>
        <w:t>元为基数，</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年净利润增长率不低于</w:t>
      </w:r>
      <w:r>
        <w:rPr>
          <w:rFonts w:ascii="Times New Roman" w:hAnsi="Times New Roman" w:cs="Times New Roman" w:eastAsia="Times New Roman" w:hint="default"/>
          <w:spacing w:val="-2"/>
          <w:sz w:val="21"/>
          <w:szCs w:val="21"/>
        </w:rPr>
        <w:t>60%</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年度加权平均净资产收益率不低于</w:t>
      </w:r>
      <w:r>
        <w:rPr>
          <w:rFonts w:ascii="Times New Roman" w:hAnsi="Times New Roman" w:cs="Times New Roman" w:eastAsia="Times New Roman" w:hint="default"/>
          <w:spacing w:val="-2"/>
          <w:sz w:val="21"/>
          <w:szCs w:val="21"/>
        </w:rPr>
        <w:t>9.5%</w:t>
      </w:r>
      <w:r>
        <w:rPr>
          <w:rFonts w:ascii="宋体" w:hAnsi="宋体" w:cs="宋体" w:eastAsia="宋体" w:hint="default"/>
          <w:spacing w:val="-2"/>
          <w:sz w:val="21"/>
          <w:szCs w:val="21"/>
        </w:rPr>
        <w:t>。</w:t>
      </w:r>
    </w:p>
    <w:p>
      <w:pPr>
        <w:spacing w:line="240" w:lineRule="auto" w:before="4"/>
        <w:rPr>
          <w:rFonts w:ascii="宋体" w:hAnsi="宋体" w:cs="宋体" w:eastAsia="宋体" w:hint="default"/>
          <w:sz w:val="23"/>
          <w:szCs w:val="23"/>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权益工具的公允价值采用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模型确定</w:t>
            </w:r>
          </w:p>
        </w:tc>
      </w:tr>
      <w:tr>
        <w:trPr>
          <w:trHeight w:val="133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每期末确定本期激励对象职务变更、离职、死亡人数及变动 原因，按照《安徽鑫龙电器股份有限公司股票期权激励计划</w:t>
            </w:r>
          </w:p>
          <w:p>
            <w:pPr>
              <w:pStyle w:val="TableParagraph"/>
              <w:spacing w:line="316" w:lineRule="auto" w:before="19"/>
              <w:ind w:left="23" w:right="23"/>
              <w:jc w:val="left"/>
              <w:rPr>
                <w:rFonts w:ascii="宋体" w:hAnsi="宋体" w:cs="宋体" w:eastAsia="宋体" w:hint="default"/>
                <w:sz w:val="18"/>
                <w:szCs w:val="18"/>
              </w:rPr>
            </w:pPr>
            <w:r>
              <w:rPr>
                <w:rFonts w:ascii="宋体" w:hAnsi="宋体" w:cs="宋体" w:eastAsia="宋体" w:hint="default"/>
                <w:spacing w:val="-5"/>
                <w:sz w:val="18"/>
                <w:szCs w:val="18"/>
              </w:rPr>
              <w:t>（修订稿）》确定注销股票期权数量，从而得出可行权股票期</w:t>
            </w:r>
            <w:r>
              <w:rPr>
                <w:rFonts w:ascii="宋体" w:hAnsi="宋体" w:cs="宋体" w:eastAsia="宋体" w:hint="default"/>
                <w:sz w:val="18"/>
                <w:szCs w:val="18"/>
              </w:rPr>
              <w:t> 权数量。</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本期末估计与授予日估计无重大差异。</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8,627,968.00</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5,327,314.00</w:t>
            </w:r>
          </w:p>
        </w:tc>
      </w:tr>
    </w:tbl>
    <w:p>
      <w:pPr>
        <w:pStyle w:val="BodyText"/>
        <w:spacing w:line="240" w:lineRule="auto" w:before="49"/>
        <w:ind w:right="1123"/>
        <w:jc w:val="left"/>
      </w:pPr>
      <w:r>
        <w:rPr/>
        <w:t>以权益结算的股份支付的说明</w:t>
      </w:r>
    </w:p>
    <w:p>
      <w:pPr>
        <w:pStyle w:val="Heading4"/>
        <w:spacing w:line="240" w:lineRule="auto" w:before="94"/>
        <w:ind w:left="575" w:right="1123"/>
        <w:jc w:val="left"/>
        <w:rPr>
          <w:b w:val="0"/>
          <w:bCs w:val="0"/>
        </w:rPr>
      </w:pPr>
      <w:r>
        <w:rPr>
          <w:rFonts w:ascii="Times New Roman" w:hAnsi="Times New Roman" w:cs="Times New Roman" w:eastAsia="Times New Roman" w:hint="default"/>
        </w:rPr>
        <w:t>1</w:t>
      </w:r>
      <w:r>
        <w:rPr/>
        <w:t>、首次授予日权益工具公允价值的确定方法：</w:t>
      </w:r>
      <w:r>
        <w:rPr>
          <w:b w:val="0"/>
          <w:bCs w:val="0"/>
        </w:rPr>
      </w:r>
    </w:p>
    <w:p>
      <w:pPr>
        <w:spacing w:line="256" w:lineRule="auto" w:before="21"/>
        <w:ind w:left="152" w:right="1020" w:firstLine="420"/>
        <w:jc w:val="left"/>
        <w:rPr>
          <w:rFonts w:ascii="宋体" w:hAnsi="宋体" w:cs="宋体" w:eastAsia="宋体" w:hint="default"/>
          <w:sz w:val="21"/>
          <w:szCs w:val="21"/>
        </w:rPr>
      </w:pPr>
      <w:r>
        <w:rPr>
          <w:rFonts w:ascii="宋体" w:hAnsi="宋体" w:cs="宋体" w:eastAsia="宋体" w:hint="default"/>
          <w:spacing w:val="10"/>
          <w:sz w:val="21"/>
          <w:szCs w:val="21"/>
        </w:rPr>
        <w:t>根据《企业会计准则第</w:t>
      </w:r>
      <w:r>
        <w:rPr>
          <w:rFonts w:ascii="Times New Roman" w:hAnsi="Times New Roman" w:cs="Times New Roman" w:eastAsia="Times New Roman" w:hint="default"/>
          <w:spacing w:val="10"/>
          <w:sz w:val="21"/>
          <w:szCs w:val="21"/>
        </w:rPr>
        <w:t>22</w:t>
      </w:r>
      <w:r>
        <w:rPr>
          <w:rFonts w:ascii="宋体" w:hAnsi="宋体" w:cs="宋体" w:eastAsia="宋体" w:hint="default"/>
          <w:spacing w:val="10"/>
          <w:sz w:val="21"/>
          <w:szCs w:val="21"/>
        </w:rPr>
        <w:t>号</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金融工具确认和计量》中关于公允价值确定的相关规定，公司选择</w:t>
      </w:r>
      <w:r>
        <w:rPr>
          <w:rFonts w:ascii="宋体" w:hAnsi="宋体" w:cs="宋体" w:eastAsia="宋体" w:hint="default"/>
          <w:spacing w:val="12"/>
          <w:w w:val="100"/>
          <w:sz w:val="21"/>
          <w:szCs w:val="21"/>
        </w:rPr>
        <w:t> </w:t>
      </w:r>
      <w:r>
        <w:rPr>
          <w:rFonts w:ascii="Times New Roman" w:hAnsi="Times New Roman" w:cs="Times New Roman" w:eastAsia="Times New Roman" w:hint="default"/>
          <w:spacing w:val="-3"/>
          <w:sz w:val="21"/>
          <w:szCs w:val="21"/>
        </w:rPr>
        <w:t>Black-Scholes</w:t>
      </w:r>
      <w:r>
        <w:rPr>
          <w:rFonts w:ascii="宋体" w:hAnsi="宋体" w:cs="宋体" w:eastAsia="宋体" w:hint="default"/>
          <w:spacing w:val="-3"/>
          <w:sz w:val="21"/>
          <w:szCs w:val="21"/>
        </w:rPr>
        <w:t>模型对授予的股票期权的公允价值进行测算。由于激励对象的准确行权时间和数量无法预估，</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且股票期权对应的股票占总股本的比例不大，故我们的估算未考虑激励对象行权产生的业绩摊薄效应。</w:t>
      </w:r>
    </w:p>
    <w:p>
      <w:pPr>
        <w:spacing w:before="22"/>
        <w:ind w:left="573" w:right="1123" w:firstLine="0"/>
        <w:jc w:val="left"/>
        <w:rPr>
          <w:rFonts w:ascii="宋体" w:hAnsi="宋体" w:cs="宋体" w:eastAsia="宋体" w:hint="default"/>
          <w:sz w:val="21"/>
          <w:szCs w:val="21"/>
        </w:rPr>
      </w:pPr>
      <w:r>
        <w:rPr>
          <w:rFonts w:ascii="宋体" w:hAnsi="宋体" w:cs="宋体" w:eastAsia="宋体" w:hint="default"/>
          <w:sz w:val="21"/>
          <w:szCs w:val="21"/>
        </w:rPr>
        <w:t>具体公式模型及相关参数取值如下：</w:t>
      </w:r>
    </w:p>
    <w:p>
      <w:pPr>
        <w:spacing w:after="0"/>
        <w:jc w:val="left"/>
        <w:rPr>
          <w:rFonts w:ascii="宋体" w:hAnsi="宋体" w:cs="宋体" w:eastAsia="宋体" w:hint="default"/>
          <w:sz w:val="21"/>
          <w:szCs w:val="21"/>
        </w:rPr>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line="2565" w:lineRule="exact"/>
        <w:ind w:left="573"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2751017" cy="1628775"/>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63" cstate="print"/>
                    <a:stretch>
                      <a:fillRect/>
                    </a:stretch>
                  </pic:blipFill>
                  <pic:spPr>
                    <a:xfrm>
                      <a:off x="0" y="0"/>
                      <a:ext cx="2751017" cy="1628775"/>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7"/>
        <w:rPr>
          <w:rFonts w:ascii="宋体" w:hAnsi="宋体" w:cs="宋体" w:eastAsia="宋体" w:hint="default"/>
          <w:sz w:val="29"/>
          <w:szCs w:val="29"/>
        </w:rPr>
      </w:pPr>
    </w:p>
    <w:p>
      <w:pPr>
        <w:spacing w:line="256" w:lineRule="auto" w:before="36"/>
        <w:ind w:left="152" w:right="1127" w:firstLine="420"/>
        <w:jc w:val="both"/>
        <w:rPr>
          <w:rFonts w:ascii="宋体" w:hAnsi="宋体" w:cs="宋体" w:eastAsia="宋体" w:hint="default"/>
          <w:sz w:val="21"/>
          <w:szCs w:val="21"/>
        </w:rPr>
      </w:pPr>
      <w:r>
        <w:rPr>
          <w:rFonts w:ascii="宋体" w:hAnsi="宋体" w:cs="宋体" w:eastAsia="宋体" w:hint="default"/>
          <w:spacing w:val="-4"/>
          <w:sz w:val="21"/>
          <w:szCs w:val="21"/>
        </w:rPr>
        <w:t>其中：</w:t>
      </w:r>
      <w:r>
        <w:rPr>
          <w:rFonts w:ascii="Times New Roman" w:hAnsi="Times New Roman" w:cs="Times New Roman" w:eastAsia="Times New Roman" w:hint="default"/>
          <w:spacing w:val="-4"/>
          <w:sz w:val="21"/>
          <w:szCs w:val="21"/>
        </w:rPr>
        <w:t>C</w:t>
      </w:r>
      <w:r>
        <w:rPr>
          <w:rFonts w:ascii="宋体" w:hAnsi="宋体" w:cs="宋体" w:eastAsia="宋体" w:hint="default"/>
          <w:spacing w:val="-4"/>
          <w:sz w:val="21"/>
          <w:szCs w:val="21"/>
        </w:rPr>
        <w:t>为期权的理论价值，</w:t>
      </w:r>
      <w:r>
        <w:rPr>
          <w:rFonts w:ascii="Times New Roman" w:hAnsi="Times New Roman" w:cs="Times New Roman" w:eastAsia="Times New Roman" w:hint="default"/>
          <w:spacing w:val="-4"/>
          <w:sz w:val="21"/>
          <w:szCs w:val="21"/>
        </w:rPr>
        <w:t>S</w:t>
      </w:r>
      <w:r>
        <w:rPr>
          <w:rFonts w:ascii="宋体" w:hAnsi="宋体" w:cs="宋体" w:eastAsia="宋体" w:hint="default"/>
          <w:spacing w:val="-4"/>
          <w:sz w:val="21"/>
          <w:szCs w:val="21"/>
        </w:rPr>
        <w:t>为标的股票授予日的价格，</w:t>
      </w:r>
      <w:r>
        <w:rPr>
          <w:rFonts w:ascii="Times New Roman" w:hAnsi="Times New Roman" w:cs="Times New Roman" w:eastAsia="Times New Roman" w:hint="default"/>
          <w:spacing w:val="-4"/>
          <w:sz w:val="21"/>
          <w:szCs w:val="21"/>
        </w:rPr>
        <w:t>X</w:t>
      </w:r>
      <w:r>
        <w:rPr>
          <w:rFonts w:ascii="宋体" w:hAnsi="宋体" w:cs="宋体" w:eastAsia="宋体" w:hint="default"/>
          <w:spacing w:val="-4"/>
          <w:sz w:val="21"/>
          <w:szCs w:val="21"/>
        </w:rPr>
        <w:t>为期权的行权价格，</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Rf</w:t>
      </w:r>
      <w:r>
        <w:rPr>
          <w:rFonts w:ascii="宋体" w:hAnsi="宋体" w:cs="宋体" w:eastAsia="宋体" w:hint="default"/>
          <w:sz w:val="21"/>
          <w:szCs w:val="21"/>
        </w:rPr>
        <w:t>为无风险收益率的</w:t>
      </w:r>
      <w:r>
        <w:rPr>
          <w:rFonts w:ascii="宋体" w:hAnsi="宋体" w:cs="宋体" w:eastAsia="宋体" w:hint="default"/>
          <w:w w:val="100"/>
          <w:sz w:val="21"/>
          <w:szCs w:val="21"/>
        </w:rPr>
        <w:t> </w:t>
      </w:r>
      <w:r>
        <w:rPr>
          <w:rFonts w:ascii="宋体" w:hAnsi="宋体" w:cs="宋体" w:eastAsia="宋体" w:hint="default"/>
          <w:spacing w:val="-6"/>
          <w:sz w:val="21"/>
          <w:szCs w:val="21"/>
        </w:rPr>
        <w:t>连续复利率，</w:t>
      </w:r>
      <w:r>
        <w:rPr>
          <w:rFonts w:ascii="Times New Roman" w:hAnsi="Times New Roman" w:cs="Times New Roman" w:eastAsia="Times New Roman" w:hint="default"/>
          <w:spacing w:val="-6"/>
          <w:sz w:val="21"/>
          <w:szCs w:val="21"/>
        </w:rPr>
        <w:t>T</w:t>
      </w:r>
      <w:r>
        <w:rPr>
          <w:rFonts w:ascii="宋体" w:hAnsi="宋体" w:cs="宋体" w:eastAsia="宋体" w:hint="default"/>
          <w:spacing w:val="-6"/>
          <w:sz w:val="21"/>
          <w:szCs w:val="21"/>
        </w:rPr>
        <w:t>为期权的剩余存续期限，</w:t>
      </w:r>
      <w:r>
        <w:rPr>
          <w:rFonts w:ascii="Times New Roman" w:hAnsi="Times New Roman" w:cs="Times New Roman" w:eastAsia="Times New Roman" w:hint="default"/>
          <w:spacing w:val="-6"/>
          <w:sz w:val="21"/>
          <w:szCs w:val="21"/>
        </w:rPr>
        <w:t>ä</w:t>
      </w:r>
      <w:r>
        <w:rPr>
          <w:rFonts w:ascii="宋体" w:hAnsi="宋体" w:cs="宋体" w:eastAsia="宋体" w:hint="default"/>
          <w:spacing w:val="-6"/>
          <w:sz w:val="21"/>
          <w:szCs w:val="21"/>
        </w:rPr>
        <w:t>为期权标的股票价格的波动率，</w:t>
      </w:r>
      <w:r>
        <w:rPr>
          <w:rFonts w:ascii="Times New Roman" w:hAnsi="Times New Roman" w:cs="Times New Roman" w:eastAsia="Times New Roman" w:hint="default"/>
          <w:spacing w:val="-6"/>
          <w:sz w:val="21"/>
          <w:szCs w:val="21"/>
        </w:rPr>
        <w:t>N(…)</w:t>
      </w:r>
      <w:r>
        <w:rPr>
          <w:rFonts w:ascii="宋体" w:hAnsi="宋体" w:cs="宋体" w:eastAsia="宋体" w:hint="default"/>
          <w:spacing w:val="-6"/>
          <w:sz w:val="21"/>
          <w:szCs w:val="21"/>
        </w:rPr>
        <w:t>是累计正态分布函数，</w:t>
      </w:r>
      <w:r>
        <w:rPr>
          <w:rFonts w:ascii="Times New Roman" w:hAnsi="Times New Roman" w:cs="Times New Roman" w:eastAsia="Times New Roman" w:hint="default"/>
          <w:spacing w:val="-6"/>
          <w:sz w:val="21"/>
          <w:szCs w:val="21"/>
        </w:rPr>
        <w:t>ln(…)</w:t>
      </w:r>
      <w:r>
        <w:rPr>
          <w:rFonts w:ascii="Times New Roman" w:hAnsi="Times New Roman" w:cs="Times New Roman" w:eastAsia="Times New Roman" w:hint="default"/>
          <w:spacing w:val="39"/>
          <w:sz w:val="21"/>
          <w:szCs w:val="21"/>
        </w:rPr>
        <w:t> </w:t>
      </w:r>
      <w:r>
        <w:rPr>
          <w:rFonts w:ascii="Times New Roman" w:hAnsi="Times New Roman" w:cs="Times New Roman" w:eastAsia="Times New Roman" w:hint="default"/>
          <w:spacing w:val="39"/>
          <w:sz w:val="21"/>
          <w:szCs w:val="21"/>
        </w:rPr>
      </w:r>
      <w:r>
        <w:rPr>
          <w:rFonts w:ascii="宋体" w:hAnsi="宋体" w:cs="宋体" w:eastAsia="宋体" w:hint="default"/>
          <w:sz w:val="21"/>
          <w:szCs w:val="21"/>
        </w:rPr>
        <w:t>是自然对数函数。</w:t>
      </w:r>
    </w:p>
    <w:p>
      <w:pPr>
        <w:spacing w:before="22"/>
        <w:ind w:left="573" w:right="1123" w:firstLine="0"/>
        <w:jc w:val="left"/>
        <w:rPr>
          <w:rFonts w:ascii="宋体" w:hAnsi="宋体" w:cs="宋体" w:eastAsia="宋体" w:hint="default"/>
          <w:sz w:val="21"/>
          <w:szCs w:val="21"/>
        </w:rPr>
      </w:pPr>
      <w:r>
        <w:rPr>
          <w:rFonts w:ascii="宋体" w:hAnsi="宋体" w:cs="宋体" w:eastAsia="宋体" w:hint="default"/>
          <w:sz w:val="21"/>
          <w:szCs w:val="21"/>
        </w:rPr>
        <w:t>相关参数取值如下：</w:t>
      </w:r>
    </w:p>
    <w:p>
      <w:pPr>
        <w:spacing w:before="37"/>
        <w:ind w:left="573"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）行权价格</w:t>
      </w:r>
      <w:r>
        <w:rPr>
          <w:rFonts w:ascii="Times New Roman" w:hAnsi="Times New Roman" w:cs="Times New Roman" w:eastAsia="Times New Roman" w:hint="default"/>
          <w:sz w:val="21"/>
          <w:szCs w:val="21"/>
        </w:rPr>
        <w:t>X</w:t>
      </w:r>
      <w:r>
        <w:rPr>
          <w:rFonts w:ascii="宋体" w:hAnsi="宋体" w:cs="宋体" w:eastAsia="宋体" w:hint="default"/>
          <w:sz w:val="21"/>
          <w:szCs w:val="21"/>
        </w:rPr>
        <w:t>：本激励计划中首次授予日确定的行权价格为人民币</w:t>
      </w:r>
      <w:r>
        <w:rPr>
          <w:rFonts w:ascii="Times New Roman" w:hAnsi="Times New Roman" w:cs="Times New Roman" w:eastAsia="Times New Roman" w:hint="default"/>
          <w:sz w:val="21"/>
          <w:szCs w:val="21"/>
        </w:rPr>
        <w:t>15.28</w:t>
      </w:r>
      <w:r>
        <w:rPr>
          <w:rFonts w:ascii="宋体" w:hAnsi="宋体" w:cs="宋体" w:eastAsia="宋体" w:hint="default"/>
          <w:sz w:val="21"/>
          <w:szCs w:val="21"/>
        </w:rPr>
        <w:t>元</w:t>
      </w:r>
    </w:p>
    <w:p>
      <w:pPr>
        <w:spacing w:before="21"/>
        <w:ind w:left="573"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）授权日的价格</w:t>
      </w:r>
      <w:r>
        <w:rPr>
          <w:rFonts w:ascii="Times New Roman" w:hAnsi="Times New Roman" w:cs="Times New Roman" w:eastAsia="Times New Roman" w:hint="default"/>
          <w:sz w:val="21"/>
          <w:szCs w:val="21"/>
        </w:rPr>
        <w:t>S</w:t>
      </w:r>
      <w:r>
        <w:rPr>
          <w:rFonts w:ascii="宋体" w:hAnsi="宋体" w:cs="宋体" w:eastAsia="宋体" w:hint="default"/>
          <w:sz w:val="21"/>
          <w:szCs w:val="21"/>
        </w:rPr>
        <w:t>：首次授予期权的董事会召开日</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日收盘价格</w:t>
      </w:r>
      <w:r>
        <w:rPr>
          <w:rFonts w:ascii="Times New Roman" w:hAnsi="Times New Roman" w:cs="Times New Roman" w:eastAsia="Times New Roman" w:hint="default"/>
          <w:sz w:val="21"/>
          <w:szCs w:val="21"/>
        </w:rPr>
        <w:t>11.01</w:t>
      </w:r>
      <w:r>
        <w:rPr>
          <w:rFonts w:ascii="宋体" w:hAnsi="宋体" w:cs="宋体" w:eastAsia="宋体" w:hint="default"/>
          <w:sz w:val="21"/>
          <w:szCs w:val="21"/>
        </w:rPr>
        <w:t>元</w:t>
      </w:r>
    </w:p>
    <w:p>
      <w:pPr>
        <w:spacing w:before="21"/>
        <w:ind w:left="573"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）剩余存续期限</w:t>
      </w:r>
      <w:r>
        <w:rPr>
          <w:rFonts w:ascii="Times New Roman" w:hAnsi="Times New Roman" w:cs="Times New Roman" w:eastAsia="Times New Roman" w:hint="default"/>
          <w:sz w:val="21"/>
          <w:szCs w:val="21"/>
        </w:rPr>
        <w:t>T</w:t>
      </w:r>
      <w:r>
        <w:rPr>
          <w:rFonts w:ascii="宋体" w:hAnsi="宋体" w:cs="宋体" w:eastAsia="宋体" w:hint="default"/>
          <w:sz w:val="21"/>
          <w:szCs w:val="21"/>
        </w:rPr>
        <w:t>：三个行权期的股票期权剩余存续期限分别为</w:t>
      </w:r>
      <w:r>
        <w:rPr>
          <w:rFonts w:ascii="Times New Roman" w:hAnsi="Times New Roman" w:cs="Times New Roman" w:eastAsia="Times New Roman" w:hint="default"/>
          <w:sz w:val="21"/>
          <w:szCs w:val="21"/>
        </w:rPr>
        <w:t>2.5</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p>
      <w:pPr>
        <w:spacing w:line="256" w:lineRule="auto" w:before="21"/>
        <w:ind w:left="152" w:right="1128"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）期权标的股票价格的波动率</w:t>
      </w:r>
      <w:r>
        <w:rPr>
          <w:rFonts w:ascii="Times New Roman" w:hAnsi="Times New Roman" w:cs="Times New Roman" w:eastAsia="Times New Roman" w:hint="default"/>
          <w:spacing w:val="-2"/>
          <w:sz w:val="21"/>
          <w:szCs w:val="21"/>
        </w:rPr>
        <w:t>ä</w:t>
      </w:r>
      <w:r>
        <w:rPr>
          <w:rFonts w:ascii="宋体" w:hAnsi="宋体" w:cs="宋体" w:eastAsia="宋体" w:hint="default"/>
          <w:spacing w:val="-2"/>
          <w:sz w:val="21"/>
          <w:szCs w:val="21"/>
        </w:rPr>
        <w:t>：按本次授予期权的董事会召开前</w:t>
      </w: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个交易日的股价测算年化波动</w:t>
      </w:r>
      <w:r>
        <w:rPr>
          <w:rFonts w:ascii="宋体" w:hAnsi="宋体" w:cs="宋体" w:eastAsia="宋体" w:hint="default"/>
          <w:w w:val="100"/>
          <w:sz w:val="21"/>
          <w:szCs w:val="21"/>
        </w:rPr>
        <w:t> </w:t>
      </w:r>
      <w:r>
        <w:rPr>
          <w:rFonts w:ascii="宋体" w:hAnsi="宋体" w:cs="宋体" w:eastAsia="宋体" w:hint="default"/>
          <w:sz w:val="21"/>
          <w:szCs w:val="21"/>
        </w:rPr>
        <w:t>率为</w:t>
      </w:r>
      <w:r>
        <w:rPr>
          <w:rFonts w:ascii="Times New Roman" w:hAnsi="Times New Roman" w:cs="Times New Roman" w:eastAsia="Times New Roman" w:hint="default"/>
          <w:sz w:val="21"/>
          <w:szCs w:val="21"/>
        </w:rPr>
        <w:t>18.40%</w:t>
      </w:r>
      <w:r>
        <w:rPr>
          <w:rFonts w:ascii="宋体" w:hAnsi="宋体" w:cs="宋体" w:eastAsia="宋体" w:hint="default"/>
          <w:sz w:val="21"/>
          <w:szCs w:val="21"/>
        </w:rPr>
        <w:t>。</w:t>
      </w:r>
    </w:p>
    <w:p>
      <w:pPr>
        <w:spacing w:line="256" w:lineRule="auto" w:before="5"/>
        <w:ind w:left="152" w:right="112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）无风险收益率</w:t>
      </w:r>
      <w:r>
        <w:rPr>
          <w:rFonts w:ascii="Times New Roman" w:hAnsi="Times New Roman" w:cs="Times New Roman" w:eastAsia="Times New Roman" w:hint="default"/>
          <w:sz w:val="21"/>
          <w:szCs w:val="21"/>
        </w:rPr>
        <w:t>Rf</w:t>
      </w:r>
      <w:r>
        <w:rPr>
          <w:rFonts w:ascii="宋体" w:hAnsi="宋体" w:cs="宋体" w:eastAsia="宋体" w:hint="default"/>
          <w:sz w:val="21"/>
          <w:szCs w:val="21"/>
        </w:rPr>
        <w:t>：以中国人民银行制定的最新的金融机构存款基准利率来代替无风险收益率。</w:t>
      </w:r>
      <w:r>
        <w:rPr>
          <w:rFonts w:ascii="宋体" w:hAnsi="宋体" w:cs="宋体" w:eastAsia="宋体" w:hint="default"/>
          <w:w w:val="100"/>
          <w:sz w:val="21"/>
          <w:szCs w:val="21"/>
        </w:rPr>
        <w:t> </w:t>
      </w:r>
      <w:r>
        <w:rPr>
          <w:rFonts w:ascii="宋体" w:hAnsi="宋体" w:cs="宋体" w:eastAsia="宋体" w:hint="default"/>
          <w:sz w:val="21"/>
          <w:szCs w:val="21"/>
        </w:rPr>
        <w:t>以首次期权授予日中国人民银行公布的最新的</w:t>
      </w:r>
      <w:r>
        <w:rPr>
          <w:rFonts w:ascii="Times New Roman" w:hAnsi="Times New Roman" w:cs="Times New Roman" w:eastAsia="Times New Roman" w:hint="default"/>
          <w:sz w:val="21"/>
          <w:szCs w:val="21"/>
        </w:rPr>
        <w:t>2</w:t>
      </w:r>
      <w:r>
        <w:rPr>
          <w:rFonts w:ascii="宋体" w:hAnsi="宋体" w:cs="宋体" w:eastAsia="宋体" w:hint="default"/>
          <w:sz w:val="21"/>
          <w:szCs w:val="21"/>
        </w:rPr>
        <w:t>年期存款基准利率</w:t>
      </w:r>
      <w:r>
        <w:rPr>
          <w:rFonts w:ascii="Times New Roman" w:hAnsi="Times New Roman" w:cs="Times New Roman" w:eastAsia="Times New Roman" w:hint="default"/>
          <w:sz w:val="21"/>
          <w:szCs w:val="21"/>
        </w:rPr>
        <w:t>4.15%</w:t>
      </w:r>
      <w:r>
        <w:rPr>
          <w:rFonts w:ascii="宋体" w:hAnsi="宋体" w:cs="宋体" w:eastAsia="宋体" w:hint="default"/>
          <w:sz w:val="21"/>
          <w:szCs w:val="21"/>
        </w:rPr>
        <w:t>和</w:t>
      </w:r>
      <w:r>
        <w:rPr>
          <w:rFonts w:ascii="Times New Roman" w:hAnsi="Times New Roman" w:cs="Times New Roman" w:eastAsia="Times New Roman" w:hint="default"/>
          <w:sz w:val="21"/>
          <w:szCs w:val="21"/>
        </w:rPr>
        <w:t>3</w:t>
      </w:r>
      <w:r>
        <w:rPr>
          <w:rFonts w:ascii="宋体" w:hAnsi="宋体" w:cs="宋体" w:eastAsia="宋体" w:hint="default"/>
          <w:sz w:val="21"/>
          <w:szCs w:val="21"/>
        </w:rPr>
        <w:t>年期存款基准利率</w:t>
      </w:r>
      <w:r>
        <w:rPr>
          <w:rFonts w:ascii="Times New Roman" w:hAnsi="Times New Roman" w:cs="Times New Roman" w:eastAsia="Times New Roman" w:hint="default"/>
          <w:sz w:val="21"/>
          <w:szCs w:val="21"/>
        </w:rPr>
        <w:t>4.75%</w:t>
      </w:r>
      <w:r>
        <w:rPr>
          <w:rFonts w:ascii="宋体" w:hAnsi="宋体" w:cs="宋体" w:eastAsia="宋体" w:hint="default"/>
          <w:sz w:val="21"/>
          <w:szCs w:val="21"/>
        </w:rPr>
        <w:t>的算</w:t>
      </w:r>
      <w:r>
        <w:rPr>
          <w:rFonts w:ascii="宋体" w:hAnsi="宋体" w:cs="宋体" w:eastAsia="宋体" w:hint="default"/>
          <w:spacing w:val="39"/>
          <w:sz w:val="21"/>
          <w:szCs w:val="21"/>
        </w:rPr>
        <w:t> </w:t>
      </w:r>
      <w:r>
        <w:rPr>
          <w:rFonts w:ascii="宋体" w:hAnsi="宋体" w:cs="宋体" w:eastAsia="宋体" w:hint="default"/>
          <w:spacing w:val="-3"/>
          <w:sz w:val="21"/>
          <w:szCs w:val="21"/>
        </w:rPr>
        <w:t>术平均值</w:t>
      </w:r>
      <w:r>
        <w:rPr>
          <w:rFonts w:ascii="Times New Roman" w:hAnsi="Times New Roman" w:cs="Times New Roman" w:eastAsia="Times New Roman" w:hint="default"/>
          <w:spacing w:val="-3"/>
          <w:sz w:val="21"/>
          <w:szCs w:val="21"/>
        </w:rPr>
        <w:t>4.45%</w:t>
      </w:r>
      <w:r>
        <w:rPr>
          <w:rFonts w:ascii="宋体" w:hAnsi="宋体" w:cs="宋体" w:eastAsia="宋体" w:hint="default"/>
          <w:spacing w:val="-3"/>
          <w:sz w:val="21"/>
          <w:szCs w:val="21"/>
        </w:rPr>
        <w:t>代替在第一行权期行权的股票期权的无风险收益率；以</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年期存款基准利率</w:t>
      </w:r>
      <w:r>
        <w:rPr>
          <w:rFonts w:ascii="Times New Roman" w:hAnsi="Times New Roman" w:cs="Times New Roman" w:eastAsia="Times New Roman" w:hint="default"/>
          <w:spacing w:val="-3"/>
          <w:sz w:val="21"/>
          <w:szCs w:val="21"/>
        </w:rPr>
        <w:t>4.75%</w:t>
      </w:r>
      <w:r>
        <w:rPr>
          <w:rFonts w:ascii="宋体" w:hAnsi="宋体" w:cs="宋体" w:eastAsia="宋体" w:hint="default"/>
          <w:spacing w:val="-3"/>
          <w:sz w:val="21"/>
          <w:szCs w:val="21"/>
        </w:rPr>
        <w:t>和</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年期存</w:t>
      </w:r>
      <w:r>
        <w:rPr>
          <w:rFonts w:ascii="宋体" w:hAnsi="宋体" w:cs="宋体" w:eastAsia="宋体" w:hint="default"/>
          <w:spacing w:val="-19"/>
          <w:sz w:val="21"/>
          <w:szCs w:val="21"/>
        </w:rPr>
        <w:t> </w:t>
      </w:r>
      <w:r>
        <w:rPr>
          <w:rFonts w:ascii="宋体" w:hAnsi="宋体" w:cs="宋体" w:eastAsia="宋体" w:hint="default"/>
          <w:sz w:val="21"/>
          <w:szCs w:val="21"/>
        </w:rPr>
        <w:t>款基准利率</w:t>
      </w:r>
      <w:r>
        <w:rPr>
          <w:rFonts w:ascii="Times New Roman" w:hAnsi="Times New Roman" w:cs="Times New Roman" w:eastAsia="Times New Roman" w:hint="default"/>
          <w:sz w:val="21"/>
          <w:szCs w:val="21"/>
        </w:rPr>
        <w:t>5.25%</w:t>
      </w:r>
      <w:r>
        <w:rPr>
          <w:rFonts w:ascii="宋体" w:hAnsi="宋体" w:cs="宋体" w:eastAsia="宋体" w:hint="default"/>
          <w:sz w:val="21"/>
          <w:szCs w:val="21"/>
        </w:rPr>
        <w:t>的算术平均值</w:t>
      </w:r>
      <w:r>
        <w:rPr>
          <w:rFonts w:ascii="Times New Roman" w:hAnsi="Times New Roman" w:cs="Times New Roman" w:eastAsia="Times New Roman" w:hint="default"/>
          <w:sz w:val="21"/>
          <w:szCs w:val="21"/>
        </w:rPr>
        <w:t>5%</w:t>
      </w:r>
      <w:r>
        <w:rPr>
          <w:rFonts w:ascii="宋体" w:hAnsi="宋体" w:cs="宋体" w:eastAsia="宋体" w:hint="default"/>
          <w:sz w:val="21"/>
          <w:szCs w:val="21"/>
        </w:rPr>
        <w:t>代替在第二行权期行权的股票期权的无风险收益率；以</w:t>
      </w:r>
      <w:r>
        <w:rPr>
          <w:rFonts w:ascii="Times New Roman" w:hAnsi="Times New Roman" w:cs="Times New Roman" w:eastAsia="Times New Roman" w:hint="default"/>
          <w:sz w:val="21"/>
          <w:szCs w:val="21"/>
        </w:rPr>
        <w:t>5</w:t>
      </w:r>
      <w:r>
        <w:rPr>
          <w:rFonts w:ascii="宋体" w:hAnsi="宋体" w:cs="宋体" w:eastAsia="宋体" w:hint="default"/>
          <w:sz w:val="21"/>
          <w:szCs w:val="21"/>
        </w:rPr>
        <w:t>年期存款基准</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利率</w:t>
      </w:r>
      <w:r>
        <w:rPr>
          <w:rFonts w:ascii="Times New Roman" w:hAnsi="Times New Roman" w:cs="Times New Roman" w:eastAsia="Times New Roman" w:hint="default"/>
          <w:sz w:val="21"/>
          <w:szCs w:val="21"/>
        </w:rPr>
        <w:t>5.25%</w:t>
      </w:r>
      <w:r>
        <w:rPr>
          <w:rFonts w:ascii="宋体" w:hAnsi="宋体" w:cs="宋体" w:eastAsia="宋体" w:hint="default"/>
          <w:sz w:val="21"/>
          <w:szCs w:val="21"/>
        </w:rPr>
        <w:t>代替在第三行权期行权的股票期权的无风险收益率。</w:t>
      </w:r>
    </w:p>
    <w:p>
      <w:pPr>
        <w:spacing w:before="5"/>
        <w:ind w:left="573" w:right="1123" w:firstLine="0"/>
        <w:jc w:val="left"/>
        <w:rPr>
          <w:rFonts w:ascii="宋体" w:hAnsi="宋体" w:cs="宋体" w:eastAsia="宋体" w:hint="default"/>
          <w:sz w:val="21"/>
          <w:szCs w:val="21"/>
        </w:rPr>
      </w:pPr>
      <w:r>
        <w:rPr>
          <w:rFonts w:ascii="宋体" w:hAnsi="宋体" w:cs="宋体" w:eastAsia="宋体" w:hint="default"/>
          <w:sz w:val="21"/>
          <w:szCs w:val="21"/>
        </w:rPr>
        <w:t>根据上述参数，计算得出公司本激励计划首次授予的股票期权的公允价值如下：</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730"/>
        <w:gridCol w:w="2900"/>
        <w:gridCol w:w="2844"/>
      </w:tblGrid>
      <w:tr>
        <w:trPr>
          <w:trHeight w:val="355" w:hRule="exact"/>
        </w:trPr>
        <w:tc>
          <w:tcPr>
            <w:tcW w:w="27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行权期</w:t>
            </w:r>
          </w:p>
        </w:tc>
        <w:tc>
          <w:tcPr>
            <w:tcW w:w="2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首次授予日期权份数（万份）</w:t>
            </w:r>
          </w:p>
        </w:tc>
        <w:tc>
          <w:tcPr>
            <w:tcW w:w="28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3"/>
              <w:jc w:val="center"/>
              <w:rPr>
                <w:rFonts w:ascii="宋体" w:hAnsi="宋体" w:cs="宋体" w:eastAsia="宋体" w:hint="default"/>
                <w:sz w:val="16"/>
                <w:szCs w:val="16"/>
              </w:rPr>
            </w:pPr>
            <w:r>
              <w:rPr>
                <w:rFonts w:ascii="宋体" w:hAnsi="宋体" w:cs="宋体" w:eastAsia="宋体" w:hint="default"/>
                <w:sz w:val="16"/>
                <w:szCs w:val="16"/>
              </w:rPr>
              <w:t>每份期权公允价值（元）</w:t>
            </w:r>
          </w:p>
        </w:tc>
      </w:tr>
      <w:tr>
        <w:trPr>
          <w:trHeight w:val="350" w:hRule="exact"/>
        </w:trPr>
        <w:tc>
          <w:tcPr>
            <w:tcW w:w="27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第一个行权期</w:t>
            </w:r>
          </w:p>
        </w:tc>
        <w:tc>
          <w:tcPr>
            <w:tcW w:w="29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6"/>
                <w:szCs w:val="16"/>
              </w:rPr>
            </w:pPr>
            <w:r>
              <w:rPr>
                <w:rFonts w:ascii="Times New Roman"/>
                <w:sz w:val="16"/>
              </w:rPr>
              <w:t>528.00</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6"/>
                <w:szCs w:val="16"/>
              </w:rPr>
            </w:pPr>
            <w:r>
              <w:rPr>
                <w:rFonts w:ascii="Times New Roman"/>
                <w:sz w:val="16"/>
              </w:rPr>
              <w:t>0.4693</w:t>
            </w:r>
          </w:p>
        </w:tc>
      </w:tr>
      <w:tr>
        <w:trPr>
          <w:trHeight w:val="353" w:hRule="exact"/>
        </w:trPr>
        <w:tc>
          <w:tcPr>
            <w:tcW w:w="27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第二个行权期</w:t>
            </w:r>
          </w:p>
        </w:tc>
        <w:tc>
          <w:tcPr>
            <w:tcW w:w="29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6"/>
                <w:szCs w:val="16"/>
              </w:rPr>
            </w:pPr>
            <w:r>
              <w:rPr>
                <w:rFonts w:ascii="Times New Roman"/>
                <w:sz w:val="16"/>
              </w:rPr>
              <w:t>396.00</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4"/>
              <w:jc w:val="center"/>
              <w:rPr>
                <w:rFonts w:ascii="Times New Roman" w:hAnsi="Times New Roman" w:cs="Times New Roman" w:eastAsia="Times New Roman" w:hint="default"/>
                <w:sz w:val="16"/>
                <w:szCs w:val="16"/>
              </w:rPr>
            </w:pPr>
            <w:r>
              <w:rPr>
                <w:rFonts w:ascii="Times New Roman"/>
                <w:sz w:val="16"/>
              </w:rPr>
              <w:t>1.0668</w:t>
            </w:r>
          </w:p>
        </w:tc>
      </w:tr>
      <w:tr>
        <w:trPr>
          <w:trHeight w:val="353" w:hRule="exact"/>
        </w:trPr>
        <w:tc>
          <w:tcPr>
            <w:tcW w:w="27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第三个行权期</w:t>
            </w:r>
          </w:p>
        </w:tc>
        <w:tc>
          <w:tcPr>
            <w:tcW w:w="29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6"/>
                <w:szCs w:val="16"/>
              </w:rPr>
            </w:pPr>
            <w:r>
              <w:rPr>
                <w:rFonts w:ascii="Times New Roman"/>
                <w:sz w:val="16"/>
              </w:rPr>
              <w:t>396.00</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6"/>
                <w:szCs w:val="16"/>
              </w:rPr>
            </w:pPr>
            <w:r>
              <w:rPr>
                <w:rFonts w:ascii="Times New Roman"/>
                <w:sz w:val="16"/>
              </w:rPr>
              <w:t>1.5056</w:t>
            </w:r>
          </w:p>
        </w:tc>
      </w:tr>
      <w:tr>
        <w:trPr>
          <w:trHeight w:val="353" w:hRule="exact"/>
        </w:trPr>
        <w:tc>
          <w:tcPr>
            <w:tcW w:w="27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7"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9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6"/>
                <w:szCs w:val="16"/>
              </w:rPr>
            </w:pPr>
            <w:r>
              <w:rPr>
                <w:rFonts w:ascii="Times New Roman"/>
                <w:sz w:val="16"/>
              </w:rPr>
              <w:t>1,320.00</w:t>
            </w:r>
          </w:p>
        </w:tc>
        <w:tc>
          <w:tcPr>
            <w:tcW w:w="284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14"/>
          <w:szCs w:val="14"/>
        </w:rPr>
      </w:pPr>
    </w:p>
    <w:p>
      <w:pPr>
        <w:spacing w:line="256" w:lineRule="auto" w:before="36"/>
        <w:ind w:left="573" w:right="112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、预留期权授予日权益工具公允价值的确定方法：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公司预留期权授予日权益工具公允价值的测算方法与首次授予日权益工具公允价值的测算方法相同，</w:t>
      </w:r>
    </w:p>
    <w:p>
      <w:pPr>
        <w:spacing w:line="256" w:lineRule="auto" w:before="22"/>
        <w:ind w:left="573" w:right="3749" w:hanging="421"/>
        <w:jc w:val="left"/>
        <w:rPr>
          <w:rFonts w:ascii="宋体" w:hAnsi="宋体" w:cs="宋体" w:eastAsia="宋体" w:hint="default"/>
          <w:sz w:val="21"/>
          <w:szCs w:val="21"/>
        </w:rPr>
      </w:pPr>
      <w:r>
        <w:rPr>
          <w:rFonts w:ascii="宋体" w:hAnsi="宋体" w:cs="宋体" w:eastAsia="宋体" w:hint="default"/>
          <w:spacing w:val="-2"/>
          <w:sz w:val="21"/>
          <w:szCs w:val="21"/>
        </w:rPr>
        <w:t>均选择</w:t>
      </w:r>
      <w:r>
        <w:rPr>
          <w:rFonts w:ascii="Times New Roman" w:hAnsi="Times New Roman" w:cs="Times New Roman" w:eastAsia="Times New Roman" w:hint="default"/>
          <w:spacing w:val="-2"/>
          <w:sz w:val="21"/>
          <w:szCs w:val="21"/>
        </w:rPr>
        <w:t>Black-Scholes</w:t>
      </w:r>
      <w:r>
        <w:rPr>
          <w:rFonts w:ascii="宋体" w:hAnsi="宋体" w:cs="宋体" w:eastAsia="宋体" w:hint="default"/>
          <w:spacing w:val="-2"/>
          <w:sz w:val="21"/>
          <w:szCs w:val="21"/>
        </w:rPr>
        <w:t>模型对授予的股票期权的公允价值进行测算。</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相关参数取值如下：</w:t>
      </w:r>
    </w:p>
    <w:p>
      <w:pPr>
        <w:spacing w:before="23"/>
        <w:ind w:left="573"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）行权价格</w:t>
      </w:r>
      <w:r>
        <w:rPr>
          <w:rFonts w:ascii="Times New Roman" w:hAnsi="Times New Roman" w:cs="Times New Roman" w:eastAsia="Times New Roman" w:hint="default"/>
          <w:sz w:val="21"/>
          <w:szCs w:val="21"/>
        </w:rPr>
        <w:t>X</w:t>
      </w:r>
      <w:r>
        <w:rPr>
          <w:rFonts w:ascii="宋体" w:hAnsi="宋体" w:cs="宋体" w:eastAsia="宋体" w:hint="default"/>
          <w:sz w:val="21"/>
          <w:szCs w:val="21"/>
        </w:rPr>
        <w:t>：本激励计划中预留期权授予日确定的行权价格为人民币</w:t>
      </w:r>
      <w:r>
        <w:rPr>
          <w:rFonts w:ascii="Times New Roman" w:hAnsi="Times New Roman" w:cs="Times New Roman" w:eastAsia="Times New Roman" w:hint="default"/>
          <w:sz w:val="21"/>
          <w:szCs w:val="21"/>
        </w:rPr>
        <w:t>9.25</w:t>
      </w:r>
      <w:r>
        <w:rPr>
          <w:rFonts w:ascii="宋体" w:hAnsi="宋体" w:cs="宋体" w:eastAsia="宋体" w:hint="default"/>
          <w:sz w:val="21"/>
          <w:szCs w:val="21"/>
        </w:rPr>
        <w:t>元</w:t>
      </w:r>
    </w:p>
    <w:p>
      <w:pPr>
        <w:spacing w:before="21"/>
        <w:ind w:left="573"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）授权日的价格</w:t>
      </w:r>
      <w:r>
        <w:rPr>
          <w:rFonts w:ascii="Times New Roman" w:hAnsi="Times New Roman" w:cs="Times New Roman" w:eastAsia="Times New Roman" w:hint="default"/>
          <w:sz w:val="21"/>
          <w:szCs w:val="21"/>
        </w:rPr>
        <w:t>S</w:t>
      </w:r>
      <w:r>
        <w:rPr>
          <w:rFonts w:ascii="宋体" w:hAnsi="宋体" w:cs="宋体" w:eastAsia="宋体" w:hint="default"/>
          <w:sz w:val="21"/>
          <w:szCs w:val="21"/>
        </w:rPr>
        <w:t>：授予预留期权的董事会召开日</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日收盘价格</w:t>
      </w:r>
      <w:r>
        <w:rPr>
          <w:rFonts w:ascii="Times New Roman" w:hAnsi="Times New Roman" w:cs="Times New Roman" w:eastAsia="Times New Roman" w:hint="default"/>
          <w:sz w:val="21"/>
          <w:szCs w:val="21"/>
        </w:rPr>
        <w:t>8.98</w:t>
      </w:r>
      <w:r>
        <w:rPr>
          <w:rFonts w:ascii="宋体" w:hAnsi="宋体" w:cs="宋体" w:eastAsia="宋体" w:hint="default"/>
          <w:sz w:val="21"/>
          <w:szCs w:val="21"/>
        </w:rPr>
        <w:t>元</w:t>
      </w:r>
    </w:p>
    <w:p>
      <w:pPr>
        <w:spacing w:before="21"/>
        <w:ind w:left="573" w:right="11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）剩余存续期限</w:t>
      </w:r>
      <w:r>
        <w:rPr>
          <w:rFonts w:ascii="Times New Roman" w:hAnsi="Times New Roman" w:cs="Times New Roman" w:eastAsia="Times New Roman" w:hint="default"/>
          <w:sz w:val="21"/>
          <w:szCs w:val="21"/>
        </w:rPr>
        <w:t>T</w:t>
      </w:r>
      <w:r>
        <w:rPr>
          <w:rFonts w:ascii="宋体" w:hAnsi="宋体" w:cs="宋体" w:eastAsia="宋体" w:hint="default"/>
          <w:sz w:val="21"/>
          <w:szCs w:val="21"/>
        </w:rPr>
        <w:t>：两个行权期的股票期权剩余存续期限分别为</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年。</w:t>
      </w:r>
    </w:p>
    <w:p>
      <w:pPr>
        <w:spacing w:line="256" w:lineRule="auto" w:before="21"/>
        <w:ind w:left="152" w:right="1128"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）期权标的股票价格的波动率</w:t>
      </w:r>
      <w:r>
        <w:rPr>
          <w:rFonts w:ascii="Times New Roman" w:hAnsi="Times New Roman" w:cs="Times New Roman" w:eastAsia="Times New Roman" w:hint="default"/>
          <w:spacing w:val="-2"/>
          <w:sz w:val="21"/>
          <w:szCs w:val="21"/>
        </w:rPr>
        <w:t>ä</w:t>
      </w:r>
      <w:r>
        <w:rPr>
          <w:rFonts w:ascii="宋体" w:hAnsi="宋体" w:cs="宋体" w:eastAsia="宋体" w:hint="default"/>
          <w:spacing w:val="-2"/>
          <w:sz w:val="21"/>
          <w:szCs w:val="21"/>
        </w:rPr>
        <w:t>：按本次授予期权的董事会召开前</w:t>
      </w: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个交易日的股价测算年化波动</w:t>
      </w:r>
      <w:r>
        <w:rPr>
          <w:rFonts w:ascii="宋体" w:hAnsi="宋体" w:cs="宋体" w:eastAsia="宋体" w:hint="default"/>
          <w:w w:val="100"/>
          <w:sz w:val="21"/>
          <w:szCs w:val="21"/>
        </w:rPr>
        <w:t> </w:t>
      </w:r>
      <w:r>
        <w:rPr>
          <w:rFonts w:ascii="宋体" w:hAnsi="宋体" w:cs="宋体" w:eastAsia="宋体" w:hint="default"/>
          <w:sz w:val="21"/>
          <w:szCs w:val="21"/>
        </w:rPr>
        <w:t>率为</w:t>
      </w:r>
      <w:r>
        <w:rPr>
          <w:rFonts w:ascii="Times New Roman" w:hAnsi="Times New Roman" w:cs="Times New Roman" w:eastAsia="Times New Roman" w:hint="default"/>
          <w:sz w:val="21"/>
          <w:szCs w:val="21"/>
        </w:rPr>
        <w:t>20.06%</w:t>
      </w:r>
      <w:r>
        <w:rPr>
          <w:rFonts w:ascii="宋体" w:hAnsi="宋体" w:cs="宋体" w:eastAsia="宋体" w:hint="default"/>
          <w:sz w:val="21"/>
          <w:szCs w:val="21"/>
        </w:rPr>
        <w:t>。</w:t>
      </w:r>
    </w:p>
    <w:p>
      <w:pPr>
        <w:spacing w:line="256" w:lineRule="auto" w:before="5"/>
        <w:ind w:left="152" w:right="1128"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）无风险收益率</w:t>
      </w:r>
      <w:r>
        <w:rPr>
          <w:rFonts w:ascii="Times New Roman" w:hAnsi="Times New Roman" w:cs="Times New Roman" w:eastAsia="Times New Roman" w:hint="default"/>
          <w:sz w:val="21"/>
          <w:szCs w:val="21"/>
        </w:rPr>
        <w:t>Rf</w:t>
      </w:r>
      <w:r>
        <w:rPr>
          <w:rFonts w:ascii="宋体" w:hAnsi="宋体" w:cs="宋体" w:eastAsia="宋体" w:hint="default"/>
          <w:sz w:val="21"/>
          <w:szCs w:val="21"/>
        </w:rPr>
        <w:t>：以中国人民银行制定的最新的金融机构存款基准利率来代替无风险收益率。</w:t>
      </w:r>
      <w:r>
        <w:rPr>
          <w:rFonts w:ascii="宋体" w:hAnsi="宋体" w:cs="宋体" w:eastAsia="宋体" w:hint="default"/>
          <w:w w:val="100"/>
          <w:sz w:val="21"/>
          <w:szCs w:val="21"/>
        </w:rPr>
        <w:t> </w:t>
      </w:r>
      <w:r>
        <w:rPr>
          <w:rFonts w:ascii="宋体" w:hAnsi="宋体" w:cs="宋体" w:eastAsia="宋体" w:hint="default"/>
          <w:spacing w:val="-2"/>
          <w:sz w:val="21"/>
          <w:szCs w:val="21"/>
        </w:rPr>
        <w:t>以预留期权授予日中国人民银行公布的最新的</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年期存款基准利率</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代替在第一行权期行权的股票期权的</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2"/>
          <w:sz w:val="21"/>
          <w:szCs w:val="21"/>
        </w:rPr>
        <w:t>无风险收益率；以</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年期存款基准利率</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和</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年期存款基准利率</w:t>
      </w:r>
      <w:r>
        <w:rPr>
          <w:rFonts w:ascii="Times New Roman" w:hAnsi="Times New Roman" w:cs="Times New Roman" w:eastAsia="Times New Roman" w:hint="default"/>
          <w:spacing w:val="-2"/>
          <w:sz w:val="21"/>
          <w:szCs w:val="21"/>
        </w:rPr>
        <w:t>5.5%</w:t>
      </w:r>
      <w:r>
        <w:rPr>
          <w:rFonts w:ascii="宋体" w:hAnsi="宋体" w:cs="宋体" w:eastAsia="宋体" w:hint="default"/>
          <w:spacing w:val="-2"/>
          <w:sz w:val="21"/>
          <w:szCs w:val="21"/>
        </w:rPr>
        <w:t>的算术平均值</w:t>
      </w:r>
      <w:r>
        <w:rPr>
          <w:rFonts w:ascii="Times New Roman" w:hAnsi="Times New Roman" w:cs="Times New Roman" w:eastAsia="Times New Roman" w:hint="default"/>
          <w:spacing w:val="-2"/>
          <w:sz w:val="21"/>
          <w:szCs w:val="21"/>
        </w:rPr>
        <w:t>5.25%</w:t>
      </w:r>
      <w:r>
        <w:rPr>
          <w:rFonts w:ascii="宋体" w:hAnsi="宋体" w:cs="宋体" w:eastAsia="宋体" w:hint="default"/>
          <w:spacing w:val="-2"/>
          <w:sz w:val="21"/>
          <w:szCs w:val="21"/>
        </w:rPr>
        <w:t>代替在第二行权期</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行权的股票期权的无风险收益率。</w:t>
      </w:r>
    </w:p>
    <w:p>
      <w:pPr>
        <w:spacing w:after="0" w:line="256" w:lineRule="auto"/>
        <w:jc w:val="both"/>
        <w:rPr>
          <w:rFonts w:ascii="宋体" w:hAnsi="宋体" w:cs="宋体" w:eastAsia="宋体" w:hint="default"/>
          <w:sz w:val="21"/>
          <w:szCs w:val="21"/>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spacing w:before="36"/>
        <w:ind w:left="573" w:right="1123" w:firstLine="0"/>
        <w:jc w:val="left"/>
        <w:rPr>
          <w:rFonts w:ascii="宋体" w:hAnsi="宋体" w:cs="宋体" w:eastAsia="宋体" w:hint="default"/>
          <w:sz w:val="21"/>
          <w:szCs w:val="21"/>
        </w:rPr>
      </w:pPr>
      <w:r>
        <w:rPr>
          <w:rFonts w:ascii="宋体" w:hAnsi="宋体" w:cs="宋体" w:eastAsia="宋体" w:hint="default"/>
          <w:sz w:val="21"/>
          <w:szCs w:val="21"/>
        </w:rPr>
        <w:t>根据上述参数，计算得出公司本激励计划首次授予的股票期权的公允价值如下：</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730"/>
        <w:gridCol w:w="2900"/>
        <w:gridCol w:w="2844"/>
      </w:tblGrid>
      <w:tr>
        <w:trPr>
          <w:trHeight w:val="356" w:hRule="exact"/>
        </w:trPr>
        <w:tc>
          <w:tcPr>
            <w:tcW w:w="27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行权期</w:t>
            </w:r>
          </w:p>
        </w:tc>
        <w:tc>
          <w:tcPr>
            <w:tcW w:w="2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1" w:right="0"/>
              <w:jc w:val="center"/>
              <w:rPr>
                <w:rFonts w:ascii="宋体" w:hAnsi="宋体" w:cs="宋体" w:eastAsia="宋体" w:hint="default"/>
                <w:sz w:val="16"/>
                <w:szCs w:val="16"/>
              </w:rPr>
            </w:pPr>
            <w:r>
              <w:rPr>
                <w:rFonts w:ascii="宋体" w:hAnsi="宋体" w:cs="宋体" w:eastAsia="宋体" w:hint="default"/>
                <w:sz w:val="16"/>
                <w:szCs w:val="16"/>
              </w:rPr>
              <w:t>预留期权授予日期权份数（万份）</w:t>
            </w:r>
          </w:p>
        </w:tc>
        <w:tc>
          <w:tcPr>
            <w:tcW w:w="28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right="3"/>
              <w:jc w:val="center"/>
              <w:rPr>
                <w:rFonts w:ascii="宋体" w:hAnsi="宋体" w:cs="宋体" w:eastAsia="宋体" w:hint="default"/>
                <w:sz w:val="16"/>
                <w:szCs w:val="16"/>
              </w:rPr>
            </w:pPr>
            <w:r>
              <w:rPr>
                <w:rFonts w:ascii="宋体" w:hAnsi="宋体" w:cs="宋体" w:eastAsia="宋体" w:hint="default"/>
                <w:sz w:val="16"/>
                <w:szCs w:val="16"/>
              </w:rPr>
              <w:t>每份期权公允价值（元）</w:t>
            </w:r>
          </w:p>
        </w:tc>
      </w:tr>
      <w:tr>
        <w:trPr>
          <w:trHeight w:val="350" w:hRule="exact"/>
        </w:trPr>
        <w:tc>
          <w:tcPr>
            <w:tcW w:w="27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第一个行权期</w:t>
            </w:r>
          </w:p>
        </w:tc>
        <w:tc>
          <w:tcPr>
            <w:tcW w:w="29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6"/>
                <w:szCs w:val="16"/>
              </w:rPr>
            </w:pPr>
            <w:r>
              <w:rPr>
                <w:rFonts w:ascii="Times New Roman"/>
                <w:sz w:val="16"/>
              </w:rPr>
              <w:t>100.00</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6"/>
                <w:szCs w:val="16"/>
              </w:rPr>
            </w:pPr>
            <w:r>
              <w:rPr>
                <w:rFonts w:ascii="Times New Roman"/>
                <w:sz w:val="16"/>
              </w:rPr>
              <w:t>1.7667</w:t>
            </w:r>
          </w:p>
        </w:tc>
      </w:tr>
      <w:tr>
        <w:trPr>
          <w:trHeight w:val="353" w:hRule="exact"/>
        </w:trPr>
        <w:tc>
          <w:tcPr>
            <w:tcW w:w="27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第二个行权期</w:t>
            </w:r>
          </w:p>
        </w:tc>
        <w:tc>
          <w:tcPr>
            <w:tcW w:w="29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6"/>
                <w:szCs w:val="16"/>
              </w:rPr>
            </w:pPr>
            <w:r>
              <w:rPr>
                <w:rFonts w:ascii="Times New Roman"/>
                <w:sz w:val="16"/>
              </w:rPr>
              <w:t>100.00</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4"/>
              <w:jc w:val="center"/>
              <w:rPr>
                <w:rFonts w:ascii="Times New Roman" w:hAnsi="Times New Roman" w:cs="Times New Roman" w:eastAsia="Times New Roman" w:hint="default"/>
                <w:sz w:val="16"/>
                <w:szCs w:val="16"/>
              </w:rPr>
            </w:pPr>
            <w:r>
              <w:rPr>
                <w:rFonts w:ascii="Times New Roman"/>
                <w:sz w:val="16"/>
              </w:rPr>
              <w:t>2.1983</w:t>
            </w:r>
          </w:p>
        </w:tc>
      </w:tr>
      <w:tr>
        <w:trPr>
          <w:trHeight w:val="353" w:hRule="exact"/>
        </w:trPr>
        <w:tc>
          <w:tcPr>
            <w:tcW w:w="27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7"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9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6"/>
                <w:szCs w:val="16"/>
              </w:rPr>
            </w:pPr>
            <w:r>
              <w:rPr>
                <w:rFonts w:ascii="Times New Roman"/>
                <w:sz w:val="16"/>
              </w:rPr>
              <w:t>200.00</w:t>
            </w:r>
          </w:p>
        </w:tc>
        <w:tc>
          <w:tcPr>
            <w:tcW w:w="284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26"/>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十、或有事项</w:t>
      </w:r>
      <w:r>
        <w:rPr>
          <w:rFonts w:ascii="宋体" w:hAnsi="宋体" w:cs="宋体" w:eastAsia="宋体" w:hint="default"/>
          <w:sz w:val="24"/>
          <w:szCs w:val="24"/>
        </w:rPr>
      </w:r>
    </w:p>
    <w:p>
      <w:pPr>
        <w:spacing w:line="240" w:lineRule="auto" w:before="12"/>
        <w:rPr>
          <w:rFonts w:ascii="宋体" w:hAnsi="宋体" w:cs="宋体" w:eastAsia="宋体" w:hint="default"/>
          <w:b/>
          <w:bCs/>
          <w:sz w:val="24"/>
          <w:szCs w:val="24"/>
        </w:rPr>
      </w:pPr>
    </w:p>
    <w:p>
      <w:pPr>
        <w:spacing w:line="506" w:lineRule="auto" w:before="0"/>
        <w:ind w:left="573" w:right="3749" w:hanging="421"/>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、未决诉讼或仲裁形成的或有负债及其财务影响</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本公司无需要披露的或有事项。</w:t>
      </w:r>
    </w:p>
    <w:p>
      <w:pPr>
        <w:pStyle w:val="Heading4"/>
        <w:spacing w:line="240" w:lineRule="auto" w:before="104"/>
        <w:ind w:right="1123"/>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10"/>
        <w:rPr>
          <w:rFonts w:ascii="宋体" w:hAnsi="宋体" w:cs="宋体" w:eastAsia="宋体" w:hint="default"/>
          <w:b/>
          <w:bCs/>
          <w:sz w:val="24"/>
          <w:szCs w:val="24"/>
        </w:rPr>
      </w:pPr>
    </w:p>
    <w:p>
      <w:pPr>
        <w:spacing w:before="0"/>
        <w:ind w:left="573" w:right="1123" w:firstLine="0"/>
        <w:jc w:val="left"/>
        <w:rPr>
          <w:rFonts w:ascii="宋体" w:hAnsi="宋体" w:cs="宋体" w:eastAsia="宋体" w:hint="default"/>
          <w:sz w:val="21"/>
          <w:szCs w:val="21"/>
        </w:rPr>
      </w:pPr>
      <w:r>
        <w:rPr>
          <w:rFonts w:ascii="宋体" w:hAnsi="宋体" w:cs="宋体" w:eastAsia="宋体" w:hint="default"/>
          <w:sz w:val="21"/>
          <w:szCs w:val="21"/>
        </w:rPr>
        <w:t>本公司无需要披露的或有事项。</w:t>
      </w:r>
    </w:p>
    <w:p>
      <w:pPr>
        <w:pStyle w:val="BodyText"/>
        <w:spacing w:line="240" w:lineRule="auto" w:before="98"/>
        <w:ind w:right="1123"/>
        <w:jc w:val="left"/>
      </w:pPr>
      <w:r>
        <w:rPr/>
        <w:t>其他或有负债及其财务影响</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十一、承诺事项</w:t>
      </w:r>
      <w:r>
        <w:rPr>
          <w:b w:val="0"/>
          <w:bCs w:val="0"/>
        </w:rPr>
      </w:r>
    </w:p>
    <w:p>
      <w:pPr>
        <w:spacing w:line="240" w:lineRule="auto" w:before="12"/>
        <w:rPr>
          <w:rFonts w:ascii="宋体" w:hAnsi="宋体" w:cs="宋体" w:eastAsia="宋体" w:hint="default"/>
          <w:b/>
          <w:bCs/>
          <w:sz w:val="24"/>
          <w:szCs w:val="24"/>
        </w:rPr>
      </w:pPr>
    </w:p>
    <w:p>
      <w:pPr>
        <w:spacing w:line="506" w:lineRule="auto" w:before="0"/>
        <w:ind w:left="152" w:right="6794" w:firstLine="0"/>
        <w:jc w:val="left"/>
        <w:rPr>
          <w:rFonts w:ascii="宋体" w:hAnsi="宋体" w:cs="宋体" w:eastAsia="宋体" w:hint="default"/>
          <w:sz w:val="21"/>
          <w:szCs w:val="21"/>
        </w:rPr>
      </w:pPr>
      <w:r>
        <w:rPr/>
        <w:pict>
          <v:shape style="position:absolute;margin-left:56.279999pt;margin-top:46.843674pt;width:428.25pt;height:36.5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79"/>
                    <w:gridCol w:w="2849"/>
                    <w:gridCol w:w="2100"/>
                  </w:tblGrid>
                  <w:tr>
                    <w:trPr>
                      <w:trHeight w:val="355" w:hRule="exact"/>
                    </w:trPr>
                    <w:tc>
                      <w:tcPr>
                        <w:tcW w:w="3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left="823" w:right="0"/>
                          <w:jc w:val="left"/>
                          <w:rPr>
                            <w:rFonts w:ascii="宋体" w:hAnsi="宋体" w:cs="宋体" w:eastAsia="宋体" w:hint="default"/>
                            <w:sz w:val="16"/>
                            <w:szCs w:val="16"/>
                          </w:rPr>
                        </w:pPr>
                        <w:r>
                          <w:rPr>
                            <w:rFonts w:ascii="宋体" w:hAnsi="宋体" w:cs="宋体" w:eastAsia="宋体" w:hint="default"/>
                            <w:sz w:val="16"/>
                            <w:szCs w:val="16"/>
                          </w:rPr>
                          <w:t>所有权受到限制的资产类别</w:t>
                        </w:r>
                      </w:p>
                    </w:tc>
                    <w:tc>
                      <w:tcPr>
                        <w:tcW w:w="28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left="856"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2012</w:t>
                        </w:r>
                        <w:r>
                          <w:rPr>
                            <w:rFonts w:ascii="宋体" w:hAnsi="宋体" w:cs="宋体" w:eastAsia="宋体" w:hint="default"/>
                            <w:sz w:val="16"/>
                            <w:szCs w:val="16"/>
                          </w:rPr>
                          <w:t>年</w:t>
                        </w:r>
                        <w:r>
                          <w:rPr>
                            <w:rFonts w:ascii="Times New Roman" w:hAnsi="Times New Roman" w:cs="Times New Roman" w:eastAsia="Times New Roman" w:hint="default"/>
                            <w:sz w:val="16"/>
                            <w:szCs w:val="16"/>
                          </w:rPr>
                          <w:t>12</w:t>
                        </w:r>
                        <w:r>
                          <w:rPr>
                            <w:rFonts w:ascii="宋体" w:hAnsi="宋体" w:cs="宋体" w:eastAsia="宋体" w:hint="default"/>
                            <w:sz w:val="16"/>
                            <w:szCs w:val="16"/>
                          </w:rPr>
                          <w:t>月</w:t>
                        </w:r>
                        <w:r>
                          <w:rPr>
                            <w:rFonts w:ascii="Times New Roman" w:hAnsi="Times New Roman" w:cs="Times New Roman" w:eastAsia="Times New Roman" w:hint="default"/>
                            <w:sz w:val="16"/>
                            <w:szCs w:val="16"/>
                          </w:rPr>
                          <w:t>31</w:t>
                        </w:r>
                        <w:r>
                          <w:rPr>
                            <w:rFonts w:ascii="宋体" w:hAnsi="宋体" w:cs="宋体" w:eastAsia="宋体" w:hint="default"/>
                            <w:sz w:val="16"/>
                            <w:szCs w:val="16"/>
                          </w:rPr>
                          <w:t>日</w:t>
                        </w:r>
                      </w:p>
                    </w:tc>
                    <w:tc>
                      <w:tcPr>
                        <w:tcW w:w="21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8"/>
                          <w:ind w:left="405" w:right="0"/>
                          <w:jc w:val="left"/>
                          <w:rPr>
                            <w:rFonts w:ascii="宋体" w:hAnsi="宋体" w:cs="宋体" w:eastAsia="宋体" w:hint="default"/>
                            <w:sz w:val="16"/>
                            <w:szCs w:val="16"/>
                          </w:rPr>
                        </w:pPr>
                        <w:r>
                          <w:rPr>
                            <w:rFonts w:ascii="宋体" w:hAnsi="宋体" w:cs="宋体" w:eastAsia="宋体" w:hint="default"/>
                            <w:sz w:val="16"/>
                            <w:szCs w:val="16"/>
                          </w:rPr>
                          <w:t>资产受限制的原因</w:t>
                        </w:r>
                      </w:p>
                    </w:tc>
                  </w:tr>
                  <w:tr>
                    <w:trPr>
                      <w:trHeight w:val="353" w:hRule="exact"/>
                    </w:trPr>
                    <w:tc>
                      <w:tcPr>
                        <w:tcW w:w="35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房屋建筑物</w:t>
                        </w:r>
                      </w:p>
                    </w:tc>
                    <w:tc>
                      <w:tcPr>
                        <w:tcW w:w="28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1625" w:right="-1"/>
                          <w:jc w:val="left"/>
                          <w:rPr>
                            <w:rFonts w:ascii="Times New Roman" w:hAnsi="Times New Roman" w:cs="Times New Roman" w:eastAsia="Times New Roman" w:hint="default"/>
                            <w:sz w:val="21"/>
                            <w:szCs w:val="21"/>
                          </w:rPr>
                        </w:pPr>
                        <w:r>
                          <w:rPr>
                            <w:rFonts w:ascii="Times New Roman"/>
                            <w:sz w:val="21"/>
                          </w:rPr>
                          <w:t>29,753,824.94</w:t>
                        </w:r>
                      </w:p>
                    </w:tc>
                    <w:tc>
                      <w:tcPr>
                        <w:tcW w:w="21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抵押借款</w:t>
                        </w:r>
                      </w:p>
                    </w:tc>
                  </w:tr>
                </w:tbl>
                <w:p>
                  <w:pPr/>
                </w:p>
              </w:txbxContent>
            </v:textbox>
            <w10:wrap type="none"/>
          </v:shape>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 资产抵押</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所有权受到限制的资产明细如下：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36"/>
        <w:ind w:left="152" w:right="1123" w:firstLine="0"/>
        <w:jc w:val="left"/>
        <w:rPr>
          <w:rFonts w:ascii="宋体" w:hAnsi="宋体" w:cs="宋体" w:eastAsia="宋体" w:hint="default"/>
          <w:sz w:val="21"/>
          <w:szCs w:val="21"/>
        </w:rPr>
      </w:pPr>
      <w:r>
        <w:rPr>
          <w:rFonts w:ascii="宋体" w:hAnsi="宋体" w:cs="宋体" w:eastAsia="宋体" w:hint="default"/>
          <w:sz w:val="21"/>
          <w:szCs w:val="21"/>
        </w:rPr>
        <w:t>房产抵押借款情况详见长期借款说明。</w:t>
      </w:r>
    </w:p>
    <w:p>
      <w:pPr>
        <w:spacing w:line="240" w:lineRule="auto" w:before="11"/>
        <w:rPr>
          <w:rFonts w:ascii="宋体" w:hAnsi="宋体" w:cs="宋体" w:eastAsia="宋体" w:hint="default"/>
          <w:sz w:val="23"/>
          <w:szCs w:val="23"/>
        </w:rPr>
      </w:pPr>
    </w:p>
    <w:p>
      <w:pPr>
        <w:spacing w:before="0"/>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十二、资产负债表日后事项</w:t>
      </w:r>
      <w:r>
        <w:rPr>
          <w:rFonts w:ascii="宋体" w:hAnsi="宋体" w:cs="宋体" w:eastAsia="宋体" w:hint="default"/>
          <w:sz w:val="24"/>
          <w:szCs w:val="24"/>
        </w:rPr>
      </w:r>
    </w:p>
    <w:p>
      <w:pPr>
        <w:spacing w:line="610" w:lineRule="atLeast" w:before="6"/>
        <w:ind w:left="573" w:right="112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 资产负债表日后利润分配情况说明</w:t>
      </w:r>
      <w:r>
        <w:rPr>
          <w:rFonts w:ascii="宋体" w:hAnsi="宋体" w:cs="宋体" w:eastAsia="宋体" w:hint="default"/>
          <w:b/>
          <w:bCs/>
          <w:w w:val="100"/>
          <w:sz w:val="21"/>
          <w:szCs w:val="21"/>
        </w:rPr>
        <w:t> </w:t>
      </w:r>
      <w:r>
        <w:rPr>
          <w:rFonts w:ascii="宋体" w:hAnsi="宋体" w:cs="宋体" w:eastAsia="宋体" w:hint="default"/>
          <w:spacing w:val="-2"/>
          <w:sz w:val="21"/>
          <w:szCs w:val="21"/>
        </w:rPr>
        <w:t>经</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日第五届董事会第二十九次会议审议决定，以</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日总股本</w:t>
      </w:r>
      <w:r>
        <w:rPr>
          <w:rFonts w:ascii="Times New Roman" w:hAnsi="Times New Roman" w:cs="Times New Roman" w:eastAsia="Times New Roman" w:hint="default"/>
          <w:spacing w:val="-2"/>
          <w:sz w:val="21"/>
          <w:szCs w:val="21"/>
        </w:rPr>
        <w:t>408,869,000</w:t>
      </w:r>
      <w:r>
        <w:rPr>
          <w:rFonts w:ascii="宋体" w:hAnsi="宋体" w:cs="宋体" w:eastAsia="宋体" w:hint="default"/>
          <w:spacing w:val="-2"/>
          <w:sz w:val="21"/>
          <w:szCs w:val="21"/>
        </w:rPr>
        <w:t>股为基</w:t>
      </w:r>
    </w:p>
    <w:p>
      <w:pPr>
        <w:spacing w:line="259" w:lineRule="auto" w:before="21"/>
        <w:ind w:left="152" w:right="1123" w:firstLine="0"/>
        <w:jc w:val="left"/>
        <w:rPr>
          <w:rFonts w:ascii="宋体" w:hAnsi="宋体" w:cs="宋体" w:eastAsia="宋体" w:hint="default"/>
          <w:sz w:val="21"/>
          <w:szCs w:val="21"/>
        </w:rPr>
      </w:pPr>
      <w:r>
        <w:rPr>
          <w:rFonts w:ascii="宋体" w:hAnsi="宋体" w:cs="宋体" w:eastAsia="宋体" w:hint="default"/>
          <w:spacing w:val="-4"/>
          <w:sz w:val="21"/>
          <w:szCs w:val="21"/>
        </w:rPr>
        <w:t>数，按每</w:t>
      </w:r>
      <w:r>
        <w:rPr>
          <w:rFonts w:ascii="Times New Roman" w:hAnsi="Times New Roman" w:cs="Times New Roman" w:eastAsia="Times New Roman" w:hint="default"/>
          <w:spacing w:val="-4"/>
          <w:sz w:val="21"/>
          <w:szCs w:val="21"/>
        </w:rPr>
        <w:t>10</w:t>
      </w:r>
      <w:r>
        <w:rPr>
          <w:rFonts w:ascii="宋体" w:hAnsi="宋体" w:cs="宋体" w:eastAsia="宋体" w:hint="default"/>
          <w:spacing w:val="-4"/>
          <w:sz w:val="21"/>
          <w:szCs w:val="21"/>
        </w:rPr>
        <w:t>股派发现金股利人民币</w:t>
      </w:r>
      <w:r>
        <w:rPr>
          <w:rFonts w:ascii="Times New Roman" w:hAnsi="Times New Roman" w:cs="Times New Roman" w:eastAsia="Times New Roman" w:hint="default"/>
          <w:spacing w:val="-4"/>
          <w:sz w:val="21"/>
          <w:szCs w:val="21"/>
        </w:rPr>
        <w:t>0.2</w:t>
      </w:r>
      <w:r>
        <w:rPr>
          <w:rFonts w:ascii="宋体" w:hAnsi="宋体" w:cs="宋体" w:eastAsia="宋体" w:hint="default"/>
          <w:spacing w:val="-4"/>
          <w:sz w:val="21"/>
          <w:szCs w:val="21"/>
        </w:rPr>
        <w:t>元（含税），共计派发现金</w:t>
      </w:r>
      <w:r>
        <w:rPr>
          <w:rFonts w:ascii="Times New Roman" w:hAnsi="Times New Roman" w:cs="Times New Roman" w:eastAsia="Times New Roman" w:hint="default"/>
          <w:spacing w:val="-4"/>
          <w:sz w:val="21"/>
          <w:szCs w:val="21"/>
        </w:rPr>
        <w:t>8,177,380.00</w:t>
      </w:r>
      <w:r>
        <w:rPr>
          <w:rFonts w:ascii="宋体" w:hAnsi="宋体" w:cs="宋体" w:eastAsia="宋体" w:hint="default"/>
          <w:spacing w:val="-4"/>
          <w:sz w:val="21"/>
          <w:szCs w:val="21"/>
        </w:rPr>
        <w:t>元。上述分红决定尚需经</w:t>
      </w:r>
      <w:r>
        <w:rPr>
          <w:rFonts w:ascii="Times New Roman" w:hAnsi="Times New Roman" w:cs="Times New Roman" w:eastAsia="Times New Roman" w:hint="default"/>
          <w:spacing w:val="-4"/>
          <w:sz w:val="21"/>
          <w:szCs w:val="21"/>
        </w:rPr>
        <w:t>2012</w:t>
      </w:r>
      <w:r>
        <w:rPr>
          <w:rFonts w:ascii="Times New Roman" w:hAnsi="Times New Roman" w:cs="Times New Roman" w:eastAsia="Times New Roman" w:hint="default"/>
          <w:spacing w:val="41"/>
          <w:sz w:val="21"/>
          <w:szCs w:val="21"/>
        </w:rPr>
        <w:t> </w:t>
      </w:r>
      <w:r>
        <w:rPr>
          <w:rFonts w:ascii="Times New Roman" w:hAnsi="Times New Roman" w:cs="Times New Roman" w:eastAsia="Times New Roman" w:hint="default"/>
          <w:spacing w:val="41"/>
          <w:sz w:val="21"/>
          <w:szCs w:val="21"/>
        </w:rPr>
      </w:r>
      <w:r>
        <w:rPr>
          <w:rFonts w:ascii="宋体" w:hAnsi="宋体" w:cs="宋体" w:eastAsia="宋体" w:hint="default"/>
          <w:sz w:val="21"/>
          <w:szCs w:val="21"/>
        </w:rPr>
        <w:t>年度股东大会批准实施。</w:t>
      </w:r>
    </w:p>
    <w:p>
      <w:pPr>
        <w:spacing w:line="240" w:lineRule="auto" w:before="6"/>
        <w:rPr>
          <w:rFonts w:ascii="宋体" w:hAnsi="宋体" w:cs="宋体" w:eastAsia="宋体" w:hint="default"/>
          <w:sz w:val="24"/>
          <w:szCs w:val="24"/>
        </w:rPr>
      </w:pPr>
    </w:p>
    <w:p>
      <w:pPr>
        <w:spacing w:line="506" w:lineRule="auto" w:before="0"/>
        <w:ind w:left="364" w:right="6794"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、其他资产负债表日后事项说明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本公司无需要披露的其他日后事项。</w:t>
      </w:r>
    </w:p>
    <w:p>
      <w:pPr>
        <w:spacing w:after="0" w:line="506" w:lineRule="auto"/>
        <w:jc w:val="left"/>
        <w:rPr>
          <w:rFonts w:ascii="宋体" w:hAnsi="宋体" w:cs="宋体" w:eastAsia="宋体" w:hint="default"/>
          <w:sz w:val="21"/>
          <w:szCs w:val="21"/>
        </w:rPr>
        <w:sectPr>
          <w:pgSz w:w="11910" w:h="16840"/>
          <w:pgMar w:header="877"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r>
        <w:rPr/>
        <w:t>十三、其他重要事项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、其他</w:t>
      </w:r>
      <w:r>
        <w:rPr>
          <w:b w:val="0"/>
          <w:bCs w:val="0"/>
        </w:rPr>
      </w:r>
    </w:p>
    <w:p>
      <w:pPr>
        <w:spacing w:line="240" w:lineRule="auto" w:before="7"/>
        <w:rPr>
          <w:rFonts w:ascii="宋体" w:hAnsi="宋体" w:cs="宋体" w:eastAsia="宋体" w:hint="default"/>
          <w:b/>
          <w:bCs/>
          <w:sz w:val="24"/>
          <w:szCs w:val="24"/>
        </w:rPr>
      </w:pPr>
    </w:p>
    <w:p>
      <w:pPr>
        <w:spacing w:line="501" w:lineRule="auto" w:before="0"/>
        <w:ind w:left="152" w:right="6434" w:firstLine="480"/>
        <w:jc w:val="left"/>
        <w:rPr>
          <w:rFonts w:ascii="宋体" w:hAnsi="宋体" w:cs="宋体" w:eastAsia="宋体" w:hint="default"/>
          <w:sz w:val="21"/>
          <w:szCs w:val="21"/>
        </w:rPr>
      </w:pPr>
      <w:r>
        <w:rPr>
          <w:rFonts w:ascii="宋体" w:hAnsi="宋体" w:cs="宋体" w:eastAsia="宋体" w:hint="default"/>
          <w:spacing w:val="-2"/>
          <w:sz w:val="21"/>
          <w:szCs w:val="21"/>
        </w:rPr>
        <w:t>本公司无应披露未披露的其他重要事项。</w:t>
      </w:r>
      <w:r>
        <w:rPr>
          <w:rFonts w:ascii="宋体" w:hAnsi="宋体" w:cs="宋体" w:eastAsia="宋体" w:hint="default"/>
          <w:w w:val="100"/>
          <w:sz w:val="21"/>
          <w:szCs w:val="21"/>
        </w:rPr>
        <w:t> </w:t>
      </w:r>
      <w:r>
        <w:rPr>
          <w:rFonts w:ascii="宋体" w:hAnsi="宋体" w:cs="宋体" w:eastAsia="宋体" w:hint="default"/>
          <w:b/>
          <w:bCs/>
          <w:sz w:val="24"/>
          <w:szCs w:val="24"/>
        </w:rPr>
        <w:t>十四、母公司财务报表主要项目注释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68"/>
        <w:ind w:right="1123"/>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3"/>
        <w:gridCol w:w="533"/>
        <w:gridCol w:w="1327"/>
        <w:gridCol w:w="665"/>
        <w:gridCol w:w="1195"/>
        <w:gridCol w:w="665"/>
        <w:gridCol w:w="1328"/>
        <w:gridCol w:w="665"/>
      </w:tblGrid>
      <w:tr>
        <w:trPr>
          <w:trHeight w:val="402"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8"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按照账龄组合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645,929,469.10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32,047,042.53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417,474,134.24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16,566,691.64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645,929,469.10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32,047,042.53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417,474,134.24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16,566,691.64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645,929,469.10</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32,047,042.53</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417,474,134.24</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16,566,691.64</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pStyle w:val="BodyText"/>
        <w:spacing w:line="357" w:lineRule="auto" w:before="49"/>
        <w:ind w:right="-20"/>
        <w:jc w:val="left"/>
      </w:pPr>
      <w:r>
        <w:rPr/>
        <w:t>应收账款种类的说明 期末单项金额重大并单项计提坏账准备的应收账款</w:t>
      </w:r>
    </w:p>
    <w:p>
      <w:pPr>
        <w:pStyle w:val="BodyText"/>
        <w:spacing w:line="3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9"/>
        <w:gridCol w:w="2006"/>
        <w:gridCol w:w="657"/>
        <w:gridCol w:w="1468"/>
        <w:gridCol w:w="2126"/>
        <w:gridCol w:w="654"/>
        <w:gridCol w:w="1588"/>
      </w:tblGrid>
      <w:tr>
        <w:trPr>
          <w:trHeight w:val="401" w:hRule="exact"/>
        </w:trPr>
        <w:tc>
          <w:tcPr>
            <w:tcW w:w="1049" w:type="dxa"/>
            <w:vMerge w:val="restart"/>
            <w:tcBorders>
              <w:top w:val="single" w:sz="4" w:space="0" w:color="000000"/>
              <w:left w:val="single" w:sz="4" w:space="0" w:color="000000"/>
              <w:right w:val="single" w:sz="4" w:space="0" w:color="000000"/>
            </w:tcBorders>
            <w:shd w:val="clear" w:color="auto" w:fill="D2D2D2"/>
          </w:tcPr>
          <w:p>
            <w:pPr/>
          </w:p>
        </w:tc>
        <w:tc>
          <w:tcPr>
            <w:tcW w:w="413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6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8" w:type="dxa"/>
            <w:vMerge w:val="restart"/>
            <w:tcBorders>
              <w:top w:val="single" w:sz="4" w:space="0" w:color="000000"/>
              <w:left w:val="single" w:sz="4" w:space="0" w:color="000000"/>
              <w:right w:val="single" w:sz="4" w:space="0" w:color="000000"/>
            </w:tcBorders>
            <w:shd w:val="clear" w:color="auto" w:fill="D2D2D2"/>
          </w:tcPr>
          <w:p>
            <w:pPr/>
          </w:p>
        </w:tc>
        <w:tc>
          <w:tcPr>
            <w:tcW w:w="27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63" w:type="dxa"/>
            <w:gridSpan w:val="2"/>
            <w:vMerge/>
            <w:tcBorders>
              <w:left w:val="single" w:sz="4" w:space="0" w:color="000000"/>
              <w:bottom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2780" w:type="dxa"/>
            <w:gridSpan w:val="2"/>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6" w:right="0"/>
              <w:jc w:val="left"/>
              <w:rPr>
                <w:rFonts w:ascii="Times New Roman" w:hAnsi="Times New Roman" w:cs="Times New Roman" w:eastAsia="Times New Roman" w:hint="default"/>
                <w:sz w:val="18"/>
                <w:szCs w:val="18"/>
              </w:rPr>
            </w:pPr>
            <w:r>
              <w:rPr>
                <w:rFonts w:ascii="Times New Roman"/>
                <w:sz w:val="18"/>
              </w:rPr>
              <w:t>(%)</w:t>
            </w:r>
          </w:p>
        </w:tc>
        <w:tc>
          <w:tcPr>
            <w:tcW w:w="15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0" w:hRule="exact"/>
        </w:trPr>
        <w:tc>
          <w:tcPr>
            <w:tcW w:w="1049" w:type="dxa"/>
            <w:vMerge w:val="restart"/>
            <w:tcBorders>
              <w:top w:val="nil" w:sz="6" w:space="0" w:color="auto"/>
              <w:left w:val="single" w:sz="4" w:space="0" w:color="000000"/>
              <w:right w:val="single" w:sz="4" w:space="0" w:color="000000"/>
            </w:tcBorders>
            <w:shd w:val="clear" w:color="auto" w:fill="D2D2D2"/>
          </w:tcPr>
          <w:p>
            <w:pPr/>
          </w:p>
        </w:tc>
        <w:tc>
          <w:tcPr>
            <w:tcW w:w="20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7" w:type="dxa"/>
            <w:vMerge/>
            <w:tcBorders>
              <w:left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21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54" w:type="dxa"/>
            <w:vMerge/>
            <w:tcBorders>
              <w:left w:val="single" w:sz="4" w:space="0" w:color="000000"/>
              <w:right w:val="single" w:sz="4" w:space="0" w:color="000000"/>
            </w:tcBorders>
            <w:shd w:val="clear" w:color="auto" w:fill="D2D2D2"/>
          </w:tcPr>
          <w:p>
            <w:pPr/>
          </w:p>
        </w:tc>
        <w:tc>
          <w:tcPr>
            <w:tcW w:w="158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9" w:type="dxa"/>
            <w:vMerge/>
            <w:tcBorders>
              <w:left w:val="single" w:sz="4" w:space="0" w:color="000000"/>
              <w:right w:val="single" w:sz="4" w:space="0" w:color="000000"/>
            </w:tcBorders>
            <w:shd w:val="clear" w:color="auto" w:fill="D2D2D2"/>
          </w:tcPr>
          <w:p>
            <w:pPr/>
          </w:p>
        </w:tc>
        <w:tc>
          <w:tcPr>
            <w:tcW w:w="2006" w:type="dxa"/>
            <w:vMerge/>
            <w:tcBorders>
              <w:left w:val="single" w:sz="4" w:space="0" w:color="000000"/>
              <w:bottom w:val="nil" w:sz="6" w:space="0" w:color="auto"/>
              <w:right w:val="single" w:sz="4" w:space="0" w:color="000000"/>
            </w:tcBorders>
            <w:shd w:val="clear" w:color="auto" w:fill="D2D2D2"/>
          </w:tcPr>
          <w:p>
            <w:pPr/>
          </w:p>
        </w:tc>
        <w:tc>
          <w:tcPr>
            <w:tcW w:w="657" w:type="dxa"/>
            <w:vMerge/>
            <w:tcBorders>
              <w:left w:val="single" w:sz="4" w:space="0" w:color="000000"/>
              <w:right w:val="single" w:sz="4" w:space="0" w:color="000000"/>
            </w:tcBorders>
            <w:shd w:val="clear" w:color="auto" w:fill="D2D2D2"/>
          </w:tcPr>
          <w:p>
            <w:pPr/>
          </w:p>
        </w:tc>
        <w:tc>
          <w:tcPr>
            <w:tcW w:w="1468" w:type="dxa"/>
            <w:vMerge w:val="restart"/>
            <w:tcBorders>
              <w:top w:val="nil" w:sz="6" w:space="0" w:color="auto"/>
              <w:left w:val="single" w:sz="4" w:space="0" w:color="000000"/>
              <w:right w:val="single" w:sz="4" w:space="0" w:color="000000"/>
            </w:tcBorders>
            <w:shd w:val="clear" w:color="auto" w:fill="D2D2D2"/>
          </w:tcPr>
          <w:p>
            <w:pPr/>
          </w:p>
        </w:tc>
        <w:tc>
          <w:tcPr>
            <w:tcW w:w="2126" w:type="dxa"/>
            <w:vMerge/>
            <w:tcBorders>
              <w:left w:val="single" w:sz="4" w:space="0" w:color="000000"/>
              <w:bottom w:val="nil" w:sz="6" w:space="0" w:color="auto"/>
              <w:right w:val="single" w:sz="4" w:space="0" w:color="000000"/>
            </w:tcBorders>
            <w:shd w:val="clear" w:color="auto" w:fill="D2D2D2"/>
          </w:tcPr>
          <w:p>
            <w:pPr/>
          </w:p>
        </w:tc>
        <w:tc>
          <w:tcPr>
            <w:tcW w:w="654" w:type="dxa"/>
            <w:vMerge/>
            <w:tcBorders>
              <w:left w:val="single" w:sz="4" w:space="0" w:color="000000"/>
              <w:right w:val="single" w:sz="4" w:space="0" w:color="000000"/>
            </w:tcBorders>
            <w:shd w:val="clear" w:color="auto" w:fill="D2D2D2"/>
          </w:tcPr>
          <w:p>
            <w:pPr/>
          </w:p>
        </w:tc>
        <w:tc>
          <w:tcPr>
            <w:tcW w:w="1588"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049" w:type="dxa"/>
            <w:vMerge/>
            <w:tcBorders>
              <w:left w:val="single" w:sz="4" w:space="0" w:color="000000"/>
              <w:bottom w:val="single" w:sz="4" w:space="0" w:color="000000"/>
              <w:right w:val="single" w:sz="4" w:space="0" w:color="000000"/>
            </w:tcBorders>
            <w:shd w:val="clear" w:color="auto" w:fill="D2D2D2"/>
          </w:tcPr>
          <w:p>
            <w:pPr/>
          </w:p>
        </w:tc>
        <w:tc>
          <w:tcPr>
            <w:tcW w:w="2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7" w:type="dxa"/>
            <w:vMerge/>
            <w:tcBorders>
              <w:left w:val="single" w:sz="4" w:space="0" w:color="000000"/>
              <w:bottom w:val="single" w:sz="4" w:space="0" w:color="000000"/>
              <w:right w:val="single" w:sz="4" w:space="0" w:color="000000"/>
            </w:tcBorders>
            <w:shd w:val="clear" w:color="auto" w:fill="D2D2D2"/>
          </w:tcPr>
          <w:p>
            <w:pPr/>
          </w:p>
        </w:tc>
        <w:tc>
          <w:tcPr>
            <w:tcW w:w="1468"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954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497,750,437.84</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77.06%</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14,919,264.63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363,163,364.54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86.99%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10,724,125.80</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127,800,437.47</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19.79%</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12,780,043.75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51,974,848.45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12.45%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5,197,484.85</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19,471,875.84</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3,894,375.17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1,742,932.11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0.42%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348,586.42</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906,717.95</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453,358.98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592,989.14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296,494.57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5"/>
        <w:gridCol w:w="1995"/>
        <w:gridCol w:w="662"/>
        <w:gridCol w:w="1462"/>
        <w:gridCol w:w="2138"/>
        <w:gridCol w:w="643"/>
        <w:gridCol w:w="1604"/>
      </w:tblGrid>
      <w:tr>
        <w:trPr>
          <w:trHeight w:val="40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5" w:right="0"/>
              <w:jc w:val="left"/>
              <w:rPr>
                <w:rFonts w:ascii="Times New Roman" w:hAnsi="Times New Roman" w:cs="Times New Roman" w:eastAsia="Times New Roman" w:hint="default"/>
                <w:sz w:val="18"/>
                <w:szCs w:val="18"/>
              </w:rPr>
            </w:pPr>
            <w:r>
              <w:rPr>
                <w:rFonts w:ascii="Times New Roman"/>
                <w:sz w:val="18"/>
              </w:rPr>
              <w:t>645,929,469.10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6" w:right="0"/>
              <w:jc w:val="left"/>
              <w:rPr>
                <w:rFonts w:ascii="Times New Roman" w:hAnsi="Times New Roman" w:cs="Times New Roman" w:eastAsia="Times New Roman" w:hint="default"/>
                <w:sz w:val="18"/>
                <w:szCs w:val="18"/>
              </w:rPr>
            </w:pPr>
            <w:r>
              <w:rPr>
                <w:rFonts w:ascii="Times New Roman"/>
                <w:sz w:val="18"/>
              </w:rPr>
              <w:t>32,047,042.53</w:t>
            </w:r>
          </w:p>
        </w:tc>
        <w:tc>
          <w:tcPr>
            <w:tcW w:w="213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971" w:right="0"/>
              <w:jc w:val="left"/>
              <w:rPr>
                <w:rFonts w:ascii="Times New Roman" w:hAnsi="Times New Roman" w:cs="Times New Roman" w:eastAsia="Times New Roman" w:hint="default"/>
                <w:sz w:val="18"/>
                <w:szCs w:val="18"/>
              </w:rPr>
            </w:pPr>
            <w:r>
              <w:rPr>
                <w:rFonts w:ascii="Times New Roman"/>
                <w:sz w:val="18"/>
              </w:rPr>
              <w:t>417,474,134.24</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6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16,566,691.64</w:t>
            </w:r>
          </w:p>
        </w:tc>
      </w:tr>
    </w:tbl>
    <w:p>
      <w:pPr>
        <w:pStyle w:val="BodyText"/>
        <w:spacing w:line="240" w:lineRule="auto" w:before="49"/>
        <w:ind w:right="1123"/>
        <w:jc w:val="left"/>
      </w:pPr>
      <w:r>
        <w:rPr/>
        <w:t>组合中，采用余额百分比法计提坏账准备的应收账款</w:t>
      </w:r>
    </w:p>
    <w:p>
      <w:pPr>
        <w:pStyle w:val="BodyText"/>
        <w:spacing w:line="340" w:lineRule="auto" w:before="115"/>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40" w:lineRule="auto" w:before="39"/>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1"/>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中铁电气化局成绵乐项 目部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13,183,474.00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中铁电气化局集团有限 公司客运专线系统集成 事业部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13,105,604.00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中央电视台新台址建设 工程办公室</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11,417,576.87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6,467,995.12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元，其余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中国铁建电气化局集团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11,100,224.00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安徽蓝鼎置地发展有限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10,215,560.00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59,022,438.87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9.14%</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69"/>
        <w:gridCol w:w="1455"/>
        <w:gridCol w:w="528"/>
        <w:gridCol w:w="1320"/>
        <w:gridCol w:w="528"/>
        <w:gridCol w:w="1322"/>
        <w:gridCol w:w="529"/>
        <w:gridCol w:w="1190"/>
        <w:gridCol w:w="526"/>
      </w:tblGrid>
      <w:tr>
        <w:trPr>
          <w:trHeight w:val="404" w:hRule="exact"/>
        </w:trPr>
        <w:tc>
          <w:tcPr>
            <w:tcW w:w="2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169"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2169"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按照账龄组合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35,925,146.58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1,723,573.84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23,015,184.00</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1,309,499.69</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35,925,146.58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1,723,573.84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23,015,184.00</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1,309,499.69</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35,925,146.58</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1,723,573.84</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23,015,184.00</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1,309,499.69</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340" w:top="1060" w:bottom="1540" w:left="980" w:right="0"/>
        </w:sectPr>
      </w:pPr>
    </w:p>
    <w:p>
      <w:pPr>
        <w:pStyle w:val="BodyText"/>
        <w:spacing w:line="360" w:lineRule="auto" w:before="44"/>
        <w:ind w:right="-20"/>
        <w:jc w:val="left"/>
      </w:pPr>
      <w:r>
        <w:rPr/>
        <w:t>其他应收款种类的说明 期末单项金额重大并单项计提坏账准备的其他应收款</w:t>
      </w:r>
    </w:p>
    <w:p>
      <w:pPr>
        <w:pStyle w:val="BodyText"/>
        <w:spacing w:line="340" w:lineRule="auto" w:before="2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2"/>
        <w:gridCol w:w="1805"/>
        <w:gridCol w:w="657"/>
        <w:gridCol w:w="1600"/>
        <w:gridCol w:w="1862"/>
        <w:gridCol w:w="660"/>
        <w:gridCol w:w="1725"/>
      </w:tblGrid>
      <w:tr>
        <w:trPr>
          <w:trHeight w:val="402" w:hRule="exact"/>
        </w:trPr>
        <w:tc>
          <w:tcPr>
            <w:tcW w:w="1262" w:type="dxa"/>
            <w:vMerge w:val="restart"/>
            <w:tcBorders>
              <w:top w:val="single" w:sz="4" w:space="0" w:color="000000"/>
              <w:left w:val="single" w:sz="4" w:space="0" w:color="000000"/>
              <w:right w:val="single" w:sz="4" w:space="0" w:color="000000"/>
            </w:tcBorders>
            <w:shd w:val="clear" w:color="auto" w:fill="D2D2D2"/>
          </w:tcPr>
          <w:p>
            <w:pPr/>
          </w:p>
        </w:tc>
        <w:tc>
          <w:tcPr>
            <w:tcW w:w="40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2" w:hRule="exact"/>
        </w:trPr>
        <w:tc>
          <w:tcPr>
            <w:tcW w:w="1262" w:type="dxa"/>
            <w:vMerge/>
            <w:tcBorders>
              <w:left w:val="single" w:sz="4" w:space="0" w:color="000000"/>
              <w:bottom w:val="nil" w:sz="6" w:space="0" w:color="auto"/>
              <w:right w:val="single" w:sz="4" w:space="0" w:color="000000"/>
            </w:tcBorders>
            <w:shd w:val="clear" w:color="auto" w:fill="D2D2D2"/>
          </w:tcPr>
          <w:p>
            <w:pPr/>
          </w:p>
        </w:tc>
        <w:tc>
          <w:tcPr>
            <w:tcW w:w="24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0" w:type="dxa"/>
            <w:vMerge w:val="restart"/>
            <w:tcBorders>
              <w:top w:val="single" w:sz="4" w:space="0" w:color="000000"/>
              <w:left w:val="single" w:sz="4" w:space="0" w:color="000000"/>
              <w:right w:val="single" w:sz="4" w:space="0" w:color="000000"/>
            </w:tcBorders>
            <w:shd w:val="clear" w:color="auto" w:fill="D2D2D2"/>
          </w:tcPr>
          <w:p>
            <w:pPr/>
          </w:p>
        </w:tc>
        <w:tc>
          <w:tcPr>
            <w:tcW w:w="2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5" w:type="dxa"/>
            <w:vMerge w:val="restart"/>
            <w:tcBorders>
              <w:top w:val="single" w:sz="4" w:space="0" w:color="000000"/>
              <w:left w:val="single" w:sz="4" w:space="0" w:color="000000"/>
              <w:right w:val="single" w:sz="4" w:space="0" w:color="000000"/>
            </w:tcBorders>
            <w:shd w:val="clear" w:color="auto" w:fill="D2D2D2"/>
          </w:tcPr>
          <w:p>
            <w:pPr/>
          </w:p>
        </w:tc>
      </w:tr>
      <w:tr>
        <w:trPr>
          <w:trHeight w:val="222" w:hRule="exact"/>
        </w:trPr>
        <w:tc>
          <w:tcPr>
            <w:tcW w:w="12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462"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nil" w:sz="6" w:space="0" w:color="auto"/>
              <w:right w:val="single" w:sz="4" w:space="0" w:color="000000"/>
            </w:tcBorders>
            <w:shd w:val="clear" w:color="auto" w:fill="D2D2D2"/>
          </w:tcPr>
          <w:p>
            <w:pPr/>
          </w:p>
        </w:tc>
        <w:tc>
          <w:tcPr>
            <w:tcW w:w="2522" w:type="dxa"/>
            <w:gridSpan w:val="2"/>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262" w:type="dxa"/>
            <w:vMerge/>
            <w:tcBorders>
              <w:left w:val="single" w:sz="4" w:space="0" w:color="000000"/>
              <w:bottom w:val="single" w:sz="4" w:space="0" w:color="FFFFFF"/>
              <w:right w:val="single" w:sz="4" w:space="0" w:color="000000"/>
            </w:tcBorders>
            <w:shd w:val="clear" w:color="auto" w:fill="D2D2D2"/>
          </w:tcPr>
          <w:p>
            <w:pPr/>
          </w:p>
        </w:tc>
        <w:tc>
          <w:tcPr>
            <w:tcW w:w="180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8" w:right="0"/>
              <w:jc w:val="left"/>
              <w:rPr>
                <w:rFonts w:ascii="Times New Roman" w:hAnsi="Times New Roman" w:cs="Times New Roman" w:eastAsia="Times New Roman" w:hint="default"/>
                <w:sz w:val="18"/>
                <w:szCs w:val="18"/>
              </w:rPr>
            </w:pPr>
            <w:r>
              <w:rPr>
                <w:rFonts w:ascii="Times New Roman"/>
                <w:sz w:val="18"/>
              </w:rPr>
              <w:t>(%)</w:t>
            </w:r>
          </w:p>
        </w:tc>
        <w:tc>
          <w:tcPr>
            <w:tcW w:w="17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262" w:type="dxa"/>
            <w:vMerge w:val="restart"/>
            <w:tcBorders>
              <w:top w:val="single" w:sz="4" w:space="0" w:color="FFFFFF"/>
              <w:left w:val="single" w:sz="4" w:space="0" w:color="000000"/>
              <w:right w:val="single" w:sz="4" w:space="0" w:color="000000"/>
            </w:tcBorders>
            <w:shd w:val="clear" w:color="auto" w:fill="D2D2D2"/>
          </w:tcPr>
          <w:p>
            <w:pPr/>
          </w:p>
        </w:tc>
        <w:tc>
          <w:tcPr>
            <w:tcW w:w="180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7" w:type="dxa"/>
            <w:vMerge/>
            <w:tcBorders>
              <w:left w:val="single" w:sz="4" w:space="0" w:color="000000"/>
              <w:right w:val="single" w:sz="4" w:space="0" w:color="000000"/>
            </w:tcBorders>
            <w:shd w:val="clear" w:color="auto" w:fill="D2D2D2"/>
          </w:tcPr>
          <w:p>
            <w:pPr/>
          </w:p>
        </w:tc>
        <w:tc>
          <w:tcPr>
            <w:tcW w:w="1600" w:type="dxa"/>
            <w:vMerge/>
            <w:tcBorders>
              <w:left w:val="single" w:sz="4" w:space="0" w:color="000000"/>
              <w:bottom w:val="nil" w:sz="6" w:space="0" w:color="auto"/>
              <w:right w:val="single" w:sz="4" w:space="0" w:color="000000"/>
            </w:tcBorders>
            <w:shd w:val="clear" w:color="auto" w:fill="D2D2D2"/>
          </w:tcPr>
          <w:p>
            <w:pPr/>
          </w:p>
        </w:tc>
        <w:tc>
          <w:tcPr>
            <w:tcW w:w="18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262" w:type="dxa"/>
            <w:vMerge/>
            <w:tcBorders>
              <w:left w:val="single" w:sz="4" w:space="0" w:color="000000"/>
              <w:right w:val="single" w:sz="4" w:space="0" w:color="000000"/>
            </w:tcBorders>
            <w:shd w:val="clear" w:color="auto" w:fill="D2D2D2"/>
          </w:tcPr>
          <w:p>
            <w:pPr/>
          </w:p>
        </w:tc>
        <w:tc>
          <w:tcPr>
            <w:tcW w:w="1805" w:type="dxa"/>
            <w:vMerge/>
            <w:tcBorders>
              <w:left w:val="single" w:sz="4" w:space="0" w:color="000000"/>
              <w:bottom w:val="nil" w:sz="6" w:space="0" w:color="auto"/>
              <w:right w:val="single" w:sz="4" w:space="0" w:color="000000"/>
            </w:tcBorders>
            <w:shd w:val="clear" w:color="auto" w:fill="D2D2D2"/>
          </w:tcPr>
          <w:p>
            <w:pPr/>
          </w:p>
        </w:tc>
        <w:tc>
          <w:tcPr>
            <w:tcW w:w="657" w:type="dxa"/>
            <w:vMerge/>
            <w:tcBorders>
              <w:left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
        </w:tc>
        <w:tc>
          <w:tcPr>
            <w:tcW w:w="1862"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725"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1262"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7"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single" w:sz="4" w:space="0" w:color="000000"/>
              <w:right w:val="single" w:sz="4" w:space="0" w:color="000000"/>
            </w:tcBorders>
            <w:shd w:val="clear" w:color="auto" w:fill="D2D2D2"/>
          </w:tcPr>
          <w:p>
            <w:pPr/>
          </w:p>
        </w:tc>
      </w:tr>
      <w:tr>
        <w:trPr>
          <w:trHeight w:val="39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31,943,792.71</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left"/>
              <w:rPr>
                <w:rFonts w:ascii="Times New Roman" w:hAnsi="Times New Roman" w:cs="Times New Roman" w:eastAsia="Times New Roman" w:hint="default"/>
                <w:sz w:val="18"/>
                <w:szCs w:val="18"/>
              </w:rPr>
            </w:pPr>
            <w:r>
              <w:rPr>
                <w:rFonts w:ascii="Times New Roman"/>
                <w:sz w:val="18"/>
              </w:rPr>
              <w:t>88.92%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958,313.78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17,639,629.07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left"/>
              <w:rPr>
                <w:rFonts w:ascii="Times New Roman" w:hAnsi="Times New Roman" w:cs="Times New Roman" w:eastAsia="Times New Roman" w:hint="default"/>
                <w:sz w:val="18"/>
                <w:szCs w:val="18"/>
              </w:rPr>
            </w:pPr>
            <w:r>
              <w:rPr>
                <w:rFonts w:ascii="Times New Roman"/>
                <w:sz w:val="18"/>
              </w:rPr>
              <w:t>76.64%</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518,843.29</w:t>
            </w:r>
          </w:p>
        </w:tc>
      </w:tr>
      <w:tr>
        <w:trPr>
          <w:trHeight w:val="401"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1,643,684.42</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164,368.44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4,265,389.60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18.53%</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426,538.96</w:t>
            </w:r>
          </w:p>
        </w:tc>
      </w:tr>
      <w:tr>
        <w:trPr>
          <w:trHeight w:val="403"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1,893,143.70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378,628.74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636,550.76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2.77%</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127,310.15</w:t>
            </w:r>
          </w:p>
        </w:tc>
      </w:tr>
      <w:tr>
        <w:trPr>
          <w:trHeight w:val="401"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444,525.75</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222,262.88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473,614.57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236,807.29</w:t>
            </w:r>
          </w:p>
        </w:tc>
      </w:tr>
      <w:tr>
        <w:trPr>
          <w:trHeight w:val="403"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35,925,146.58</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sz w:val="18"/>
              </w:rPr>
              <w:t>--</w:t>
            </w:r>
          </w:p>
        </w:tc>
        <w:tc>
          <w:tcPr>
            <w:tcW w:w="16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1,723,573.84</w:t>
            </w:r>
          </w:p>
        </w:tc>
        <w:tc>
          <w:tcPr>
            <w:tcW w:w="18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23,015,184.00</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1,309,499.69</w:t>
            </w:r>
          </w:p>
        </w:tc>
      </w:tr>
    </w:tbl>
    <w:p>
      <w:pPr>
        <w:pStyle w:val="BodyText"/>
        <w:spacing w:line="240" w:lineRule="auto" w:before="49"/>
        <w:ind w:right="1123"/>
        <w:jc w:val="left"/>
      </w:pPr>
      <w:r>
        <w:rPr/>
        <w:t>组合中，采用余额百分比法计提坏账准备的其他应收款</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38" w:lineRule="auto" w:before="42"/>
        <w:ind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3"/>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芜湖市鸠江区财政局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3,874,799.00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10.79%</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9"/>
              <w:jc w:val="left"/>
              <w:rPr>
                <w:rFonts w:ascii="宋体" w:hAnsi="宋体" w:cs="宋体" w:eastAsia="宋体" w:hint="default"/>
                <w:sz w:val="18"/>
                <w:szCs w:val="18"/>
              </w:rPr>
            </w:pPr>
            <w:r>
              <w:rPr>
                <w:rFonts w:ascii="宋体" w:hAnsi="宋体" w:cs="宋体" w:eastAsia="宋体" w:hint="default"/>
                <w:sz w:val="18"/>
                <w:szCs w:val="18"/>
              </w:rPr>
              <w:t>天津滨海国际机场二期 扩建工程指挥部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昆明新机场建设指挥部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华环国际烟草有限公司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3.44%</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河北瑞能达节能科技有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11,173,799.00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31.11%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安徽森源 电器有限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295,678,9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96,116,51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200,736,8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296,853,3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49.02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安徽鑫龙 低压电器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50,070,26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50,280,30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279,233.0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50,559,54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安徽鑫龙 自动化有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30,266,86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30,511,91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312,770.0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30,824,68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安徽鑫龙 变压器有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3,066,448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3,078,950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43,222.53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3,122,173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安徽鑫龙 电器元件 销售有限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4,479,262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4,479,262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4,479,262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安徽鑫龙 电力工程 安装有限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29,994,09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30,069,10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95,746.00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30,164,85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2.30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安徽鑫东 投资管理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安徽佑赛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17,400,00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17,552,53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-152,530.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17,400,00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芜湖扬子 农村商业 银行股份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39"/>
              <w:jc w:val="left"/>
              <w:rPr>
                <w:rFonts w:ascii="宋体" w:hAnsi="宋体" w:cs="宋体" w:eastAsia="宋体" w:hint="default"/>
                <w:sz w:val="18"/>
                <w:szCs w:val="18"/>
              </w:rPr>
            </w:pPr>
            <w:r>
              <w:rPr>
                <w:rFonts w:ascii="宋体" w:hAnsi="宋体" w:cs="宋体" w:eastAsia="宋体" w:hint="default"/>
                <w:sz w:val="18"/>
                <w:szCs w:val="18"/>
              </w:rPr>
              <w:t>芜湖市中 小企业信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67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39"/>
              <w:jc w:val="left"/>
              <w:rPr>
                <w:rFonts w:ascii="宋体" w:hAnsi="宋体" w:cs="宋体" w:eastAsia="宋体" w:hint="default"/>
                <w:sz w:val="18"/>
                <w:szCs w:val="18"/>
              </w:rPr>
            </w:pPr>
            <w:r>
              <w:rPr>
                <w:rFonts w:ascii="宋体" w:hAnsi="宋体" w:cs="宋体" w:eastAsia="宋体" w:hint="default"/>
                <w:sz w:val="18"/>
                <w:szCs w:val="18"/>
              </w:rPr>
              <w:t>用担保有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472,955,8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62.19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274,088,5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85.67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201,315,2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78.44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475,403,8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64.11</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23"/>
        <w:jc w:val="left"/>
      </w:pPr>
      <w:r>
        <w:rPr/>
        <w:t>长期股权投资的说明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846,033,293.91</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779,931,920.78</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4,196,462.63</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6,247,081.07</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850,229,756.54</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786,179,001.85</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580,626,511.70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567,820,675.41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电器机械及器材制造业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846,033,293.91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580,568,190.95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779,931,920.78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567,556,644.53</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846,033,293.91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580,568,190.95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779,931,920.78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567,556,644.53</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高、低压成套开关设备</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738,427,144.63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523,110,590.90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713,683,106.39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529,991,583.86</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元器件</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62,470,149.33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30,466,562.26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37,501,450.75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18,593,609.12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45,135,999.95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26,991,037.79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28,747,363.64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18,971,451.55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846,033,293.91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580,568,190.95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779,931,920.78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567,556,644.53</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37.971722pt;width:135pt;height:77pt;mso-position-horizontal-relative:page;mso-position-vertical-relative:paragraph;z-index:-828664" coordorigin="9206,759" coordsize="2700,1540">
            <v:shape style="position:absolute;left:9206;top:759;width:2700;height:1540" type="#_x0000_t75" stroked="false">
              <v:imagedata r:id="rId15" o:title=""/>
            </v:shape>
            <v:shape style="position:absolute;left:10502;top:1120;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128</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0"/>
        <w:gridCol w:w="3723"/>
        <w:gridCol w:w="3575"/>
      </w:tblGrid>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headerReference w:type="default" r:id="rId64"/>
          <w:footerReference w:type="default" r:id="rId65"/>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329,750,896.74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217,076,035.80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321,557,908.24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225,990,958.98</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440,317,897.94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314,645,830.54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357,333,606.72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271,823,330.48</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5,578,327.35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3,500,835.27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6,647,334.17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4,451,322.08</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16,544,340.17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10,745,346.51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12,204,448.28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8,232,570.90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25,818,337.66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16,712,841.76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32,058,620.99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21,293,556.26</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7,412,341.03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4,731,173.15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46,715,740.16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33,442,663.17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20,611,153.02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13,156,127.92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3,414,262.22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2,322,242.66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846,033,293.91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580,568,190.95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779,931,920.78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567,556,644.53</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中国铁建电气化局集团有限公司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28,085,126.50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枣庄华润纸业有限公司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17,967,521.37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山东天地缘实业有限公司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17,302,649.57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中铁电气化局成绵乐项目部</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14,686,729.91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河北敬业中厚板有限公司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14,312,193.16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1.68%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92,354,220.51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10.86%</w:t>
            </w:r>
          </w:p>
        </w:tc>
      </w:tr>
    </w:tbl>
    <w:p>
      <w:pPr>
        <w:pStyle w:val="BodyText"/>
        <w:spacing w:line="240" w:lineRule="auto" w:before="49"/>
        <w:ind w:right="1123"/>
        <w:jc w:val="left"/>
      </w:pPr>
      <w:r>
        <w:rPr/>
        <w:t>营业收入的说明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146,000.00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43,800.00</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146,000.00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43,800.00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75.171722pt;width:135pt;height:77pt;mso-position-horizontal-relative:page;mso-position-vertical-relative:paragraph;z-index:-828616" coordorigin="9206,1503" coordsize="2700,1540">
            <v:shape style="position:absolute;left:9206;top:1503;width:2700;height:1540" type="#_x0000_t75" stroked="false">
              <v:imagedata r:id="rId15" o:title=""/>
            </v:shape>
            <v:shape style="position:absolute;left:10502;top:1864;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129</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芜湖扬子农村商业银行股份有限公司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被投资企业本期分配利润增加</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146,000.00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43,800.00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headerReference w:type="default" r:id="rId66"/>
          <w:footerReference w:type="default" r:id="rId67"/>
          <w:pgSz w:w="11910" w:h="16840"/>
          <w:pgMar w:header="877" w:footer="0" w:top="1060" w:bottom="0" w:left="980" w:right="0"/>
        </w:sectPr>
      </w:pPr>
    </w:p>
    <w:p>
      <w:pPr>
        <w:spacing w:line="240" w:lineRule="auto" w:before="10"/>
        <w:rPr>
          <w:rFonts w:ascii="宋体" w:hAnsi="宋体" w:cs="宋体" w:eastAsia="宋体" w:hint="default"/>
          <w:sz w:val="24"/>
          <w:szCs w:val="24"/>
        </w:rPr>
      </w:pPr>
      <w:r>
        <w:rPr/>
        <w:pict>
          <v:group style="position:absolute;margin-left:460.320007pt;margin-top:764.919983pt;width:135pt;height:77pt;mso-position-horizontal-relative:page;mso-position-vertical-relative:page;z-index:3112"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130</w:t>
                    </w:r>
                  </w:p>
                </w:txbxContent>
              </v:textbox>
              <w10:wrap type="none"/>
            </v:shape>
            <w10:wrap type="none"/>
          </v:group>
        </w:pict>
      </w:r>
    </w:p>
    <w:p>
      <w:pPr>
        <w:pStyle w:val="Heading4"/>
        <w:spacing w:line="240" w:lineRule="auto" w:before="36"/>
        <w:ind w:right="1123"/>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81,114,299.42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51,810,416.18</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15,894,425.04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7,615,244.57</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16,859,306.39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10,390,499.59</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323,507.55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417,749.64</w:t>
            </w:r>
          </w:p>
        </w:tc>
      </w:tr>
      <w:tr>
        <w:trPr>
          <w:trHeight w:val="716"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31,062.21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-255,068.60</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37,101,968.83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23,570,441.16</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-43,800.00</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-2,362,188.93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-1,137,793.27</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32,233,488.99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33,120,341.33</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-235,486,528.01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-180,762,146.78</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159,780,542.92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104,051,151.07</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105,343,884.41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48,777,034.89</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315,484,629.44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87,839,397.67</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87,839,397.67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147,749,529.65</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227,645,231.77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-59,910,131.98</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十五、补充资料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3541"/>
        <w:gridCol w:w="2177"/>
        <w:gridCol w:w="1915"/>
        <w:gridCol w:w="1937"/>
      </w:tblGrid>
      <w:tr>
        <w:trPr>
          <w:trHeight w:val="184" w:hRule="exact"/>
        </w:trPr>
        <w:tc>
          <w:tcPr>
            <w:tcW w:w="3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2"/>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41"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right"/>
              <w:rPr>
                <w:rFonts w:ascii="Arial Narrow" w:hAnsi="Arial Narrow" w:cs="Arial Narrow" w:eastAsia="Arial Narrow" w:hint="default"/>
                <w:sz w:val="18"/>
                <w:szCs w:val="18"/>
              </w:rPr>
            </w:pPr>
            <w:r>
              <w:rPr>
                <w:rFonts w:ascii="Arial Narrow"/>
                <w:spacing w:val="-1"/>
                <w:sz w:val="18"/>
              </w:rPr>
              <w:t>0.2581</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Arial Narrow" w:hAnsi="Arial Narrow" w:cs="Arial Narrow" w:eastAsia="Arial Narrow" w:hint="default"/>
                <w:sz w:val="18"/>
                <w:szCs w:val="18"/>
              </w:rPr>
            </w:pPr>
            <w:r>
              <w:rPr>
                <w:rFonts w:ascii="Arial Narrow"/>
                <w:spacing w:val="-1"/>
                <w:sz w:val="18"/>
              </w:rPr>
              <w:t>0.2561</w:t>
            </w:r>
          </w:p>
        </w:tc>
      </w:tr>
      <w:tr>
        <w:trPr>
          <w:trHeight w:val="715"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0.2471</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0.2452</w:t>
            </w:r>
          </w:p>
        </w:tc>
      </w:tr>
    </w:tbl>
    <w:p>
      <w:pPr>
        <w:spacing w:after="0" w:line="240" w:lineRule="auto"/>
        <w:jc w:val="right"/>
        <w:rPr>
          <w:rFonts w:ascii="Arial Narrow" w:hAnsi="Arial Narrow" w:cs="Arial Narrow" w:eastAsia="Arial Narrow" w:hint="default"/>
          <w:sz w:val="18"/>
          <w:szCs w:val="18"/>
        </w:rPr>
        <w:sectPr>
          <w:headerReference w:type="default" r:id="rId68"/>
          <w:footerReference w:type="default" r:id="rId69"/>
          <w:pgSz w:w="11910" w:h="16840"/>
          <w:pgMar w:header="877" w:footer="0" w:top="1060" w:bottom="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w:t>
      </w:r>
      <w:r>
        <w:rPr>
          <w:spacing w:val="-1"/>
        </w:rPr>
        <w:t> </w:t>
      </w:r>
      <w:r>
        <w:rPr/>
        <w:t>当期非经常性损益明细表</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5423"/>
        <w:gridCol w:w="1423"/>
        <w:gridCol w:w="1524"/>
      </w:tblGrid>
      <w:tr>
        <w:trPr>
          <w:trHeight w:val="353" w:hRule="exact"/>
        </w:trPr>
        <w:tc>
          <w:tcPr>
            <w:tcW w:w="5423" w:type="dxa"/>
            <w:tcBorders>
              <w:top w:val="single" w:sz="6" w:space="0" w:color="000000"/>
              <w:left w:val="single" w:sz="6" w:space="0" w:color="000000"/>
              <w:bottom w:val="single" w:sz="12" w:space="0" w:color="000000"/>
              <w:right w:val="single" w:sz="6" w:space="0" w:color="000000"/>
            </w:tcBorders>
          </w:tcPr>
          <w:p>
            <w:pPr>
              <w:pStyle w:val="TableParagraph"/>
              <w:tabs>
                <w:tab w:pos="470" w:val="left" w:leader="none"/>
              </w:tabs>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8"/>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53"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24"/>
              <w:jc w:val="right"/>
              <w:rPr>
                <w:rFonts w:ascii="Times New Roman" w:hAnsi="Times New Roman" w:cs="Times New Roman" w:eastAsia="Times New Roman" w:hint="default"/>
                <w:sz w:val="18"/>
                <w:szCs w:val="18"/>
              </w:rPr>
            </w:pPr>
            <w:r>
              <w:rPr>
                <w:rFonts w:ascii="Times New Roman"/>
                <w:spacing w:val="-1"/>
                <w:sz w:val="18"/>
              </w:rPr>
              <w:t>-48,402.57</w:t>
            </w: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423"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 定额或定量享受的政府补助除外）</w:t>
            </w:r>
          </w:p>
        </w:tc>
        <w:tc>
          <w:tcPr>
            <w:tcW w:w="1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25"/>
              <w:jc w:val="right"/>
              <w:rPr>
                <w:rFonts w:ascii="Times New Roman" w:hAnsi="Times New Roman" w:cs="Times New Roman" w:eastAsia="Times New Roman" w:hint="default"/>
                <w:sz w:val="18"/>
                <w:szCs w:val="18"/>
              </w:rPr>
            </w:pPr>
            <w:r>
              <w:rPr>
                <w:rFonts w:ascii="Times New Roman"/>
                <w:spacing w:val="-1"/>
                <w:sz w:val="18"/>
              </w:rPr>
              <w:t>4,955,148.00</w:t>
            </w: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423"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662"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 享有被投资单位可辨认净资产公允价值产生的收益</w:t>
            </w:r>
          </w:p>
        </w:tc>
        <w:tc>
          <w:tcPr>
            <w:tcW w:w="1423"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423"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23"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423"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423"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423"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423"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423"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423"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974"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 资产、交易性金融负债产生的公允价值变动损益，以及处置交易性金 融资产、交易性金融负债和可供出售金融资产取得的投资收益</w:t>
            </w:r>
          </w:p>
        </w:tc>
        <w:tc>
          <w:tcPr>
            <w:tcW w:w="1423"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423"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423"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662"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 损益</w:t>
            </w:r>
          </w:p>
        </w:tc>
        <w:tc>
          <w:tcPr>
            <w:tcW w:w="1423"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 期损益的影响</w:t>
            </w:r>
          </w:p>
        </w:tc>
        <w:tc>
          <w:tcPr>
            <w:tcW w:w="1423"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423"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24"/>
              <w:jc w:val="right"/>
              <w:rPr>
                <w:rFonts w:ascii="Times New Roman" w:hAnsi="Times New Roman" w:cs="Times New Roman" w:eastAsia="Times New Roman" w:hint="default"/>
                <w:sz w:val="18"/>
                <w:szCs w:val="18"/>
              </w:rPr>
            </w:pPr>
            <w:r>
              <w:rPr>
                <w:rFonts w:ascii="Times New Roman"/>
                <w:spacing w:val="-1"/>
                <w:sz w:val="18"/>
              </w:rPr>
              <w:t>-37,847.28</w:t>
            </w: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23"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25"/>
              <w:jc w:val="right"/>
              <w:rPr>
                <w:rFonts w:ascii="Times New Roman" w:hAnsi="Times New Roman" w:cs="Times New Roman" w:eastAsia="Times New Roman" w:hint="default"/>
                <w:sz w:val="18"/>
                <w:szCs w:val="18"/>
              </w:rPr>
            </w:pPr>
            <w:r>
              <w:rPr>
                <w:rFonts w:ascii="Times New Roman"/>
                <w:spacing w:val="-1"/>
                <w:sz w:val="18"/>
              </w:rPr>
              <w:t>-766,960.81</w:t>
            </w: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24"/>
              <w:jc w:val="right"/>
              <w:rPr>
                <w:rFonts w:ascii="Times New Roman" w:hAnsi="Times New Roman" w:cs="Times New Roman" w:eastAsia="Times New Roman" w:hint="default"/>
                <w:sz w:val="18"/>
                <w:szCs w:val="18"/>
              </w:rPr>
            </w:pPr>
            <w:r>
              <w:rPr>
                <w:rFonts w:ascii="Times New Roman"/>
                <w:spacing w:val="-1"/>
                <w:sz w:val="18"/>
              </w:rPr>
              <w:t>-63,000.00</w:t>
            </w: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356" w:hRule="exact"/>
        </w:trPr>
        <w:tc>
          <w:tcPr>
            <w:tcW w:w="5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25"/>
              <w:jc w:val="right"/>
              <w:rPr>
                <w:rFonts w:ascii="Times New Roman" w:hAnsi="Times New Roman" w:cs="Times New Roman" w:eastAsia="Times New Roman" w:hint="default"/>
                <w:sz w:val="18"/>
                <w:szCs w:val="18"/>
              </w:rPr>
            </w:pPr>
            <w:r>
              <w:rPr>
                <w:rFonts w:ascii="Times New Roman"/>
                <w:spacing w:val="-1"/>
                <w:sz w:val="18"/>
              </w:rPr>
              <w:t>4,038,937.34</w:t>
            </w:r>
          </w:p>
        </w:tc>
        <w:tc>
          <w:tcPr>
            <w:tcW w:w="152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line="506" w:lineRule="auto" w:before="36"/>
        <w:ind w:left="575" w:right="3749" w:hanging="423"/>
        <w:jc w:val="left"/>
        <w:rPr>
          <w:rFonts w:ascii="宋体" w:hAnsi="宋体" w:cs="宋体" w:eastAsia="宋体" w:hint="default"/>
          <w:sz w:val="21"/>
          <w:szCs w:val="21"/>
        </w:rPr>
      </w:pPr>
      <w:r>
        <w:rPr/>
        <w:pict>
          <v:group style="position:absolute;margin-left:460.320007pt;margin-top:99.083679pt;width:135pt;height:77pt;mso-position-horizontal-relative:page;mso-position-vertical-relative:paragraph;z-index:3160" coordorigin="9206,1982" coordsize="2700,1540">
            <v:shape style="position:absolute;left:9206;top:1982;width:2700;height:1540" type="#_x0000_t75" stroked="false">
              <v:imagedata r:id="rId15" o:title=""/>
            </v:shape>
            <v:shape style="position:absolute;left:10502;top:2342;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131</w:t>
                    </w:r>
                  </w:p>
                </w:txbxContent>
              </v:textbox>
              <w10:wrap type="none"/>
            </v:shape>
            <w10:wrap type="none"/>
          </v:group>
        </w:pict>
      </w:r>
      <w:r>
        <w:rPr/>
        <w:pict>
          <v:shape style="position:absolute;margin-left:56.279999pt;margin-top:48.623676pt;width:431.75pt;height:52.1pt;mso-position-horizontal-relative:page;mso-position-vertical-relative:paragraph;z-index:3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24"/>
                    <w:gridCol w:w="1426"/>
                    <w:gridCol w:w="1406"/>
                    <w:gridCol w:w="939"/>
                    <w:gridCol w:w="3104"/>
                  </w:tblGrid>
                  <w:tr>
                    <w:trPr>
                      <w:trHeight w:val="667" w:hRule="exact"/>
                    </w:trPr>
                    <w:tc>
                      <w:tcPr>
                        <w:tcW w:w="17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left="535" w:right="0"/>
                          <w:jc w:val="left"/>
                          <w:rPr>
                            <w:rFonts w:ascii="宋体" w:hAnsi="宋体" w:cs="宋体" w:eastAsia="宋体" w:hint="default"/>
                            <w:sz w:val="16"/>
                            <w:szCs w:val="16"/>
                          </w:rPr>
                        </w:pPr>
                        <w:r>
                          <w:rPr>
                            <w:rFonts w:ascii="宋体" w:hAnsi="宋体" w:cs="宋体" w:eastAsia="宋体" w:hint="default"/>
                            <w:sz w:val="16"/>
                            <w:szCs w:val="16"/>
                          </w:rPr>
                          <w:t>报表项目</w:t>
                        </w:r>
                      </w:p>
                    </w:tc>
                    <w:tc>
                      <w:tcPr>
                        <w:tcW w:w="14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left="4" w:right="0"/>
                          <w:jc w:val="center"/>
                          <w:rPr>
                            <w:rFonts w:ascii="宋体" w:hAnsi="宋体" w:cs="宋体" w:eastAsia="宋体" w:hint="default"/>
                            <w:sz w:val="16"/>
                            <w:szCs w:val="16"/>
                          </w:rPr>
                        </w:pPr>
                        <w:r>
                          <w:rPr>
                            <w:rFonts w:ascii="宋体" w:hAnsi="宋体" w:cs="宋体" w:eastAsia="宋体" w:hint="default"/>
                            <w:sz w:val="16"/>
                            <w:szCs w:val="16"/>
                          </w:rPr>
                          <w:t>期末余额</w:t>
                        </w:r>
                      </w:p>
                      <w:p>
                        <w:pPr>
                          <w:pStyle w:val="TableParagraph"/>
                          <w:spacing w:line="240" w:lineRule="auto" w:before="102"/>
                          <w:ind w:left="4" w:right="0"/>
                          <w:jc w:val="center"/>
                          <w:rPr>
                            <w:rFonts w:ascii="宋体" w:hAnsi="宋体" w:cs="宋体" w:eastAsia="宋体" w:hint="default"/>
                            <w:sz w:val="16"/>
                            <w:szCs w:val="16"/>
                          </w:rPr>
                        </w:pPr>
                        <w:r>
                          <w:rPr>
                            <w:rFonts w:ascii="宋体" w:hAnsi="宋体" w:cs="宋体" w:eastAsia="宋体" w:hint="default"/>
                            <w:sz w:val="16"/>
                            <w:szCs w:val="16"/>
                          </w:rPr>
                          <w:t>（或本期金额）</w:t>
                        </w:r>
                      </w:p>
                    </w:tc>
                    <w:tc>
                      <w:tcPr>
                        <w:tcW w:w="14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left="4" w:right="0"/>
                          <w:jc w:val="center"/>
                          <w:rPr>
                            <w:rFonts w:ascii="宋体" w:hAnsi="宋体" w:cs="宋体" w:eastAsia="宋体" w:hint="default"/>
                            <w:sz w:val="16"/>
                            <w:szCs w:val="16"/>
                          </w:rPr>
                        </w:pPr>
                        <w:r>
                          <w:rPr>
                            <w:rFonts w:ascii="宋体" w:hAnsi="宋体" w:cs="宋体" w:eastAsia="宋体" w:hint="default"/>
                            <w:sz w:val="16"/>
                            <w:szCs w:val="16"/>
                          </w:rPr>
                          <w:t>期初余额</w:t>
                        </w:r>
                      </w:p>
                      <w:p>
                        <w:pPr>
                          <w:pStyle w:val="TableParagraph"/>
                          <w:spacing w:line="240" w:lineRule="auto" w:before="102"/>
                          <w:ind w:left="4" w:right="0"/>
                          <w:jc w:val="center"/>
                          <w:rPr>
                            <w:rFonts w:ascii="宋体" w:hAnsi="宋体" w:cs="宋体" w:eastAsia="宋体" w:hint="default"/>
                            <w:sz w:val="16"/>
                            <w:szCs w:val="16"/>
                          </w:rPr>
                        </w:pPr>
                        <w:r>
                          <w:rPr>
                            <w:rFonts w:ascii="宋体" w:hAnsi="宋体" w:cs="宋体" w:eastAsia="宋体" w:hint="default"/>
                            <w:sz w:val="16"/>
                            <w:szCs w:val="16"/>
                          </w:rPr>
                          <w:t>（或上期金额）</w:t>
                        </w:r>
                      </w:p>
                    </w:tc>
                    <w:tc>
                      <w:tcPr>
                        <w:tcW w:w="9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left="143" w:right="0"/>
                          <w:jc w:val="left"/>
                          <w:rPr>
                            <w:rFonts w:ascii="宋体" w:hAnsi="宋体" w:cs="宋体" w:eastAsia="宋体" w:hint="default"/>
                            <w:sz w:val="16"/>
                            <w:szCs w:val="16"/>
                          </w:rPr>
                        </w:pPr>
                        <w:r>
                          <w:rPr>
                            <w:rFonts w:ascii="宋体" w:hAnsi="宋体" w:cs="宋体" w:eastAsia="宋体" w:hint="default"/>
                            <w:sz w:val="16"/>
                            <w:szCs w:val="16"/>
                          </w:rPr>
                          <w:t>变动比率</w:t>
                        </w:r>
                      </w:p>
                    </w:tc>
                    <w:tc>
                      <w:tcPr>
                        <w:tcW w:w="310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8"/>
                          <w:ind w:right="1227"/>
                          <w:jc w:val="right"/>
                          <w:rPr>
                            <w:rFonts w:ascii="宋体" w:hAnsi="宋体" w:cs="宋体" w:eastAsia="宋体" w:hint="default"/>
                            <w:sz w:val="16"/>
                            <w:szCs w:val="16"/>
                          </w:rPr>
                        </w:pPr>
                        <w:r>
                          <w:rPr>
                            <w:rFonts w:ascii="宋体" w:hAnsi="宋体" w:cs="宋体" w:eastAsia="宋体" w:hint="default"/>
                            <w:sz w:val="16"/>
                            <w:szCs w:val="16"/>
                          </w:rPr>
                          <w:t>变动原因</w:t>
                        </w:r>
                      </w:p>
                    </w:tc>
                  </w:tr>
                  <w:tr>
                    <w:trPr>
                      <w:trHeight w:val="353" w:hRule="exact"/>
                    </w:trPr>
                    <w:tc>
                      <w:tcPr>
                        <w:tcW w:w="17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408" w:right="0"/>
                          <w:jc w:val="left"/>
                          <w:rPr>
                            <w:rFonts w:ascii="Times New Roman" w:hAnsi="Times New Roman" w:cs="Times New Roman" w:eastAsia="Times New Roman" w:hint="default"/>
                            <w:sz w:val="16"/>
                            <w:szCs w:val="16"/>
                          </w:rPr>
                        </w:pPr>
                        <w:r>
                          <w:rPr>
                            <w:rFonts w:ascii="Times New Roman"/>
                            <w:sz w:val="16"/>
                          </w:rPr>
                          <w:t>506,001,074.97</w:t>
                        </w:r>
                      </w:p>
                    </w:tc>
                    <w:tc>
                      <w:tcPr>
                        <w:tcW w:w="14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391" w:right="-1"/>
                          <w:jc w:val="left"/>
                          <w:rPr>
                            <w:rFonts w:ascii="Times New Roman" w:hAnsi="Times New Roman" w:cs="Times New Roman" w:eastAsia="Times New Roman" w:hint="default"/>
                            <w:sz w:val="16"/>
                            <w:szCs w:val="16"/>
                          </w:rPr>
                        </w:pPr>
                        <w:r>
                          <w:rPr>
                            <w:rFonts w:ascii="Times New Roman"/>
                            <w:sz w:val="16"/>
                          </w:rPr>
                          <w:t>164,176,029.17</w:t>
                        </w:r>
                      </w:p>
                    </w:tc>
                    <w:tc>
                      <w:tcPr>
                        <w:tcW w:w="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350" w:right="-2"/>
                          <w:jc w:val="left"/>
                          <w:rPr>
                            <w:rFonts w:ascii="Times New Roman" w:hAnsi="Times New Roman" w:cs="Times New Roman" w:eastAsia="Times New Roman" w:hint="default"/>
                            <w:sz w:val="16"/>
                            <w:szCs w:val="16"/>
                          </w:rPr>
                        </w:pPr>
                        <w:r>
                          <w:rPr>
                            <w:rFonts w:ascii="Times New Roman"/>
                            <w:sz w:val="16"/>
                          </w:rPr>
                          <w:t>208.21%</w:t>
                        </w:r>
                      </w:p>
                    </w:tc>
                    <w:tc>
                      <w:tcPr>
                        <w:tcW w:w="3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6"/>
                          <w:ind w:right="1263"/>
                          <w:jc w:val="right"/>
                          <w:rPr>
                            <w:rFonts w:ascii="宋体" w:hAnsi="宋体" w:cs="宋体" w:eastAsia="宋体" w:hint="default"/>
                            <w:sz w:val="16"/>
                            <w:szCs w:val="16"/>
                          </w:rPr>
                        </w:pPr>
                        <w:r>
                          <w:rPr>
                            <w:rFonts w:ascii="宋体" w:hAnsi="宋体" w:cs="宋体" w:eastAsia="宋体" w:hint="default"/>
                            <w:spacing w:val="-1"/>
                            <w:sz w:val="16"/>
                            <w:szCs w:val="16"/>
                          </w:rPr>
                          <w:t>本期非公开增发股票所致</w:t>
                        </w:r>
                      </w:p>
                    </w:tc>
                  </w:tr>
                </w:tbl>
                <w:p>
                  <w:pPr/>
                </w:p>
              </w:txbxContent>
            </v:textbox>
            <w10:wrap type="none"/>
          </v:shape>
        </w:pic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、公司主要会计报表项目的异常情况及原因的说明</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z w:val="21"/>
          <w:szCs w:val="21"/>
        </w:rPr>
        <w:t>金额异常或比较期间变动异常的报表项目</w:t>
      </w:r>
      <w:r>
        <w:rPr>
          <w:rFonts w:ascii="宋体" w:hAnsi="宋体" w:cs="宋体" w:eastAsia="宋体" w:hint="default"/>
          <w:sz w:val="21"/>
          <w:szCs w:val="21"/>
        </w:rPr>
      </w:r>
    </w:p>
    <w:p>
      <w:pPr>
        <w:spacing w:after="0" w:line="506" w:lineRule="auto"/>
        <w:jc w:val="left"/>
        <w:rPr>
          <w:rFonts w:ascii="宋体" w:hAnsi="宋体" w:cs="宋体" w:eastAsia="宋体" w:hint="default"/>
          <w:sz w:val="21"/>
          <w:szCs w:val="21"/>
        </w:rPr>
        <w:sectPr>
          <w:headerReference w:type="default" r:id="rId70"/>
          <w:footerReference w:type="default" r:id="rId71"/>
          <w:pgSz w:w="11910" w:h="16840"/>
          <w:pgMar w:header="877" w:footer="0" w:top="1060" w:bottom="0" w:left="980" w:right="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1724"/>
        <w:gridCol w:w="1426"/>
        <w:gridCol w:w="1406"/>
        <w:gridCol w:w="939"/>
        <w:gridCol w:w="3104"/>
      </w:tblGrid>
      <w:tr>
        <w:trPr>
          <w:trHeight w:val="668" w:hRule="exact"/>
        </w:trPr>
        <w:tc>
          <w:tcPr>
            <w:tcW w:w="17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14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632,493,016.11</w:t>
            </w:r>
          </w:p>
        </w:tc>
        <w:tc>
          <w:tcPr>
            <w:tcW w:w="14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406,596,870.67</w:t>
            </w:r>
          </w:p>
        </w:tc>
        <w:tc>
          <w:tcPr>
            <w:tcW w:w="9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spacing w:val="-1"/>
                <w:sz w:val="16"/>
              </w:rPr>
              <w:t>55.56%</w:t>
            </w:r>
          </w:p>
        </w:tc>
        <w:tc>
          <w:tcPr>
            <w:tcW w:w="3104" w:type="dxa"/>
            <w:tcBorders>
              <w:top w:val="single" w:sz="6" w:space="0" w:color="000000"/>
              <w:left w:val="single" w:sz="6" w:space="0" w:color="000000"/>
              <w:bottom w:val="single" w:sz="12" w:space="0" w:color="000000"/>
              <w:right w:val="nil" w:sz="6" w:space="0" w:color="auto"/>
            </w:tcBorders>
          </w:tcPr>
          <w:p>
            <w:pPr>
              <w:pStyle w:val="TableParagraph"/>
              <w:spacing w:line="357" w:lineRule="auto" w:before="36"/>
              <w:ind w:left="4" w:right="5"/>
              <w:jc w:val="left"/>
              <w:rPr>
                <w:rFonts w:ascii="宋体" w:hAnsi="宋体" w:cs="宋体" w:eastAsia="宋体" w:hint="default"/>
                <w:sz w:val="16"/>
                <w:szCs w:val="16"/>
              </w:rPr>
            </w:pPr>
            <w:r>
              <w:rPr>
                <w:rFonts w:ascii="宋体" w:hAnsi="宋体" w:cs="宋体" w:eastAsia="宋体" w:hint="default"/>
                <w:sz w:val="16"/>
                <w:szCs w:val="16"/>
              </w:rPr>
              <w:t>本年度收入较上年度收入增加及铁路部门应</w:t>
            </w:r>
            <w:r>
              <w:rPr>
                <w:rFonts w:ascii="宋体" w:hAnsi="宋体" w:cs="宋体" w:eastAsia="宋体" w:hint="default"/>
                <w:spacing w:val="-39"/>
                <w:sz w:val="16"/>
                <w:szCs w:val="16"/>
              </w:rPr>
              <w:t> </w:t>
            </w:r>
            <w:r>
              <w:rPr>
                <w:rFonts w:ascii="宋体" w:hAnsi="宋体" w:cs="宋体" w:eastAsia="宋体" w:hint="default"/>
                <w:spacing w:val="-39"/>
                <w:sz w:val="16"/>
                <w:szCs w:val="16"/>
              </w:rPr>
            </w:r>
            <w:r>
              <w:rPr>
                <w:rFonts w:ascii="宋体" w:hAnsi="宋体" w:cs="宋体" w:eastAsia="宋体" w:hint="default"/>
                <w:sz w:val="16"/>
                <w:szCs w:val="16"/>
              </w:rPr>
              <w:t>收账款回款速度较慢所致</w:t>
            </w:r>
          </w:p>
        </w:tc>
      </w:tr>
      <w:tr>
        <w:trPr>
          <w:trHeight w:val="350" w:hRule="exact"/>
        </w:trPr>
        <w:tc>
          <w:tcPr>
            <w:tcW w:w="17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预付款项</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2"/>
                <w:sz w:val="16"/>
              </w:rPr>
              <w:t>34,882,189.40</w:t>
            </w:r>
          </w:p>
        </w:tc>
        <w:tc>
          <w:tcPr>
            <w:tcW w:w="14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2"/>
                <w:sz w:val="16"/>
              </w:rPr>
              <w:t>21,981,879.06</w:t>
            </w:r>
          </w:p>
        </w:tc>
        <w:tc>
          <w:tcPr>
            <w:tcW w:w="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58.69%</w:t>
            </w:r>
          </w:p>
        </w:tc>
        <w:tc>
          <w:tcPr>
            <w:tcW w:w="3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6"/>
              <w:ind w:left="69" w:right="0"/>
              <w:jc w:val="left"/>
              <w:rPr>
                <w:rFonts w:ascii="宋体" w:hAnsi="宋体" w:cs="宋体" w:eastAsia="宋体" w:hint="default"/>
                <w:sz w:val="16"/>
                <w:szCs w:val="16"/>
              </w:rPr>
            </w:pPr>
            <w:r>
              <w:rPr>
                <w:rFonts w:ascii="宋体" w:hAnsi="宋体" w:cs="宋体" w:eastAsia="宋体" w:hint="default"/>
                <w:sz w:val="16"/>
                <w:szCs w:val="16"/>
              </w:rPr>
              <w:t>本期预付材料款增加所致</w:t>
            </w:r>
          </w:p>
        </w:tc>
      </w:tr>
      <w:tr>
        <w:trPr>
          <w:trHeight w:val="353" w:hRule="exact"/>
        </w:trPr>
        <w:tc>
          <w:tcPr>
            <w:tcW w:w="17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6"/>
                <w:szCs w:val="16"/>
              </w:rPr>
            </w:pPr>
            <w:r>
              <w:rPr>
                <w:rFonts w:ascii="Times New Roman"/>
                <w:spacing w:val="-2"/>
                <w:sz w:val="16"/>
              </w:rPr>
              <w:t>38,506,227.18</w:t>
            </w:r>
          </w:p>
        </w:tc>
        <w:tc>
          <w:tcPr>
            <w:tcW w:w="14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spacing w:val="-2"/>
                <w:sz w:val="16"/>
              </w:rPr>
              <w:t>26,531,783.82</w:t>
            </w:r>
          </w:p>
        </w:tc>
        <w:tc>
          <w:tcPr>
            <w:tcW w:w="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2"/>
              <w:jc w:val="right"/>
              <w:rPr>
                <w:rFonts w:ascii="Times New Roman" w:hAnsi="Times New Roman" w:cs="Times New Roman" w:eastAsia="Times New Roman" w:hint="default"/>
                <w:sz w:val="16"/>
                <w:szCs w:val="16"/>
              </w:rPr>
            </w:pPr>
            <w:r>
              <w:rPr>
                <w:rFonts w:ascii="Times New Roman"/>
                <w:spacing w:val="-1"/>
                <w:sz w:val="16"/>
              </w:rPr>
              <w:t>45.13%</w:t>
            </w:r>
          </w:p>
        </w:tc>
        <w:tc>
          <w:tcPr>
            <w:tcW w:w="3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9"/>
              <w:ind w:left="69" w:right="0"/>
              <w:jc w:val="left"/>
              <w:rPr>
                <w:rFonts w:ascii="宋体" w:hAnsi="宋体" w:cs="宋体" w:eastAsia="宋体" w:hint="default"/>
                <w:sz w:val="16"/>
                <w:szCs w:val="16"/>
              </w:rPr>
            </w:pPr>
            <w:r>
              <w:rPr>
                <w:rFonts w:ascii="宋体" w:hAnsi="宋体" w:cs="宋体" w:eastAsia="宋体" w:hint="default"/>
                <w:sz w:val="16"/>
                <w:szCs w:val="16"/>
              </w:rPr>
              <w:t>本期支付保证金增加所致</w:t>
            </w:r>
          </w:p>
        </w:tc>
      </w:tr>
      <w:tr>
        <w:trPr>
          <w:trHeight w:val="353" w:hRule="exact"/>
        </w:trPr>
        <w:tc>
          <w:tcPr>
            <w:tcW w:w="17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长期股权投资</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2"/>
                <w:sz w:val="16"/>
              </w:rPr>
              <w:t>39,467,709.45</w:t>
            </w:r>
          </w:p>
        </w:tc>
        <w:tc>
          <w:tcPr>
            <w:tcW w:w="14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2"/>
                <w:sz w:val="16"/>
              </w:rPr>
              <w:t>25,854,558.57</w:t>
            </w:r>
          </w:p>
        </w:tc>
        <w:tc>
          <w:tcPr>
            <w:tcW w:w="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52.65%</w:t>
            </w:r>
          </w:p>
        </w:tc>
        <w:tc>
          <w:tcPr>
            <w:tcW w:w="3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6"/>
              <w:ind w:left="69" w:right="0"/>
              <w:jc w:val="left"/>
              <w:rPr>
                <w:rFonts w:ascii="宋体" w:hAnsi="宋体" w:cs="宋体" w:eastAsia="宋体" w:hint="default"/>
                <w:sz w:val="16"/>
                <w:szCs w:val="16"/>
              </w:rPr>
            </w:pPr>
            <w:r>
              <w:rPr>
                <w:rFonts w:ascii="宋体" w:hAnsi="宋体" w:cs="宋体" w:eastAsia="宋体" w:hint="default"/>
                <w:sz w:val="16"/>
                <w:szCs w:val="16"/>
              </w:rPr>
              <w:t>主要系对联营企业增加投资所致</w:t>
            </w:r>
          </w:p>
        </w:tc>
      </w:tr>
      <w:tr>
        <w:trPr>
          <w:trHeight w:val="662" w:hRule="exact"/>
        </w:trPr>
        <w:tc>
          <w:tcPr>
            <w:tcW w:w="17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递延所得税资产</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5,276,650.02</w:t>
            </w:r>
          </w:p>
        </w:tc>
        <w:tc>
          <w:tcPr>
            <w:tcW w:w="14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2,894,780.12</w:t>
            </w:r>
          </w:p>
        </w:tc>
        <w:tc>
          <w:tcPr>
            <w:tcW w:w="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82.28%</w:t>
            </w:r>
          </w:p>
        </w:tc>
        <w:tc>
          <w:tcPr>
            <w:tcW w:w="3104"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26"/>
              <w:ind w:left="4" w:right="3" w:firstLine="64"/>
              <w:jc w:val="left"/>
              <w:rPr>
                <w:rFonts w:ascii="宋体" w:hAnsi="宋体" w:cs="宋体" w:eastAsia="宋体" w:hint="default"/>
                <w:sz w:val="16"/>
                <w:szCs w:val="16"/>
              </w:rPr>
            </w:pPr>
            <w:r>
              <w:rPr>
                <w:rFonts w:ascii="宋体" w:hAnsi="宋体" w:cs="宋体" w:eastAsia="宋体" w:hint="default"/>
                <w:spacing w:val="-2"/>
                <w:sz w:val="16"/>
                <w:szCs w:val="16"/>
              </w:rPr>
              <w:t>本期应收款项增加，计提资产减值准备增加</w:t>
            </w:r>
            <w:r>
              <w:rPr>
                <w:rFonts w:ascii="宋体" w:hAnsi="宋体" w:cs="宋体" w:eastAsia="宋体" w:hint="default"/>
                <w:w w:val="100"/>
                <w:sz w:val="16"/>
                <w:szCs w:val="16"/>
              </w:rPr>
              <w:t> </w:t>
            </w:r>
            <w:r>
              <w:rPr>
                <w:rFonts w:ascii="宋体" w:hAnsi="宋体" w:cs="宋体" w:eastAsia="宋体" w:hint="default"/>
                <w:sz w:val="16"/>
                <w:szCs w:val="16"/>
              </w:rPr>
              <w:t>所致</w:t>
            </w:r>
          </w:p>
        </w:tc>
      </w:tr>
      <w:tr>
        <w:trPr>
          <w:trHeight w:val="353" w:hRule="exact"/>
        </w:trPr>
        <w:tc>
          <w:tcPr>
            <w:tcW w:w="17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6"/>
                <w:szCs w:val="16"/>
              </w:rPr>
            </w:pPr>
            <w:r>
              <w:rPr>
                <w:rFonts w:ascii="Times New Roman"/>
                <w:spacing w:val="-1"/>
                <w:sz w:val="16"/>
              </w:rPr>
              <w:t>231,000,000.00</w:t>
            </w:r>
          </w:p>
        </w:tc>
        <w:tc>
          <w:tcPr>
            <w:tcW w:w="14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spacing w:val="-1"/>
                <w:sz w:val="16"/>
              </w:rPr>
              <w:t>463,600,000.00</w:t>
            </w:r>
          </w:p>
        </w:tc>
        <w:tc>
          <w:tcPr>
            <w:tcW w:w="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spacing w:val="-1"/>
                <w:sz w:val="16"/>
              </w:rPr>
              <w:t>-50.17%</w:t>
            </w:r>
          </w:p>
        </w:tc>
        <w:tc>
          <w:tcPr>
            <w:tcW w:w="3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9"/>
              <w:ind w:left="69" w:right="0"/>
              <w:jc w:val="left"/>
              <w:rPr>
                <w:rFonts w:ascii="宋体" w:hAnsi="宋体" w:cs="宋体" w:eastAsia="宋体" w:hint="default"/>
                <w:sz w:val="16"/>
                <w:szCs w:val="16"/>
              </w:rPr>
            </w:pPr>
            <w:r>
              <w:rPr>
                <w:rFonts w:ascii="宋体" w:hAnsi="宋体" w:cs="宋体" w:eastAsia="宋体" w:hint="default"/>
                <w:sz w:val="16"/>
                <w:szCs w:val="16"/>
              </w:rPr>
              <w:t>主要系向银行借款减少所致</w:t>
            </w:r>
          </w:p>
        </w:tc>
      </w:tr>
      <w:tr>
        <w:trPr>
          <w:trHeight w:val="353" w:hRule="exact"/>
        </w:trPr>
        <w:tc>
          <w:tcPr>
            <w:tcW w:w="17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应付票据</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250,274,000.00</w:t>
            </w:r>
          </w:p>
        </w:tc>
        <w:tc>
          <w:tcPr>
            <w:tcW w:w="14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197,520,660.99</w:t>
            </w:r>
          </w:p>
        </w:tc>
        <w:tc>
          <w:tcPr>
            <w:tcW w:w="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26.71%</w:t>
            </w:r>
          </w:p>
        </w:tc>
        <w:tc>
          <w:tcPr>
            <w:tcW w:w="3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6"/>
              <w:ind w:left="69" w:right="0"/>
              <w:jc w:val="left"/>
              <w:rPr>
                <w:rFonts w:ascii="宋体" w:hAnsi="宋体" w:cs="宋体" w:eastAsia="宋体" w:hint="default"/>
                <w:sz w:val="16"/>
                <w:szCs w:val="16"/>
              </w:rPr>
            </w:pPr>
            <w:r>
              <w:rPr>
                <w:rFonts w:ascii="宋体" w:hAnsi="宋体" w:cs="宋体" w:eastAsia="宋体" w:hint="default"/>
                <w:sz w:val="16"/>
                <w:szCs w:val="16"/>
              </w:rPr>
              <w:t>期末采用票据结算增加所致</w:t>
            </w:r>
          </w:p>
        </w:tc>
      </w:tr>
      <w:tr>
        <w:trPr>
          <w:trHeight w:val="350" w:hRule="exact"/>
        </w:trPr>
        <w:tc>
          <w:tcPr>
            <w:tcW w:w="17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预收款项</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2"/>
                <w:sz w:val="16"/>
              </w:rPr>
              <w:t>43,435,799.42</w:t>
            </w:r>
          </w:p>
        </w:tc>
        <w:tc>
          <w:tcPr>
            <w:tcW w:w="14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2"/>
                <w:sz w:val="16"/>
              </w:rPr>
              <w:t>55,696,805.51</w:t>
            </w:r>
          </w:p>
        </w:tc>
        <w:tc>
          <w:tcPr>
            <w:tcW w:w="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-22.01%</w:t>
            </w:r>
          </w:p>
        </w:tc>
        <w:tc>
          <w:tcPr>
            <w:tcW w:w="3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6"/>
              <w:ind w:left="69" w:right="0"/>
              <w:jc w:val="left"/>
              <w:rPr>
                <w:rFonts w:ascii="宋体" w:hAnsi="宋体" w:cs="宋体" w:eastAsia="宋体" w:hint="default"/>
                <w:sz w:val="16"/>
                <w:szCs w:val="16"/>
              </w:rPr>
            </w:pPr>
            <w:r>
              <w:rPr>
                <w:rFonts w:ascii="宋体" w:hAnsi="宋体" w:cs="宋体" w:eastAsia="宋体" w:hint="default"/>
                <w:sz w:val="16"/>
                <w:szCs w:val="16"/>
              </w:rPr>
              <w:t>在本期确认收入所致</w:t>
            </w:r>
          </w:p>
        </w:tc>
      </w:tr>
      <w:tr>
        <w:trPr>
          <w:trHeight w:val="665" w:hRule="exact"/>
        </w:trPr>
        <w:tc>
          <w:tcPr>
            <w:tcW w:w="17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应交税费</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6"/>
                <w:szCs w:val="16"/>
              </w:rPr>
            </w:pPr>
            <w:r>
              <w:rPr>
                <w:rFonts w:ascii="Times New Roman"/>
                <w:spacing w:val="-2"/>
                <w:sz w:val="16"/>
              </w:rPr>
              <w:t>24,858,374.17</w:t>
            </w:r>
          </w:p>
        </w:tc>
        <w:tc>
          <w:tcPr>
            <w:tcW w:w="14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spacing w:val="-2"/>
                <w:sz w:val="16"/>
              </w:rPr>
              <w:t>10,813,780.24</w:t>
            </w:r>
          </w:p>
        </w:tc>
        <w:tc>
          <w:tcPr>
            <w:tcW w:w="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2"/>
              <w:jc w:val="right"/>
              <w:rPr>
                <w:rFonts w:ascii="Times New Roman" w:hAnsi="Times New Roman" w:cs="Times New Roman" w:eastAsia="Times New Roman" w:hint="default"/>
                <w:sz w:val="16"/>
                <w:szCs w:val="16"/>
              </w:rPr>
            </w:pPr>
            <w:r>
              <w:rPr>
                <w:rFonts w:ascii="Times New Roman"/>
                <w:spacing w:val="-1"/>
                <w:sz w:val="16"/>
              </w:rPr>
              <w:t>129.88%</w:t>
            </w:r>
          </w:p>
        </w:tc>
        <w:tc>
          <w:tcPr>
            <w:tcW w:w="3104"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29"/>
              <w:ind w:left="4" w:right="0" w:firstLine="64"/>
              <w:jc w:val="left"/>
              <w:rPr>
                <w:rFonts w:ascii="宋体" w:hAnsi="宋体" w:cs="宋体" w:eastAsia="宋体" w:hint="default"/>
                <w:sz w:val="16"/>
                <w:szCs w:val="16"/>
              </w:rPr>
            </w:pPr>
            <w:r>
              <w:rPr>
                <w:rFonts w:ascii="宋体" w:hAnsi="宋体" w:cs="宋体" w:eastAsia="宋体" w:hint="default"/>
                <w:spacing w:val="6"/>
                <w:sz w:val="16"/>
                <w:szCs w:val="16"/>
              </w:rPr>
              <w:t>主要系期末应交增值税和企业所得税增加</w:t>
            </w:r>
            <w:r>
              <w:rPr>
                <w:rFonts w:ascii="宋体" w:hAnsi="宋体" w:cs="宋体" w:eastAsia="宋体" w:hint="default"/>
                <w:spacing w:val="7"/>
                <w:w w:val="100"/>
                <w:sz w:val="16"/>
                <w:szCs w:val="16"/>
              </w:rPr>
              <w:t> </w:t>
            </w:r>
            <w:r>
              <w:rPr>
                <w:rFonts w:ascii="宋体" w:hAnsi="宋体" w:cs="宋体" w:eastAsia="宋体" w:hint="default"/>
                <w:sz w:val="16"/>
                <w:szCs w:val="16"/>
              </w:rPr>
              <w:t>所致</w:t>
            </w:r>
          </w:p>
        </w:tc>
      </w:tr>
      <w:tr>
        <w:trPr>
          <w:trHeight w:val="353" w:hRule="exact"/>
        </w:trPr>
        <w:tc>
          <w:tcPr>
            <w:tcW w:w="17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应付利息</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4,081,046.12</w:t>
            </w:r>
          </w:p>
        </w:tc>
        <w:tc>
          <w:tcPr>
            <w:tcW w:w="14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1,041,956.31</w:t>
            </w:r>
          </w:p>
        </w:tc>
        <w:tc>
          <w:tcPr>
            <w:tcW w:w="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291.67%</w:t>
            </w:r>
          </w:p>
        </w:tc>
        <w:tc>
          <w:tcPr>
            <w:tcW w:w="3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6"/>
              <w:ind w:left="69" w:right="0"/>
              <w:jc w:val="left"/>
              <w:rPr>
                <w:rFonts w:ascii="宋体" w:hAnsi="宋体" w:cs="宋体" w:eastAsia="宋体" w:hint="default"/>
                <w:sz w:val="16"/>
                <w:szCs w:val="16"/>
              </w:rPr>
            </w:pPr>
            <w:r>
              <w:rPr>
                <w:rFonts w:ascii="宋体" w:hAnsi="宋体" w:cs="宋体" w:eastAsia="宋体" w:hint="default"/>
                <w:sz w:val="16"/>
                <w:szCs w:val="16"/>
              </w:rPr>
              <w:t>主要系本期增加应付债券利息所致</w:t>
            </w:r>
          </w:p>
        </w:tc>
      </w:tr>
      <w:tr>
        <w:trPr>
          <w:trHeight w:val="350" w:hRule="exact"/>
        </w:trPr>
        <w:tc>
          <w:tcPr>
            <w:tcW w:w="17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5,470,893.27</w:t>
            </w:r>
          </w:p>
        </w:tc>
        <w:tc>
          <w:tcPr>
            <w:tcW w:w="14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3,453,147.92</w:t>
            </w:r>
          </w:p>
        </w:tc>
        <w:tc>
          <w:tcPr>
            <w:tcW w:w="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58.43%</w:t>
            </w:r>
          </w:p>
        </w:tc>
        <w:tc>
          <w:tcPr>
            <w:tcW w:w="3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6"/>
              <w:ind w:left="69" w:right="0"/>
              <w:jc w:val="left"/>
              <w:rPr>
                <w:rFonts w:ascii="宋体" w:hAnsi="宋体" w:cs="宋体" w:eastAsia="宋体" w:hint="default"/>
                <w:sz w:val="16"/>
                <w:szCs w:val="16"/>
              </w:rPr>
            </w:pPr>
            <w:r>
              <w:rPr>
                <w:rFonts w:ascii="宋体" w:hAnsi="宋体" w:cs="宋体" w:eastAsia="宋体" w:hint="default"/>
                <w:sz w:val="16"/>
                <w:szCs w:val="16"/>
              </w:rPr>
              <w:t>主要系收到保证金所致</w:t>
            </w:r>
          </w:p>
        </w:tc>
      </w:tr>
      <w:tr>
        <w:trPr>
          <w:trHeight w:val="665" w:hRule="exact"/>
        </w:trPr>
        <w:tc>
          <w:tcPr>
            <w:tcW w:w="1724"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29"/>
              <w:ind w:left="4" w:right="-2"/>
              <w:jc w:val="left"/>
              <w:rPr>
                <w:rFonts w:ascii="宋体" w:hAnsi="宋体" w:cs="宋体" w:eastAsia="宋体" w:hint="default"/>
                <w:sz w:val="16"/>
                <w:szCs w:val="16"/>
              </w:rPr>
            </w:pPr>
            <w:r>
              <w:rPr>
                <w:rFonts w:ascii="宋体" w:hAnsi="宋体" w:cs="宋体" w:eastAsia="宋体" w:hint="default"/>
                <w:spacing w:val="8"/>
                <w:sz w:val="16"/>
                <w:szCs w:val="16"/>
              </w:rPr>
              <w:t>一年内到期的非流动负</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z w:val="16"/>
                <w:szCs w:val="16"/>
              </w:rPr>
              <w:t>债</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6"/>
                <w:szCs w:val="16"/>
              </w:rPr>
            </w:pPr>
            <w:r>
              <w:rPr>
                <w:rFonts w:ascii="Times New Roman"/>
                <w:spacing w:val="-2"/>
                <w:sz w:val="16"/>
              </w:rPr>
              <w:t>18,800,000.00</w:t>
            </w:r>
          </w:p>
        </w:tc>
        <w:tc>
          <w:tcPr>
            <w:tcW w:w="14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spacing w:val="-1"/>
                <w:sz w:val="16"/>
              </w:rPr>
              <w:t>2,800,000.00</w:t>
            </w:r>
          </w:p>
        </w:tc>
        <w:tc>
          <w:tcPr>
            <w:tcW w:w="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2"/>
              <w:jc w:val="right"/>
              <w:rPr>
                <w:rFonts w:ascii="Times New Roman" w:hAnsi="Times New Roman" w:cs="Times New Roman" w:eastAsia="Times New Roman" w:hint="default"/>
                <w:sz w:val="16"/>
                <w:szCs w:val="16"/>
              </w:rPr>
            </w:pPr>
            <w:r>
              <w:rPr>
                <w:rFonts w:ascii="Times New Roman"/>
                <w:spacing w:val="-1"/>
                <w:sz w:val="16"/>
              </w:rPr>
              <w:t>571.43%</w:t>
            </w:r>
          </w:p>
        </w:tc>
        <w:tc>
          <w:tcPr>
            <w:tcW w:w="3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9"/>
              <w:ind w:left="69" w:right="0"/>
              <w:jc w:val="left"/>
              <w:rPr>
                <w:rFonts w:ascii="宋体" w:hAnsi="宋体" w:cs="宋体" w:eastAsia="宋体" w:hint="default"/>
                <w:sz w:val="16"/>
                <w:szCs w:val="16"/>
              </w:rPr>
            </w:pPr>
            <w:r>
              <w:rPr>
                <w:rFonts w:ascii="宋体" w:hAnsi="宋体" w:cs="宋体" w:eastAsia="宋体" w:hint="default"/>
                <w:sz w:val="16"/>
                <w:szCs w:val="16"/>
              </w:rPr>
              <w:t>将在一年内到期的长期借款增加所致</w:t>
            </w:r>
          </w:p>
        </w:tc>
      </w:tr>
      <w:tr>
        <w:trPr>
          <w:trHeight w:val="353" w:hRule="exact"/>
        </w:trPr>
        <w:tc>
          <w:tcPr>
            <w:tcW w:w="17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长期借款</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7,700,000.00</w:t>
            </w:r>
          </w:p>
        </w:tc>
        <w:tc>
          <w:tcPr>
            <w:tcW w:w="14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2"/>
                <w:sz w:val="16"/>
              </w:rPr>
              <w:t>48,500,000.00</w:t>
            </w:r>
          </w:p>
        </w:tc>
        <w:tc>
          <w:tcPr>
            <w:tcW w:w="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-84.12%</w:t>
            </w:r>
          </w:p>
        </w:tc>
        <w:tc>
          <w:tcPr>
            <w:tcW w:w="3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6"/>
              <w:ind w:left="69" w:right="0"/>
              <w:jc w:val="left"/>
              <w:rPr>
                <w:rFonts w:ascii="宋体" w:hAnsi="宋体" w:cs="宋体" w:eastAsia="宋体" w:hint="default"/>
                <w:sz w:val="16"/>
                <w:szCs w:val="16"/>
              </w:rPr>
            </w:pPr>
            <w:r>
              <w:rPr>
                <w:rFonts w:ascii="宋体" w:hAnsi="宋体" w:cs="宋体" w:eastAsia="宋体" w:hint="default"/>
                <w:sz w:val="16"/>
                <w:szCs w:val="16"/>
              </w:rPr>
              <w:t>主要系向银行借款减少所致</w:t>
            </w:r>
          </w:p>
        </w:tc>
      </w:tr>
      <w:tr>
        <w:trPr>
          <w:trHeight w:val="662" w:hRule="exact"/>
        </w:trPr>
        <w:tc>
          <w:tcPr>
            <w:tcW w:w="17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股本（实收资本）</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408,869,000.00</w:t>
            </w:r>
          </w:p>
        </w:tc>
        <w:tc>
          <w:tcPr>
            <w:tcW w:w="14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165,000,000.00</w:t>
            </w:r>
          </w:p>
        </w:tc>
        <w:tc>
          <w:tcPr>
            <w:tcW w:w="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147.80%</w:t>
            </w:r>
          </w:p>
        </w:tc>
        <w:tc>
          <w:tcPr>
            <w:tcW w:w="3104"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26"/>
              <w:ind w:left="4" w:right="3" w:firstLine="64"/>
              <w:jc w:val="left"/>
              <w:rPr>
                <w:rFonts w:ascii="宋体" w:hAnsi="宋体" w:cs="宋体" w:eastAsia="宋体" w:hint="default"/>
                <w:sz w:val="16"/>
                <w:szCs w:val="16"/>
              </w:rPr>
            </w:pPr>
            <w:r>
              <w:rPr>
                <w:rFonts w:ascii="宋体" w:hAnsi="宋体" w:cs="宋体" w:eastAsia="宋体" w:hint="default"/>
                <w:spacing w:val="-2"/>
                <w:sz w:val="16"/>
                <w:szCs w:val="16"/>
              </w:rPr>
              <w:t>主要系以资本公积、未分配利润转股及非公</w:t>
            </w:r>
            <w:r>
              <w:rPr>
                <w:rFonts w:ascii="宋体" w:hAnsi="宋体" w:cs="宋体" w:eastAsia="宋体" w:hint="default"/>
                <w:w w:val="100"/>
                <w:sz w:val="16"/>
                <w:szCs w:val="16"/>
              </w:rPr>
              <w:t> </w:t>
            </w:r>
            <w:r>
              <w:rPr>
                <w:rFonts w:ascii="宋体" w:hAnsi="宋体" w:cs="宋体" w:eastAsia="宋体" w:hint="default"/>
                <w:sz w:val="16"/>
                <w:szCs w:val="16"/>
              </w:rPr>
              <w:t>开发行股票所致</w:t>
            </w:r>
          </w:p>
        </w:tc>
      </w:tr>
      <w:tr>
        <w:trPr>
          <w:trHeight w:val="353" w:hRule="exact"/>
        </w:trPr>
        <w:tc>
          <w:tcPr>
            <w:tcW w:w="17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6"/>
                <w:szCs w:val="16"/>
              </w:rPr>
            </w:pPr>
            <w:r>
              <w:rPr>
                <w:rFonts w:ascii="Times New Roman"/>
                <w:spacing w:val="-1"/>
                <w:sz w:val="16"/>
              </w:rPr>
              <w:t>484,880,825.61</w:t>
            </w:r>
          </w:p>
        </w:tc>
        <w:tc>
          <w:tcPr>
            <w:tcW w:w="14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spacing w:val="-1"/>
                <w:sz w:val="16"/>
              </w:rPr>
              <w:t>174,911,888.10</w:t>
            </w:r>
          </w:p>
        </w:tc>
        <w:tc>
          <w:tcPr>
            <w:tcW w:w="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2"/>
              <w:jc w:val="right"/>
              <w:rPr>
                <w:rFonts w:ascii="Times New Roman" w:hAnsi="Times New Roman" w:cs="Times New Roman" w:eastAsia="Times New Roman" w:hint="default"/>
                <w:sz w:val="16"/>
                <w:szCs w:val="16"/>
              </w:rPr>
            </w:pPr>
            <w:r>
              <w:rPr>
                <w:rFonts w:ascii="Times New Roman"/>
                <w:spacing w:val="-1"/>
                <w:sz w:val="16"/>
              </w:rPr>
              <w:t>177.21%</w:t>
            </w:r>
          </w:p>
        </w:tc>
        <w:tc>
          <w:tcPr>
            <w:tcW w:w="3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9"/>
              <w:ind w:left="69" w:right="0"/>
              <w:jc w:val="left"/>
              <w:rPr>
                <w:rFonts w:ascii="宋体" w:hAnsi="宋体" w:cs="宋体" w:eastAsia="宋体" w:hint="default"/>
                <w:sz w:val="16"/>
                <w:szCs w:val="16"/>
              </w:rPr>
            </w:pPr>
            <w:r>
              <w:rPr>
                <w:rFonts w:ascii="宋体" w:hAnsi="宋体" w:cs="宋体" w:eastAsia="宋体" w:hint="default"/>
                <w:sz w:val="16"/>
                <w:szCs w:val="16"/>
              </w:rPr>
              <w:t>主要系非公开发行股票所致</w:t>
            </w:r>
          </w:p>
        </w:tc>
      </w:tr>
      <w:tr>
        <w:trPr>
          <w:trHeight w:val="353" w:hRule="exact"/>
        </w:trPr>
        <w:tc>
          <w:tcPr>
            <w:tcW w:w="17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2"/>
                <w:sz w:val="16"/>
              </w:rPr>
              <w:t>34,741,070.53</w:t>
            </w:r>
          </w:p>
        </w:tc>
        <w:tc>
          <w:tcPr>
            <w:tcW w:w="14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2"/>
                <w:sz w:val="16"/>
              </w:rPr>
              <w:t>26,629,640.59</w:t>
            </w:r>
          </w:p>
        </w:tc>
        <w:tc>
          <w:tcPr>
            <w:tcW w:w="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30.46%</w:t>
            </w:r>
          </w:p>
        </w:tc>
        <w:tc>
          <w:tcPr>
            <w:tcW w:w="3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6"/>
              <w:ind w:left="69" w:right="0"/>
              <w:jc w:val="left"/>
              <w:rPr>
                <w:rFonts w:ascii="宋体" w:hAnsi="宋体" w:cs="宋体" w:eastAsia="宋体" w:hint="default"/>
                <w:sz w:val="16"/>
                <w:szCs w:val="16"/>
              </w:rPr>
            </w:pPr>
            <w:r>
              <w:rPr>
                <w:rFonts w:ascii="宋体" w:hAnsi="宋体" w:cs="宋体" w:eastAsia="宋体" w:hint="default"/>
                <w:sz w:val="16"/>
                <w:szCs w:val="16"/>
              </w:rPr>
              <w:t>本期净利润增加所致</w:t>
            </w:r>
          </w:p>
        </w:tc>
      </w:tr>
      <w:tr>
        <w:trPr>
          <w:trHeight w:val="351" w:hRule="exact"/>
        </w:trPr>
        <w:tc>
          <w:tcPr>
            <w:tcW w:w="17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营业税金及附加</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8,516,423.23</w:t>
            </w:r>
          </w:p>
        </w:tc>
        <w:tc>
          <w:tcPr>
            <w:tcW w:w="14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5,265,936.23</w:t>
            </w:r>
          </w:p>
        </w:tc>
        <w:tc>
          <w:tcPr>
            <w:tcW w:w="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61.73%</w:t>
            </w:r>
          </w:p>
        </w:tc>
        <w:tc>
          <w:tcPr>
            <w:tcW w:w="3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6"/>
              <w:ind w:left="69" w:right="0"/>
              <w:jc w:val="left"/>
              <w:rPr>
                <w:rFonts w:ascii="宋体" w:hAnsi="宋体" w:cs="宋体" w:eastAsia="宋体" w:hint="default"/>
                <w:sz w:val="16"/>
                <w:szCs w:val="16"/>
              </w:rPr>
            </w:pPr>
            <w:r>
              <w:rPr>
                <w:rFonts w:ascii="宋体" w:hAnsi="宋体" w:cs="宋体" w:eastAsia="宋体" w:hint="default"/>
                <w:sz w:val="16"/>
                <w:szCs w:val="16"/>
              </w:rPr>
              <w:t>本期应交增值税增加所致</w:t>
            </w:r>
          </w:p>
        </w:tc>
      </w:tr>
      <w:tr>
        <w:trPr>
          <w:trHeight w:val="665" w:hRule="exact"/>
        </w:trPr>
        <w:tc>
          <w:tcPr>
            <w:tcW w:w="17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4" w:right="0"/>
              <w:jc w:val="left"/>
              <w:rPr>
                <w:rFonts w:ascii="宋体" w:hAnsi="宋体" w:cs="宋体" w:eastAsia="宋体" w:hint="default"/>
                <w:sz w:val="16"/>
                <w:szCs w:val="16"/>
              </w:rPr>
            </w:pPr>
            <w:r>
              <w:rPr>
                <w:rFonts w:ascii="宋体" w:hAnsi="宋体" w:cs="宋体" w:eastAsia="宋体" w:hint="default"/>
                <w:sz w:val="16"/>
                <w:szCs w:val="16"/>
              </w:rPr>
              <w:t>财务费用</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6"/>
                <w:szCs w:val="16"/>
              </w:rPr>
            </w:pPr>
            <w:r>
              <w:rPr>
                <w:rFonts w:ascii="Times New Roman"/>
                <w:spacing w:val="-2"/>
                <w:sz w:val="16"/>
              </w:rPr>
              <w:t>45,075,257.20</w:t>
            </w:r>
          </w:p>
        </w:tc>
        <w:tc>
          <w:tcPr>
            <w:tcW w:w="14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6"/>
                <w:szCs w:val="16"/>
              </w:rPr>
            </w:pPr>
            <w:r>
              <w:rPr>
                <w:rFonts w:ascii="Times New Roman"/>
                <w:spacing w:val="-2"/>
                <w:sz w:val="16"/>
              </w:rPr>
              <w:t>30,802,209.03</w:t>
            </w:r>
          </w:p>
        </w:tc>
        <w:tc>
          <w:tcPr>
            <w:tcW w:w="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2"/>
              <w:jc w:val="right"/>
              <w:rPr>
                <w:rFonts w:ascii="Times New Roman" w:hAnsi="Times New Roman" w:cs="Times New Roman" w:eastAsia="Times New Roman" w:hint="default"/>
                <w:sz w:val="16"/>
                <w:szCs w:val="16"/>
              </w:rPr>
            </w:pPr>
            <w:r>
              <w:rPr>
                <w:rFonts w:ascii="Times New Roman"/>
                <w:spacing w:val="-1"/>
                <w:sz w:val="16"/>
              </w:rPr>
              <w:t>46.34%</w:t>
            </w:r>
          </w:p>
        </w:tc>
        <w:tc>
          <w:tcPr>
            <w:tcW w:w="3104"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29"/>
              <w:ind w:left="4" w:right="0" w:firstLine="64"/>
              <w:jc w:val="left"/>
              <w:rPr>
                <w:rFonts w:ascii="宋体" w:hAnsi="宋体" w:cs="宋体" w:eastAsia="宋体" w:hint="default"/>
                <w:sz w:val="16"/>
                <w:szCs w:val="16"/>
              </w:rPr>
            </w:pPr>
            <w:r>
              <w:rPr>
                <w:rFonts w:ascii="宋体" w:hAnsi="宋体" w:cs="宋体" w:eastAsia="宋体" w:hint="default"/>
                <w:spacing w:val="6"/>
                <w:sz w:val="16"/>
                <w:szCs w:val="16"/>
              </w:rPr>
              <w:t>主要系本期增加应付债券利息及短期借款</w:t>
            </w:r>
            <w:r>
              <w:rPr>
                <w:rFonts w:ascii="宋体" w:hAnsi="宋体" w:cs="宋体" w:eastAsia="宋体" w:hint="default"/>
                <w:spacing w:val="7"/>
                <w:w w:val="100"/>
                <w:sz w:val="16"/>
                <w:szCs w:val="16"/>
              </w:rPr>
              <w:t> </w:t>
            </w:r>
            <w:r>
              <w:rPr>
                <w:rFonts w:ascii="宋体" w:hAnsi="宋体" w:cs="宋体" w:eastAsia="宋体" w:hint="default"/>
                <w:sz w:val="16"/>
                <w:szCs w:val="16"/>
              </w:rPr>
              <w:t>利息所致</w:t>
            </w:r>
          </w:p>
        </w:tc>
      </w:tr>
      <w:tr>
        <w:trPr>
          <w:trHeight w:val="353" w:hRule="exact"/>
        </w:trPr>
        <w:tc>
          <w:tcPr>
            <w:tcW w:w="17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资产减值损失</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2"/>
                <w:sz w:val="16"/>
              </w:rPr>
              <w:t>16,238,655.88</w:t>
            </w:r>
          </w:p>
        </w:tc>
        <w:tc>
          <w:tcPr>
            <w:tcW w:w="14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8,106,341.30</w:t>
            </w:r>
          </w:p>
        </w:tc>
        <w:tc>
          <w:tcPr>
            <w:tcW w:w="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100.32%</w:t>
            </w:r>
          </w:p>
        </w:tc>
        <w:tc>
          <w:tcPr>
            <w:tcW w:w="31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6"/>
              <w:ind w:left="69" w:right="0"/>
              <w:jc w:val="left"/>
              <w:rPr>
                <w:rFonts w:ascii="宋体" w:hAnsi="宋体" w:cs="宋体" w:eastAsia="宋体" w:hint="default"/>
                <w:sz w:val="16"/>
                <w:szCs w:val="16"/>
              </w:rPr>
            </w:pPr>
            <w:r>
              <w:rPr>
                <w:rFonts w:ascii="宋体" w:hAnsi="宋体" w:cs="宋体" w:eastAsia="宋体" w:hint="default"/>
                <w:sz w:val="16"/>
                <w:szCs w:val="16"/>
              </w:rPr>
              <w:t>本期应收款项增加所致</w:t>
            </w:r>
          </w:p>
        </w:tc>
      </w:tr>
      <w:tr>
        <w:trPr>
          <w:trHeight w:val="665" w:hRule="exact"/>
        </w:trPr>
        <w:tc>
          <w:tcPr>
            <w:tcW w:w="17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 w:right="0"/>
              <w:jc w:val="left"/>
              <w:rPr>
                <w:rFonts w:ascii="宋体" w:hAnsi="宋体" w:cs="宋体" w:eastAsia="宋体" w:hint="default"/>
                <w:sz w:val="16"/>
                <w:szCs w:val="16"/>
              </w:rPr>
            </w:pPr>
            <w:r>
              <w:rPr>
                <w:rFonts w:ascii="宋体" w:hAnsi="宋体" w:cs="宋体" w:eastAsia="宋体" w:hint="default"/>
                <w:sz w:val="16"/>
                <w:szCs w:val="16"/>
              </w:rPr>
              <w:t>投资收益</w:t>
            </w:r>
          </w:p>
        </w:tc>
        <w:tc>
          <w:tcPr>
            <w:tcW w:w="1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6"/>
                <w:szCs w:val="16"/>
              </w:rPr>
            </w:pPr>
            <w:r>
              <w:rPr>
                <w:rFonts w:ascii="Times New Roman"/>
                <w:spacing w:val="-1"/>
                <w:sz w:val="16"/>
              </w:rPr>
              <w:t>-5,833,951.12</w:t>
            </w:r>
          </w:p>
        </w:tc>
        <w:tc>
          <w:tcPr>
            <w:tcW w:w="14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6"/>
                <w:szCs w:val="16"/>
              </w:rPr>
            </w:pPr>
            <w:r>
              <w:rPr>
                <w:rFonts w:ascii="Times New Roman"/>
                <w:spacing w:val="-1"/>
                <w:sz w:val="16"/>
              </w:rPr>
              <w:t>-101,641.43</w:t>
            </w:r>
          </w:p>
        </w:tc>
        <w:tc>
          <w:tcPr>
            <w:tcW w:w="9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spacing w:val="-1"/>
                <w:sz w:val="16"/>
              </w:rPr>
              <w:t>5639.74%</w:t>
            </w:r>
          </w:p>
        </w:tc>
        <w:tc>
          <w:tcPr>
            <w:tcW w:w="3104"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26"/>
              <w:ind w:left="4" w:right="5" w:firstLine="64"/>
              <w:jc w:val="left"/>
              <w:rPr>
                <w:rFonts w:ascii="宋体" w:hAnsi="宋体" w:cs="宋体" w:eastAsia="宋体" w:hint="default"/>
                <w:sz w:val="16"/>
                <w:szCs w:val="16"/>
              </w:rPr>
            </w:pPr>
            <w:r>
              <w:rPr>
                <w:rFonts w:ascii="宋体" w:hAnsi="宋体" w:cs="宋体" w:eastAsia="宋体" w:hint="default"/>
                <w:spacing w:val="-3"/>
                <w:sz w:val="16"/>
                <w:szCs w:val="16"/>
              </w:rPr>
              <w:t>本期对外投资的联营企业尚在开拓市场，费</w:t>
            </w:r>
            <w:r>
              <w:rPr>
                <w:rFonts w:ascii="宋体" w:hAnsi="宋体" w:cs="宋体" w:eastAsia="宋体" w:hint="default"/>
                <w:w w:val="100"/>
                <w:sz w:val="16"/>
                <w:szCs w:val="16"/>
              </w:rPr>
              <w:t> </w:t>
            </w:r>
            <w:r>
              <w:rPr>
                <w:rFonts w:ascii="宋体" w:hAnsi="宋体" w:cs="宋体" w:eastAsia="宋体" w:hint="default"/>
                <w:sz w:val="16"/>
                <w:szCs w:val="16"/>
              </w:rPr>
              <w:t>用较大，亏损较多所致</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995" w:val="left" w:leader="none"/>
        </w:tabs>
        <w:spacing w:line="535" w:lineRule="auto" w:before="196"/>
        <w:ind w:left="573" w:right="5305" w:hanging="421"/>
        <w:jc w:val="left"/>
        <w:rPr>
          <w:rFonts w:ascii="宋体" w:hAnsi="宋体" w:cs="宋体" w:eastAsia="宋体" w:hint="default"/>
          <w:sz w:val="21"/>
          <w:szCs w:val="21"/>
        </w:rPr>
      </w:pPr>
      <w:r>
        <w:rPr>
          <w:rFonts w:ascii="宋体" w:hAnsi="宋体" w:cs="宋体" w:eastAsia="宋体" w:hint="default"/>
          <w:b/>
          <w:bCs/>
          <w:sz w:val="21"/>
          <w:szCs w:val="21"/>
        </w:rPr>
        <w:t>十六、</w:t>
        <w:tab/>
        <w:t>财务报表的批准报出</w:t>
      </w:r>
      <w:r>
        <w:rPr>
          <w:rFonts w:ascii="宋体" w:hAnsi="宋体" w:cs="宋体" w:eastAsia="宋体" w:hint="default"/>
          <w:b/>
          <w:bCs/>
          <w:w w:val="100"/>
          <w:sz w:val="21"/>
          <w:szCs w:val="21"/>
        </w:rPr>
        <w:t> </w:t>
      </w:r>
      <w:r>
        <w:rPr>
          <w:rFonts w:ascii="宋体" w:hAnsi="宋体" w:cs="宋体" w:eastAsia="宋体" w:hint="default"/>
          <w:spacing w:val="-2"/>
          <w:sz w:val="21"/>
          <w:szCs w:val="21"/>
        </w:rPr>
        <w:t>本财务报表业经公司董事会于</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日批准报出。</w:t>
      </w:r>
    </w:p>
    <w:p>
      <w:pPr>
        <w:spacing w:after="0" w:line="535" w:lineRule="auto"/>
        <w:jc w:val="left"/>
        <w:rPr>
          <w:rFonts w:ascii="宋体" w:hAnsi="宋体" w:cs="宋体" w:eastAsia="宋体" w:hint="default"/>
          <w:sz w:val="21"/>
          <w:szCs w:val="21"/>
        </w:rPr>
        <w:sectPr>
          <w:footerReference w:type="default" r:id="rId72"/>
          <w:pgSz w:w="11910" w:h="16840"/>
          <w:pgMar w:footer="1340" w:header="877" w:top="1060" w:bottom="1540" w:left="980" w:right="0"/>
          <w:pgNumType w:start="13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5" w:right="1123"/>
        <w:jc w:val="left"/>
        <w:rPr>
          <w:b w:val="0"/>
          <w:bCs w:val="0"/>
        </w:rPr>
      </w:pPr>
      <w:r>
        <w:rPr/>
        <w:t>第十一节</w:t>
      </w:r>
      <w:r>
        <w:rPr>
          <w:spacing w:val="-6"/>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Heading3"/>
        <w:spacing w:line="379" w:lineRule="auto" w:before="249"/>
        <w:ind w:right="1154"/>
        <w:jc w:val="left"/>
      </w:pPr>
      <w:r>
        <w:rPr/>
        <w:t>一、载有公司法定代表人束龙胜先生、公司财务负责人陶黎明先生及会计机构负责人杨勇先 生签名并盖章的会计报表。 二、载有大华会计师事务所盖章、注册会计师吕勇军、王海涛签名并盖章的公司</w:t>
      </w:r>
      <w:r>
        <w:rPr>
          <w:rFonts w:ascii="Times New Roman" w:hAnsi="Times New Roman" w:cs="Times New Roman" w:eastAsia="Times New Roman" w:hint="default"/>
        </w:rPr>
        <w:t>2012</w:t>
      </w:r>
      <w:r>
        <w:rPr/>
        <w:t>年度审 计报告原件。 三、报告期内在中国证监会指定报纸上公开披露过的所有公司文件的正本及公告的原稿。 四、备查文件备置地点：董事会办公室。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388" w:lineRule="auto" w:before="186"/>
        <w:ind w:left="6771" w:right="1795" w:hanging="540"/>
        <w:jc w:val="left"/>
        <w:rPr>
          <w:rFonts w:ascii="宋体" w:hAnsi="宋体" w:cs="宋体" w:eastAsia="宋体" w:hint="default"/>
          <w:sz w:val="24"/>
          <w:szCs w:val="24"/>
        </w:rPr>
      </w:pPr>
      <w:r>
        <w:rPr>
          <w:rFonts w:ascii="宋体" w:hAnsi="宋体" w:cs="宋体" w:eastAsia="宋体" w:hint="default"/>
          <w:sz w:val="24"/>
          <w:szCs w:val="24"/>
        </w:rPr>
        <w:t>安徽鑫龙电器股份有限公司 董事长：束龙胜</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8"/>
          <w:szCs w:val="18"/>
        </w:rPr>
      </w:pPr>
    </w:p>
    <w:p>
      <w:pPr>
        <w:spacing w:before="0"/>
        <w:ind w:left="6634" w:right="1123" w:firstLine="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日</w:t>
      </w:r>
    </w:p>
    <w:sectPr>
      <w:pgSz w:w="11910" w:h="16840"/>
      <w:pgMar w:header="877" w:footer="1340" w:top="1060" w:bottom="15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0632" type="#_x0000_t75" stroked="false">
          <v:imagedata r:id="rId1" o:title=""/>
        </v:shape>
      </w:pict>
    </w:r>
    <w:r>
      <w:rPr/>
      <w:pict>
        <v:shape style="position:absolute;margin-left:533.099976pt;margin-top:795.637939pt;width:6.5pt;height:11pt;mso-position-horizontal-relative:page;mso-position-vertical-relative:page;z-index:-8306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0200" type="#_x0000_t75" stroked="false">
          <v:imagedata r:id="rId1" o:title=""/>
        </v:shape>
      </w:pict>
    </w:r>
    <w:r>
      <w:rPr/>
      <w:pict>
        <v:shape style="position:absolute;margin-left:527.659973pt;margin-top:781.933899pt;width:13.15pt;height:11pt;mso-position-horizontal-relative:page;mso-position-vertical-relative:page;z-index:-8301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48</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29960" type="#_x0000_t75" stroked="false">
          <v:imagedata r:id="rId1" o:title=""/>
        </v:shape>
      </w:pict>
    </w:r>
    <w:r>
      <w:rPr/>
      <w:pict>
        <v:shape style="position:absolute;margin-left:527.659973pt;margin-top:781.933899pt;width:13.15pt;height:11pt;mso-position-horizontal-relative:page;mso-position-vertical-relative:page;z-index:-829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61</w:t>
                </w:r>
                <w:r>
                  <w:rPr/>
                  <w:fldChar w:fldCharType="end"/>
                </w:r>
                <w:r>
                  <w:rPr>
                    <w:rFonts w:ascii="Times New Roman"/>
                    <w:spacing w:val="1"/>
                  </w:rPr>
                </w:r>
                <w:r>
                  <w:rPr>
                    <w:rFonts w:ascii="Times New Roman"/>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29864" type="#_x0000_t75" stroked="false">
          <v:imagedata r:id="rId1" o:title=""/>
        </v:shape>
      </w:pict>
    </w:r>
    <w:r>
      <w:rPr/>
      <w:pict>
        <v:shape style="position:absolute;margin-left:527.659973pt;margin-top:781.933899pt;width:13.15pt;height:11pt;mso-position-horizontal-relative:page;mso-position-vertical-relative:page;z-index:-829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r>
                  <w:rPr>
                    <w:rFonts w:ascii="Times New Roman"/>
                    <w:spacing w:val="1"/>
                  </w:rPr>
                </w:r>
                <w:r>
                  <w:rPr>
                    <w:rFonts w:ascii="Times New Roman"/>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29768" type="#_x0000_t75" stroked="false">
          <v:imagedata r:id="rId1" o:title=""/>
        </v:shape>
      </w:pict>
    </w:r>
    <w:r>
      <w:rPr/>
      <w:pict>
        <v:shape style="position:absolute;margin-left:527.659973pt;margin-top:781.933899pt;width:13.15pt;height:11pt;mso-position-horizontal-relative:page;mso-position-vertical-relative:page;z-index:-829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87</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0584" type="#_x0000_t75" stroked="false">
          <v:imagedata r:id="rId1" o:title=""/>
        </v:shape>
      </w:pict>
    </w:r>
    <w:r>
      <w:rPr/>
      <w:pict>
        <v:shape style="position:absolute;margin-left:527.659973pt;margin-top:781.933899pt;width:13.15pt;height:11pt;mso-position-horizontal-relative:page;mso-position-vertical-relative:page;z-index:-830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29672" type="#_x0000_t75" stroked="false">
          <v:imagedata r:id="rId1" o:title=""/>
        </v:shape>
      </w:pict>
    </w:r>
    <w:r>
      <w:rPr/>
      <w:pict>
        <v:shape style="position:absolute;margin-left:527.659973pt;margin-top:781.933899pt;width:13.15pt;height:11pt;mso-position-horizontal-relative:page;mso-position-vertical-relative:page;z-index:-829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95</w:t>
                </w:r>
                <w:r>
                  <w:rPr/>
                  <w:fldChar w:fldCharType="end"/>
                </w:r>
                <w:r>
                  <w:rPr>
                    <w:rFonts w:ascii="Times New Roman"/>
                    <w:spacing w:val="1"/>
                  </w:rPr>
                </w:r>
                <w:r>
                  <w:rPr>
                    <w:rFonts w:ascii="Times New Roman"/>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29624" type="#_x0000_t75" stroked="false">
          <v:imagedata r:id="rId1" o:title=""/>
        </v:shape>
      </w:pict>
    </w:r>
    <w:r>
      <w:rPr/>
      <w:pict>
        <v:shape style="position:absolute;margin-left:524.099976pt;margin-top:781.933899pt;width:15.7pt;height:11pt;mso-position-horizontal-relative:page;mso-position-vertical-relative:page;z-index:-8296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29576" type="#_x0000_t75" stroked="false">
          <v:imagedata r:id="rId1" o:title=""/>
        </v:shape>
      </w:pict>
    </w:r>
    <w:r>
      <w:rPr/>
      <w:pict>
        <v:shape style="position:absolute;margin-left:523.099976pt;margin-top:781.933899pt;width:17.7pt;height:11pt;mso-position-horizontal-relative:page;mso-position-vertical-relative:page;z-index:-829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29480" type="#_x0000_t75" stroked="false">
          <v:imagedata r:id="rId1" o:title=""/>
        </v:shape>
      </w:pict>
    </w:r>
    <w:r>
      <w:rPr/>
      <w:pict>
        <v:shape style="position:absolute;margin-left:523.099976pt;margin-top:781.933899pt;width:17.7pt;height:11pt;mso-position-horizontal-relative:page;mso-position-vertical-relative:page;z-index:-829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106</w:t>
                </w:r>
                <w:r>
                  <w:rPr/>
                  <w:fldChar w:fldCharType="end"/>
                </w:r>
                <w:r>
                  <w:rPr>
                    <w:rFonts w:ascii="Times New Roman"/>
                    <w:spacing w:val="1"/>
                  </w:rPr>
                </w:r>
                <w:r>
                  <w:rPr>
                    <w:rFonts w:ascii="Times New Roman"/>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29432" type="#_x0000_t75" stroked="false">
          <v:imagedata r:id="rId1" o:title=""/>
        </v:shape>
      </w:pict>
    </w:r>
    <w:r>
      <w:rPr/>
      <w:pict>
        <v:shape style="position:absolute;margin-left:523.460022pt;margin-top:781.933899pt;width:17.3pt;height:11pt;mso-position-horizontal-relative:page;mso-position-vertical-relative:page;z-index:-829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29384" type="#_x0000_t75" stroked="false">
          <v:imagedata r:id="rId1" o:title=""/>
        </v:shape>
      </w:pict>
    </w:r>
    <w:r>
      <w:rPr/>
      <w:pict>
        <v:shape style="position:absolute;margin-left:523.460022pt;margin-top:781.933899pt;width:17.3pt;height:11pt;mso-position-horizontal-relative:page;mso-position-vertical-relative:page;z-index:-829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112</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29192" type="#_x0000_t75" stroked="false">
          <v:imagedata r:id="rId1" o:title=""/>
        </v:shape>
      </w:pict>
    </w:r>
    <w:r>
      <w:rPr/>
      <w:pict>
        <v:shape style="position:absolute;margin-left:523.460022pt;margin-top:781.933899pt;width:17.3pt;height:11pt;mso-position-horizontal-relative:page;mso-position-vertical-relative:page;z-index:-829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117</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29144" type="#_x0000_t75" stroked="false">
          <v:imagedata r:id="rId1" o:title=""/>
        </v:shape>
      </w:pict>
    </w:r>
    <w:r>
      <w:rPr/>
      <w:pict>
        <v:shape style="position:absolute;margin-left:523.099976pt;margin-top:781.933899pt;width:17.7pt;height:11pt;mso-position-horizontal-relative:page;mso-position-vertical-relative:page;z-index:-829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28904" type="#_x0000_t75" stroked="false">
          <v:imagedata r:id="rId1" o:title=""/>
        </v:shape>
      </w:pict>
    </w:r>
    <w:r>
      <w:rPr/>
      <w:pict>
        <v:shape style="position:absolute;margin-left:523.099976pt;margin-top:781.933899pt;width:17.7pt;height:11pt;mso-position-horizontal-relative:page;mso-position-vertical-relative:page;z-index:-8288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132</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0488" type="#_x0000_t75" stroked="false">
          <v:imagedata r:id="rId1" o:title=""/>
        </v:shape>
      </w:pict>
    </w:r>
    <w:r>
      <w:rPr/>
      <w:pict>
        <v:shape style="position:absolute;margin-left:527.659973pt;margin-top:781.933899pt;width:13.15pt;height:11pt;mso-position-horizontal-relative:page;mso-position-vertical-relative:page;z-index:-830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0392" type="#_x0000_t75" stroked="false">
          <v:imagedata r:id="rId1" o:title=""/>
        </v:shape>
      </w:pict>
    </w:r>
    <w:r>
      <w:rPr/>
      <w:pict>
        <v:shape style="position:absolute;margin-left:527.659973pt;margin-top:781.933899pt;width:13.15pt;height:11pt;mso-position-horizontal-relative:page;mso-position-vertical-relative:page;z-index:-830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38</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0296" type="#_x0000_t75" stroked="false">
          <v:imagedata r:id="rId1" o:title=""/>
        </v:shape>
      </w:pict>
    </w:r>
    <w:r>
      <w:rPr/>
      <w:pict>
        <v:shape style="position:absolute;margin-left:527.659973pt;margin-top:781.933899pt;width:13.15pt;height:11pt;mso-position-horizontal-relative:page;mso-position-vertical-relative:page;z-index:-830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45</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070007pt;margin-top:36.265610pt;width:186.75pt;height:11.5pt;mso-position-horizontal-relative:page;mso-position-vertical-relative:page;z-index:-830656" type="#_x0000_t202" filled="false" stroked="false">
          <v:textbox inset="0,0,0,0">
            <w:txbxContent>
              <w:p>
                <w:pPr>
                  <w:pStyle w:val="BodyText"/>
                  <w:spacing w:line="214" w:lineRule="exact"/>
                  <w:ind w:left="20" w:right="0"/>
                  <w:jc w:val="left"/>
                </w:pPr>
                <w:r>
                  <w:rPr/>
                  <w:t>安徽鑫龙电器股份有限公司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299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29888" type="#_x0000_t202" filled="false" stroked="false">
          <v:textbox inset="0,0,0,0">
            <w:txbxContent>
              <w:p>
                <w:pPr>
                  <w:pStyle w:val="BodyText"/>
                  <w:spacing w:line="214" w:lineRule="exact"/>
                  <w:ind w:left="20" w:right="0"/>
                  <w:jc w:val="left"/>
                </w:pPr>
                <w:r>
                  <w:rPr/>
                  <w:t>安徽鑫龙电器股份有限公司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298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29792" type="#_x0000_t202" filled="false" stroked="false">
          <v:textbox inset="0,0,0,0">
            <w:txbxContent>
              <w:p>
                <w:pPr>
                  <w:pStyle w:val="BodyText"/>
                  <w:spacing w:line="214" w:lineRule="exact"/>
                  <w:ind w:left="20" w:right="0"/>
                  <w:jc w:val="left"/>
                </w:pPr>
                <w:r>
                  <w:rPr/>
                  <w:t>安徽鑫龙电器股份有限公司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297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29696" type="#_x0000_t202" filled="false" stroked="false">
          <v:textbox inset="0,0,0,0">
            <w:txbxContent>
              <w:p>
                <w:pPr>
                  <w:pStyle w:val="BodyText"/>
                  <w:spacing w:line="214" w:lineRule="exact"/>
                  <w:ind w:left="20" w:right="0"/>
                  <w:jc w:val="left"/>
                </w:pPr>
                <w:r>
                  <w:rPr/>
                  <w:t>安徽鑫龙电器股份有限公司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295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29504" type="#_x0000_t202" filled="false" stroked="false">
          <v:textbox inset="0,0,0,0">
            <w:txbxContent>
              <w:p>
                <w:pPr>
                  <w:pStyle w:val="BodyText"/>
                  <w:spacing w:line="214" w:lineRule="exact"/>
                  <w:ind w:left="20" w:right="0"/>
                  <w:jc w:val="left"/>
                </w:pPr>
                <w:r>
                  <w:rPr/>
                  <w:t>安徽鑫龙电器股份有限公司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293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29312" type="#_x0000_t202" filled="false" stroked="false">
          <v:textbox inset="0,0,0,0">
            <w:txbxContent>
              <w:p>
                <w:pPr>
                  <w:pStyle w:val="BodyText"/>
                  <w:spacing w:line="214" w:lineRule="exact"/>
                  <w:ind w:left="20" w:right="0"/>
                  <w:jc w:val="left"/>
                </w:pPr>
                <w:r>
                  <w:rPr/>
                  <w:t>安徽鑫龙电器股份有限公司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292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29264" type="#_x0000_t202" filled="false" stroked="false">
          <v:textbox inset="0,0,0,0">
            <w:txbxContent>
              <w:p>
                <w:pPr>
                  <w:pStyle w:val="BodyText"/>
                  <w:spacing w:line="214" w:lineRule="exact"/>
                  <w:ind w:left="20" w:right="0"/>
                  <w:jc w:val="left"/>
                </w:pPr>
                <w:r>
                  <w:rPr/>
                  <w:t>安徽鑫龙电器股份有限公司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292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29216" type="#_x0000_t202" filled="false" stroked="false">
          <v:textbox inset="0,0,0,0">
            <w:txbxContent>
              <w:p>
                <w:pPr>
                  <w:pStyle w:val="BodyText"/>
                  <w:spacing w:line="214" w:lineRule="exact"/>
                  <w:ind w:left="20" w:right="0"/>
                  <w:jc w:val="left"/>
                </w:pPr>
                <w:r>
                  <w:rPr/>
                  <w:t>安徽鑫龙电器股份有限公司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290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29072" type="#_x0000_t202" filled="false" stroked="false">
          <v:textbox inset="0,0,0,0">
            <w:txbxContent>
              <w:p>
                <w:pPr>
                  <w:pStyle w:val="BodyText"/>
                  <w:spacing w:line="214" w:lineRule="exact"/>
                  <w:ind w:left="20" w:right="0"/>
                  <w:jc w:val="left"/>
                </w:pPr>
                <w:r>
                  <w:rPr/>
                  <w:t>安徽鑫龙电器股份有限公司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290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29024" type="#_x0000_t202" filled="false" stroked="false">
          <v:textbox inset="0,0,0,0">
            <w:txbxContent>
              <w:p>
                <w:pPr>
                  <w:pStyle w:val="BodyText"/>
                  <w:spacing w:line="214" w:lineRule="exact"/>
                  <w:ind w:left="20" w:right="0"/>
                  <w:jc w:val="left"/>
                </w:pPr>
                <w:r>
                  <w:rPr/>
                  <w:t>安徽鑫龙电器股份有限公司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290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28976" type="#_x0000_t202" filled="false" stroked="false">
          <v:textbox inset="0,0,0,0">
            <w:txbxContent>
              <w:p>
                <w:pPr>
                  <w:pStyle w:val="BodyText"/>
                  <w:spacing w:line="214" w:lineRule="exact"/>
                  <w:ind w:left="20" w:right="0"/>
                  <w:jc w:val="left"/>
                </w:pPr>
                <w:r>
                  <w:rPr/>
                  <w:t>安徽鑫龙电器股份有限公司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305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30512" type="#_x0000_t202" filled="false" stroked="false">
          <v:textbox inset="0,0,0,0">
            <w:txbxContent>
              <w:p>
                <w:pPr>
                  <w:pStyle w:val="BodyText"/>
                  <w:spacing w:line="214" w:lineRule="exact"/>
                  <w:ind w:left="20" w:right="0"/>
                  <w:jc w:val="left"/>
                </w:pPr>
                <w:r>
                  <w:rPr/>
                  <w:t>安徽鑫龙电器股份有限公司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289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28928" type="#_x0000_t202" filled="false" stroked="false">
          <v:textbox inset="0,0,0,0">
            <w:txbxContent>
              <w:p>
                <w:pPr>
                  <w:pStyle w:val="BodyText"/>
                  <w:spacing w:line="214" w:lineRule="exact"/>
                  <w:ind w:left="20" w:right="0"/>
                  <w:jc w:val="left"/>
                </w:pPr>
                <w:r>
                  <w:rPr/>
                  <w:t>安徽鑫龙电器股份有限公司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304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30416" type="#_x0000_t202" filled="false" stroked="false">
          <v:textbox inset="0,0,0,0">
            <w:txbxContent>
              <w:p>
                <w:pPr>
                  <w:pStyle w:val="BodyText"/>
                  <w:spacing w:line="214" w:lineRule="exact"/>
                  <w:ind w:left="20" w:right="0"/>
                  <w:jc w:val="left"/>
                </w:pPr>
                <w:r>
                  <w:rPr/>
                  <w:t>安徽鑫龙电器股份有限公司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303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30320" type="#_x0000_t202" filled="false" stroked="false">
          <v:textbox inset="0,0,0,0">
            <w:txbxContent>
              <w:p>
                <w:pPr>
                  <w:pStyle w:val="BodyText"/>
                  <w:spacing w:line="214" w:lineRule="exact"/>
                  <w:ind w:left="20" w:right="0"/>
                  <w:jc w:val="left"/>
                </w:pPr>
                <w:r>
                  <w:rPr/>
                  <w:t>安徽鑫龙电器股份有限公司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302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30224" type="#_x0000_t202" filled="false" stroked="false">
          <v:textbox inset="0,0,0,0">
            <w:txbxContent>
              <w:p>
                <w:pPr>
                  <w:pStyle w:val="BodyText"/>
                  <w:spacing w:line="214" w:lineRule="exact"/>
                  <w:ind w:left="20" w:right="0"/>
                  <w:jc w:val="left"/>
                </w:pPr>
                <w:r>
                  <w:rPr/>
                  <w:t>安徽鑫龙电器股份有限公司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301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30128" type="#_x0000_t202" filled="false" stroked="false">
          <v:textbox inset="0,0,0,0">
            <w:txbxContent>
              <w:p>
                <w:pPr>
                  <w:pStyle w:val="BodyText"/>
                  <w:spacing w:line="214" w:lineRule="exact"/>
                  <w:ind w:left="20" w:right="0"/>
                  <w:jc w:val="left"/>
                </w:pPr>
                <w:r>
                  <w:rPr/>
                  <w:t>安徽鑫龙电器股份有限公司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3010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30080" type="#_x0000_t202" filled="false" stroked="false">
          <v:textbox inset="0,0,0,0">
            <w:txbxContent>
              <w:p>
                <w:pPr>
                  <w:pStyle w:val="BodyText"/>
                  <w:spacing w:line="214" w:lineRule="exact"/>
                  <w:ind w:left="20" w:right="0"/>
                  <w:jc w:val="left"/>
                </w:pPr>
                <w:r>
                  <w:rPr/>
                  <w:t>安徽鑫龙电器股份有限公司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300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30032" type="#_x0000_t202" filled="false" stroked="false">
          <v:textbox inset="0,0,0,0">
            <w:txbxContent>
              <w:p>
                <w:pPr>
                  <w:pStyle w:val="BodyText"/>
                  <w:spacing w:line="214" w:lineRule="exact"/>
                  <w:ind w:left="20" w:right="0"/>
                  <w:jc w:val="left"/>
                </w:pPr>
                <w:r>
                  <w:rPr/>
                  <w:t>安徽鑫龙电器股份有限公司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3000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829984" type="#_x0000_t202" filled="false" stroked="false">
          <v:textbox inset="0,0,0,0">
            <w:txbxContent>
              <w:p>
                <w:pPr>
                  <w:pStyle w:val="BodyText"/>
                  <w:spacing w:line="214" w:lineRule="exact"/>
                  <w:ind w:left="20" w:right="0"/>
                  <w:jc w:val="left"/>
                </w:pPr>
                <w:r>
                  <w:rPr/>
                  <w:t>安徽鑫龙电器股份有限公司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14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ah-xinlong.com/" TargetMode="External"/><Relationship Id="rId11" Type="http://schemas.openxmlformats.org/officeDocument/2006/relationships/hyperlink" Target="mailto:xinlongdsb@126.com" TargetMode="External"/><Relationship Id="rId12" Type="http://schemas.openxmlformats.org/officeDocument/2006/relationships/hyperlink" Target="mailto:zhuwen888@126.com"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footer" Target="footer4.xml"/><Relationship Id="rId17" Type="http://schemas.openxmlformats.org/officeDocument/2006/relationships/image" Target="media/image3.jpeg"/><Relationship Id="rId18" Type="http://schemas.openxmlformats.org/officeDocument/2006/relationships/header" Target="header3.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eader" Target="header4.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5.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header" Target="header6.xml"/><Relationship Id="rId30" Type="http://schemas.openxmlformats.org/officeDocument/2006/relationships/footer" Target="footer11.xml"/><Relationship Id="rId31" Type="http://schemas.openxmlformats.org/officeDocument/2006/relationships/header" Target="header7.xml"/><Relationship Id="rId32" Type="http://schemas.openxmlformats.org/officeDocument/2006/relationships/footer" Target="footer12.xml"/><Relationship Id="rId33" Type="http://schemas.openxmlformats.org/officeDocument/2006/relationships/header" Target="header8.xml"/><Relationship Id="rId34" Type="http://schemas.openxmlformats.org/officeDocument/2006/relationships/footer" Target="footer13.xml"/><Relationship Id="rId35" Type="http://schemas.openxmlformats.org/officeDocument/2006/relationships/header" Target="header9.xml"/><Relationship Id="rId36" Type="http://schemas.openxmlformats.org/officeDocument/2006/relationships/footer" Target="footer14.xml"/><Relationship Id="rId37" Type="http://schemas.openxmlformats.org/officeDocument/2006/relationships/footer" Target="footer15.xml"/><Relationship Id="rId38" Type="http://schemas.openxmlformats.org/officeDocument/2006/relationships/header" Target="header10.xml"/><Relationship Id="rId39" Type="http://schemas.openxmlformats.org/officeDocument/2006/relationships/footer" Target="footer16.xml"/><Relationship Id="rId40" Type="http://schemas.openxmlformats.org/officeDocument/2006/relationships/footer" Target="footer17.xml"/><Relationship Id="rId41" Type="http://schemas.openxmlformats.org/officeDocument/2006/relationships/header" Target="header11.xml"/><Relationship Id="rId42" Type="http://schemas.openxmlformats.org/officeDocument/2006/relationships/footer" Target="footer18.xml"/><Relationship Id="rId43" Type="http://schemas.openxmlformats.org/officeDocument/2006/relationships/footer" Target="footer19.xml"/><Relationship Id="rId44" Type="http://schemas.openxmlformats.org/officeDocument/2006/relationships/header" Target="header12.xml"/><Relationship Id="rId45" Type="http://schemas.openxmlformats.org/officeDocument/2006/relationships/footer" Target="footer20.xml"/><Relationship Id="rId46" Type="http://schemas.openxmlformats.org/officeDocument/2006/relationships/footer" Target="footer21.xml"/><Relationship Id="rId47" Type="http://schemas.openxmlformats.org/officeDocument/2006/relationships/footer" Target="footer22.xml"/><Relationship Id="rId48" Type="http://schemas.openxmlformats.org/officeDocument/2006/relationships/footer" Target="footer23.xml"/><Relationship Id="rId49" Type="http://schemas.openxmlformats.org/officeDocument/2006/relationships/header" Target="header13.xml"/><Relationship Id="rId50" Type="http://schemas.openxmlformats.org/officeDocument/2006/relationships/footer" Target="footer24.xml"/><Relationship Id="rId51" Type="http://schemas.openxmlformats.org/officeDocument/2006/relationships/footer" Target="footer25.xml"/><Relationship Id="rId52" Type="http://schemas.openxmlformats.org/officeDocument/2006/relationships/footer" Target="footer26.xml"/><Relationship Id="rId53" Type="http://schemas.openxmlformats.org/officeDocument/2006/relationships/footer" Target="footer27.xml"/><Relationship Id="rId54" Type="http://schemas.openxmlformats.org/officeDocument/2006/relationships/footer" Target="footer28.xml"/><Relationship Id="rId55" Type="http://schemas.openxmlformats.org/officeDocument/2006/relationships/header" Target="header14.xml"/><Relationship Id="rId56" Type="http://schemas.openxmlformats.org/officeDocument/2006/relationships/footer" Target="footer29.xml"/><Relationship Id="rId57" Type="http://schemas.openxmlformats.org/officeDocument/2006/relationships/header" Target="header15.xml"/><Relationship Id="rId58" Type="http://schemas.openxmlformats.org/officeDocument/2006/relationships/footer" Target="footer30.xml"/><Relationship Id="rId59" Type="http://schemas.openxmlformats.org/officeDocument/2006/relationships/header" Target="header16.xml"/><Relationship Id="rId60" Type="http://schemas.openxmlformats.org/officeDocument/2006/relationships/footer" Target="footer31.xml"/><Relationship Id="rId61" Type="http://schemas.openxmlformats.org/officeDocument/2006/relationships/footer" Target="footer32.xml"/><Relationship Id="rId62" Type="http://schemas.openxmlformats.org/officeDocument/2006/relationships/footer" Target="footer33.xml"/><Relationship Id="rId63" Type="http://schemas.openxmlformats.org/officeDocument/2006/relationships/image" Target="media/image6.png"/><Relationship Id="rId64" Type="http://schemas.openxmlformats.org/officeDocument/2006/relationships/header" Target="header17.xml"/><Relationship Id="rId65" Type="http://schemas.openxmlformats.org/officeDocument/2006/relationships/footer" Target="footer34.xml"/><Relationship Id="rId66" Type="http://schemas.openxmlformats.org/officeDocument/2006/relationships/header" Target="header18.xml"/><Relationship Id="rId67" Type="http://schemas.openxmlformats.org/officeDocument/2006/relationships/footer" Target="footer35.xml"/><Relationship Id="rId68" Type="http://schemas.openxmlformats.org/officeDocument/2006/relationships/header" Target="header19.xml"/><Relationship Id="rId69" Type="http://schemas.openxmlformats.org/officeDocument/2006/relationships/footer" Target="footer36.xml"/><Relationship Id="rId70" Type="http://schemas.openxmlformats.org/officeDocument/2006/relationships/header" Target="header20.xml"/><Relationship Id="rId71" Type="http://schemas.openxmlformats.org/officeDocument/2006/relationships/footer" Target="footer37.xml"/><Relationship Id="rId72" Type="http://schemas.openxmlformats.org/officeDocument/2006/relationships/footer" Target="footer38.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38.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2020-05-04T00:43:56Z</dcterms:created>
  <dcterms:modified xsi:type="dcterms:W3CDTF">2020-05-04T00:43:56Z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2013-04-09T00:00:00Z</vt:filetime>
  </property>
  <property fmtid="{D5CDD505-2E9C-101B-9397-08002B2CF9AE}" pid="3" name="Creator">
    <vt:lpwstr>Microsoft® Office Word 2007</vt:lpwstr>
  </property>
  <property fmtid="{D5CDD505-2E9C-101B-9397-08002B2CF9AE}" pid="4" name="LastSaved">
    <vt:filetime>2020-05-03T00:00:00Z</vt:filetime>
  </property>
</Properties>
</file>